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2B364" w14:textId="77777777" w:rsidR="00CA11C7" w:rsidRPr="003A404D" w:rsidRDefault="00CA11C7" w:rsidP="00CA11C7">
      <w:pPr>
        <w:pStyle w:val="ListParagraph"/>
        <w:spacing w:line="240" w:lineRule="auto"/>
        <w:ind w:left="0"/>
        <w:jc w:val="center"/>
        <w:rPr>
          <w:rFonts w:ascii="Times New Roman" w:hAnsi="Times New Roman"/>
          <w:color w:val="auto"/>
          <w:szCs w:val="32"/>
        </w:rPr>
      </w:pPr>
      <w:bookmarkStart w:id="0" w:name="_Hlk40179912"/>
      <w:r w:rsidRPr="003A404D">
        <w:rPr>
          <w:rFonts w:ascii="Times New Roman" w:hAnsi="Times New Roman"/>
          <w:color w:val="auto"/>
          <w:szCs w:val="32"/>
        </w:rPr>
        <w:t>DOCUMENT DE LA BANQUE MONDIALE</w:t>
      </w:r>
    </w:p>
    <w:p w14:paraId="3888E662" w14:textId="77777777" w:rsidR="00CA11C7" w:rsidRPr="003A404D" w:rsidRDefault="00CA11C7" w:rsidP="00CA11C7">
      <w:pPr>
        <w:pStyle w:val="ListParagraph"/>
        <w:spacing w:line="240" w:lineRule="auto"/>
        <w:ind w:left="0"/>
        <w:rPr>
          <w:rFonts w:ascii="Times New Roman" w:hAnsi="Times New Roman"/>
          <w:color w:val="auto"/>
          <w:sz w:val="32"/>
          <w:szCs w:val="32"/>
        </w:rPr>
      </w:pPr>
    </w:p>
    <w:p w14:paraId="76FB1C88" w14:textId="77777777" w:rsidR="00CA11C7" w:rsidRPr="003A404D" w:rsidRDefault="00CA11C7" w:rsidP="00CA11C7">
      <w:pPr>
        <w:pStyle w:val="ListParagraph"/>
        <w:spacing w:line="240" w:lineRule="auto"/>
        <w:ind w:left="0"/>
        <w:rPr>
          <w:rFonts w:ascii="Times New Roman" w:hAnsi="Times New Roman"/>
          <w:color w:val="auto"/>
          <w:sz w:val="32"/>
          <w:szCs w:val="32"/>
        </w:rPr>
      </w:pPr>
    </w:p>
    <w:p w14:paraId="1A8292EE" w14:textId="77777777" w:rsidR="00CA11C7" w:rsidRPr="003A404D" w:rsidRDefault="00CA11C7" w:rsidP="00CA11C7">
      <w:pPr>
        <w:pStyle w:val="ListParagraph"/>
        <w:spacing w:line="240" w:lineRule="auto"/>
        <w:ind w:left="0"/>
        <w:rPr>
          <w:rFonts w:ascii="Times New Roman" w:hAnsi="Times New Roman"/>
          <w:color w:val="auto"/>
          <w:sz w:val="32"/>
          <w:szCs w:val="32"/>
        </w:rPr>
      </w:pPr>
    </w:p>
    <w:p w14:paraId="1E4B8250" w14:textId="77777777" w:rsidR="00CA11C7" w:rsidRPr="003A404D" w:rsidRDefault="00CA11C7" w:rsidP="00CA11C7">
      <w:pPr>
        <w:pStyle w:val="ListParagraph"/>
        <w:spacing w:line="240" w:lineRule="auto"/>
        <w:ind w:left="0"/>
        <w:rPr>
          <w:rFonts w:ascii="Times New Roman" w:hAnsi="Times New Roman"/>
          <w:color w:val="auto"/>
          <w:sz w:val="32"/>
          <w:szCs w:val="32"/>
        </w:rPr>
      </w:pPr>
    </w:p>
    <w:p w14:paraId="51D30656" w14:textId="77777777" w:rsidR="00CA11C7" w:rsidRPr="003A404D" w:rsidRDefault="00CA11C7" w:rsidP="00CA11C7">
      <w:pPr>
        <w:pStyle w:val="ListParagraph"/>
        <w:spacing w:line="240" w:lineRule="auto"/>
        <w:ind w:left="0"/>
        <w:rPr>
          <w:rFonts w:ascii="Times New Roman" w:hAnsi="Times New Roman"/>
          <w:color w:val="auto"/>
          <w:sz w:val="32"/>
          <w:szCs w:val="32"/>
        </w:rPr>
      </w:pPr>
    </w:p>
    <w:p w14:paraId="27A6F1D4" w14:textId="77777777" w:rsidR="00CA11C7" w:rsidRPr="003A404D" w:rsidRDefault="00CA11C7" w:rsidP="00CA11C7">
      <w:pPr>
        <w:pStyle w:val="ListParagraph"/>
        <w:spacing w:line="240" w:lineRule="auto"/>
        <w:ind w:left="0"/>
        <w:rPr>
          <w:rFonts w:ascii="Times New Roman" w:hAnsi="Times New Roman"/>
          <w:color w:val="auto"/>
          <w:sz w:val="32"/>
          <w:szCs w:val="32"/>
        </w:rPr>
      </w:pPr>
    </w:p>
    <w:p w14:paraId="4A980AA9" w14:textId="77777777" w:rsidR="00CA11C7" w:rsidRPr="00046E7D" w:rsidRDefault="00CA11C7" w:rsidP="00CA11C7">
      <w:pPr>
        <w:pStyle w:val="ListParagraph"/>
        <w:spacing w:line="240" w:lineRule="auto"/>
        <w:ind w:left="0"/>
        <w:jc w:val="center"/>
        <w:rPr>
          <w:rFonts w:ascii="Candara" w:hAnsi="Candara"/>
          <w:b/>
          <w:color w:val="auto"/>
          <w:sz w:val="32"/>
          <w:szCs w:val="32"/>
        </w:rPr>
      </w:pPr>
      <w:r w:rsidRPr="00046E7D">
        <w:rPr>
          <w:rFonts w:ascii="Candara" w:hAnsi="Candara"/>
          <w:b/>
          <w:color w:val="auto"/>
          <w:sz w:val="32"/>
          <w:szCs w:val="32"/>
        </w:rPr>
        <w:t>Royaume du Maroc</w:t>
      </w:r>
    </w:p>
    <w:p w14:paraId="45DDDB86" w14:textId="77777777" w:rsidR="00CA11C7" w:rsidRPr="00046E7D" w:rsidRDefault="00CA11C7" w:rsidP="00CA11C7">
      <w:pPr>
        <w:pStyle w:val="ListParagraph"/>
        <w:spacing w:line="240" w:lineRule="auto"/>
        <w:ind w:left="0"/>
        <w:jc w:val="center"/>
        <w:rPr>
          <w:rFonts w:ascii="Candara" w:hAnsi="Candara"/>
          <w:b/>
          <w:color w:val="auto"/>
          <w:sz w:val="32"/>
          <w:szCs w:val="32"/>
        </w:rPr>
      </w:pPr>
    </w:p>
    <w:p w14:paraId="6B3B6D42" w14:textId="77777777" w:rsidR="00CA11C7" w:rsidRPr="00046E7D" w:rsidRDefault="00CA11C7" w:rsidP="00CA11C7">
      <w:pPr>
        <w:autoSpaceDE w:val="0"/>
        <w:autoSpaceDN w:val="0"/>
        <w:spacing w:after="0" w:line="240" w:lineRule="auto"/>
        <w:jc w:val="center"/>
        <w:rPr>
          <w:rFonts w:ascii="Candara" w:hAnsi="Candara"/>
          <w:b/>
          <w:caps/>
          <w:sz w:val="32"/>
        </w:rPr>
      </w:pPr>
    </w:p>
    <w:p w14:paraId="4D587B11" w14:textId="39E63919" w:rsidR="00CA11C7" w:rsidRPr="00046E7D" w:rsidRDefault="00C62177" w:rsidP="00CA11C7">
      <w:pPr>
        <w:autoSpaceDE w:val="0"/>
        <w:autoSpaceDN w:val="0"/>
        <w:spacing w:after="0" w:line="240" w:lineRule="auto"/>
        <w:jc w:val="center"/>
        <w:rPr>
          <w:rFonts w:ascii="Candara" w:hAnsi="Candara"/>
          <w:b/>
          <w:sz w:val="32"/>
        </w:rPr>
      </w:pPr>
      <w:r w:rsidRPr="00C62177">
        <w:rPr>
          <w:rFonts w:ascii="Candara" w:hAnsi="Candara"/>
          <w:b/>
          <w:caps/>
          <w:sz w:val="32"/>
        </w:rPr>
        <w:t xml:space="preserve">Programme </w:t>
      </w:r>
      <w:bookmarkStart w:id="1" w:name="_Hlk65696768"/>
      <w:r w:rsidRPr="00C62177">
        <w:rPr>
          <w:rFonts w:ascii="Candara" w:hAnsi="Candara"/>
          <w:b/>
          <w:caps/>
          <w:sz w:val="32"/>
        </w:rPr>
        <w:t xml:space="preserve">de performance du secteur public marocain (ENNAJAA) </w:t>
      </w:r>
      <w:bookmarkEnd w:id="1"/>
    </w:p>
    <w:p w14:paraId="56762619" w14:textId="77777777" w:rsidR="00CA11C7" w:rsidRPr="00046E7D" w:rsidRDefault="00CA11C7" w:rsidP="00CA11C7">
      <w:pPr>
        <w:pStyle w:val="ListParagraph"/>
        <w:spacing w:line="240" w:lineRule="auto"/>
        <w:ind w:left="0"/>
        <w:rPr>
          <w:rFonts w:ascii="Candara" w:hAnsi="Candara"/>
          <w:b/>
          <w:color w:val="auto"/>
          <w:sz w:val="28"/>
          <w:szCs w:val="32"/>
        </w:rPr>
      </w:pPr>
    </w:p>
    <w:p w14:paraId="0DA06EA4" w14:textId="77777777" w:rsidR="00CA11C7" w:rsidRPr="00046E7D" w:rsidRDefault="00CA11C7" w:rsidP="00CA11C7">
      <w:pPr>
        <w:pStyle w:val="ListParagraph"/>
        <w:spacing w:line="240" w:lineRule="auto"/>
        <w:ind w:left="0"/>
        <w:rPr>
          <w:rFonts w:ascii="Candara" w:hAnsi="Candara"/>
          <w:color w:val="auto"/>
          <w:sz w:val="32"/>
          <w:szCs w:val="32"/>
        </w:rPr>
      </w:pPr>
    </w:p>
    <w:p w14:paraId="5EC15016" w14:textId="77777777" w:rsidR="00CA11C7" w:rsidRPr="00046E7D" w:rsidRDefault="00CA11C7" w:rsidP="00CA11C7">
      <w:pPr>
        <w:pStyle w:val="ListParagraph"/>
        <w:spacing w:line="240" w:lineRule="auto"/>
        <w:ind w:left="0"/>
        <w:rPr>
          <w:rFonts w:ascii="Candara" w:hAnsi="Candara"/>
          <w:color w:val="auto"/>
          <w:sz w:val="32"/>
          <w:szCs w:val="32"/>
        </w:rPr>
      </w:pPr>
    </w:p>
    <w:p w14:paraId="392A32E9" w14:textId="06CF28FC" w:rsidR="00CA11C7" w:rsidRPr="00046E7D" w:rsidRDefault="00CA11C7" w:rsidP="00CA11C7">
      <w:pPr>
        <w:pStyle w:val="ListParagraph"/>
        <w:spacing w:line="240" w:lineRule="auto"/>
        <w:ind w:left="0"/>
        <w:jc w:val="center"/>
        <w:rPr>
          <w:rFonts w:ascii="Candara" w:hAnsi="Candara"/>
          <w:b/>
          <w:color w:val="auto"/>
          <w:sz w:val="32"/>
          <w:szCs w:val="32"/>
        </w:rPr>
      </w:pPr>
      <w:r w:rsidRPr="00046E7D">
        <w:rPr>
          <w:rFonts w:ascii="Candara" w:hAnsi="Candara"/>
          <w:b/>
          <w:color w:val="auto"/>
          <w:sz w:val="32"/>
          <w:szCs w:val="32"/>
        </w:rPr>
        <w:t xml:space="preserve">Évaluation des </w:t>
      </w:r>
      <w:r w:rsidR="00C93B83" w:rsidRPr="00046E7D">
        <w:rPr>
          <w:rFonts w:ascii="Candara" w:hAnsi="Candara"/>
          <w:b/>
          <w:color w:val="auto"/>
          <w:sz w:val="32"/>
          <w:szCs w:val="32"/>
        </w:rPr>
        <w:t>S</w:t>
      </w:r>
      <w:r w:rsidRPr="00046E7D">
        <w:rPr>
          <w:rFonts w:ascii="Candara" w:hAnsi="Candara"/>
          <w:b/>
          <w:color w:val="auto"/>
          <w:sz w:val="32"/>
          <w:szCs w:val="32"/>
        </w:rPr>
        <w:t xml:space="preserve">ystèmes </w:t>
      </w:r>
      <w:r w:rsidR="00C93B83" w:rsidRPr="00046E7D">
        <w:rPr>
          <w:rFonts w:ascii="Candara" w:hAnsi="Candara"/>
          <w:b/>
          <w:color w:val="auto"/>
          <w:sz w:val="32"/>
          <w:szCs w:val="32"/>
        </w:rPr>
        <w:t>E</w:t>
      </w:r>
      <w:r w:rsidRPr="00046E7D">
        <w:rPr>
          <w:rFonts w:ascii="Candara" w:hAnsi="Candara"/>
          <w:b/>
          <w:color w:val="auto"/>
          <w:sz w:val="32"/>
          <w:szCs w:val="32"/>
        </w:rPr>
        <w:t xml:space="preserve">nvironnementaux et </w:t>
      </w:r>
      <w:r w:rsidR="00C93B83" w:rsidRPr="00046E7D">
        <w:rPr>
          <w:rFonts w:ascii="Candara" w:hAnsi="Candara"/>
          <w:b/>
          <w:color w:val="auto"/>
          <w:sz w:val="32"/>
          <w:szCs w:val="32"/>
        </w:rPr>
        <w:t>S</w:t>
      </w:r>
      <w:r w:rsidRPr="00046E7D">
        <w:rPr>
          <w:rFonts w:ascii="Candara" w:hAnsi="Candara"/>
          <w:b/>
          <w:color w:val="auto"/>
          <w:sz w:val="32"/>
          <w:szCs w:val="32"/>
        </w:rPr>
        <w:t xml:space="preserve">ociaux </w:t>
      </w:r>
    </w:p>
    <w:p w14:paraId="22EFE319" w14:textId="77777777" w:rsidR="00CA11C7" w:rsidRPr="00046E7D" w:rsidRDefault="00CA11C7" w:rsidP="00CA11C7">
      <w:pPr>
        <w:pStyle w:val="ListParagraph"/>
        <w:spacing w:line="240" w:lineRule="auto"/>
        <w:ind w:left="0"/>
        <w:jc w:val="center"/>
        <w:rPr>
          <w:rFonts w:ascii="Candara" w:hAnsi="Candara"/>
          <w:b/>
          <w:color w:val="auto"/>
          <w:sz w:val="32"/>
          <w:szCs w:val="32"/>
        </w:rPr>
      </w:pPr>
      <w:r w:rsidRPr="00046E7D">
        <w:rPr>
          <w:rFonts w:ascii="Candara" w:hAnsi="Candara"/>
          <w:b/>
          <w:color w:val="auto"/>
          <w:sz w:val="32"/>
          <w:szCs w:val="32"/>
        </w:rPr>
        <w:t>(ESES)</w:t>
      </w:r>
    </w:p>
    <w:p w14:paraId="67E7F060" w14:textId="77777777" w:rsidR="00CA11C7" w:rsidRPr="00046E7D" w:rsidRDefault="00CA11C7" w:rsidP="00CA11C7">
      <w:pPr>
        <w:pStyle w:val="ListParagraph"/>
        <w:spacing w:line="240" w:lineRule="auto"/>
        <w:ind w:left="0"/>
        <w:jc w:val="center"/>
        <w:rPr>
          <w:rFonts w:ascii="Candara" w:hAnsi="Candara"/>
          <w:b/>
          <w:color w:val="auto"/>
          <w:sz w:val="32"/>
          <w:szCs w:val="32"/>
        </w:rPr>
      </w:pPr>
    </w:p>
    <w:p w14:paraId="47FD78DA" w14:textId="77777777" w:rsidR="00CA11C7" w:rsidRPr="00046E7D" w:rsidRDefault="00CA11C7" w:rsidP="00CA11C7">
      <w:pPr>
        <w:pStyle w:val="ListParagraph"/>
        <w:spacing w:line="240" w:lineRule="auto"/>
        <w:ind w:left="0"/>
        <w:rPr>
          <w:rFonts w:ascii="Candara" w:hAnsi="Candara"/>
          <w:color w:val="auto"/>
          <w:sz w:val="32"/>
          <w:szCs w:val="32"/>
        </w:rPr>
      </w:pPr>
    </w:p>
    <w:p w14:paraId="62122533" w14:textId="77777777" w:rsidR="00CA11C7" w:rsidRPr="00046E7D" w:rsidRDefault="00CA11C7" w:rsidP="00CA11C7">
      <w:pPr>
        <w:pStyle w:val="ListParagraph"/>
        <w:spacing w:line="240" w:lineRule="auto"/>
        <w:ind w:left="0"/>
        <w:jc w:val="center"/>
        <w:rPr>
          <w:rFonts w:ascii="Candara" w:hAnsi="Candara"/>
          <w:color w:val="auto"/>
          <w:sz w:val="32"/>
          <w:szCs w:val="32"/>
        </w:rPr>
      </w:pPr>
    </w:p>
    <w:p w14:paraId="6D2A05D8" w14:textId="77777777" w:rsidR="00CA11C7" w:rsidRPr="00046E7D" w:rsidRDefault="00CA11C7" w:rsidP="00CA11C7">
      <w:pPr>
        <w:pStyle w:val="ListParagraph"/>
        <w:spacing w:line="240" w:lineRule="auto"/>
        <w:ind w:left="0"/>
        <w:rPr>
          <w:rFonts w:ascii="Candara" w:hAnsi="Candara"/>
          <w:color w:val="auto"/>
          <w:sz w:val="32"/>
          <w:szCs w:val="32"/>
        </w:rPr>
      </w:pPr>
    </w:p>
    <w:p w14:paraId="002F1407" w14:textId="77777777" w:rsidR="00CA11C7" w:rsidRPr="00046E7D" w:rsidRDefault="00CA11C7" w:rsidP="00CA11C7">
      <w:pPr>
        <w:pStyle w:val="ListParagraph"/>
        <w:spacing w:line="240" w:lineRule="auto"/>
        <w:ind w:left="0"/>
        <w:jc w:val="center"/>
        <w:rPr>
          <w:rFonts w:ascii="Candara" w:hAnsi="Candara"/>
          <w:color w:val="auto"/>
          <w:szCs w:val="32"/>
        </w:rPr>
      </w:pPr>
    </w:p>
    <w:p w14:paraId="291FFB07" w14:textId="77777777" w:rsidR="00CA11C7" w:rsidRPr="00046E7D" w:rsidRDefault="00CA11C7" w:rsidP="00CA11C7">
      <w:pPr>
        <w:pStyle w:val="ListParagraph"/>
        <w:spacing w:line="240" w:lineRule="auto"/>
        <w:ind w:left="0"/>
        <w:jc w:val="center"/>
        <w:rPr>
          <w:rFonts w:ascii="Candara" w:hAnsi="Candara"/>
          <w:color w:val="auto"/>
          <w:szCs w:val="32"/>
        </w:rPr>
      </w:pPr>
    </w:p>
    <w:p w14:paraId="4AEE1502" w14:textId="77777777" w:rsidR="00CA11C7" w:rsidRPr="00046E7D" w:rsidRDefault="00CA11C7" w:rsidP="00CA11C7">
      <w:pPr>
        <w:pStyle w:val="ListParagraph"/>
        <w:spacing w:line="240" w:lineRule="auto"/>
        <w:ind w:left="0"/>
        <w:jc w:val="center"/>
        <w:rPr>
          <w:rFonts w:ascii="Candara" w:hAnsi="Candara"/>
          <w:color w:val="auto"/>
          <w:szCs w:val="32"/>
        </w:rPr>
      </w:pPr>
    </w:p>
    <w:p w14:paraId="2AA8D14F" w14:textId="77777777" w:rsidR="00CA11C7" w:rsidRPr="00046E7D" w:rsidRDefault="00CA11C7" w:rsidP="00CA11C7">
      <w:pPr>
        <w:pStyle w:val="ListParagraph"/>
        <w:spacing w:line="240" w:lineRule="auto"/>
        <w:ind w:left="0"/>
        <w:jc w:val="center"/>
        <w:rPr>
          <w:rFonts w:ascii="Candara" w:hAnsi="Candara"/>
          <w:color w:val="auto"/>
          <w:szCs w:val="32"/>
        </w:rPr>
      </w:pPr>
    </w:p>
    <w:p w14:paraId="29728689" w14:textId="77777777" w:rsidR="00CA11C7" w:rsidRPr="00046E7D" w:rsidRDefault="00CA11C7" w:rsidP="00CA11C7">
      <w:pPr>
        <w:pStyle w:val="ListParagraph"/>
        <w:spacing w:line="240" w:lineRule="auto"/>
        <w:ind w:left="0"/>
        <w:jc w:val="center"/>
        <w:rPr>
          <w:rFonts w:ascii="Candara" w:hAnsi="Candara"/>
          <w:color w:val="auto"/>
          <w:szCs w:val="32"/>
        </w:rPr>
      </w:pPr>
    </w:p>
    <w:p w14:paraId="29A01082" w14:textId="61AB86BD" w:rsidR="00CA11C7" w:rsidRPr="00046E7D" w:rsidRDefault="00BA70C5" w:rsidP="00CA11C7">
      <w:pPr>
        <w:pStyle w:val="ListParagraph"/>
        <w:spacing w:line="240" w:lineRule="auto"/>
        <w:ind w:left="0"/>
        <w:jc w:val="center"/>
        <w:rPr>
          <w:rFonts w:ascii="Candara" w:hAnsi="Candara"/>
          <w:color w:val="auto"/>
          <w:szCs w:val="32"/>
        </w:rPr>
      </w:pPr>
      <w:r>
        <w:rPr>
          <w:rFonts w:ascii="Candara" w:hAnsi="Candara"/>
          <w:color w:val="auto"/>
          <w:szCs w:val="32"/>
        </w:rPr>
        <w:t>Juin</w:t>
      </w:r>
      <w:r w:rsidRPr="00046E7D">
        <w:rPr>
          <w:rFonts w:ascii="Candara" w:hAnsi="Candara"/>
          <w:color w:val="auto"/>
          <w:szCs w:val="32"/>
        </w:rPr>
        <w:t xml:space="preserve"> </w:t>
      </w:r>
      <w:r w:rsidR="00CA11C7" w:rsidRPr="00046E7D">
        <w:rPr>
          <w:rFonts w:ascii="Candara" w:hAnsi="Candara"/>
          <w:color w:val="auto"/>
          <w:szCs w:val="32"/>
        </w:rPr>
        <w:t>202</w:t>
      </w:r>
      <w:r w:rsidR="00C62177">
        <w:rPr>
          <w:rFonts w:ascii="Candara" w:hAnsi="Candara"/>
          <w:color w:val="auto"/>
          <w:szCs w:val="32"/>
        </w:rPr>
        <w:t>1</w:t>
      </w:r>
    </w:p>
    <w:p w14:paraId="7CA623CA" w14:textId="77777777" w:rsidR="00CA11C7" w:rsidRPr="003A404D" w:rsidRDefault="00CA11C7" w:rsidP="00CA11C7">
      <w:pPr>
        <w:pStyle w:val="ListParagraph"/>
        <w:spacing w:line="240" w:lineRule="auto"/>
        <w:ind w:left="0"/>
        <w:jc w:val="center"/>
        <w:rPr>
          <w:rFonts w:ascii="Times New Roman" w:hAnsi="Times New Roman"/>
          <w:color w:val="auto"/>
          <w:szCs w:val="32"/>
        </w:rPr>
      </w:pPr>
    </w:p>
    <w:p w14:paraId="0CB7F10D" w14:textId="77777777" w:rsidR="00CA11C7" w:rsidRPr="003A404D" w:rsidRDefault="00CA11C7" w:rsidP="00CA11C7">
      <w:pPr>
        <w:pStyle w:val="ListParagraph"/>
        <w:spacing w:line="240" w:lineRule="auto"/>
        <w:ind w:left="0"/>
        <w:jc w:val="center"/>
        <w:rPr>
          <w:rFonts w:ascii="Times New Roman" w:hAnsi="Times New Roman"/>
          <w:color w:val="auto"/>
          <w:szCs w:val="32"/>
        </w:rPr>
      </w:pPr>
    </w:p>
    <w:p w14:paraId="07A72C29" w14:textId="77777777" w:rsidR="00CA11C7" w:rsidRPr="003A404D" w:rsidRDefault="00CA11C7" w:rsidP="00CA11C7">
      <w:pPr>
        <w:pStyle w:val="ListParagraph"/>
        <w:spacing w:line="240" w:lineRule="auto"/>
        <w:ind w:left="0"/>
        <w:jc w:val="center"/>
        <w:rPr>
          <w:rFonts w:ascii="Times New Roman" w:hAnsi="Times New Roman"/>
          <w:color w:val="auto"/>
          <w:szCs w:val="32"/>
        </w:rPr>
      </w:pPr>
    </w:p>
    <w:p w14:paraId="3355C95B" w14:textId="77777777" w:rsidR="00CA11C7" w:rsidRPr="003A404D" w:rsidRDefault="00CA11C7" w:rsidP="00CA11C7">
      <w:pPr>
        <w:pStyle w:val="ListParagraph"/>
        <w:spacing w:line="240" w:lineRule="auto"/>
        <w:ind w:left="0"/>
        <w:jc w:val="center"/>
        <w:rPr>
          <w:rFonts w:ascii="Times New Roman" w:hAnsi="Times New Roman"/>
          <w:color w:val="auto"/>
          <w:szCs w:val="32"/>
        </w:rPr>
      </w:pPr>
    </w:p>
    <w:p w14:paraId="7D1A8531" w14:textId="77777777" w:rsidR="00CA11C7" w:rsidRPr="003A404D" w:rsidRDefault="00CA11C7" w:rsidP="00CA11C7">
      <w:pPr>
        <w:pStyle w:val="ListParagraph"/>
        <w:spacing w:line="240" w:lineRule="auto"/>
        <w:ind w:left="0"/>
        <w:jc w:val="center"/>
        <w:rPr>
          <w:rFonts w:ascii="Times New Roman" w:hAnsi="Times New Roman"/>
          <w:color w:val="auto"/>
          <w:szCs w:val="32"/>
        </w:rPr>
      </w:pPr>
    </w:p>
    <w:p w14:paraId="7D74A088" w14:textId="77777777" w:rsidR="00CA11C7" w:rsidRPr="003A404D" w:rsidRDefault="00CA11C7" w:rsidP="00CA11C7">
      <w:pPr>
        <w:pStyle w:val="ListParagraph"/>
        <w:spacing w:line="240" w:lineRule="auto"/>
        <w:ind w:left="0"/>
        <w:jc w:val="center"/>
        <w:rPr>
          <w:rFonts w:ascii="Times New Roman" w:hAnsi="Times New Roman"/>
          <w:color w:val="auto"/>
          <w:szCs w:val="32"/>
        </w:rPr>
      </w:pPr>
    </w:p>
    <w:p w14:paraId="7E3F8BCC" w14:textId="77777777" w:rsidR="00CA11C7" w:rsidRPr="003A404D" w:rsidRDefault="00CA11C7" w:rsidP="00CA11C7">
      <w:pPr>
        <w:pStyle w:val="ListParagraph"/>
        <w:spacing w:line="240" w:lineRule="auto"/>
        <w:ind w:left="0"/>
        <w:jc w:val="center"/>
        <w:rPr>
          <w:rFonts w:ascii="Times New Roman" w:hAnsi="Times New Roman"/>
          <w:color w:val="auto"/>
          <w:szCs w:val="32"/>
        </w:rPr>
      </w:pPr>
    </w:p>
    <w:p w14:paraId="66E2FDD4" w14:textId="77777777" w:rsidR="00CA11C7" w:rsidRPr="003A404D" w:rsidRDefault="00CA11C7" w:rsidP="00CA11C7">
      <w:pPr>
        <w:spacing w:after="0" w:line="240" w:lineRule="auto"/>
        <w:jc w:val="center"/>
      </w:pPr>
      <w:r w:rsidRPr="003A404D">
        <w:rPr>
          <w:noProof/>
          <w:lang w:eastAsia="fr-FR"/>
        </w:rPr>
        <w:drawing>
          <wp:inline distT="0" distB="0" distL="0" distR="0" wp14:anchorId="2DA8DB70" wp14:editId="41F73054">
            <wp:extent cx="2619375" cy="52387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B-MENA-horizontal-RGB-hig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4558" cy="540910"/>
                    </a:xfrm>
                    <a:prstGeom prst="rect">
                      <a:avLst/>
                    </a:prstGeom>
                  </pic:spPr>
                </pic:pic>
              </a:graphicData>
            </a:graphic>
          </wp:inline>
        </w:drawing>
      </w:r>
    </w:p>
    <w:p w14:paraId="2D309D6F" w14:textId="77777777" w:rsidR="00CA11C7" w:rsidRPr="003A404D" w:rsidRDefault="00CA11C7" w:rsidP="00CA11C7">
      <w:pPr>
        <w:spacing w:after="0" w:line="240" w:lineRule="auto"/>
        <w:jc w:val="center"/>
      </w:pPr>
    </w:p>
    <w:p w14:paraId="370817D8" w14:textId="77777777" w:rsidR="00056905" w:rsidRDefault="00056905">
      <w:pPr>
        <w:sectPr w:rsidR="00056905" w:rsidSect="00D85E9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pPr>
    </w:p>
    <w:p w14:paraId="159E3547" w14:textId="7FA709A0" w:rsidR="00CA11C7" w:rsidRPr="00046E7D" w:rsidRDefault="00CA11C7" w:rsidP="00F97CB8">
      <w:pPr>
        <w:pBdr>
          <w:bottom w:val="single" w:sz="6" w:space="1" w:color="auto"/>
        </w:pBdr>
        <w:spacing w:after="0" w:line="240" w:lineRule="auto"/>
        <w:jc w:val="center"/>
        <w:rPr>
          <w:rFonts w:ascii="Candara" w:hAnsi="Candara" w:cstheme="minorHAnsi"/>
          <w:b/>
          <w:bCs/>
          <w:sz w:val="28"/>
          <w:szCs w:val="28"/>
        </w:rPr>
      </w:pPr>
      <w:bookmarkStart w:id="2" w:name="_Toc496827299"/>
      <w:r w:rsidRPr="00046E7D">
        <w:rPr>
          <w:rFonts w:ascii="Candara" w:hAnsi="Candara" w:cstheme="minorHAnsi"/>
          <w:b/>
          <w:bCs/>
          <w:sz w:val="28"/>
          <w:szCs w:val="28"/>
        </w:rPr>
        <w:lastRenderedPageBreak/>
        <w:t>Liste des acronymes</w:t>
      </w:r>
      <w:bookmarkEnd w:id="2"/>
    </w:p>
    <w:p w14:paraId="577E7DAC" w14:textId="77777777" w:rsidR="00F97CB8" w:rsidRPr="003A404D" w:rsidRDefault="00F97CB8" w:rsidP="00046E7D">
      <w:pPr>
        <w:spacing w:after="0" w:line="240" w:lineRule="auto"/>
        <w:jc w:val="center"/>
        <w:rPr>
          <w:rFonts w:cstheme="minorHAnsi"/>
          <w:b/>
          <w:bCs/>
          <w:sz w:val="28"/>
          <w:szCs w:val="28"/>
        </w:rPr>
      </w:pPr>
    </w:p>
    <w:p w14:paraId="716E9FC2" w14:textId="77777777" w:rsidR="00CA11C7" w:rsidRPr="003A404D" w:rsidRDefault="00CA11C7" w:rsidP="00CA11C7">
      <w:pPr>
        <w:pStyle w:val="ListParagraph"/>
        <w:spacing w:after="120"/>
        <w:ind w:left="0"/>
        <w:contextualSpacing w:val="0"/>
        <w:outlineLvl w:val="0"/>
        <w:rPr>
          <w:rFonts w:ascii="Times New Roman" w:hAnsi="Times New Roman"/>
          <w:b/>
          <w:color w:val="auto"/>
          <w:sz w:val="32"/>
          <w:szCs w:val="22"/>
        </w:rPr>
      </w:pPr>
    </w:p>
    <w:tbl>
      <w:tblPr>
        <w:tblStyle w:val="TableGrid"/>
        <w:tblW w:w="9411" w:type="dxa"/>
        <w:jc w:val="center"/>
        <w:tblLook w:val="04A0" w:firstRow="1" w:lastRow="0" w:firstColumn="1" w:lastColumn="0" w:noHBand="0" w:noVBand="1"/>
      </w:tblPr>
      <w:tblGrid>
        <w:gridCol w:w="1344"/>
        <w:gridCol w:w="8067"/>
      </w:tblGrid>
      <w:tr w:rsidR="00B11D47" w:rsidRPr="003A404D" w14:paraId="7B0030F6" w14:textId="77777777" w:rsidTr="00193602">
        <w:trPr>
          <w:tblHeader/>
          <w:jc w:val="center"/>
        </w:trPr>
        <w:tc>
          <w:tcPr>
            <w:tcW w:w="1344" w:type="dxa"/>
            <w:shd w:val="clear" w:color="auto" w:fill="E2EFD9" w:themeFill="accent6" w:themeFillTint="33"/>
            <w:vAlign w:val="center"/>
          </w:tcPr>
          <w:p w14:paraId="3BF3D3CE" w14:textId="77777777" w:rsidR="00B11D47" w:rsidRPr="003A404D" w:rsidRDefault="00B11D47" w:rsidP="00B11D47">
            <w:pPr>
              <w:jc w:val="center"/>
              <w:rPr>
                <w:rFonts w:asciiTheme="majorHAnsi" w:hAnsiTheme="majorHAnsi" w:cstheme="majorHAnsi"/>
                <w:b/>
                <w:bCs/>
                <w:lang w:val="fr-FR"/>
              </w:rPr>
            </w:pPr>
            <w:r w:rsidRPr="003A404D">
              <w:rPr>
                <w:rFonts w:asciiTheme="majorHAnsi" w:hAnsiTheme="majorHAnsi" w:cstheme="majorHAnsi"/>
                <w:b/>
                <w:bCs/>
                <w:lang w:val="fr-FR"/>
              </w:rPr>
              <w:t>Acronyme</w:t>
            </w:r>
          </w:p>
        </w:tc>
        <w:tc>
          <w:tcPr>
            <w:tcW w:w="8067" w:type="dxa"/>
            <w:shd w:val="clear" w:color="auto" w:fill="E2EFD9" w:themeFill="accent6" w:themeFillTint="33"/>
            <w:vAlign w:val="center"/>
          </w:tcPr>
          <w:p w14:paraId="14116945" w14:textId="77777777" w:rsidR="00B11D47" w:rsidRPr="003A404D" w:rsidRDefault="00B11D47" w:rsidP="00B11D47">
            <w:pPr>
              <w:jc w:val="center"/>
              <w:rPr>
                <w:rFonts w:asciiTheme="majorHAnsi" w:hAnsiTheme="majorHAnsi" w:cstheme="majorHAnsi"/>
                <w:b/>
                <w:bCs/>
                <w:lang w:val="fr-FR"/>
              </w:rPr>
            </w:pPr>
            <w:r w:rsidRPr="003A404D">
              <w:rPr>
                <w:rFonts w:asciiTheme="majorHAnsi" w:hAnsiTheme="majorHAnsi" w:cstheme="majorHAnsi"/>
                <w:b/>
                <w:bCs/>
                <w:lang w:val="fr-FR"/>
              </w:rPr>
              <w:t>Signification</w:t>
            </w:r>
          </w:p>
        </w:tc>
      </w:tr>
      <w:tr w:rsidR="00193602" w:rsidRPr="00193602" w14:paraId="5C57B913" w14:textId="77777777" w:rsidTr="00193602">
        <w:tblPrEx>
          <w:jc w:val="left"/>
        </w:tblPrEx>
        <w:trPr>
          <w:trHeight w:val="300"/>
        </w:trPr>
        <w:tc>
          <w:tcPr>
            <w:tcW w:w="1344" w:type="dxa"/>
            <w:noWrap/>
            <w:hideMark/>
          </w:tcPr>
          <w:p w14:paraId="5BEC1ACE" w14:textId="77777777" w:rsidR="00193602" w:rsidRPr="00193602" w:rsidRDefault="00193602" w:rsidP="00193602">
            <w:pPr>
              <w:rPr>
                <w:rFonts w:eastAsia="Times New Roman" w:cs="Calibri"/>
                <w:color w:val="000000"/>
              </w:rPr>
            </w:pPr>
            <w:r w:rsidRPr="00193602">
              <w:rPr>
                <w:rFonts w:eastAsia="Times New Roman" w:cs="Calibri"/>
                <w:color w:val="000000"/>
              </w:rPr>
              <w:t>ADD</w:t>
            </w:r>
          </w:p>
        </w:tc>
        <w:tc>
          <w:tcPr>
            <w:tcW w:w="8067" w:type="dxa"/>
            <w:noWrap/>
            <w:hideMark/>
          </w:tcPr>
          <w:p w14:paraId="0BCD4188" w14:textId="4F4077FD" w:rsidR="00193602" w:rsidRPr="00193602" w:rsidRDefault="00193602" w:rsidP="00193602">
            <w:pPr>
              <w:rPr>
                <w:rFonts w:eastAsia="Times New Roman" w:cs="Calibri"/>
                <w:color w:val="000000"/>
                <w:lang w:val="fr-FR"/>
              </w:rPr>
            </w:pPr>
            <w:r w:rsidRPr="00193602">
              <w:rPr>
                <w:rFonts w:eastAsia="Times New Roman" w:cs="Calibri"/>
                <w:color w:val="000000"/>
                <w:lang w:val="fr-FR"/>
              </w:rPr>
              <w:t>Agence de développement du Digit</w:t>
            </w:r>
            <w:r w:rsidRPr="00193602">
              <w:rPr>
                <w:rFonts w:eastAsia="Times New Roman" w:cs="Calibri"/>
                <w:color w:val="000000"/>
                <w:lang w:val="fr-FR"/>
              </w:rPr>
              <w:t>al</w:t>
            </w:r>
          </w:p>
        </w:tc>
      </w:tr>
      <w:tr w:rsidR="00193602" w:rsidRPr="00193602" w14:paraId="18C0587C" w14:textId="77777777" w:rsidTr="00193602">
        <w:tblPrEx>
          <w:jc w:val="left"/>
        </w:tblPrEx>
        <w:trPr>
          <w:trHeight w:val="300"/>
        </w:trPr>
        <w:tc>
          <w:tcPr>
            <w:tcW w:w="1344" w:type="dxa"/>
            <w:noWrap/>
            <w:hideMark/>
          </w:tcPr>
          <w:p w14:paraId="2C63F05C" w14:textId="77777777" w:rsidR="00193602" w:rsidRPr="00193602" w:rsidRDefault="00193602" w:rsidP="00193602">
            <w:pPr>
              <w:rPr>
                <w:rFonts w:eastAsia="Times New Roman" w:cs="Calibri"/>
                <w:color w:val="000000"/>
              </w:rPr>
            </w:pPr>
            <w:r w:rsidRPr="00193602">
              <w:rPr>
                <w:rFonts w:eastAsia="Times New Roman" w:cs="Calibri"/>
                <w:color w:val="000000"/>
              </w:rPr>
              <w:t>CDG</w:t>
            </w:r>
          </w:p>
        </w:tc>
        <w:tc>
          <w:tcPr>
            <w:tcW w:w="8067" w:type="dxa"/>
            <w:noWrap/>
            <w:hideMark/>
          </w:tcPr>
          <w:p w14:paraId="1108C6D3" w14:textId="7747FCDF" w:rsidR="00193602" w:rsidRPr="00193602" w:rsidRDefault="00193602" w:rsidP="00193602">
            <w:pPr>
              <w:rPr>
                <w:rFonts w:eastAsia="Times New Roman" w:cs="Calibri"/>
                <w:color w:val="000000"/>
                <w:lang w:val="fr-FR"/>
              </w:rPr>
            </w:pPr>
            <w:r w:rsidRPr="00193602">
              <w:rPr>
                <w:rFonts w:eastAsia="Times New Roman" w:cs="Calibri"/>
                <w:color w:val="000000"/>
                <w:lang w:val="fr-FR"/>
              </w:rPr>
              <w:t>Caisse de Dépôt et de Gestion</w:t>
            </w:r>
          </w:p>
        </w:tc>
      </w:tr>
      <w:tr w:rsidR="00193602" w:rsidRPr="00193602" w14:paraId="1B1D1625" w14:textId="77777777" w:rsidTr="00193602">
        <w:tblPrEx>
          <w:jc w:val="left"/>
        </w:tblPrEx>
        <w:trPr>
          <w:trHeight w:val="300"/>
        </w:trPr>
        <w:tc>
          <w:tcPr>
            <w:tcW w:w="1344" w:type="dxa"/>
            <w:noWrap/>
            <w:hideMark/>
          </w:tcPr>
          <w:p w14:paraId="260F39A2" w14:textId="77777777" w:rsidR="00193602" w:rsidRPr="00193602" w:rsidRDefault="00193602" w:rsidP="00193602">
            <w:pPr>
              <w:rPr>
                <w:rFonts w:eastAsia="Times New Roman" w:cs="Calibri"/>
                <w:color w:val="000000"/>
              </w:rPr>
            </w:pPr>
            <w:r w:rsidRPr="00193602">
              <w:rPr>
                <w:rFonts w:eastAsia="Times New Roman" w:cs="Calibri"/>
                <w:color w:val="000000"/>
              </w:rPr>
              <w:t>CNCP</w:t>
            </w:r>
          </w:p>
        </w:tc>
        <w:tc>
          <w:tcPr>
            <w:tcW w:w="8067" w:type="dxa"/>
            <w:noWrap/>
            <w:hideMark/>
          </w:tcPr>
          <w:p w14:paraId="3122B240" w14:textId="77777777" w:rsidR="00193602" w:rsidRPr="00193602" w:rsidRDefault="00193602" w:rsidP="00193602">
            <w:pPr>
              <w:rPr>
                <w:rFonts w:eastAsia="Times New Roman" w:cs="Calibri"/>
                <w:color w:val="000000"/>
                <w:lang w:val="fr-FR"/>
              </w:rPr>
            </w:pPr>
            <w:r w:rsidRPr="00193602">
              <w:rPr>
                <w:rFonts w:eastAsia="Times New Roman" w:cs="Calibri"/>
                <w:color w:val="000000"/>
                <w:lang w:val="fr-FR"/>
              </w:rPr>
              <w:t>Commission nationale des marchés publics</w:t>
            </w:r>
          </w:p>
        </w:tc>
      </w:tr>
      <w:tr w:rsidR="00193602" w:rsidRPr="00193602" w14:paraId="29310DAB" w14:textId="77777777" w:rsidTr="00193602">
        <w:tblPrEx>
          <w:jc w:val="left"/>
        </w:tblPrEx>
        <w:trPr>
          <w:trHeight w:val="300"/>
        </w:trPr>
        <w:tc>
          <w:tcPr>
            <w:tcW w:w="1344" w:type="dxa"/>
            <w:noWrap/>
            <w:hideMark/>
          </w:tcPr>
          <w:p w14:paraId="45E75B90" w14:textId="77777777" w:rsidR="00193602" w:rsidRPr="00193602" w:rsidRDefault="00193602" w:rsidP="00193602">
            <w:pPr>
              <w:rPr>
                <w:rFonts w:eastAsia="Times New Roman" w:cs="Calibri"/>
                <w:color w:val="000000"/>
              </w:rPr>
            </w:pPr>
            <w:r w:rsidRPr="00193602">
              <w:rPr>
                <w:rFonts w:eastAsia="Times New Roman" w:cs="Calibri"/>
                <w:color w:val="000000"/>
              </w:rPr>
              <w:t>CPN</w:t>
            </w:r>
          </w:p>
        </w:tc>
        <w:tc>
          <w:tcPr>
            <w:tcW w:w="8067" w:type="dxa"/>
            <w:noWrap/>
            <w:hideMark/>
          </w:tcPr>
          <w:p w14:paraId="57B08026" w14:textId="1FBD00A8" w:rsidR="00193602" w:rsidRPr="00193602" w:rsidRDefault="00193602" w:rsidP="00193602">
            <w:pPr>
              <w:rPr>
                <w:rFonts w:eastAsia="Times New Roman" w:cs="Calibri"/>
                <w:color w:val="000000"/>
              </w:rPr>
            </w:pPr>
            <w:r w:rsidRPr="00193602">
              <w:rPr>
                <w:rFonts w:eastAsia="Times New Roman" w:cs="Calibri"/>
                <w:color w:val="000000"/>
              </w:rPr>
              <w:t xml:space="preserve">Cadre de </w:t>
            </w:r>
            <w:proofErr w:type="spellStart"/>
            <w:r w:rsidRPr="00193602">
              <w:rPr>
                <w:rFonts w:eastAsia="Times New Roman" w:cs="Calibri"/>
                <w:color w:val="000000"/>
              </w:rPr>
              <w:t>partenariat</w:t>
            </w:r>
            <w:proofErr w:type="spellEnd"/>
            <w:r w:rsidRPr="00193602">
              <w:rPr>
                <w:rFonts w:eastAsia="Times New Roman" w:cs="Calibri"/>
                <w:color w:val="000000"/>
              </w:rPr>
              <w:t xml:space="preserve"> national</w:t>
            </w:r>
          </w:p>
        </w:tc>
      </w:tr>
      <w:tr w:rsidR="00193602" w:rsidRPr="00193602" w14:paraId="2346D34D" w14:textId="77777777" w:rsidTr="00193602">
        <w:tblPrEx>
          <w:jc w:val="left"/>
        </w:tblPrEx>
        <w:trPr>
          <w:trHeight w:val="300"/>
        </w:trPr>
        <w:tc>
          <w:tcPr>
            <w:tcW w:w="1344" w:type="dxa"/>
            <w:noWrap/>
            <w:hideMark/>
          </w:tcPr>
          <w:p w14:paraId="59E6271F" w14:textId="77777777" w:rsidR="00193602" w:rsidRPr="00193602" w:rsidRDefault="00193602" w:rsidP="00193602">
            <w:pPr>
              <w:rPr>
                <w:rFonts w:eastAsia="Times New Roman" w:cs="Calibri"/>
                <w:color w:val="000000"/>
              </w:rPr>
            </w:pPr>
            <w:r w:rsidRPr="00193602">
              <w:rPr>
                <w:rFonts w:eastAsia="Times New Roman" w:cs="Calibri"/>
                <w:color w:val="000000"/>
              </w:rPr>
              <w:t xml:space="preserve">DGCT </w:t>
            </w:r>
          </w:p>
        </w:tc>
        <w:tc>
          <w:tcPr>
            <w:tcW w:w="8067" w:type="dxa"/>
            <w:noWrap/>
            <w:hideMark/>
          </w:tcPr>
          <w:p w14:paraId="6D77AD78" w14:textId="77777777" w:rsidR="00193602" w:rsidRPr="00193602" w:rsidRDefault="00193602" w:rsidP="00193602">
            <w:pPr>
              <w:rPr>
                <w:rFonts w:eastAsia="Times New Roman" w:cs="Calibri"/>
                <w:color w:val="000000"/>
                <w:lang w:val="fr-FR"/>
              </w:rPr>
            </w:pPr>
            <w:r w:rsidRPr="00193602">
              <w:rPr>
                <w:rFonts w:eastAsia="Times New Roman" w:cs="Calibri"/>
                <w:color w:val="000000"/>
                <w:lang w:val="fr-FR"/>
              </w:rPr>
              <w:t xml:space="preserve">Direction </w:t>
            </w:r>
            <w:proofErr w:type="spellStart"/>
            <w:r w:rsidRPr="00193602">
              <w:rPr>
                <w:rFonts w:eastAsia="Times New Roman" w:cs="Calibri"/>
                <w:color w:val="000000"/>
                <w:lang w:val="fr-FR"/>
              </w:rPr>
              <w:t>Generale</w:t>
            </w:r>
            <w:proofErr w:type="spellEnd"/>
            <w:r w:rsidRPr="00193602">
              <w:rPr>
                <w:rFonts w:eastAsia="Times New Roman" w:cs="Calibri"/>
                <w:color w:val="000000"/>
                <w:lang w:val="fr-FR"/>
              </w:rPr>
              <w:t xml:space="preserve"> des </w:t>
            </w:r>
            <w:proofErr w:type="spellStart"/>
            <w:r w:rsidRPr="00193602">
              <w:rPr>
                <w:rFonts w:eastAsia="Times New Roman" w:cs="Calibri"/>
                <w:color w:val="000000"/>
                <w:lang w:val="fr-FR"/>
              </w:rPr>
              <w:t>Collectivites</w:t>
            </w:r>
            <w:proofErr w:type="spellEnd"/>
            <w:r w:rsidRPr="00193602">
              <w:rPr>
                <w:rFonts w:eastAsia="Times New Roman" w:cs="Calibri"/>
                <w:color w:val="000000"/>
                <w:lang w:val="fr-FR"/>
              </w:rPr>
              <w:t xml:space="preserve"> Territoriales</w:t>
            </w:r>
          </w:p>
        </w:tc>
      </w:tr>
      <w:tr w:rsidR="00193602" w:rsidRPr="00193602" w14:paraId="7D42E991" w14:textId="77777777" w:rsidTr="00193602">
        <w:tblPrEx>
          <w:jc w:val="left"/>
        </w:tblPrEx>
        <w:trPr>
          <w:trHeight w:val="300"/>
        </w:trPr>
        <w:tc>
          <w:tcPr>
            <w:tcW w:w="1344" w:type="dxa"/>
            <w:noWrap/>
            <w:hideMark/>
          </w:tcPr>
          <w:p w14:paraId="6F24EA71" w14:textId="77777777" w:rsidR="00193602" w:rsidRPr="00193602" w:rsidRDefault="00193602" w:rsidP="00193602">
            <w:pPr>
              <w:rPr>
                <w:rFonts w:eastAsia="Times New Roman" w:cs="Calibri"/>
                <w:color w:val="000000"/>
              </w:rPr>
            </w:pPr>
            <w:r w:rsidRPr="00193602">
              <w:rPr>
                <w:rFonts w:eastAsia="Times New Roman" w:cs="Calibri"/>
                <w:color w:val="000000"/>
              </w:rPr>
              <w:t>DGI</w:t>
            </w:r>
          </w:p>
        </w:tc>
        <w:tc>
          <w:tcPr>
            <w:tcW w:w="8067" w:type="dxa"/>
            <w:noWrap/>
            <w:hideMark/>
          </w:tcPr>
          <w:p w14:paraId="7642D71A" w14:textId="30CEFA6F" w:rsidR="00193602" w:rsidRPr="00193602" w:rsidRDefault="00193602" w:rsidP="00193602">
            <w:pPr>
              <w:rPr>
                <w:rFonts w:eastAsia="Times New Roman" w:cs="Calibri"/>
                <w:color w:val="000000"/>
              </w:rPr>
            </w:pPr>
            <w:r w:rsidRPr="00193602">
              <w:rPr>
                <w:rFonts w:eastAsia="Times New Roman" w:cs="Calibri"/>
                <w:color w:val="000000"/>
              </w:rPr>
              <w:t xml:space="preserve">Direction Générale des </w:t>
            </w:r>
            <w:proofErr w:type="spellStart"/>
            <w:r w:rsidRPr="00193602">
              <w:rPr>
                <w:rFonts w:eastAsia="Times New Roman" w:cs="Calibri"/>
                <w:color w:val="000000"/>
              </w:rPr>
              <w:t>Impôts</w:t>
            </w:r>
            <w:proofErr w:type="spellEnd"/>
          </w:p>
        </w:tc>
      </w:tr>
      <w:tr w:rsidR="00193602" w:rsidRPr="00193602" w14:paraId="6848BA26" w14:textId="77777777" w:rsidTr="00193602">
        <w:tblPrEx>
          <w:jc w:val="left"/>
        </w:tblPrEx>
        <w:trPr>
          <w:trHeight w:val="300"/>
        </w:trPr>
        <w:tc>
          <w:tcPr>
            <w:tcW w:w="1344" w:type="dxa"/>
            <w:noWrap/>
            <w:hideMark/>
          </w:tcPr>
          <w:p w14:paraId="0B0759E3" w14:textId="77777777" w:rsidR="00193602" w:rsidRPr="00193602" w:rsidRDefault="00193602" w:rsidP="00193602">
            <w:pPr>
              <w:rPr>
                <w:rFonts w:eastAsia="Times New Roman" w:cs="Calibri"/>
                <w:color w:val="000000"/>
              </w:rPr>
            </w:pPr>
            <w:r w:rsidRPr="00193602">
              <w:rPr>
                <w:rFonts w:eastAsia="Times New Roman" w:cs="Calibri"/>
                <w:color w:val="000000"/>
              </w:rPr>
              <w:t>DR</w:t>
            </w:r>
          </w:p>
        </w:tc>
        <w:tc>
          <w:tcPr>
            <w:tcW w:w="8067" w:type="dxa"/>
            <w:noWrap/>
            <w:hideMark/>
          </w:tcPr>
          <w:p w14:paraId="341016D5" w14:textId="01E7944D" w:rsidR="00193602" w:rsidRPr="00193602" w:rsidRDefault="00620375" w:rsidP="00193602">
            <w:pPr>
              <w:rPr>
                <w:rFonts w:eastAsia="Times New Roman" w:cs="Calibri"/>
                <w:color w:val="000000"/>
              </w:rPr>
            </w:pPr>
            <w:proofErr w:type="spellStart"/>
            <w:r>
              <w:rPr>
                <w:rFonts w:eastAsia="Times New Roman" w:cs="Calibri"/>
                <w:color w:val="000000"/>
              </w:rPr>
              <w:t>D</w:t>
            </w:r>
            <w:r w:rsidR="00193602" w:rsidRPr="00193602">
              <w:rPr>
                <w:rFonts w:eastAsia="Times New Roman" w:cs="Calibri"/>
                <w:color w:val="000000"/>
              </w:rPr>
              <w:t>omaines</w:t>
            </w:r>
            <w:proofErr w:type="spellEnd"/>
            <w:r w:rsidR="00193602" w:rsidRPr="00193602">
              <w:rPr>
                <w:rFonts w:eastAsia="Times New Roman" w:cs="Calibri"/>
                <w:color w:val="000000"/>
              </w:rPr>
              <w:t xml:space="preserve"> de </w:t>
            </w:r>
            <w:proofErr w:type="spellStart"/>
            <w:r w:rsidR="00193602" w:rsidRPr="00193602">
              <w:rPr>
                <w:rFonts w:eastAsia="Times New Roman" w:cs="Calibri"/>
                <w:color w:val="000000"/>
              </w:rPr>
              <w:t>résultats</w:t>
            </w:r>
            <w:proofErr w:type="spellEnd"/>
          </w:p>
        </w:tc>
      </w:tr>
      <w:tr w:rsidR="00193602" w:rsidRPr="00193602" w14:paraId="3032E329" w14:textId="77777777" w:rsidTr="00193602">
        <w:tblPrEx>
          <w:jc w:val="left"/>
        </w:tblPrEx>
        <w:trPr>
          <w:trHeight w:val="300"/>
        </w:trPr>
        <w:tc>
          <w:tcPr>
            <w:tcW w:w="1344" w:type="dxa"/>
            <w:noWrap/>
            <w:hideMark/>
          </w:tcPr>
          <w:p w14:paraId="491A3CAA" w14:textId="77777777" w:rsidR="00193602" w:rsidRPr="00193602" w:rsidRDefault="00193602" w:rsidP="00193602">
            <w:pPr>
              <w:rPr>
                <w:rFonts w:eastAsia="Times New Roman" w:cs="Calibri"/>
                <w:color w:val="000000"/>
              </w:rPr>
            </w:pPr>
            <w:r w:rsidRPr="00193602">
              <w:rPr>
                <w:rFonts w:eastAsia="Times New Roman" w:cs="Calibri"/>
                <w:color w:val="000000"/>
              </w:rPr>
              <w:t>E&amp;S</w:t>
            </w:r>
          </w:p>
        </w:tc>
        <w:tc>
          <w:tcPr>
            <w:tcW w:w="8067" w:type="dxa"/>
            <w:noWrap/>
            <w:hideMark/>
          </w:tcPr>
          <w:p w14:paraId="0E961F13" w14:textId="77777777" w:rsidR="00193602" w:rsidRPr="00193602" w:rsidRDefault="00193602" w:rsidP="00193602">
            <w:pPr>
              <w:rPr>
                <w:rFonts w:eastAsia="Times New Roman" w:cs="Calibri"/>
                <w:color w:val="000000"/>
              </w:rPr>
            </w:pPr>
            <w:proofErr w:type="spellStart"/>
            <w:r w:rsidRPr="00193602">
              <w:rPr>
                <w:rFonts w:eastAsia="Times New Roman" w:cs="Calibri"/>
                <w:color w:val="000000"/>
              </w:rPr>
              <w:t>Environnemental</w:t>
            </w:r>
            <w:proofErr w:type="spellEnd"/>
            <w:r w:rsidRPr="00193602">
              <w:rPr>
                <w:rFonts w:eastAsia="Times New Roman" w:cs="Calibri"/>
                <w:color w:val="000000"/>
              </w:rPr>
              <w:t xml:space="preserve"> et social</w:t>
            </w:r>
          </w:p>
        </w:tc>
      </w:tr>
      <w:tr w:rsidR="00193602" w:rsidRPr="00193602" w14:paraId="58D4C606" w14:textId="77777777" w:rsidTr="00193602">
        <w:tblPrEx>
          <w:jc w:val="left"/>
        </w:tblPrEx>
        <w:trPr>
          <w:trHeight w:val="300"/>
        </w:trPr>
        <w:tc>
          <w:tcPr>
            <w:tcW w:w="1344" w:type="dxa"/>
            <w:noWrap/>
            <w:hideMark/>
          </w:tcPr>
          <w:p w14:paraId="2B416BC5" w14:textId="77777777" w:rsidR="00193602" w:rsidRPr="00193602" w:rsidRDefault="00193602" w:rsidP="00193602">
            <w:pPr>
              <w:rPr>
                <w:rFonts w:eastAsia="Times New Roman" w:cs="Calibri"/>
                <w:color w:val="000000"/>
              </w:rPr>
            </w:pPr>
            <w:r w:rsidRPr="00193602">
              <w:rPr>
                <w:rFonts w:eastAsia="Times New Roman" w:cs="Calibri"/>
                <w:color w:val="000000"/>
              </w:rPr>
              <w:t>EE</w:t>
            </w:r>
          </w:p>
        </w:tc>
        <w:tc>
          <w:tcPr>
            <w:tcW w:w="8067" w:type="dxa"/>
            <w:noWrap/>
            <w:hideMark/>
          </w:tcPr>
          <w:p w14:paraId="07D0302C" w14:textId="27258432" w:rsidR="00193602" w:rsidRPr="00193602" w:rsidRDefault="00BA70C5" w:rsidP="00193602">
            <w:pPr>
              <w:rPr>
                <w:rFonts w:eastAsia="Times New Roman" w:cs="Calibri"/>
                <w:color w:val="000000"/>
              </w:rPr>
            </w:pPr>
            <w:r w:rsidRPr="00193602">
              <w:rPr>
                <w:rFonts w:eastAsia="Times New Roman" w:cs="Calibri"/>
                <w:color w:val="000000"/>
              </w:rPr>
              <w:t>Evaluation</w:t>
            </w:r>
            <w:r w:rsidR="00193602" w:rsidRPr="00193602">
              <w:rPr>
                <w:rFonts w:eastAsia="Times New Roman" w:cs="Calibri"/>
                <w:color w:val="000000"/>
              </w:rPr>
              <w:t xml:space="preserve"> </w:t>
            </w:r>
            <w:proofErr w:type="spellStart"/>
            <w:r w:rsidR="00193602" w:rsidRPr="00193602">
              <w:rPr>
                <w:rFonts w:eastAsia="Times New Roman" w:cs="Calibri"/>
                <w:color w:val="000000"/>
              </w:rPr>
              <w:t>environnementale</w:t>
            </w:r>
            <w:proofErr w:type="spellEnd"/>
          </w:p>
        </w:tc>
      </w:tr>
      <w:tr w:rsidR="00193602" w:rsidRPr="00193602" w14:paraId="201341A6" w14:textId="77777777" w:rsidTr="00193602">
        <w:tblPrEx>
          <w:jc w:val="left"/>
        </w:tblPrEx>
        <w:trPr>
          <w:trHeight w:val="300"/>
        </w:trPr>
        <w:tc>
          <w:tcPr>
            <w:tcW w:w="1344" w:type="dxa"/>
            <w:noWrap/>
            <w:hideMark/>
          </w:tcPr>
          <w:p w14:paraId="75BDBD4D" w14:textId="77777777" w:rsidR="00193602" w:rsidRPr="00193602" w:rsidRDefault="00193602" w:rsidP="00193602">
            <w:pPr>
              <w:rPr>
                <w:rFonts w:eastAsia="Times New Roman" w:cs="Calibri"/>
                <w:color w:val="000000"/>
              </w:rPr>
            </w:pPr>
            <w:r w:rsidRPr="00193602">
              <w:rPr>
                <w:rFonts w:eastAsia="Times New Roman" w:cs="Calibri"/>
                <w:color w:val="000000"/>
              </w:rPr>
              <w:t>EIE</w:t>
            </w:r>
          </w:p>
        </w:tc>
        <w:tc>
          <w:tcPr>
            <w:tcW w:w="8067" w:type="dxa"/>
            <w:noWrap/>
            <w:hideMark/>
          </w:tcPr>
          <w:p w14:paraId="0B142D1C" w14:textId="331B26A1" w:rsidR="00193602" w:rsidRPr="00193602" w:rsidRDefault="00193602" w:rsidP="00193602">
            <w:pPr>
              <w:rPr>
                <w:rFonts w:eastAsia="Times New Roman" w:cs="Calibri"/>
                <w:color w:val="000000"/>
              </w:rPr>
            </w:pPr>
            <w:r w:rsidRPr="00193602">
              <w:rPr>
                <w:rFonts w:eastAsia="Times New Roman" w:cs="Calibri"/>
                <w:color w:val="000000"/>
              </w:rPr>
              <w:t xml:space="preserve">Etudes </w:t>
            </w:r>
            <w:proofErr w:type="spellStart"/>
            <w:r w:rsidRPr="00193602">
              <w:rPr>
                <w:rFonts w:eastAsia="Times New Roman" w:cs="Calibri"/>
                <w:color w:val="000000"/>
              </w:rPr>
              <w:t>d'impact</w:t>
            </w:r>
            <w:proofErr w:type="spellEnd"/>
            <w:r w:rsidRPr="00193602">
              <w:rPr>
                <w:rFonts w:eastAsia="Times New Roman" w:cs="Calibri"/>
                <w:color w:val="000000"/>
              </w:rPr>
              <w:t xml:space="preserve"> sur </w:t>
            </w:r>
            <w:proofErr w:type="spellStart"/>
            <w:r w:rsidRPr="00193602">
              <w:rPr>
                <w:rFonts w:eastAsia="Times New Roman" w:cs="Calibri"/>
                <w:color w:val="000000"/>
              </w:rPr>
              <w:t>l'Environnement</w:t>
            </w:r>
            <w:proofErr w:type="spellEnd"/>
          </w:p>
        </w:tc>
      </w:tr>
      <w:tr w:rsidR="00193602" w:rsidRPr="00193602" w14:paraId="6E3DACF3" w14:textId="77777777" w:rsidTr="00193602">
        <w:tblPrEx>
          <w:jc w:val="left"/>
        </w:tblPrEx>
        <w:trPr>
          <w:trHeight w:val="300"/>
        </w:trPr>
        <w:tc>
          <w:tcPr>
            <w:tcW w:w="1344" w:type="dxa"/>
            <w:noWrap/>
            <w:hideMark/>
          </w:tcPr>
          <w:p w14:paraId="1DCA32CE" w14:textId="77777777" w:rsidR="00193602" w:rsidRPr="00193602" w:rsidRDefault="00193602" w:rsidP="00193602">
            <w:pPr>
              <w:rPr>
                <w:rFonts w:eastAsia="Times New Roman" w:cs="Calibri"/>
                <w:color w:val="000000"/>
              </w:rPr>
            </w:pPr>
            <w:r w:rsidRPr="00193602">
              <w:rPr>
                <w:rFonts w:eastAsia="Times New Roman" w:cs="Calibri"/>
                <w:color w:val="000000"/>
              </w:rPr>
              <w:t>ESES</w:t>
            </w:r>
          </w:p>
        </w:tc>
        <w:tc>
          <w:tcPr>
            <w:tcW w:w="8067" w:type="dxa"/>
            <w:noWrap/>
            <w:hideMark/>
          </w:tcPr>
          <w:p w14:paraId="710BD6D5" w14:textId="6161DE00" w:rsidR="00193602" w:rsidRPr="00193602" w:rsidRDefault="00193602" w:rsidP="00193602">
            <w:pPr>
              <w:rPr>
                <w:rFonts w:eastAsia="Times New Roman" w:cs="Calibri"/>
                <w:color w:val="000000"/>
                <w:lang w:val="fr-FR"/>
              </w:rPr>
            </w:pPr>
            <w:r w:rsidRPr="00193602">
              <w:rPr>
                <w:rFonts w:eastAsia="Times New Roman" w:cs="Calibri"/>
                <w:color w:val="000000"/>
                <w:lang w:val="fr-FR"/>
              </w:rPr>
              <w:t>Evaluation des Systèmes Environnementaux et Sociaux</w:t>
            </w:r>
          </w:p>
        </w:tc>
      </w:tr>
      <w:tr w:rsidR="00193602" w:rsidRPr="00193602" w14:paraId="0019EC82" w14:textId="77777777" w:rsidTr="00193602">
        <w:tblPrEx>
          <w:jc w:val="left"/>
        </w:tblPrEx>
        <w:trPr>
          <w:trHeight w:val="300"/>
        </w:trPr>
        <w:tc>
          <w:tcPr>
            <w:tcW w:w="1344" w:type="dxa"/>
            <w:noWrap/>
            <w:hideMark/>
          </w:tcPr>
          <w:p w14:paraId="4F20E4FB" w14:textId="77777777" w:rsidR="00193602" w:rsidRPr="00193602" w:rsidRDefault="00193602" w:rsidP="00193602">
            <w:pPr>
              <w:rPr>
                <w:rFonts w:eastAsia="Times New Roman" w:cs="Calibri"/>
                <w:color w:val="000000"/>
              </w:rPr>
            </w:pPr>
            <w:r w:rsidRPr="00193602">
              <w:rPr>
                <w:rFonts w:eastAsia="Times New Roman" w:cs="Calibri"/>
                <w:color w:val="000000"/>
              </w:rPr>
              <w:t>IDEG</w:t>
            </w:r>
          </w:p>
        </w:tc>
        <w:tc>
          <w:tcPr>
            <w:tcW w:w="8067" w:type="dxa"/>
            <w:noWrap/>
            <w:hideMark/>
          </w:tcPr>
          <w:p w14:paraId="3BFD5104" w14:textId="028E95F2" w:rsidR="00193602" w:rsidRPr="00193602" w:rsidRDefault="00193602" w:rsidP="00193602">
            <w:pPr>
              <w:rPr>
                <w:rFonts w:eastAsia="Times New Roman" w:cs="Calibri"/>
                <w:color w:val="000000"/>
                <w:lang w:val="fr-FR"/>
              </w:rPr>
            </w:pPr>
            <w:r w:rsidRPr="00193602">
              <w:rPr>
                <w:rFonts w:eastAsia="Times New Roman" w:cs="Calibri"/>
                <w:color w:val="000000"/>
                <w:lang w:val="fr-FR"/>
              </w:rPr>
              <w:t>Indice de développement du E-</w:t>
            </w:r>
            <w:proofErr w:type="spellStart"/>
            <w:r w:rsidRPr="00193602">
              <w:rPr>
                <w:rFonts w:eastAsia="Times New Roman" w:cs="Calibri"/>
                <w:color w:val="000000"/>
                <w:lang w:val="fr-FR"/>
              </w:rPr>
              <w:t>Government</w:t>
            </w:r>
            <w:proofErr w:type="spellEnd"/>
          </w:p>
        </w:tc>
      </w:tr>
      <w:tr w:rsidR="00193602" w:rsidRPr="00193602" w14:paraId="095153E8" w14:textId="77777777" w:rsidTr="00193602">
        <w:tblPrEx>
          <w:jc w:val="left"/>
        </w:tblPrEx>
        <w:trPr>
          <w:trHeight w:val="300"/>
        </w:trPr>
        <w:tc>
          <w:tcPr>
            <w:tcW w:w="1344" w:type="dxa"/>
            <w:noWrap/>
            <w:hideMark/>
          </w:tcPr>
          <w:p w14:paraId="7D92F9D6" w14:textId="77777777" w:rsidR="00193602" w:rsidRPr="00193602" w:rsidRDefault="00193602" w:rsidP="00193602">
            <w:pPr>
              <w:rPr>
                <w:rFonts w:eastAsia="Times New Roman" w:cs="Calibri"/>
                <w:color w:val="000000"/>
              </w:rPr>
            </w:pPr>
            <w:r w:rsidRPr="00193602">
              <w:rPr>
                <w:rFonts w:eastAsia="Times New Roman" w:cs="Calibri"/>
                <w:color w:val="000000"/>
              </w:rPr>
              <w:t>ILDs</w:t>
            </w:r>
          </w:p>
        </w:tc>
        <w:tc>
          <w:tcPr>
            <w:tcW w:w="8067" w:type="dxa"/>
            <w:noWrap/>
            <w:hideMark/>
          </w:tcPr>
          <w:p w14:paraId="0A8772F2" w14:textId="089448F6" w:rsidR="00193602" w:rsidRPr="00193602" w:rsidRDefault="00193602" w:rsidP="00193602">
            <w:pPr>
              <w:rPr>
                <w:rFonts w:eastAsia="Times New Roman" w:cs="Calibri"/>
                <w:color w:val="000000"/>
              </w:rPr>
            </w:pPr>
            <w:proofErr w:type="spellStart"/>
            <w:r w:rsidRPr="00193602">
              <w:rPr>
                <w:rFonts w:eastAsia="Times New Roman" w:cs="Calibri"/>
                <w:color w:val="000000"/>
              </w:rPr>
              <w:t>Indicateurs</w:t>
            </w:r>
            <w:proofErr w:type="spellEnd"/>
            <w:r w:rsidRPr="00193602">
              <w:rPr>
                <w:rFonts w:eastAsia="Times New Roman" w:cs="Calibri"/>
                <w:color w:val="000000"/>
              </w:rPr>
              <w:t xml:space="preserve"> </w:t>
            </w:r>
            <w:proofErr w:type="spellStart"/>
            <w:r w:rsidRPr="00193602">
              <w:rPr>
                <w:rFonts w:eastAsia="Times New Roman" w:cs="Calibri"/>
                <w:color w:val="000000"/>
              </w:rPr>
              <w:t>Li</w:t>
            </w:r>
            <w:r w:rsidR="00D3252D">
              <w:rPr>
                <w:rFonts w:eastAsia="Times New Roman" w:cs="Calibri"/>
                <w:color w:val="000000"/>
              </w:rPr>
              <w:t>é</w:t>
            </w:r>
            <w:r w:rsidRPr="00193602">
              <w:rPr>
                <w:rFonts w:eastAsia="Times New Roman" w:cs="Calibri"/>
                <w:color w:val="000000"/>
              </w:rPr>
              <w:t>s</w:t>
            </w:r>
            <w:proofErr w:type="spellEnd"/>
            <w:r w:rsidRPr="00193602">
              <w:rPr>
                <w:rFonts w:eastAsia="Times New Roman" w:cs="Calibri"/>
                <w:color w:val="000000"/>
              </w:rPr>
              <w:t xml:space="preserve"> aux </w:t>
            </w:r>
            <w:proofErr w:type="spellStart"/>
            <w:r w:rsidRPr="00193602">
              <w:rPr>
                <w:rFonts w:eastAsia="Times New Roman" w:cs="Calibri"/>
                <w:color w:val="000000"/>
              </w:rPr>
              <w:t>d</w:t>
            </w:r>
            <w:r w:rsidR="00D3252D">
              <w:rPr>
                <w:rFonts w:eastAsia="Times New Roman" w:cs="Calibri"/>
                <w:color w:val="000000"/>
              </w:rPr>
              <w:t>é</w:t>
            </w:r>
            <w:r w:rsidRPr="00193602">
              <w:rPr>
                <w:rFonts w:eastAsia="Times New Roman" w:cs="Calibri"/>
                <w:color w:val="000000"/>
              </w:rPr>
              <w:t>caissements</w:t>
            </w:r>
            <w:proofErr w:type="spellEnd"/>
          </w:p>
        </w:tc>
      </w:tr>
      <w:tr w:rsidR="00193602" w:rsidRPr="00193602" w14:paraId="3C9DDE0E" w14:textId="77777777" w:rsidTr="00193602">
        <w:tblPrEx>
          <w:jc w:val="left"/>
        </w:tblPrEx>
        <w:trPr>
          <w:trHeight w:val="300"/>
        </w:trPr>
        <w:tc>
          <w:tcPr>
            <w:tcW w:w="1344" w:type="dxa"/>
            <w:noWrap/>
            <w:hideMark/>
          </w:tcPr>
          <w:p w14:paraId="100CA248" w14:textId="77777777" w:rsidR="00193602" w:rsidRPr="00193602" w:rsidRDefault="00193602" w:rsidP="00193602">
            <w:pPr>
              <w:rPr>
                <w:rFonts w:eastAsia="Times New Roman" w:cs="Calibri"/>
                <w:color w:val="000000"/>
              </w:rPr>
            </w:pPr>
            <w:r w:rsidRPr="00193602">
              <w:rPr>
                <w:rFonts w:eastAsia="Times New Roman" w:cs="Calibri"/>
                <w:color w:val="000000"/>
              </w:rPr>
              <w:t>INDH</w:t>
            </w:r>
          </w:p>
        </w:tc>
        <w:tc>
          <w:tcPr>
            <w:tcW w:w="8067" w:type="dxa"/>
            <w:noWrap/>
            <w:hideMark/>
          </w:tcPr>
          <w:p w14:paraId="4FBA6412" w14:textId="554A59C9" w:rsidR="00193602" w:rsidRPr="00193602" w:rsidRDefault="00193602" w:rsidP="00193602">
            <w:pPr>
              <w:rPr>
                <w:rFonts w:eastAsia="Times New Roman" w:cs="Calibri"/>
                <w:color w:val="000000"/>
                <w:lang w:val="fr-FR"/>
              </w:rPr>
            </w:pPr>
            <w:r w:rsidRPr="00193602">
              <w:rPr>
                <w:rFonts w:eastAsia="Times New Roman" w:cs="Calibri"/>
                <w:color w:val="000000"/>
                <w:lang w:val="fr-FR"/>
              </w:rPr>
              <w:t xml:space="preserve">Initiative Nationale pour le </w:t>
            </w:r>
            <w:r w:rsidR="008F3B21" w:rsidRPr="00193602">
              <w:rPr>
                <w:rFonts w:eastAsia="Times New Roman" w:cs="Calibri"/>
                <w:color w:val="000000"/>
                <w:lang w:val="fr-FR"/>
              </w:rPr>
              <w:t>Développement</w:t>
            </w:r>
            <w:r w:rsidRPr="00193602">
              <w:rPr>
                <w:rFonts w:eastAsia="Times New Roman" w:cs="Calibri"/>
                <w:color w:val="000000"/>
                <w:lang w:val="fr-FR"/>
              </w:rPr>
              <w:t xml:space="preserve"> Humain</w:t>
            </w:r>
          </w:p>
        </w:tc>
      </w:tr>
      <w:tr w:rsidR="00193602" w:rsidRPr="00193602" w14:paraId="7243AF35" w14:textId="77777777" w:rsidTr="00193602">
        <w:tblPrEx>
          <w:jc w:val="left"/>
        </w:tblPrEx>
        <w:trPr>
          <w:trHeight w:val="300"/>
        </w:trPr>
        <w:tc>
          <w:tcPr>
            <w:tcW w:w="1344" w:type="dxa"/>
            <w:noWrap/>
            <w:hideMark/>
          </w:tcPr>
          <w:p w14:paraId="0F5C9EEC" w14:textId="77777777" w:rsidR="00193602" w:rsidRPr="00193602" w:rsidRDefault="00193602" w:rsidP="00193602">
            <w:pPr>
              <w:rPr>
                <w:rFonts w:eastAsia="Times New Roman" w:cs="Calibri"/>
                <w:color w:val="000000"/>
              </w:rPr>
            </w:pPr>
            <w:r w:rsidRPr="00193602">
              <w:rPr>
                <w:rFonts w:eastAsia="Times New Roman" w:cs="Calibri"/>
                <w:color w:val="000000"/>
              </w:rPr>
              <w:t>LOF</w:t>
            </w:r>
          </w:p>
        </w:tc>
        <w:tc>
          <w:tcPr>
            <w:tcW w:w="8067" w:type="dxa"/>
            <w:noWrap/>
            <w:hideMark/>
          </w:tcPr>
          <w:p w14:paraId="6F49836C" w14:textId="20634C70" w:rsidR="00193602" w:rsidRPr="00193602" w:rsidRDefault="00193602" w:rsidP="00193602">
            <w:pPr>
              <w:rPr>
                <w:rFonts w:eastAsia="Times New Roman" w:cs="Calibri"/>
                <w:color w:val="000000"/>
              </w:rPr>
            </w:pPr>
            <w:proofErr w:type="spellStart"/>
            <w:r w:rsidRPr="00193602">
              <w:rPr>
                <w:rFonts w:eastAsia="Times New Roman" w:cs="Calibri"/>
                <w:color w:val="000000"/>
              </w:rPr>
              <w:t>Loi</w:t>
            </w:r>
            <w:proofErr w:type="spellEnd"/>
            <w:r w:rsidRPr="00193602">
              <w:rPr>
                <w:rFonts w:eastAsia="Times New Roman" w:cs="Calibri"/>
                <w:color w:val="000000"/>
              </w:rPr>
              <w:t xml:space="preserve"> </w:t>
            </w:r>
            <w:proofErr w:type="spellStart"/>
            <w:r w:rsidRPr="00193602">
              <w:rPr>
                <w:rFonts w:eastAsia="Times New Roman" w:cs="Calibri"/>
                <w:color w:val="000000"/>
              </w:rPr>
              <w:t>organique</w:t>
            </w:r>
            <w:proofErr w:type="spellEnd"/>
            <w:r w:rsidRPr="00193602">
              <w:rPr>
                <w:rFonts w:eastAsia="Times New Roman" w:cs="Calibri"/>
                <w:color w:val="000000"/>
              </w:rPr>
              <w:t xml:space="preserve"> des finances</w:t>
            </w:r>
          </w:p>
        </w:tc>
      </w:tr>
      <w:tr w:rsidR="00193602" w:rsidRPr="00193602" w14:paraId="42B7C6B1" w14:textId="77777777" w:rsidTr="00193602">
        <w:tblPrEx>
          <w:jc w:val="left"/>
        </w:tblPrEx>
        <w:trPr>
          <w:trHeight w:val="300"/>
        </w:trPr>
        <w:tc>
          <w:tcPr>
            <w:tcW w:w="1344" w:type="dxa"/>
            <w:noWrap/>
            <w:hideMark/>
          </w:tcPr>
          <w:p w14:paraId="29A57087" w14:textId="77777777" w:rsidR="00193602" w:rsidRPr="00193602" w:rsidRDefault="00193602" w:rsidP="00193602">
            <w:pPr>
              <w:rPr>
                <w:rFonts w:eastAsia="Times New Roman" w:cs="Calibri"/>
                <w:color w:val="000000"/>
              </w:rPr>
            </w:pPr>
            <w:r w:rsidRPr="00193602">
              <w:rPr>
                <w:rFonts w:eastAsia="Times New Roman" w:cs="Calibri"/>
                <w:color w:val="000000"/>
              </w:rPr>
              <w:t>MEFRA</w:t>
            </w:r>
          </w:p>
        </w:tc>
        <w:tc>
          <w:tcPr>
            <w:tcW w:w="8067" w:type="dxa"/>
            <w:noWrap/>
            <w:hideMark/>
          </w:tcPr>
          <w:p w14:paraId="4ADAB0A7" w14:textId="77777777" w:rsidR="00193602" w:rsidRPr="00193602" w:rsidRDefault="00193602" w:rsidP="00193602">
            <w:pPr>
              <w:rPr>
                <w:rFonts w:eastAsia="Times New Roman" w:cs="Calibri"/>
                <w:color w:val="000000"/>
                <w:lang w:val="fr-FR"/>
              </w:rPr>
            </w:pPr>
            <w:r w:rsidRPr="00193602">
              <w:rPr>
                <w:rFonts w:eastAsia="Times New Roman" w:cs="Calibri"/>
                <w:color w:val="000000"/>
                <w:lang w:val="fr-FR"/>
              </w:rPr>
              <w:t>Ministère de l'économie, des finances et de la réforme administrative</w:t>
            </w:r>
          </w:p>
        </w:tc>
      </w:tr>
      <w:tr w:rsidR="00193602" w:rsidRPr="00193602" w14:paraId="01C2D395" w14:textId="77777777" w:rsidTr="00193602">
        <w:tblPrEx>
          <w:jc w:val="left"/>
        </w:tblPrEx>
        <w:trPr>
          <w:trHeight w:val="300"/>
        </w:trPr>
        <w:tc>
          <w:tcPr>
            <w:tcW w:w="1344" w:type="dxa"/>
            <w:noWrap/>
            <w:hideMark/>
          </w:tcPr>
          <w:p w14:paraId="1F4E4DD8" w14:textId="77777777" w:rsidR="00193602" w:rsidRPr="00193602" w:rsidRDefault="00193602" w:rsidP="00193602">
            <w:pPr>
              <w:rPr>
                <w:rFonts w:eastAsia="Times New Roman" w:cs="Calibri"/>
                <w:color w:val="000000"/>
              </w:rPr>
            </w:pPr>
            <w:r w:rsidRPr="00193602">
              <w:rPr>
                <w:rFonts w:eastAsia="Times New Roman" w:cs="Calibri"/>
                <w:color w:val="000000"/>
              </w:rPr>
              <w:t>MI</w:t>
            </w:r>
          </w:p>
        </w:tc>
        <w:tc>
          <w:tcPr>
            <w:tcW w:w="8067" w:type="dxa"/>
            <w:noWrap/>
            <w:hideMark/>
          </w:tcPr>
          <w:p w14:paraId="1A0D0D45" w14:textId="77777777" w:rsidR="00193602" w:rsidRPr="00193602" w:rsidRDefault="00193602" w:rsidP="00193602">
            <w:pPr>
              <w:rPr>
                <w:rFonts w:eastAsia="Times New Roman" w:cs="Calibri"/>
                <w:color w:val="000000"/>
              </w:rPr>
            </w:pPr>
            <w:proofErr w:type="spellStart"/>
            <w:r w:rsidRPr="00193602">
              <w:rPr>
                <w:rFonts w:eastAsia="Times New Roman" w:cs="Calibri"/>
                <w:color w:val="000000"/>
              </w:rPr>
              <w:t>Ministère</w:t>
            </w:r>
            <w:proofErr w:type="spellEnd"/>
            <w:r w:rsidRPr="00193602">
              <w:rPr>
                <w:rFonts w:eastAsia="Times New Roman" w:cs="Calibri"/>
                <w:color w:val="000000"/>
              </w:rPr>
              <w:t xml:space="preserve"> de </w:t>
            </w:r>
            <w:proofErr w:type="spellStart"/>
            <w:r w:rsidRPr="00193602">
              <w:rPr>
                <w:rFonts w:eastAsia="Times New Roman" w:cs="Calibri"/>
                <w:color w:val="000000"/>
              </w:rPr>
              <w:t>l'intérieur</w:t>
            </w:r>
            <w:proofErr w:type="spellEnd"/>
            <w:r w:rsidRPr="00193602">
              <w:rPr>
                <w:rFonts w:eastAsia="Times New Roman" w:cs="Calibri"/>
                <w:color w:val="000000"/>
              </w:rPr>
              <w:t xml:space="preserve"> </w:t>
            </w:r>
          </w:p>
        </w:tc>
      </w:tr>
      <w:tr w:rsidR="00193602" w:rsidRPr="00193602" w14:paraId="791BC7B5" w14:textId="77777777" w:rsidTr="00193602">
        <w:tblPrEx>
          <w:jc w:val="left"/>
        </w:tblPrEx>
        <w:trPr>
          <w:trHeight w:val="300"/>
        </w:trPr>
        <w:tc>
          <w:tcPr>
            <w:tcW w:w="1344" w:type="dxa"/>
            <w:noWrap/>
            <w:hideMark/>
          </w:tcPr>
          <w:p w14:paraId="2A3BA17E" w14:textId="77777777" w:rsidR="00193602" w:rsidRPr="00193602" w:rsidRDefault="00193602" w:rsidP="00193602">
            <w:pPr>
              <w:rPr>
                <w:rFonts w:eastAsia="Times New Roman" w:cs="Calibri"/>
                <w:color w:val="000000"/>
              </w:rPr>
            </w:pPr>
            <w:r w:rsidRPr="00193602">
              <w:rPr>
                <w:rFonts w:eastAsia="Times New Roman" w:cs="Calibri"/>
                <w:color w:val="000000"/>
              </w:rPr>
              <w:t>MICEVN</w:t>
            </w:r>
          </w:p>
        </w:tc>
        <w:tc>
          <w:tcPr>
            <w:tcW w:w="8067" w:type="dxa"/>
            <w:noWrap/>
            <w:hideMark/>
          </w:tcPr>
          <w:p w14:paraId="4CAF389D" w14:textId="77777777" w:rsidR="00193602" w:rsidRPr="00193602" w:rsidRDefault="00193602" w:rsidP="00193602">
            <w:pPr>
              <w:rPr>
                <w:rFonts w:eastAsia="Times New Roman" w:cs="Calibri"/>
                <w:color w:val="000000"/>
                <w:lang w:val="fr-FR"/>
              </w:rPr>
            </w:pPr>
            <w:r w:rsidRPr="00193602">
              <w:rPr>
                <w:rFonts w:eastAsia="Times New Roman" w:cs="Calibri"/>
                <w:color w:val="000000"/>
                <w:lang w:val="fr-FR"/>
              </w:rPr>
              <w:t>Ministère de l'Industrie, du Commerce, de l'Economie verte et Numérique</w:t>
            </w:r>
          </w:p>
        </w:tc>
      </w:tr>
      <w:tr w:rsidR="00193602" w:rsidRPr="00193602" w14:paraId="49CCE01F" w14:textId="77777777" w:rsidTr="00193602">
        <w:tblPrEx>
          <w:jc w:val="left"/>
        </w:tblPrEx>
        <w:trPr>
          <w:trHeight w:val="300"/>
        </w:trPr>
        <w:tc>
          <w:tcPr>
            <w:tcW w:w="1344" w:type="dxa"/>
            <w:noWrap/>
            <w:hideMark/>
          </w:tcPr>
          <w:p w14:paraId="39C96171" w14:textId="77777777" w:rsidR="00193602" w:rsidRPr="00193602" w:rsidRDefault="00193602" w:rsidP="00193602">
            <w:pPr>
              <w:rPr>
                <w:rFonts w:eastAsia="Times New Roman" w:cs="Calibri"/>
                <w:color w:val="000000"/>
              </w:rPr>
            </w:pPr>
            <w:r w:rsidRPr="00193602">
              <w:rPr>
                <w:rFonts w:eastAsia="Times New Roman" w:cs="Calibri"/>
                <w:color w:val="000000"/>
              </w:rPr>
              <w:t>NOG</w:t>
            </w:r>
          </w:p>
        </w:tc>
        <w:tc>
          <w:tcPr>
            <w:tcW w:w="8067" w:type="dxa"/>
            <w:noWrap/>
            <w:hideMark/>
          </w:tcPr>
          <w:p w14:paraId="7DABFB19" w14:textId="1C78250E" w:rsidR="00193602" w:rsidRPr="00193602" w:rsidRDefault="00193602" w:rsidP="00193602">
            <w:pPr>
              <w:rPr>
                <w:rFonts w:eastAsia="Times New Roman" w:cs="Calibri"/>
                <w:color w:val="000000"/>
              </w:rPr>
            </w:pPr>
            <w:r w:rsidRPr="00193602">
              <w:rPr>
                <w:rFonts w:eastAsia="Times New Roman" w:cs="Calibri"/>
                <w:color w:val="000000"/>
              </w:rPr>
              <w:t xml:space="preserve">Note </w:t>
            </w:r>
            <w:proofErr w:type="spellStart"/>
            <w:r w:rsidRPr="00193602">
              <w:rPr>
                <w:rFonts w:eastAsia="Times New Roman" w:cs="Calibri"/>
                <w:color w:val="000000"/>
              </w:rPr>
              <w:t>d'orientation</w:t>
            </w:r>
            <w:proofErr w:type="spellEnd"/>
            <w:r w:rsidRPr="00193602">
              <w:rPr>
                <w:rFonts w:eastAsia="Times New Roman" w:cs="Calibri"/>
                <w:color w:val="000000"/>
              </w:rPr>
              <w:t xml:space="preserve"> </w:t>
            </w:r>
            <w:proofErr w:type="spellStart"/>
            <w:r w:rsidRPr="00193602">
              <w:rPr>
                <w:rFonts w:eastAsia="Times New Roman" w:cs="Calibri"/>
                <w:color w:val="000000"/>
              </w:rPr>
              <w:t>générale</w:t>
            </w:r>
            <w:proofErr w:type="spellEnd"/>
          </w:p>
        </w:tc>
      </w:tr>
      <w:tr w:rsidR="00193602" w:rsidRPr="00193602" w14:paraId="20B7887D" w14:textId="77777777" w:rsidTr="00193602">
        <w:tblPrEx>
          <w:jc w:val="left"/>
        </w:tblPrEx>
        <w:trPr>
          <w:trHeight w:val="300"/>
        </w:trPr>
        <w:tc>
          <w:tcPr>
            <w:tcW w:w="1344" w:type="dxa"/>
            <w:noWrap/>
            <w:hideMark/>
          </w:tcPr>
          <w:p w14:paraId="53BEF0C8" w14:textId="77777777" w:rsidR="00193602" w:rsidRPr="00193602" w:rsidRDefault="00193602" w:rsidP="00193602">
            <w:pPr>
              <w:rPr>
                <w:rFonts w:eastAsia="Times New Roman" w:cs="Calibri"/>
                <w:color w:val="000000"/>
              </w:rPr>
            </w:pPr>
            <w:r w:rsidRPr="00193602">
              <w:rPr>
                <w:rFonts w:eastAsia="Times New Roman" w:cs="Calibri"/>
                <w:color w:val="000000"/>
              </w:rPr>
              <w:t>PDCP</w:t>
            </w:r>
          </w:p>
        </w:tc>
        <w:tc>
          <w:tcPr>
            <w:tcW w:w="8067" w:type="dxa"/>
            <w:noWrap/>
            <w:hideMark/>
          </w:tcPr>
          <w:p w14:paraId="5F281B98" w14:textId="48323EAF" w:rsidR="00193602" w:rsidRPr="00193602" w:rsidRDefault="00193602" w:rsidP="00193602">
            <w:pPr>
              <w:rPr>
                <w:rFonts w:eastAsia="Times New Roman" w:cs="Calibri"/>
                <w:color w:val="000000"/>
                <w:lang w:val="fr-FR"/>
              </w:rPr>
            </w:pPr>
            <w:r w:rsidRPr="00193602">
              <w:rPr>
                <w:rFonts w:eastAsia="Times New Roman" w:cs="Calibri"/>
                <w:color w:val="000000"/>
                <w:lang w:val="fr-FR"/>
              </w:rPr>
              <w:t>Plan national de dématérialisation de la commande publique</w:t>
            </w:r>
          </w:p>
        </w:tc>
      </w:tr>
      <w:tr w:rsidR="00193602" w:rsidRPr="00193602" w14:paraId="0CD94600" w14:textId="77777777" w:rsidTr="00193602">
        <w:tblPrEx>
          <w:jc w:val="left"/>
        </w:tblPrEx>
        <w:trPr>
          <w:trHeight w:val="300"/>
        </w:trPr>
        <w:tc>
          <w:tcPr>
            <w:tcW w:w="1344" w:type="dxa"/>
            <w:noWrap/>
            <w:hideMark/>
          </w:tcPr>
          <w:p w14:paraId="3BFBD6F6" w14:textId="77777777" w:rsidR="00193602" w:rsidRPr="00193602" w:rsidRDefault="00193602" w:rsidP="00193602">
            <w:pPr>
              <w:rPr>
                <w:rFonts w:eastAsia="Times New Roman" w:cs="Calibri"/>
                <w:color w:val="000000"/>
              </w:rPr>
            </w:pPr>
            <w:proofErr w:type="spellStart"/>
            <w:r w:rsidRPr="00193602">
              <w:rPr>
                <w:rFonts w:eastAsia="Times New Roman" w:cs="Calibri"/>
                <w:color w:val="000000"/>
              </w:rPr>
              <w:t>PdP</w:t>
            </w:r>
            <w:proofErr w:type="spellEnd"/>
          </w:p>
        </w:tc>
        <w:tc>
          <w:tcPr>
            <w:tcW w:w="8067" w:type="dxa"/>
            <w:noWrap/>
            <w:hideMark/>
          </w:tcPr>
          <w:p w14:paraId="47727402" w14:textId="4A9BAD0B" w:rsidR="00193602" w:rsidRPr="00193602" w:rsidRDefault="00193602" w:rsidP="00193602">
            <w:pPr>
              <w:rPr>
                <w:rFonts w:eastAsia="Times New Roman" w:cs="Calibri"/>
                <w:color w:val="000000"/>
              </w:rPr>
            </w:pPr>
            <w:proofErr w:type="spellStart"/>
            <w:r w:rsidRPr="00193602">
              <w:rPr>
                <w:rFonts w:eastAsia="Times New Roman" w:cs="Calibri"/>
                <w:color w:val="000000"/>
              </w:rPr>
              <w:t>Projets</w:t>
            </w:r>
            <w:proofErr w:type="spellEnd"/>
            <w:r w:rsidRPr="00193602">
              <w:rPr>
                <w:rFonts w:eastAsia="Times New Roman" w:cs="Calibri"/>
                <w:color w:val="000000"/>
              </w:rPr>
              <w:t xml:space="preserve"> de Performance</w:t>
            </w:r>
          </w:p>
        </w:tc>
      </w:tr>
      <w:tr w:rsidR="00193602" w:rsidRPr="00193602" w14:paraId="5100DC10" w14:textId="77777777" w:rsidTr="00193602">
        <w:tblPrEx>
          <w:jc w:val="left"/>
        </w:tblPrEx>
        <w:trPr>
          <w:trHeight w:val="300"/>
        </w:trPr>
        <w:tc>
          <w:tcPr>
            <w:tcW w:w="1344" w:type="dxa"/>
            <w:noWrap/>
            <w:hideMark/>
          </w:tcPr>
          <w:p w14:paraId="065F163E" w14:textId="77777777" w:rsidR="00193602" w:rsidRPr="00193602" w:rsidRDefault="00193602" w:rsidP="00193602">
            <w:pPr>
              <w:rPr>
                <w:rFonts w:eastAsia="Times New Roman" w:cs="Calibri"/>
                <w:color w:val="000000"/>
              </w:rPr>
            </w:pPr>
            <w:r w:rsidRPr="00193602">
              <w:rPr>
                <w:rFonts w:eastAsia="Times New Roman" w:cs="Calibri"/>
                <w:color w:val="000000"/>
              </w:rPr>
              <w:t xml:space="preserve">PME </w:t>
            </w:r>
          </w:p>
        </w:tc>
        <w:tc>
          <w:tcPr>
            <w:tcW w:w="8067" w:type="dxa"/>
            <w:noWrap/>
            <w:hideMark/>
          </w:tcPr>
          <w:p w14:paraId="08E4EA65" w14:textId="77777777" w:rsidR="00193602" w:rsidRPr="00193602" w:rsidRDefault="00193602" w:rsidP="00193602">
            <w:pPr>
              <w:rPr>
                <w:rFonts w:eastAsia="Times New Roman" w:cs="Calibri"/>
                <w:color w:val="000000"/>
              </w:rPr>
            </w:pPr>
            <w:r w:rsidRPr="00193602">
              <w:rPr>
                <w:rFonts w:eastAsia="Times New Roman" w:cs="Calibri"/>
                <w:color w:val="000000"/>
              </w:rPr>
              <w:t xml:space="preserve">Petite et Moyenne </w:t>
            </w:r>
            <w:proofErr w:type="spellStart"/>
            <w:r w:rsidRPr="00193602">
              <w:rPr>
                <w:rFonts w:eastAsia="Times New Roman" w:cs="Calibri"/>
                <w:color w:val="000000"/>
              </w:rPr>
              <w:t>Entreprise</w:t>
            </w:r>
            <w:proofErr w:type="spellEnd"/>
          </w:p>
        </w:tc>
      </w:tr>
      <w:tr w:rsidR="00193602" w:rsidRPr="00193602" w14:paraId="6F0456FB" w14:textId="77777777" w:rsidTr="00193602">
        <w:tblPrEx>
          <w:jc w:val="left"/>
        </w:tblPrEx>
        <w:trPr>
          <w:trHeight w:val="300"/>
        </w:trPr>
        <w:tc>
          <w:tcPr>
            <w:tcW w:w="1344" w:type="dxa"/>
            <w:noWrap/>
            <w:hideMark/>
          </w:tcPr>
          <w:p w14:paraId="29073492" w14:textId="77777777" w:rsidR="00193602" w:rsidRPr="00193602" w:rsidRDefault="00193602" w:rsidP="00193602">
            <w:pPr>
              <w:rPr>
                <w:rFonts w:eastAsia="Times New Roman" w:cs="Calibri"/>
                <w:color w:val="000000"/>
              </w:rPr>
            </w:pPr>
            <w:r w:rsidRPr="00193602">
              <w:rPr>
                <w:rFonts w:eastAsia="Times New Roman" w:cs="Calibri"/>
                <w:color w:val="000000"/>
              </w:rPr>
              <w:t>PMN</w:t>
            </w:r>
          </w:p>
        </w:tc>
        <w:tc>
          <w:tcPr>
            <w:tcW w:w="8067" w:type="dxa"/>
            <w:noWrap/>
            <w:hideMark/>
          </w:tcPr>
          <w:p w14:paraId="147887F4" w14:textId="473462FE" w:rsidR="00193602" w:rsidRPr="00193602" w:rsidRDefault="00193602" w:rsidP="00193602">
            <w:pPr>
              <w:rPr>
                <w:rFonts w:eastAsia="Times New Roman" w:cs="Calibri"/>
                <w:color w:val="000000"/>
              </w:rPr>
            </w:pPr>
            <w:r w:rsidRPr="00193602">
              <w:rPr>
                <w:rFonts w:eastAsia="Times New Roman" w:cs="Calibri"/>
                <w:color w:val="000000"/>
              </w:rPr>
              <w:t>Plan Maroc Numérique 2020</w:t>
            </w:r>
          </w:p>
        </w:tc>
      </w:tr>
      <w:tr w:rsidR="00193602" w:rsidRPr="00193602" w14:paraId="571BFC59" w14:textId="77777777" w:rsidTr="00193602">
        <w:tblPrEx>
          <w:jc w:val="left"/>
        </w:tblPrEx>
        <w:trPr>
          <w:trHeight w:val="300"/>
        </w:trPr>
        <w:tc>
          <w:tcPr>
            <w:tcW w:w="1344" w:type="dxa"/>
            <w:noWrap/>
            <w:hideMark/>
          </w:tcPr>
          <w:p w14:paraId="1489D5FE" w14:textId="77777777" w:rsidR="00193602" w:rsidRPr="00193602" w:rsidRDefault="00193602" w:rsidP="00193602">
            <w:pPr>
              <w:rPr>
                <w:rFonts w:eastAsia="Times New Roman" w:cs="Calibri"/>
                <w:color w:val="000000"/>
              </w:rPr>
            </w:pPr>
            <w:r w:rsidRPr="00193602">
              <w:rPr>
                <w:rFonts w:eastAsia="Times New Roman" w:cs="Calibri"/>
                <w:color w:val="000000"/>
              </w:rPr>
              <w:t>PNDCP</w:t>
            </w:r>
          </w:p>
        </w:tc>
        <w:tc>
          <w:tcPr>
            <w:tcW w:w="8067" w:type="dxa"/>
            <w:noWrap/>
            <w:hideMark/>
          </w:tcPr>
          <w:p w14:paraId="06E34007" w14:textId="3FC67DAB" w:rsidR="00193602" w:rsidRPr="00193602" w:rsidRDefault="00193602" w:rsidP="00193602">
            <w:pPr>
              <w:rPr>
                <w:rFonts w:eastAsia="Times New Roman" w:cs="Calibri"/>
                <w:color w:val="000000"/>
                <w:lang w:val="fr-FR"/>
              </w:rPr>
            </w:pPr>
            <w:r w:rsidRPr="00193602">
              <w:rPr>
                <w:rFonts w:eastAsia="Times New Roman" w:cs="Calibri"/>
                <w:color w:val="000000"/>
                <w:lang w:val="fr-FR"/>
              </w:rPr>
              <w:t>Plan national de dématérialisation de la commande publique</w:t>
            </w:r>
          </w:p>
        </w:tc>
      </w:tr>
      <w:tr w:rsidR="00193602" w:rsidRPr="00193602" w14:paraId="0840C9C4" w14:textId="77777777" w:rsidTr="00193602">
        <w:tblPrEx>
          <w:jc w:val="left"/>
        </w:tblPrEx>
        <w:trPr>
          <w:trHeight w:val="300"/>
        </w:trPr>
        <w:tc>
          <w:tcPr>
            <w:tcW w:w="1344" w:type="dxa"/>
            <w:noWrap/>
            <w:hideMark/>
          </w:tcPr>
          <w:p w14:paraId="67ACB7D3" w14:textId="77777777" w:rsidR="00193602" w:rsidRPr="00193602" w:rsidRDefault="00193602" w:rsidP="00193602">
            <w:pPr>
              <w:rPr>
                <w:rFonts w:eastAsia="Times New Roman" w:cs="Calibri"/>
                <w:color w:val="000000"/>
              </w:rPr>
            </w:pPr>
            <w:r w:rsidRPr="00193602">
              <w:rPr>
                <w:rFonts w:eastAsia="Times New Roman" w:cs="Calibri"/>
                <w:color w:val="000000"/>
              </w:rPr>
              <w:t>PNRA</w:t>
            </w:r>
          </w:p>
        </w:tc>
        <w:tc>
          <w:tcPr>
            <w:tcW w:w="8067" w:type="dxa"/>
            <w:noWrap/>
            <w:hideMark/>
          </w:tcPr>
          <w:p w14:paraId="6814FD28" w14:textId="3CCFE954" w:rsidR="00193602" w:rsidRPr="00193602" w:rsidRDefault="00193602" w:rsidP="00193602">
            <w:pPr>
              <w:rPr>
                <w:rFonts w:eastAsia="Times New Roman" w:cs="Calibri"/>
                <w:color w:val="000000"/>
                <w:lang w:val="fr-FR"/>
              </w:rPr>
            </w:pPr>
            <w:r w:rsidRPr="00193602">
              <w:rPr>
                <w:rFonts w:eastAsia="Times New Roman" w:cs="Calibri"/>
                <w:color w:val="000000"/>
                <w:lang w:val="fr-FR"/>
              </w:rPr>
              <w:t>Plan national de réforme administrative</w:t>
            </w:r>
          </w:p>
        </w:tc>
      </w:tr>
      <w:tr w:rsidR="00193602" w:rsidRPr="00193602" w14:paraId="5D33512A" w14:textId="77777777" w:rsidTr="00193602">
        <w:tblPrEx>
          <w:jc w:val="left"/>
        </w:tblPrEx>
        <w:trPr>
          <w:trHeight w:val="300"/>
        </w:trPr>
        <w:tc>
          <w:tcPr>
            <w:tcW w:w="1344" w:type="dxa"/>
            <w:noWrap/>
            <w:hideMark/>
          </w:tcPr>
          <w:p w14:paraId="38891CB3" w14:textId="77777777" w:rsidR="00193602" w:rsidRPr="00193602" w:rsidRDefault="00193602" w:rsidP="00193602">
            <w:pPr>
              <w:rPr>
                <w:rFonts w:eastAsia="Times New Roman" w:cs="Calibri"/>
                <w:color w:val="000000"/>
              </w:rPr>
            </w:pPr>
            <w:r w:rsidRPr="00193602">
              <w:rPr>
                <w:rFonts w:eastAsia="Times New Roman" w:cs="Calibri"/>
                <w:color w:val="000000"/>
              </w:rPr>
              <w:t>PO</w:t>
            </w:r>
          </w:p>
        </w:tc>
        <w:tc>
          <w:tcPr>
            <w:tcW w:w="8067" w:type="dxa"/>
            <w:noWrap/>
            <w:hideMark/>
          </w:tcPr>
          <w:p w14:paraId="7F1ED737" w14:textId="0F371E0D" w:rsidR="00193602" w:rsidRPr="00193602" w:rsidRDefault="00193602" w:rsidP="00193602">
            <w:pPr>
              <w:rPr>
                <w:rFonts w:eastAsia="Times New Roman" w:cs="Calibri"/>
                <w:color w:val="000000"/>
              </w:rPr>
            </w:pPr>
            <w:r w:rsidRPr="00193602">
              <w:rPr>
                <w:rFonts w:eastAsia="Times New Roman" w:cs="Calibri"/>
                <w:color w:val="000000"/>
              </w:rPr>
              <w:t xml:space="preserve">Politique </w:t>
            </w:r>
            <w:proofErr w:type="spellStart"/>
            <w:r w:rsidRPr="00193602">
              <w:rPr>
                <w:rFonts w:eastAsia="Times New Roman" w:cs="Calibri"/>
                <w:color w:val="000000"/>
              </w:rPr>
              <w:t>opérationnelle</w:t>
            </w:r>
            <w:proofErr w:type="spellEnd"/>
          </w:p>
        </w:tc>
      </w:tr>
      <w:tr w:rsidR="00193602" w:rsidRPr="00193602" w14:paraId="1AB22BD3" w14:textId="77777777" w:rsidTr="00193602">
        <w:tblPrEx>
          <w:jc w:val="left"/>
        </w:tblPrEx>
        <w:trPr>
          <w:trHeight w:val="300"/>
        </w:trPr>
        <w:tc>
          <w:tcPr>
            <w:tcW w:w="1344" w:type="dxa"/>
            <w:noWrap/>
            <w:hideMark/>
          </w:tcPr>
          <w:p w14:paraId="14BD9F96" w14:textId="77777777" w:rsidR="00193602" w:rsidRPr="00193602" w:rsidRDefault="00193602" w:rsidP="00193602">
            <w:pPr>
              <w:rPr>
                <w:rFonts w:eastAsia="Times New Roman" w:cs="Calibri"/>
                <w:color w:val="000000"/>
              </w:rPr>
            </w:pPr>
            <w:r w:rsidRPr="00193602">
              <w:rPr>
                <w:rFonts w:eastAsia="Times New Roman" w:cs="Calibri"/>
                <w:color w:val="000000"/>
              </w:rPr>
              <w:t>PPR</w:t>
            </w:r>
          </w:p>
        </w:tc>
        <w:tc>
          <w:tcPr>
            <w:tcW w:w="8067" w:type="dxa"/>
            <w:noWrap/>
            <w:hideMark/>
          </w:tcPr>
          <w:p w14:paraId="49A0037A" w14:textId="508886BA" w:rsidR="00193602" w:rsidRPr="00193602" w:rsidRDefault="00193602" w:rsidP="00193602">
            <w:pPr>
              <w:rPr>
                <w:rFonts w:eastAsia="Times New Roman" w:cs="Calibri"/>
                <w:color w:val="000000"/>
                <w:lang w:val="fr-FR"/>
              </w:rPr>
            </w:pPr>
            <w:r w:rsidRPr="00193602">
              <w:rPr>
                <w:rFonts w:eastAsia="Times New Roman" w:cs="Calibri"/>
                <w:color w:val="000000"/>
                <w:lang w:val="fr-FR"/>
              </w:rPr>
              <w:t>Prêt-Programme axé sur les Résultats</w:t>
            </w:r>
          </w:p>
        </w:tc>
      </w:tr>
      <w:tr w:rsidR="00193602" w:rsidRPr="00193602" w14:paraId="560B9D4F" w14:textId="77777777" w:rsidTr="00193602">
        <w:tblPrEx>
          <w:jc w:val="left"/>
        </w:tblPrEx>
        <w:trPr>
          <w:trHeight w:val="300"/>
        </w:trPr>
        <w:tc>
          <w:tcPr>
            <w:tcW w:w="1344" w:type="dxa"/>
            <w:noWrap/>
            <w:hideMark/>
          </w:tcPr>
          <w:p w14:paraId="40480296" w14:textId="77777777" w:rsidR="00193602" w:rsidRPr="00193602" w:rsidRDefault="00193602" w:rsidP="00193602">
            <w:pPr>
              <w:rPr>
                <w:rFonts w:eastAsia="Times New Roman" w:cs="Calibri"/>
                <w:color w:val="000000"/>
              </w:rPr>
            </w:pPr>
            <w:r w:rsidRPr="00193602">
              <w:rPr>
                <w:rFonts w:eastAsia="Times New Roman" w:cs="Calibri"/>
                <w:color w:val="000000"/>
              </w:rPr>
              <w:t>PSSE</w:t>
            </w:r>
          </w:p>
        </w:tc>
        <w:tc>
          <w:tcPr>
            <w:tcW w:w="8067" w:type="dxa"/>
            <w:noWrap/>
            <w:hideMark/>
          </w:tcPr>
          <w:p w14:paraId="25981287" w14:textId="77777777" w:rsidR="00193602" w:rsidRPr="00193602" w:rsidRDefault="00193602" w:rsidP="00193602">
            <w:pPr>
              <w:rPr>
                <w:rFonts w:eastAsia="Times New Roman" w:cs="Calibri"/>
                <w:color w:val="000000"/>
                <w:lang w:val="fr-FR"/>
              </w:rPr>
            </w:pPr>
            <w:r w:rsidRPr="00193602">
              <w:rPr>
                <w:rFonts w:eastAsia="Times New Roman" w:cs="Calibri"/>
                <w:color w:val="000000"/>
                <w:lang w:val="fr-FR"/>
              </w:rPr>
              <w:t>Plan de Suivi et de Surveillance Environnementale</w:t>
            </w:r>
          </w:p>
        </w:tc>
      </w:tr>
      <w:tr w:rsidR="00193602" w:rsidRPr="00193602" w14:paraId="5F8B51C1" w14:textId="77777777" w:rsidTr="00193602">
        <w:tblPrEx>
          <w:jc w:val="left"/>
        </w:tblPrEx>
        <w:trPr>
          <w:trHeight w:val="300"/>
        </w:trPr>
        <w:tc>
          <w:tcPr>
            <w:tcW w:w="1344" w:type="dxa"/>
            <w:noWrap/>
            <w:hideMark/>
          </w:tcPr>
          <w:p w14:paraId="169EB87E" w14:textId="77777777" w:rsidR="00193602" w:rsidRPr="00193602" w:rsidRDefault="00193602" w:rsidP="00193602">
            <w:pPr>
              <w:rPr>
                <w:rFonts w:eastAsia="Times New Roman" w:cs="Calibri"/>
                <w:color w:val="000000"/>
              </w:rPr>
            </w:pPr>
            <w:r w:rsidRPr="00193602">
              <w:rPr>
                <w:rFonts w:eastAsia="Times New Roman" w:cs="Calibri"/>
                <w:color w:val="000000"/>
              </w:rPr>
              <w:t>S&amp;E</w:t>
            </w:r>
          </w:p>
        </w:tc>
        <w:tc>
          <w:tcPr>
            <w:tcW w:w="8067" w:type="dxa"/>
            <w:noWrap/>
            <w:hideMark/>
          </w:tcPr>
          <w:p w14:paraId="6218769D" w14:textId="20A57BA4" w:rsidR="00193602" w:rsidRPr="00193602" w:rsidRDefault="00193602" w:rsidP="00193602">
            <w:pPr>
              <w:rPr>
                <w:rFonts w:eastAsia="Times New Roman" w:cs="Calibri"/>
                <w:color w:val="000000"/>
              </w:rPr>
            </w:pPr>
            <w:proofErr w:type="spellStart"/>
            <w:r w:rsidRPr="00193602">
              <w:rPr>
                <w:rFonts w:eastAsia="Times New Roman" w:cs="Calibri"/>
                <w:color w:val="000000"/>
              </w:rPr>
              <w:t>Suivi</w:t>
            </w:r>
            <w:proofErr w:type="spellEnd"/>
            <w:r w:rsidRPr="00193602">
              <w:rPr>
                <w:rFonts w:eastAsia="Times New Roman" w:cs="Calibri"/>
                <w:color w:val="000000"/>
              </w:rPr>
              <w:t xml:space="preserve"> et Evaluation</w:t>
            </w:r>
          </w:p>
        </w:tc>
      </w:tr>
      <w:tr w:rsidR="00193602" w:rsidRPr="00193602" w14:paraId="0EC36927" w14:textId="77777777" w:rsidTr="00193602">
        <w:tblPrEx>
          <w:jc w:val="left"/>
        </w:tblPrEx>
        <w:trPr>
          <w:trHeight w:val="300"/>
        </w:trPr>
        <w:tc>
          <w:tcPr>
            <w:tcW w:w="1344" w:type="dxa"/>
            <w:noWrap/>
            <w:hideMark/>
          </w:tcPr>
          <w:p w14:paraId="7ECC4874" w14:textId="77777777" w:rsidR="00193602" w:rsidRPr="00193602" w:rsidRDefault="00193602" w:rsidP="00193602">
            <w:pPr>
              <w:rPr>
                <w:rFonts w:eastAsia="Times New Roman" w:cs="Calibri"/>
                <w:color w:val="000000"/>
              </w:rPr>
            </w:pPr>
            <w:r w:rsidRPr="00193602">
              <w:rPr>
                <w:rFonts w:eastAsia="Times New Roman" w:cs="Calibri"/>
                <w:color w:val="000000"/>
              </w:rPr>
              <w:t>SGE&amp;S</w:t>
            </w:r>
          </w:p>
        </w:tc>
        <w:tc>
          <w:tcPr>
            <w:tcW w:w="8067" w:type="dxa"/>
            <w:noWrap/>
            <w:hideMark/>
          </w:tcPr>
          <w:p w14:paraId="7E048731" w14:textId="77777777" w:rsidR="00193602" w:rsidRPr="00193602" w:rsidRDefault="00193602" w:rsidP="00193602">
            <w:pPr>
              <w:rPr>
                <w:rFonts w:eastAsia="Times New Roman" w:cs="Calibri"/>
                <w:color w:val="000000"/>
                <w:lang w:val="fr-FR"/>
              </w:rPr>
            </w:pPr>
            <w:proofErr w:type="spellStart"/>
            <w:r w:rsidRPr="00193602">
              <w:rPr>
                <w:rFonts w:eastAsia="Times New Roman" w:cs="Calibri"/>
                <w:color w:val="000000"/>
                <w:lang w:val="fr-FR"/>
              </w:rPr>
              <w:t>Systeme</w:t>
            </w:r>
            <w:proofErr w:type="spellEnd"/>
            <w:r w:rsidRPr="00193602">
              <w:rPr>
                <w:rFonts w:eastAsia="Times New Roman" w:cs="Calibri"/>
                <w:color w:val="000000"/>
                <w:lang w:val="fr-FR"/>
              </w:rPr>
              <w:t xml:space="preserve"> de Gestion Environnementale et Sociale</w:t>
            </w:r>
          </w:p>
        </w:tc>
      </w:tr>
      <w:tr w:rsidR="00193602" w:rsidRPr="00193602" w14:paraId="67E20D23" w14:textId="77777777" w:rsidTr="00193602">
        <w:tblPrEx>
          <w:jc w:val="left"/>
        </w:tblPrEx>
        <w:trPr>
          <w:trHeight w:val="300"/>
        </w:trPr>
        <w:tc>
          <w:tcPr>
            <w:tcW w:w="1344" w:type="dxa"/>
            <w:noWrap/>
            <w:hideMark/>
          </w:tcPr>
          <w:p w14:paraId="79A5A481" w14:textId="77777777" w:rsidR="00193602" w:rsidRPr="00193602" w:rsidRDefault="00193602" w:rsidP="00193602">
            <w:pPr>
              <w:rPr>
                <w:rFonts w:eastAsia="Times New Roman" w:cs="Calibri"/>
                <w:color w:val="000000"/>
              </w:rPr>
            </w:pPr>
            <w:r w:rsidRPr="00193602">
              <w:rPr>
                <w:rFonts w:eastAsia="Times New Roman" w:cs="Calibri"/>
                <w:color w:val="000000"/>
              </w:rPr>
              <w:t>TGR</w:t>
            </w:r>
          </w:p>
        </w:tc>
        <w:tc>
          <w:tcPr>
            <w:tcW w:w="8067" w:type="dxa"/>
            <w:noWrap/>
            <w:hideMark/>
          </w:tcPr>
          <w:p w14:paraId="62A4D090" w14:textId="078515E7" w:rsidR="00193602" w:rsidRPr="00193602" w:rsidRDefault="00193602" w:rsidP="00193602">
            <w:pPr>
              <w:rPr>
                <w:rFonts w:eastAsia="Times New Roman" w:cs="Calibri"/>
                <w:color w:val="000000"/>
              </w:rPr>
            </w:pPr>
            <w:proofErr w:type="spellStart"/>
            <w:r w:rsidRPr="00193602">
              <w:rPr>
                <w:rFonts w:eastAsia="Times New Roman" w:cs="Calibri"/>
                <w:color w:val="000000"/>
              </w:rPr>
              <w:t>Trésor</w:t>
            </w:r>
            <w:proofErr w:type="spellEnd"/>
            <w:r w:rsidRPr="00193602">
              <w:rPr>
                <w:rFonts w:eastAsia="Times New Roman" w:cs="Calibri"/>
                <w:color w:val="000000"/>
              </w:rPr>
              <w:t xml:space="preserve"> </w:t>
            </w:r>
            <w:proofErr w:type="spellStart"/>
            <w:r w:rsidRPr="00193602">
              <w:rPr>
                <w:rFonts w:eastAsia="Times New Roman" w:cs="Calibri"/>
                <w:color w:val="000000"/>
              </w:rPr>
              <w:t>général</w:t>
            </w:r>
            <w:proofErr w:type="spellEnd"/>
            <w:r w:rsidRPr="00193602">
              <w:rPr>
                <w:rFonts w:eastAsia="Times New Roman" w:cs="Calibri"/>
                <w:color w:val="000000"/>
              </w:rPr>
              <w:t xml:space="preserve"> du </w:t>
            </w:r>
            <w:proofErr w:type="spellStart"/>
            <w:r w:rsidRPr="00193602">
              <w:rPr>
                <w:rFonts w:eastAsia="Times New Roman" w:cs="Calibri"/>
                <w:color w:val="000000"/>
              </w:rPr>
              <w:t>Royaume</w:t>
            </w:r>
            <w:proofErr w:type="spellEnd"/>
          </w:p>
        </w:tc>
      </w:tr>
      <w:tr w:rsidR="00193602" w:rsidRPr="00193602" w14:paraId="4DE952EA" w14:textId="77777777" w:rsidTr="00193602">
        <w:tblPrEx>
          <w:jc w:val="left"/>
        </w:tblPrEx>
        <w:trPr>
          <w:trHeight w:val="300"/>
        </w:trPr>
        <w:tc>
          <w:tcPr>
            <w:tcW w:w="1344" w:type="dxa"/>
            <w:noWrap/>
            <w:hideMark/>
          </w:tcPr>
          <w:p w14:paraId="661ED5F9" w14:textId="77777777" w:rsidR="00193602" w:rsidRPr="00193602" w:rsidRDefault="00193602" w:rsidP="00193602">
            <w:pPr>
              <w:rPr>
                <w:rFonts w:eastAsia="Times New Roman" w:cs="Calibri"/>
                <w:color w:val="000000"/>
              </w:rPr>
            </w:pPr>
            <w:r w:rsidRPr="00193602">
              <w:rPr>
                <w:rFonts w:eastAsia="Times New Roman" w:cs="Calibri"/>
                <w:color w:val="000000"/>
              </w:rPr>
              <w:t>UGP</w:t>
            </w:r>
          </w:p>
        </w:tc>
        <w:tc>
          <w:tcPr>
            <w:tcW w:w="8067" w:type="dxa"/>
            <w:noWrap/>
            <w:hideMark/>
          </w:tcPr>
          <w:p w14:paraId="48039EA1" w14:textId="26DE5968" w:rsidR="00193602" w:rsidRPr="00193602" w:rsidRDefault="00193602" w:rsidP="00193602">
            <w:pPr>
              <w:rPr>
                <w:rFonts w:eastAsia="Times New Roman" w:cs="Calibri"/>
                <w:color w:val="000000"/>
                <w:lang w:val="fr-FR"/>
              </w:rPr>
            </w:pPr>
            <w:r w:rsidRPr="00193602">
              <w:rPr>
                <w:rFonts w:eastAsia="Times New Roman" w:cs="Calibri"/>
                <w:color w:val="000000"/>
                <w:lang w:val="fr-FR"/>
              </w:rPr>
              <w:t>Unité de Gestion du Projet</w:t>
            </w:r>
          </w:p>
        </w:tc>
      </w:tr>
    </w:tbl>
    <w:p w14:paraId="251F2B7D" w14:textId="77777777" w:rsidR="00CA11C7" w:rsidRPr="003A404D" w:rsidRDefault="00CA11C7" w:rsidP="00CA11C7">
      <w:pPr>
        <w:rPr>
          <w:sz w:val="28"/>
          <w:szCs w:val="28"/>
        </w:rPr>
      </w:pPr>
    </w:p>
    <w:p w14:paraId="37D42C88" w14:textId="77777777" w:rsidR="00B66F5F" w:rsidRPr="003A404D" w:rsidRDefault="00B66F5F">
      <w:r w:rsidRPr="003A404D">
        <w:br w:type="page"/>
      </w:r>
    </w:p>
    <w:p w14:paraId="61BD3A3E" w14:textId="527AC47F" w:rsidR="00B66F5F" w:rsidRDefault="00B66F5F" w:rsidP="00F97CB8">
      <w:pPr>
        <w:pBdr>
          <w:bottom w:val="single" w:sz="6" w:space="1" w:color="auto"/>
        </w:pBdr>
        <w:spacing w:after="0" w:line="240" w:lineRule="auto"/>
        <w:jc w:val="center"/>
        <w:rPr>
          <w:rFonts w:ascii="Candara" w:hAnsi="Candara" w:cstheme="minorHAnsi"/>
          <w:b/>
          <w:bCs/>
          <w:sz w:val="28"/>
          <w:szCs w:val="28"/>
        </w:rPr>
      </w:pPr>
      <w:r w:rsidRPr="00046E7D">
        <w:rPr>
          <w:rFonts w:ascii="Candara" w:hAnsi="Candara" w:cstheme="minorHAnsi"/>
          <w:b/>
          <w:bCs/>
          <w:sz w:val="28"/>
          <w:szCs w:val="28"/>
        </w:rPr>
        <w:lastRenderedPageBreak/>
        <w:t>Sommaire</w:t>
      </w:r>
    </w:p>
    <w:p w14:paraId="71A77357" w14:textId="77777777" w:rsidR="00F97CB8" w:rsidRPr="00046E7D" w:rsidRDefault="00F97CB8" w:rsidP="00046E7D">
      <w:pPr>
        <w:spacing w:after="0" w:line="240" w:lineRule="auto"/>
        <w:jc w:val="center"/>
        <w:rPr>
          <w:rFonts w:ascii="Candara" w:hAnsi="Candara" w:cstheme="minorHAnsi"/>
          <w:b/>
          <w:bCs/>
          <w:sz w:val="28"/>
          <w:szCs w:val="28"/>
        </w:rPr>
      </w:pPr>
    </w:p>
    <w:sdt>
      <w:sdtPr>
        <w:rPr>
          <w:rFonts w:ascii="Candara" w:eastAsiaTheme="minorHAnsi" w:hAnsi="Candara" w:cstheme="minorBidi"/>
          <w:b w:val="0"/>
          <w:bCs w:val="0"/>
          <w:caps w:val="0"/>
          <w:sz w:val="22"/>
          <w:szCs w:val="22"/>
          <w:lang w:val="fr-FR"/>
        </w:rPr>
        <w:id w:val="-336083875"/>
        <w:docPartObj>
          <w:docPartGallery w:val="Table of Contents"/>
          <w:docPartUnique/>
        </w:docPartObj>
      </w:sdtPr>
      <w:sdtEndPr>
        <w:rPr>
          <w:rFonts w:asciiTheme="minorHAnsi" w:hAnsiTheme="minorHAnsi"/>
          <w:noProof/>
        </w:rPr>
      </w:sdtEndPr>
      <w:sdtContent>
        <w:p w14:paraId="69D95F8A" w14:textId="0F8DE848" w:rsidR="00BA70C5" w:rsidRDefault="002476A5">
          <w:pPr>
            <w:pStyle w:val="TOC1"/>
            <w:rPr>
              <w:rFonts w:asciiTheme="minorHAnsi" w:eastAsiaTheme="minorEastAsia" w:hAnsiTheme="minorHAnsi" w:cstheme="minorBidi"/>
              <w:b w:val="0"/>
              <w:bCs w:val="0"/>
              <w:caps w:val="0"/>
              <w:noProof/>
              <w:sz w:val="22"/>
              <w:szCs w:val="22"/>
            </w:rPr>
          </w:pPr>
          <w:r w:rsidRPr="00046E7D">
            <w:rPr>
              <w:rFonts w:ascii="Candara" w:hAnsi="Candara"/>
            </w:rPr>
            <w:fldChar w:fldCharType="begin"/>
          </w:r>
          <w:r w:rsidRPr="00046E7D">
            <w:rPr>
              <w:rFonts w:ascii="Candara" w:hAnsi="Candara"/>
            </w:rPr>
            <w:instrText xml:space="preserve"> TOC \o "1-3" \h \z \u </w:instrText>
          </w:r>
          <w:r w:rsidRPr="00046E7D">
            <w:rPr>
              <w:rFonts w:ascii="Candara" w:hAnsi="Candara"/>
            </w:rPr>
            <w:fldChar w:fldCharType="separate"/>
          </w:r>
          <w:hyperlink w:anchor="_Toc74241369" w:history="1">
            <w:r w:rsidR="00BA70C5" w:rsidRPr="00FF367A">
              <w:rPr>
                <w:rStyle w:val="Hyperlink"/>
                <w:rFonts w:ascii="Candara" w:hAnsi="Candara"/>
                <w:noProof/>
              </w:rPr>
              <w:t>Résumé</w:t>
            </w:r>
            <w:r w:rsidR="00BA70C5">
              <w:rPr>
                <w:noProof/>
                <w:webHidden/>
              </w:rPr>
              <w:tab/>
            </w:r>
            <w:r w:rsidR="00BA70C5">
              <w:rPr>
                <w:noProof/>
                <w:webHidden/>
              </w:rPr>
              <w:fldChar w:fldCharType="begin"/>
            </w:r>
            <w:r w:rsidR="00BA70C5">
              <w:rPr>
                <w:noProof/>
                <w:webHidden/>
              </w:rPr>
              <w:instrText xml:space="preserve"> PAGEREF _Toc74241369 \h </w:instrText>
            </w:r>
            <w:r w:rsidR="00BA70C5">
              <w:rPr>
                <w:noProof/>
                <w:webHidden/>
              </w:rPr>
            </w:r>
            <w:r w:rsidR="00BA70C5">
              <w:rPr>
                <w:noProof/>
                <w:webHidden/>
              </w:rPr>
              <w:fldChar w:fldCharType="separate"/>
            </w:r>
            <w:r w:rsidR="00BA70C5">
              <w:rPr>
                <w:noProof/>
                <w:webHidden/>
              </w:rPr>
              <w:t>4</w:t>
            </w:r>
            <w:r w:rsidR="00BA70C5">
              <w:rPr>
                <w:noProof/>
                <w:webHidden/>
              </w:rPr>
              <w:fldChar w:fldCharType="end"/>
            </w:r>
          </w:hyperlink>
        </w:p>
        <w:p w14:paraId="5333305C" w14:textId="1E8C2E44" w:rsidR="00BA70C5" w:rsidRDefault="00F30208">
          <w:pPr>
            <w:pStyle w:val="TOC1"/>
            <w:rPr>
              <w:rFonts w:asciiTheme="minorHAnsi" w:eastAsiaTheme="minorEastAsia" w:hAnsiTheme="minorHAnsi" w:cstheme="minorBidi"/>
              <w:b w:val="0"/>
              <w:bCs w:val="0"/>
              <w:caps w:val="0"/>
              <w:noProof/>
              <w:sz w:val="22"/>
              <w:szCs w:val="22"/>
            </w:rPr>
          </w:pPr>
          <w:hyperlink w:anchor="_Toc74241370" w:history="1">
            <w:r w:rsidR="00BA70C5" w:rsidRPr="00FF367A">
              <w:rPr>
                <w:rStyle w:val="Hyperlink"/>
                <w:rFonts w:ascii="Candara" w:hAnsi="Candara"/>
                <w:noProof/>
                <w:lang w:val="fr-FR"/>
              </w:rPr>
              <w:t>1. Introduction</w:t>
            </w:r>
            <w:r w:rsidR="00BA70C5">
              <w:rPr>
                <w:noProof/>
                <w:webHidden/>
              </w:rPr>
              <w:tab/>
            </w:r>
            <w:r w:rsidR="00BA70C5">
              <w:rPr>
                <w:noProof/>
                <w:webHidden/>
              </w:rPr>
              <w:fldChar w:fldCharType="begin"/>
            </w:r>
            <w:r w:rsidR="00BA70C5">
              <w:rPr>
                <w:noProof/>
                <w:webHidden/>
              </w:rPr>
              <w:instrText xml:space="preserve"> PAGEREF _Toc74241370 \h </w:instrText>
            </w:r>
            <w:r w:rsidR="00BA70C5">
              <w:rPr>
                <w:noProof/>
                <w:webHidden/>
              </w:rPr>
            </w:r>
            <w:r w:rsidR="00BA70C5">
              <w:rPr>
                <w:noProof/>
                <w:webHidden/>
              </w:rPr>
              <w:fldChar w:fldCharType="separate"/>
            </w:r>
            <w:r w:rsidR="00BA70C5">
              <w:rPr>
                <w:noProof/>
                <w:webHidden/>
              </w:rPr>
              <w:t>10</w:t>
            </w:r>
            <w:r w:rsidR="00BA70C5">
              <w:rPr>
                <w:noProof/>
                <w:webHidden/>
              </w:rPr>
              <w:fldChar w:fldCharType="end"/>
            </w:r>
          </w:hyperlink>
        </w:p>
        <w:p w14:paraId="6DD32398" w14:textId="14AED489" w:rsidR="00BA70C5" w:rsidRDefault="00F30208" w:rsidP="007D7ED0">
          <w:pPr>
            <w:pStyle w:val="TOC2"/>
            <w:rPr>
              <w:rFonts w:asciiTheme="minorHAnsi" w:eastAsiaTheme="minorEastAsia" w:hAnsiTheme="minorHAnsi" w:cstheme="minorBidi"/>
              <w:sz w:val="22"/>
              <w:szCs w:val="22"/>
              <w:lang w:eastAsia="en-US"/>
            </w:rPr>
          </w:pPr>
          <w:hyperlink w:anchor="_Toc74241371" w:history="1">
            <w:r w:rsidR="00BA70C5" w:rsidRPr="00FF367A">
              <w:rPr>
                <w:rStyle w:val="Hyperlink"/>
              </w:rPr>
              <w:t>1.1 Contexte et objectifs du Programme</w:t>
            </w:r>
            <w:r w:rsidR="00BA70C5">
              <w:rPr>
                <w:webHidden/>
              </w:rPr>
              <w:tab/>
            </w:r>
            <w:r w:rsidR="00BA70C5">
              <w:rPr>
                <w:webHidden/>
              </w:rPr>
              <w:fldChar w:fldCharType="begin"/>
            </w:r>
            <w:r w:rsidR="00BA70C5">
              <w:rPr>
                <w:webHidden/>
              </w:rPr>
              <w:instrText xml:space="preserve"> PAGEREF _Toc74241371 \h </w:instrText>
            </w:r>
            <w:r w:rsidR="00BA70C5">
              <w:rPr>
                <w:webHidden/>
              </w:rPr>
            </w:r>
            <w:r w:rsidR="00BA70C5">
              <w:rPr>
                <w:webHidden/>
              </w:rPr>
              <w:fldChar w:fldCharType="separate"/>
            </w:r>
            <w:r w:rsidR="00BA70C5">
              <w:rPr>
                <w:webHidden/>
              </w:rPr>
              <w:t>10</w:t>
            </w:r>
            <w:r w:rsidR="00BA70C5">
              <w:rPr>
                <w:webHidden/>
              </w:rPr>
              <w:fldChar w:fldCharType="end"/>
            </w:r>
          </w:hyperlink>
        </w:p>
        <w:p w14:paraId="580966D1" w14:textId="3FC8BC4B" w:rsidR="00BA70C5" w:rsidRDefault="00F30208" w:rsidP="007D7ED0">
          <w:pPr>
            <w:pStyle w:val="TOC2"/>
            <w:rPr>
              <w:rFonts w:asciiTheme="minorHAnsi" w:eastAsiaTheme="minorEastAsia" w:hAnsiTheme="minorHAnsi" w:cstheme="minorBidi"/>
              <w:sz w:val="22"/>
              <w:szCs w:val="22"/>
              <w:lang w:eastAsia="en-US"/>
            </w:rPr>
          </w:pPr>
          <w:hyperlink w:anchor="_Toc74241372" w:history="1">
            <w:r w:rsidR="00BA70C5" w:rsidRPr="00FF367A">
              <w:rPr>
                <w:rStyle w:val="Hyperlink"/>
              </w:rPr>
              <w:t>1.2 Finalités et démarche de l’ESES</w:t>
            </w:r>
            <w:r w:rsidR="00BA70C5">
              <w:rPr>
                <w:webHidden/>
              </w:rPr>
              <w:tab/>
            </w:r>
            <w:r w:rsidR="00BA70C5">
              <w:rPr>
                <w:webHidden/>
              </w:rPr>
              <w:fldChar w:fldCharType="begin"/>
            </w:r>
            <w:r w:rsidR="00BA70C5">
              <w:rPr>
                <w:webHidden/>
              </w:rPr>
              <w:instrText xml:space="preserve"> PAGEREF _Toc74241372 \h </w:instrText>
            </w:r>
            <w:r w:rsidR="00BA70C5">
              <w:rPr>
                <w:webHidden/>
              </w:rPr>
            </w:r>
            <w:r w:rsidR="00BA70C5">
              <w:rPr>
                <w:webHidden/>
              </w:rPr>
              <w:fldChar w:fldCharType="separate"/>
            </w:r>
            <w:r w:rsidR="00BA70C5">
              <w:rPr>
                <w:webHidden/>
              </w:rPr>
              <w:t>13</w:t>
            </w:r>
            <w:r w:rsidR="00BA70C5">
              <w:rPr>
                <w:webHidden/>
              </w:rPr>
              <w:fldChar w:fldCharType="end"/>
            </w:r>
          </w:hyperlink>
        </w:p>
        <w:p w14:paraId="7BBA4FA4" w14:textId="338FE508" w:rsidR="00BA70C5" w:rsidRDefault="00F30208" w:rsidP="007D7ED0">
          <w:pPr>
            <w:pStyle w:val="TOC2"/>
            <w:rPr>
              <w:rFonts w:asciiTheme="minorHAnsi" w:eastAsiaTheme="minorEastAsia" w:hAnsiTheme="minorHAnsi" w:cstheme="minorBidi"/>
              <w:sz w:val="22"/>
              <w:szCs w:val="22"/>
              <w:lang w:eastAsia="en-US"/>
            </w:rPr>
          </w:pPr>
          <w:hyperlink w:anchor="_Toc74241373" w:history="1">
            <w:r w:rsidR="00BA70C5" w:rsidRPr="00FF367A">
              <w:rPr>
                <w:rStyle w:val="Hyperlink"/>
              </w:rPr>
              <w:t>1.3 Méthodologie</w:t>
            </w:r>
            <w:r w:rsidR="00BA70C5">
              <w:rPr>
                <w:webHidden/>
              </w:rPr>
              <w:tab/>
            </w:r>
            <w:r w:rsidR="00BA70C5">
              <w:rPr>
                <w:webHidden/>
              </w:rPr>
              <w:fldChar w:fldCharType="begin"/>
            </w:r>
            <w:r w:rsidR="00BA70C5">
              <w:rPr>
                <w:webHidden/>
              </w:rPr>
              <w:instrText xml:space="preserve"> PAGEREF _Toc74241373 \h </w:instrText>
            </w:r>
            <w:r w:rsidR="00BA70C5">
              <w:rPr>
                <w:webHidden/>
              </w:rPr>
            </w:r>
            <w:r w:rsidR="00BA70C5">
              <w:rPr>
                <w:webHidden/>
              </w:rPr>
              <w:fldChar w:fldCharType="separate"/>
            </w:r>
            <w:r w:rsidR="00BA70C5">
              <w:rPr>
                <w:webHidden/>
              </w:rPr>
              <w:t>14</w:t>
            </w:r>
            <w:r w:rsidR="00BA70C5">
              <w:rPr>
                <w:webHidden/>
              </w:rPr>
              <w:fldChar w:fldCharType="end"/>
            </w:r>
          </w:hyperlink>
        </w:p>
        <w:p w14:paraId="358E401D" w14:textId="3A79F7F3" w:rsidR="00BA70C5" w:rsidRDefault="00F30208">
          <w:pPr>
            <w:pStyle w:val="TOC1"/>
            <w:rPr>
              <w:rFonts w:asciiTheme="minorHAnsi" w:eastAsiaTheme="minorEastAsia" w:hAnsiTheme="minorHAnsi" w:cstheme="minorBidi"/>
              <w:b w:val="0"/>
              <w:bCs w:val="0"/>
              <w:caps w:val="0"/>
              <w:noProof/>
              <w:sz w:val="22"/>
              <w:szCs w:val="22"/>
            </w:rPr>
          </w:pPr>
          <w:hyperlink w:anchor="_Toc74241374" w:history="1">
            <w:r w:rsidR="00BA70C5" w:rsidRPr="00FF367A">
              <w:rPr>
                <w:rStyle w:val="Hyperlink"/>
                <w:rFonts w:ascii="Candara" w:hAnsi="Candara"/>
                <w:noProof/>
                <w:lang w:val="fr-FR"/>
              </w:rPr>
              <w:t>2.  Description du Programme et de ses risques environnementaux et sociaux potentiels</w:t>
            </w:r>
            <w:r w:rsidR="00BA70C5">
              <w:rPr>
                <w:noProof/>
                <w:webHidden/>
              </w:rPr>
              <w:tab/>
            </w:r>
            <w:r w:rsidR="00BA70C5">
              <w:rPr>
                <w:noProof/>
                <w:webHidden/>
              </w:rPr>
              <w:fldChar w:fldCharType="begin"/>
            </w:r>
            <w:r w:rsidR="00BA70C5">
              <w:rPr>
                <w:noProof/>
                <w:webHidden/>
              </w:rPr>
              <w:instrText xml:space="preserve"> PAGEREF _Toc74241374 \h </w:instrText>
            </w:r>
            <w:r w:rsidR="00BA70C5">
              <w:rPr>
                <w:noProof/>
                <w:webHidden/>
              </w:rPr>
            </w:r>
            <w:r w:rsidR="00BA70C5">
              <w:rPr>
                <w:noProof/>
                <w:webHidden/>
              </w:rPr>
              <w:fldChar w:fldCharType="separate"/>
            </w:r>
            <w:r w:rsidR="00BA70C5">
              <w:rPr>
                <w:noProof/>
                <w:webHidden/>
              </w:rPr>
              <w:t>16</w:t>
            </w:r>
            <w:r w:rsidR="00BA70C5">
              <w:rPr>
                <w:noProof/>
                <w:webHidden/>
              </w:rPr>
              <w:fldChar w:fldCharType="end"/>
            </w:r>
          </w:hyperlink>
        </w:p>
        <w:p w14:paraId="2D3E63FD" w14:textId="41F7EDA4" w:rsidR="00BA70C5" w:rsidRDefault="00F30208" w:rsidP="007D7ED0">
          <w:pPr>
            <w:pStyle w:val="TOC2"/>
            <w:rPr>
              <w:rFonts w:asciiTheme="minorHAnsi" w:eastAsiaTheme="minorEastAsia" w:hAnsiTheme="minorHAnsi" w:cstheme="minorBidi"/>
              <w:sz w:val="22"/>
              <w:szCs w:val="22"/>
              <w:lang w:eastAsia="en-US"/>
            </w:rPr>
          </w:pPr>
          <w:hyperlink w:anchor="_Toc74241375" w:history="1">
            <w:r w:rsidR="00BA70C5" w:rsidRPr="00FF367A">
              <w:rPr>
                <w:rStyle w:val="Hyperlink"/>
              </w:rPr>
              <w:t>2.1 Éléments clés pour le cadrage et la mise en œuvre du Programme</w:t>
            </w:r>
            <w:r w:rsidR="00BA70C5">
              <w:rPr>
                <w:webHidden/>
              </w:rPr>
              <w:tab/>
            </w:r>
            <w:r w:rsidR="00BA70C5">
              <w:rPr>
                <w:webHidden/>
              </w:rPr>
              <w:fldChar w:fldCharType="begin"/>
            </w:r>
            <w:r w:rsidR="00BA70C5">
              <w:rPr>
                <w:webHidden/>
              </w:rPr>
              <w:instrText xml:space="preserve"> PAGEREF _Toc74241375 \h </w:instrText>
            </w:r>
            <w:r w:rsidR="00BA70C5">
              <w:rPr>
                <w:webHidden/>
              </w:rPr>
            </w:r>
            <w:r w:rsidR="00BA70C5">
              <w:rPr>
                <w:webHidden/>
              </w:rPr>
              <w:fldChar w:fldCharType="separate"/>
            </w:r>
            <w:r w:rsidR="00BA70C5">
              <w:rPr>
                <w:webHidden/>
              </w:rPr>
              <w:t>16</w:t>
            </w:r>
            <w:r w:rsidR="00BA70C5">
              <w:rPr>
                <w:webHidden/>
              </w:rPr>
              <w:fldChar w:fldCharType="end"/>
            </w:r>
          </w:hyperlink>
        </w:p>
        <w:p w14:paraId="4D8EB760" w14:textId="7AF8B2DB" w:rsidR="00BA70C5" w:rsidRDefault="00F30208" w:rsidP="007D7ED0">
          <w:pPr>
            <w:pStyle w:val="TOC2"/>
            <w:rPr>
              <w:rFonts w:asciiTheme="minorHAnsi" w:eastAsiaTheme="minorEastAsia" w:hAnsiTheme="minorHAnsi" w:cstheme="minorBidi"/>
              <w:sz w:val="22"/>
              <w:szCs w:val="22"/>
              <w:lang w:eastAsia="en-US"/>
            </w:rPr>
          </w:pPr>
          <w:hyperlink w:anchor="_Toc74241376" w:history="1">
            <w:r w:rsidR="00BA70C5" w:rsidRPr="00FF367A">
              <w:rPr>
                <w:rStyle w:val="Hyperlink"/>
              </w:rPr>
              <w:t>2.2 Contenu, coûts et échéancier du Programme</w:t>
            </w:r>
            <w:r w:rsidR="00BA70C5">
              <w:rPr>
                <w:webHidden/>
              </w:rPr>
              <w:tab/>
            </w:r>
            <w:r w:rsidR="00BA70C5">
              <w:rPr>
                <w:webHidden/>
              </w:rPr>
              <w:fldChar w:fldCharType="begin"/>
            </w:r>
            <w:r w:rsidR="00BA70C5">
              <w:rPr>
                <w:webHidden/>
              </w:rPr>
              <w:instrText xml:space="preserve"> PAGEREF _Toc74241376 \h </w:instrText>
            </w:r>
            <w:r w:rsidR="00BA70C5">
              <w:rPr>
                <w:webHidden/>
              </w:rPr>
            </w:r>
            <w:r w:rsidR="00BA70C5">
              <w:rPr>
                <w:webHidden/>
              </w:rPr>
              <w:fldChar w:fldCharType="separate"/>
            </w:r>
            <w:r w:rsidR="00BA70C5">
              <w:rPr>
                <w:webHidden/>
              </w:rPr>
              <w:t>18</w:t>
            </w:r>
            <w:r w:rsidR="00BA70C5">
              <w:rPr>
                <w:webHidden/>
              </w:rPr>
              <w:fldChar w:fldCharType="end"/>
            </w:r>
          </w:hyperlink>
        </w:p>
        <w:p w14:paraId="771DCF3D" w14:textId="29140170" w:rsidR="00BA70C5" w:rsidRDefault="00F30208">
          <w:pPr>
            <w:pStyle w:val="TOC3"/>
            <w:tabs>
              <w:tab w:val="right" w:leader="dot" w:pos="9062"/>
            </w:tabs>
            <w:rPr>
              <w:rFonts w:asciiTheme="minorHAnsi" w:eastAsiaTheme="minorEastAsia" w:hAnsiTheme="minorHAnsi" w:cstheme="minorBidi"/>
              <w:i w:val="0"/>
              <w:iCs w:val="0"/>
              <w:noProof/>
              <w:sz w:val="22"/>
              <w:szCs w:val="22"/>
            </w:rPr>
          </w:pPr>
          <w:hyperlink w:anchor="_Toc74241377" w:history="1">
            <w:r w:rsidR="00BA70C5" w:rsidRPr="00FF367A">
              <w:rPr>
                <w:rStyle w:val="Hyperlink"/>
                <w:rFonts w:ascii="Candara" w:hAnsi="Candara"/>
                <w:noProof/>
                <w:lang w:val="fr-FR"/>
              </w:rPr>
              <w:t>2.2.1 Contenu du Programme</w:t>
            </w:r>
            <w:r w:rsidR="00BA70C5">
              <w:rPr>
                <w:noProof/>
                <w:webHidden/>
              </w:rPr>
              <w:tab/>
            </w:r>
            <w:r w:rsidR="00BA70C5">
              <w:rPr>
                <w:noProof/>
                <w:webHidden/>
              </w:rPr>
              <w:fldChar w:fldCharType="begin"/>
            </w:r>
            <w:r w:rsidR="00BA70C5">
              <w:rPr>
                <w:noProof/>
                <w:webHidden/>
              </w:rPr>
              <w:instrText xml:space="preserve"> PAGEREF _Toc74241377 \h </w:instrText>
            </w:r>
            <w:r w:rsidR="00BA70C5">
              <w:rPr>
                <w:noProof/>
                <w:webHidden/>
              </w:rPr>
            </w:r>
            <w:r w:rsidR="00BA70C5">
              <w:rPr>
                <w:noProof/>
                <w:webHidden/>
              </w:rPr>
              <w:fldChar w:fldCharType="separate"/>
            </w:r>
            <w:r w:rsidR="00BA70C5">
              <w:rPr>
                <w:noProof/>
                <w:webHidden/>
              </w:rPr>
              <w:t>18</w:t>
            </w:r>
            <w:r w:rsidR="00BA70C5">
              <w:rPr>
                <w:noProof/>
                <w:webHidden/>
              </w:rPr>
              <w:fldChar w:fldCharType="end"/>
            </w:r>
          </w:hyperlink>
        </w:p>
        <w:p w14:paraId="4DA4508B" w14:textId="367689FF" w:rsidR="00BA70C5" w:rsidRDefault="00F30208">
          <w:pPr>
            <w:pStyle w:val="TOC3"/>
            <w:tabs>
              <w:tab w:val="left" w:pos="1200"/>
              <w:tab w:val="right" w:leader="dot" w:pos="9062"/>
            </w:tabs>
            <w:rPr>
              <w:rFonts w:asciiTheme="minorHAnsi" w:eastAsiaTheme="minorEastAsia" w:hAnsiTheme="minorHAnsi" w:cstheme="minorBidi"/>
              <w:i w:val="0"/>
              <w:iCs w:val="0"/>
              <w:noProof/>
              <w:sz w:val="22"/>
              <w:szCs w:val="22"/>
            </w:rPr>
          </w:pPr>
          <w:hyperlink w:anchor="_Toc74241378" w:history="1">
            <w:r w:rsidR="00BA70C5" w:rsidRPr="00FF367A">
              <w:rPr>
                <w:rStyle w:val="Hyperlink"/>
                <w:rFonts w:ascii="Candara" w:hAnsi="Candara"/>
                <w:noProof/>
                <w:lang w:val="fr-FR"/>
              </w:rPr>
              <w:t>2.2.2.</w:t>
            </w:r>
            <w:r w:rsidR="00BA70C5">
              <w:rPr>
                <w:rFonts w:asciiTheme="minorHAnsi" w:eastAsiaTheme="minorEastAsia" w:hAnsiTheme="minorHAnsi" w:cstheme="minorBidi"/>
                <w:i w:val="0"/>
                <w:iCs w:val="0"/>
                <w:noProof/>
                <w:sz w:val="22"/>
                <w:szCs w:val="22"/>
              </w:rPr>
              <w:tab/>
            </w:r>
            <w:r w:rsidR="00BA70C5" w:rsidRPr="00FF367A">
              <w:rPr>
                <w:rStyle w:val="Hyperlink"/>
                <w:rFonts w:ascii="Candara" w:hAnsi="Candara"/>
                <w:noProof/>
                <w:lang w:val="fr-FR"/>
              </w:rPr>
              <w:t>Portée géographique et bénéficiaires du Programme</w:t>
            </w:r>
            <w:r w:rsidR="00BA70C5">
              <w:rPr>
                <w:noProof/>
                <w:webHidden/>
              </w:rPr>
              <w:tab/>
            </w:r>
            <w:r w:rsidR="00BA70C5">
              <w:rPr>
                <w:noProof/>
                <w:webHidden/>
              </w:rPr>
              <w:fldChar w:fldCharType="begin"/>
            </w:r>
            <w:r w:rsidR="00BA70C5">
              <w:rPr>
                <w:noProof/>
                <w:webHidden/>
              </w:rPr>
              <w:instrText xml:space="preserve"> PAGEREF _Toc74241378 \h </w:instrText>
            </w:r>
            <w:r w:rsidR="00BA70C5">
              <w:rPr>
                <w:noProof/>
                <w:webHidden/>
              </w:rPr>
            </w:r>
            <w:r w:rsidR="00BA70C5">
              <w:rPr>
                <w:noProof/>
                <w:webHidden/>
              </w:rPr>
              <w:fldChar w:fldCharType="separate"/>
            </w:r>
            <w:r w:rsidR="00BA70C5">
              <w:rPr>
                <w:noProof/>
                <w:webHidden/>
              </w:rPr>
              <w:t>22</w:t>
            </w:r>
            <w:r w:rsidR="00BA70C5">
              <w:rPr>
                <w:noProof/>
                <w:webHidden/>
              </w:rPr>
              <w:fldChar w:fldCharType="end"/>
            </w:r>
          </w:hyperlink>
        </w:p>
        <w:p w14:paraId="33B2C83A" w14:textId="12A42FDE" w:rsidR="00BA70C5" w:rsidRDefault="00F30208">
          <w:pPr>
            <w:pStyle w:val="TOC3"/>
            <w:tabs>
              <w:tab w:val="left" w:pos="1200"/>
              <w:tab w:val="right" w:leader="dot" w:pos="9062"/>
            </w:tabs>
            <w:rPr>
              <w:rFonts w:asciiTheme="minorHAnsi" w:eastAsiaTheme="minorEastAsia" w:hAnsiTheme="minorHAnsi" w:cstheme="minorBidi"/>
              <w:i w:val="0"/>
              <w:iCs w:val="0"/>
              <w:noProof/>
              <w:sz w:val="22"/>
              <w:szCs w:val="22"/>
            </w:rPr>
          </w:pPr>
          <w:hyperlink w:anchor="_Toc74241379" w:history="1">
            <w:r w:rsidR="00BA70C5" w:rsidRPr="00FF367A">
              <w:rPr>
                <w:rStyle w:val="Hyperlink"/>
                <w:rFonts w:ascii="Candara" w:hAnsi="Candara"/>
                <w:noProof/>
                <w:lang w:val="fr-FR"/>
              </w:rPr>
              <w:t>2.2.3</w:t>
            </w:r>
            <w:r w:rsidR="00BA70C5">
              <w:rPr>
                <w:rFonts w:asciiTheme="minorHAnsi" w:eastAsiaTheme="minorEastAsia" w:hAnsiTheme="minorHAnsi" w:cstheme="minorBidi"/>
                <w:i w:val="0"/>
                <w:iCs w:val="0"/>
                <w:noProof/>
                <w:sz w:val="22"/>
                <w:szCs w:val="22"/>
              </w:rPr>
              <w:tab/>
            </w:r>
            <w:r w:rsidR="00BA70C5" w:rsidRPr="00FF367A">
              <w:rPr>
                <w:rStyle w:val="Hyperlink"/>
                <w:rFonts w:ascii="Candara" w:hAnsi="Candara"/>
                <w:noProof/>
                <w:lang w:val="fr-FR"/>
              </w:rPr>
              <w:t>Durée</w:t>
            </w:r>
            <w:r w:rsidR="00BA70C5">
              <w:rPr>
                <w:noProof/>
                <w:webHidden/>
              </w:rPr>
              <w:tab/>
            </w:r>
            <w:r w:rsidR="00BA70C5">
              <w:rPr>
                <w:noProof/>
                <w:webHidden/>
              </w:rPr>
              <w:fldChar w:fldCharType="begin"/>
            </w:r>
            <w:r w:rsidR="00BA70C5">
              <w:rPr>
                <w:noProof/>
                <w:webHidden/>
              </w:rPr>
              <w:instrText xml:space="preserve"> PAGEREF _Toc74241379 \h </w:instrText>
            </w:r>
            <w:r w:rsidR="00BA70C5">
              <w:rPr>
                <w:noProof/>
                <w:webHidden/>
              </w:rPr>
            </w:r>
            <w:r w:rsidR="00BA70C5">
              <w:rPr>
                <w:noProof/>
                <w:webHidden/>
              </w:rPr>
              <w:fldChar w:fldCharType="separate"/>
            </w:r>
            <w:r w:rsidR="00BA70C5">
              <w:rPr>
                <w:noProof/>
                <w:webHidden/>
              </w:rPr>
              <w:t>22</w:t>
            </w:r>
            <w:r w:rsidR="00BA70C5">
              <w:rPr>
                <w:noProof/>
                <w:webHidden/>
              </w:rPr>
              <w:fldChar w:fldCharType="end"/>
            </w:r>
          </w:hyperlink>
        </w:p>
        <w:p w14:paraId="6CB829D7" w14:textId="01B195D4" w:rsidR="00BA70C5" w:rsidRDefault="00F30208">
          <w:pPr>
            <w:pStyle w:val="TOC3"/>
            <w:tabs>
              <w:tab w:val="left" w:pos="1200"/>
              <w:tab w:val="right" w:leader="dot" w:pos="9062"/>
            </w:tabs>
            <w:rPr>
              <w:rFonts w:asciiTheme="minorHAnsi" w:eastAsiaTheme="minorEastAsia" w:hAnsiTheme="minorHAnsi" w:cstheme="minorBidi"/>
              <w:i w:val="0"/>
              <w:iCs w:val="0"/>
              <w:noProof/>
              <w:sz w:val="22"/>
              <w:szCs w:val="22"/>
            </w:rPr>
          </w:pPr>
          <w:hyperlink w:anchor="_Toc74241380" w:history="1">
            <w:r w:rsidR="00BA70C5" w:rsidRPr="00FF367A">
              <w:rPr>
                <w:rStyle w:val="Hyperlink"/>
                <w:rFonts w:ascii="Candara" w:hAnsi="Candara"/>
                <w:noProof/>
                <w:lang w:val="fr-FR"/>
              </w:rPr>
              <w:t>2.2.4</w:t>
            </w:r>
            <w:r w:rsidR="00BA70C5">
              <w:rPr>
                <w:rFonts w:asciiTheme="minorHAnsi" w:eastAsiaTheme="minorEastAsia" w:hAnsiTheme="minorHAnsi" w:cstheme="minorBidi"/>
                <w:i w:val="0"/>
                <w:iCs w:val="0"/>
                <w:noProof/>
                <w:sz w:val="22"/>
                <w:szCs w:val="22"/>
              </w:rPr>
              <w:tab/>
            </w:r>
            <w:r w:rsidR="00BA70C5" w:rsidRPr="00FF367A">
              <w:rPr>
                <w:rStyle w:val="Hyperlink"/>
                <w:rFonts w:ascii="Candara" w:hAnsi="Candara"/>
                <w:noProof/>
                <w:lang w:val="fr-FR"/>
              </w:rPr>
              <w:t>Indicateurs liés au décaissement</w:t>
            </w:r>
            <w:r w:rsidR="00BA70C5">
              <w:rPr>
                <w:noProof/>
                <w:webHidden/>
              </w:rPr>
              <w:tab/>
            </w:r>
            <w:r w:rsidR="00BA70C5">
              <w:rPr>
                <w:noProof/>
                <w:webHidden/>
              </w:rPr>
              <w:fldChar w:fldCharType="begin"/>
            </w:r>
            <w:r w:rsidR="00BA70C5">
              <w:rPr>
                <w:noProof/>
                <w:webHidden/>
              </w:rPr>
              <w:instrText xml:space="preserve"> PAGEREF _Toc74241380 \h </w:instrText>
            </w:r>
            <w:r w:rsidR="00BA70C5">
              <w:rPr>
                <w:noProof/>
                <w:webHidden/>
              </w:rPr>
            </w:r>
            <w:r w:rsidR="00BA70C5">
              <w:rPr>
                <w:noProof/>
                <w:webHidden/>
              </w:rPr>
              <w:fldChar w:fldCharType="separate"/>
            </w:r>
            <w:r w:rsidR="00BA70C5">
              <w:rPr>
                <w:noProof/>
                <w:webHidden/>
              </w:rPr>
              <w:t>22</w:t>
            </w:r>
            <w:r w:rsidR="00BA70C5">
              <w:rPr>
                <w:noProof/>
                <w:webHidden/>
              </w:rPr>
              <w:fldChar w:fldCharType="end"/>
            </w:r>
          </w:hyperlink>
        </w:p>
        <w:p w14:paraId="702A15F6" w14:textId="76371CA2" w:rsidR="00BA70C5" w:rsidRDefault="00F30208" w:rsidP="007D7ED0">
          <w:pPr>
            <w:pStyle w:val="TOC2"/>
            <w:rPr>
              <w:rFonts w:asciiTheme="minorHAnsi" w:eastAsiaTheme="minorEastAsia" w:hAnsiTheme="minorHAnsi" w:cstheme="minorBidi"/>
              <w:sz w:val="22"/>
              <w:szCs w:val="22"/>
              <w:lang w:eastAsia="en-US"/>
            </w:rPr>
          </w:pPr>
          <w:hyperlink w:anchor="_Toc74241381" w:history="1">
            <w:r w:rsidR="00BA70C5" w:rsidRPr="00FF367A">
              <w:rPr>
                <w:rStyle w:val="Hyperlink"/>
              </w:rPr>
              <w:t>2.3 Principaux partenaires et agences de mise en œuvre du Programme</w:t>
            </w:r>
            <w:r w:rsidR="00BA70C5">
              <w:rPr>
                <w:webHidden/>
              </w:rPr>
              <w:tab/>
            </w:r>
            <w:r w:rsidR="00BA70C5">
              <w:rPr>
                <w:webHidden/>
              </w:rPr>
              <w:fldChar w:fldCharType="begin"/>
            </w:r>
            <w:r w:rsidR="00BA70C5">
              <w:rPr>
                <w:webHidden/>
              </w:rPr>
              <w:instrText xml:space="preserve"> PAGEREF _Toc74241381 \h </w:instrText>
            </w:r>
            <w:r w:rsidR="00BA70C5">
              <w:rPr>
                <w:webHidden/>
              </w:rPr>
            </w:r>
            <w:r w:rsidR="00BA70C5">
              <w:rPr>
                <w:webHidden/>
              </w:rPr>
              <w:fldChar w:fldCharType="separate"/>
            </w:r>
            <w:r w:rsidR="00BA70C5">
              <w:rPr>
                <w:webHidden/>
              </w:rPr>
              <w:t>22</w:t>
            </w:r>
            <w:r w:rsidR="00BA70C5">
              <w:rPr>
                <w:webHidden/>
              </w:rPr>
              <w:fldChar w:fldCharType="end"/>
            </w:r>
          </w:hyperlink>
        </w:p>
        <w:p w14:paraId="19997E1F" w14:textId="7F3B3F48" w:rsidR="00BA70C5" w:rsidRDefault="00F30208" w:rsidP="007D7ED0">
          <w:pPr>
            <w:pStyle w:val="TOC2"/>
            <w:rPr>
              <w:rFonts w:asciiTheme="minorHAnsi" w:eastAsiaTheme="minorEastAsia" w:hAnsiTheme="minorHAnsi" w:cstheme="minorBidi"/>
              <w:sz w:val="22"/>
              <w:szCs w:val="22"/>
              <w:lang w:eastAsia="en-US"/>
            </w:rPr>
          </w:pPr>
          <w:hyperlink w:anchor="_Toc74241382" w:history="1">
            <w:r w:rsidR="00BA70C5" w:rsidRPr="00FF367A">
              <w:rPr>
                <w:rStyle w:val="Hyperlink"/>
              </w:rPr>
              <w:t>2.4 Risques environnementaux et sociaux du Programme</w:t>
            </w:r>
            <w:r w:rsidR="00BA70C5">
              <w:rPr>
                <w:webHidden/>
              </w:rPr>
              <w:tab/>
            </w:r>
            <w:r w:rsidR="00BA70C5">
              <w:rPr>
                <w:webHidden/>
              </w:rPr>
              <w:fldChar w:fldCharType="begin"/>
            </w:r>
            <w:r w:rsidR="00BA70C5">
              <w:rPr>
                <w:webHidden/>
              </w:rPr>
              <w:instrText xml:space="preserve"> PAGEREF _Toc74241382 \h </w:instrText>
            </w:r>
            <w:r w:rsidR="00BA70C5">
              <w:rPr>
                <w:webHidden/>
              </w:rPr>
            </w:r>
            <w:r w:rsidR="00BA70C5">
              <w:rPr>
                <w:webHidden/>
              </w:rPr>
              <w:fldChar w:fldCharType="separate"/>
            </w:r>
            <w:r w:rsidR="00BA70C5">
              <w:rPr>
                <w:webHidden/>
              </w:rPr>
              <w:t>24</w:t>
            </w:r>
            <w:r w:rsidR="00BA70C5">
              <w:rPr>
                <w:webHidden/>
              </w:rPr>
              <w:fldChar w:fldCharType="end"/>
            </w:r>
          </w:hyperlink>
        </w:p>
        <w:p w14:paraId="30883990" w14:textId="6A335461" w:rsidR="00BA70C5" w:rsidRDefault="00F30208">
          <w:pPr>
            <w:pStyle w:val="TOC3"/>
            <w:tabs>
              <w:tab w:val="right" w:leader="dot" w:pos="9062"/>
            </w:tabs>
            <w:rPr>
              <w:rFonts w:asciiTheme="minorHAnsi" w:eastAsiaTheme="minorEastAsia" w:hAnsiTheme="minorHAnsi" w:cstheme="minorBidi"/>
              <w:i w:val="0"/>
              <w:iCs w:val="0"/>
              <w:noProof/>
              <w:sz w:val="22"/>
              <w:szCs w:val="22"/>
            </w:rPr>
          </w:pPr>
          <w:hyperlink w:anchor="_Toc74241383" w:history="1">
            <w:r w:rsidR="00BA70C5" w:rsidRPr="00FF367A">
              <w:rPr>
                <w:rStyle w:val="Hyperlink"/>
                <w:rFonts w:ascii="Candara" w:hAnsi="Candara"/>
                <w:noProof/>
                <w:lang w:val="fr-FR"/>
              </w:rPr>
              <w:t>2.4.1 Retombées environnementales et sociales bénéfiques du Programme</w:t>
            </w:r>
            <w:r w:rsidR="00BA70C5">
              <w:rPr>
                <w:noProof/>
                <w:webHidden/>
              </w:rPr>
              <w:tab/>
            </w:r>
            <w:r w:rsidR="00BA70C5">
              <w:rPr>
                <w:noProof/>
                <w:webHidden/>
              </w:rPr>
              <w:fldChar w:fldCharType="begin"/>
            </w:r>
            <w:r w:rsidR="00BA70C5">
              <w:rPr>
                <w:noProof/>
                <w:webHidden/>
              </w:rPr>
              <w:instrText xml:space="preserve"> PAGEREF _Toc74241383 \h </w:instrText>
            </w:r>
            <w:r w:rsidR="00BA70C5">
              <w:rPr>
                <w:noProof/>
                <w:webHidden/>
              </w:rPr>
            </w:r>
            <w:r w:rsidR="00BA70C5">
              <w:rPr>
                <w:noProof/>
                <w:webHidden/>
              </w:rPr>
              <w:fldChar w:fldCharType="separate"/>
            </w:r>
            <w:r w:rsidR="00BA70C5">
              <w:rPr>
                <w:noProof/>
                <w:webHidden/>
              </w:rPr>
              <w:t>25</w:t>
            </w:r>
            <w:r w:rsidR="00BA70C5">
              <w:rPr>
                <w:noProof/>
                <w:webHidden/>
              </w:rPr>
              <w:fldChar w:fldCharType="end"/>
            </w:r>
          </w:hyperlink>
        </w:p>
        <w:p w14:paraId="75151C08" w14:textId="3DBA89A5" w:rsidR="00BA70C5" w:rsidRDefault="00F30208">
          <w:pPr>
            <w:pStyle w:val="TOC3"/>
            <w:tabs>
              <w:tab w:val="right" w:leader="dot" w:pos="9062"/>
            </w:tabs>
            <w:rPr>
              <w:rFonts w:asciiTheme="minorHAnsi" w:eastAsiaTheme="minorEastAsia" w:hAnsiTheme="minorHAnsi" w:cstheme="minorBidi"/>
              <w:i w:val="0"/>
              <w:iCs w:val="0"/>
              <w:noProof/>
              <w:sz w:val="22"/>
              <w:szCs w:val="22"/>
            </w:rPr>
          </w:pPr>
          <w:hyperlink w:anchor="_Toc74241384" w:history="1">
            <w:r w:rsidR="00BA70C5" w:rsidRPr="00FF367A">
              <w:rPr>
                <w:rStyle w:val="Hyperlink"/>
                <w:rFonts w:ascii="Candara" w:hAnsi="Candara"/>
                <w:noProof/>
                <w:lang w:val="fr-FR"/>
              </w:rPr>
              <w:t>2.4.2 Principaux risques environnementaux et sociaux du Programme et mesures d’atténuation</w:t>
            </w:r>
            <w:r w:rsidR="00BA70C5">
              <w:rPr>
                <w:noProof/>
                <w:webHidden/>
              </w:rPr>
              <w:tab/>
            </w:r>
            <w:r w:rsidR="00BA70C5">
              <w:rPr>
                <w:noProof/>
                <w:webHidden/>
              </w:rPr>
              <w:fldChar w:fldCharType="begin"/>
            </w:r>
            <w:r w:rsidR="00BA70C5">
              <w:rPr>
                <w:noProof/>
                <w:webHidden/>
              </w:rPr>
              <w:instrText xml:space="preserve"> PAGEREF _Toc74241384 \h </w:instrText>
            </w:r>
            <w:r w:rsidR="00BA70C5">
              <w:rPr>
                <w:noProof/>
                <w:webHidden/>
              </w:rPr>
            </w:r>
            <w:r w:rsidR="00BA70C5">
              <w:rPr>
                <w:noProof/>
                <w:webHidden/>
              </w:rPr>
              <w:fldChar w:fldCharType="separate"/>
            </w:r>
            <w:r w:rsidR="00BA70C5">
              <w:rPr>
                <w:noProof/>
                <w:webHidden/>
              </w:rPr>
              <w:t>26</w:t>
            </w:r>
            <w:r w:rsidR="00BA70C5">
              <w:rPr>
                <w:noProof/>
                <w:webHidden/>
              </w:rPr>
              <w:fldChar w:fldCharType="end"/>
            </w:r>
          </w:hyperlink>
        </w:p>
        <w:p w14:paraId="45E14D20" w14:textId="3BC3E449" w:rsidR="00BA70C5" w:rsidRDefault="00F30208" w:rsidP="007D7ED0">
          <w:pPr>
            <w:pStyle w:val="TOC2"/>
            <w:rPr>
              <w:rFonts w:asciiTheme="minorHAnsi" w:eastAsiaTheme="minorEastAsia" w:hAnsiTheme="minorHAnsi" w:cstheme="minorBidi"/>
              <w:sz w:val="22"/>
              <w:szCs w:val="22"/>
              <w:lang w:eastAsia="en-US"/>
            </w:rPr>
          </w:pPr>
          <w:hyperlink w:anchor="_Toc74241385" w:history="1">
            <w:r w:rsidR="00BA70C5" w:rsidRPr="00FF367A">
              <w:rPr>
                <w:rStyle w:val="Hyperlink"/>
              </w:rPr>
              <w:t>2.5 Bilan global des risques du Programme selon des principes de base de la PO s’appliquant à un PPR</w:t>
            </w:r>
            <w:r w:rsidR="00BA70C5">
              <w:rPr>
                <w:webHidden/>
              </w:rPr>
              <w:tab/>
            </w:r>
            <w:r w:rsidR="00BA70C5">
              <w:rPr>
                <w:webHidden/>
              </w:rPr>
              <w:fldChar w:fldCharType="begin"/>
            </w:r>
            <w:r w:rsidR="00BA70C5">
              <w:rPr>
                <w:webHidden/>
              </w:rPr>
              <w:instrText xml:space="preserve"> PAGEREF _Toc74241385 \h </w:instrText>
            </w:r>
            <w:r w:rsidR="00BA70C5">
              <w:rPr>
                <w:webHidden/>
              </w:rPr>
            </w:r>
            <w:r w:rsidR="00BA70C5">
              <w:rPr>
                <w:webHidden/>
              </w:rPr>
              <w:fldChar w:fldCharType="separate"/>
            </w:r>
            <w:r w:rsidR="00BA70C5">
              <w:rPr>
                <w:webHidden/>
              </w:rPr>
              <w:t>27</w:t>
            </w:r>
            <w:r w:rsidR="00BA70C5">
              <w:rPr>
                <w:webHidden/>
              </w:rPr>
              <w:fldChar w:fldCharType="end"/>
            </w:r>
          </w:hyperlink>
        </w:p>
        <w:p w14:paraId="6F58A5F4" w14:textId="517F9452" w:rsidR="00BA70C5" w:rsidRDefault="00F30208" w:rsidP="007D7ED0">
          <w:pPr>
            <w:pStyle w:val="TOC2"/>
            <w:rPr>
              <w:rFonts w:asciiTheme="minorHAnsi" w:eastAsiaTheme="minorEastAsia" w:hAnsiTheme="minorHAnsi" w:cstheme="minorBidi"/>
              <w:sz w:val="22"/>
              <w:szCs w:val="22"/>
              <w:lang w:eastAsia="en-US"/>
            </w:rPr>
          </w:pPr>
          <w:hyperlink w:anchor="_Toc74241386" w:history="1">
            <w:r w:rsidR="00BA70C5" w:rsidRPr="00FF367A">
              <w:rPr>
                <w:rStyle w:val="Hyperlink"/>
              </w:rPr>
              <w:t>2.6</w:t>
            </w:r>
            <w:r w:rsidR="00BA70C5">
              <w:rPr>
                <w:rFonts w:asciiTheme="minorHAnsi" w:eastAsiaTheme="minorEastAsia" w:hAnsiTheme="minorHAnsi" w:cstheme="minorBidi"/>
                <w:sz w:val="22"/>
                <w:szCs w:val="22"/>
                <w:lang w:eastAsia="en-US"/>
              </w:rPr>
              <w:tab/>
            </w:r>
            <w:r w:rsidR="00BA70C5" w:rsidRPr="00FF367A">
              <w:rPr>
                <w:rStyle w:val="Hyperlink"/>
              </w:rPr>
              <w:t>Expériences antérieures des institutions impliquées dans le Programme</w:t>
            </w:r>
            <w:r w:rsidR="00BA70C5">
              <w:rPr>
                <w:webHidden/>
              </w:rPr>
              <w:tab/>
            </w:r>
            <w:r w:rsidR="00BA70C5">
              <w:rPr>
                <w:webHidden/>
              </w:rPr>
              <w:fldChar w:fldCharType="begin"/>
            </w:r>
            <w:r w:rsidR="00BA70C5">
              <w:rPr>
                <w:webHidden/>
              </w:rPr>
              <w:instrText xml:space="preserve"> PAGEREF _Toc74241386 \h </w:instrText>
            </w:r>
            <w:r w:rsidR="00BA70C5">
              <w:rPr>
                <w:webHidden/>
              </w:rPr>
            </w:r>
            <w:r w:rsidR="00BA70C5">
              <w:rPr>
                <w:webHidden/>
              </w:rPr>
              <w:fldChar w:fldCharType="separate"/>
            </w:r>
            <w:r w:rsidR="00BA70C5">
              <w:rPr>
                <w:webHidden/>
              </w:rPr>
              <w:t>28</w:t>
            </w:r>
            <w:r w:rsidR="00BA70C5">
              <w:rPr>
                <w:webHidden/>
              </w:rPr>
              <w:fldChar w:fldCharType="end"/>
            </w:r>
          </w:hyperlink>
        </w:p>
        <w:p w14:paraId="36E37FF8" w14:textId="496A4591" w:rsidR="00BA70C5" w:rsidRDefault="00F30208">
          <w:pPr>
            <w:pStyle w:val="TOC1"/>
            <w:rPr>
              <w:rFonts w:asciiTheme="minorHAnsi" w:eastAsiaTheme="minorEastAsia" w:hAnsiTheme="minorHAnsi" w:cstheme="minorBidi"/>
              <w:b w:val="0"/>
              <w:bCs w:val="0"/>
              <w:caps w:val="0"/>
              <w:noProof/>
              <w:sz w:val="22"/>
              <w:szCs w:val="22"/>
            </w:rPr>
          </w:pPr>
          <w:hyperlink w:anchor="_Toc74241387" w:history="1">
            <w:r w:rsidR="00BA70C5" w:rsidRPr="00FF367A">
              <w:rPr>
                <w:rStyle w:val="Hyperlink"/>
                <w:rFonts w:ascii="Candara" w:hAnsi="Candara"/>
                <w:noProof/>
                <w:lang w:val="fr-FR"/>
              </w:rPr>
              <w:t>3. Description des systèmes nationaux</w:t>
            </w:r>
            <w:r w:rsidR="00BA70C5">
              <w:rPr>
                <w:noProof/>
                <w:webHidden/>
              </w:rPr>
              <w:tab/>
            </w:r>
            <w:r w:rsidR="00BA70C5">
              <w:rPr>
                <w:noProof/>
                <w:webHidden/>
              </w:rPr>
              <w:fldChar w:fldCharType="begin"/>
            </w:r>
            <w:r w:rsidR="00BA70C5">
              <w:rPr>
                <w:noProof/>
                <w:webHidden/>
              </w:rPr>
              <w:instrText xml:space="preserve"> PAGEREF _Toc74241387 \h </w:instrText>
            </w:r>
            <w:r w:rsidR="00BA70C5">
              <w:rPr>
                <w:noProof/>
                <w:webHidden/>
              </w:rPr>
            </w:r>
            <w:r w:rsidR="00BA70C5">
              <w:rPr>
                <w:noProof/>
                <w:webHidden/>
              </w:rPr>
              <w:fldChar w:fldCharType="separate"/>
            </w:r>
            <w:r w:rsidR="00BA70C5">
              <w:rPr>
                <w:noProof/>
                <w:webHidden/>
              </w:rPr>
              <w:t>30</w:t>
            </w:r>
            <w:r w:rsidR="00BA70C5">
              <w:rPr>
                <w:noProof/>
                <w:webHidden/>
              </w:rPr>
              <w:fldChar w:fldCharType="end"/>
            </w:r>
          </w:hyperlink>
        </w:p>
        <w:p w14:paraId="50B13086" w14:textId="0843BF92" w:rsidR="00BA70C5" w:rsidRDefault="00F30208" w:rsidP="007D7ED0">
          <w:pPr>
            <w:pStyle w:val="TOC2"/>
            <w:rPr>
              <w:rFonts w:asciiTheme="minorHAnsi" w:eastAsiaTheme="minorEastAsia" w:hAnsiTheme="minorHAnsi" w:cstheme="minorBidi"/>
              <w:sz w:val="22"/>
              <w:szCs w:val="22"/>
              <w:lang w:eastAsia="en-US"/>
            </w:rPr>
          </w:pPr>
          <w:hyperlink w:anchor="_Toc74241388" w:history="1">
            <w:r w:rsidR="00BA70C5" w:rsidRPr="00FF367A">
              <w:rPr>
                <w:rStyle w:val="Hyperlink"/>
                <w:rFonts w:cs="Times New Roman"/>
              </w:rPr>
              <w:t>3.1.</w:t>
            </w:r>
            <w:r w:rsidR="00BA70C5">
              <w:rPr>
                <w:rFonts w:asciiTheme="minorHAnsi" w:eastAsiaTheme="minorEastAsia" w:hAnsiTheme="minorHAnsi" w:cstheme="minorBidi"/>
                <w:sz w:val="22"/>
                <w:szCs w:val="22"/>
                <w:lang w:eastAsia="en-US"/>
              </w:rPr>
              <w:tab/>
            </w:r>
            <w:r w:rsidR="00BA70C5" w:rsidRPr="00FF367A">
              <w:rPr>
                <w:rStyle w:val="Hyperlink"/>
                <w:rFonts w:cs="Times New Roman"/>
              </w:rPr>
              <w:t>Evaluation du système de gestion environnementale applicable au</w:t>
            </w:r>
            <w:r w:rsidR="00BA70C5" w:rsidRPr="00FF367A">
              <w:rPr>
                <w:rStyle w:val="Hyperlink"/>
                <w:rFonts w:ascii="Calibri" w:hAnsi="Calibri"/>
                <w:caps/>
              </w:rPr>
              <w:t xml:space="preserve"> </w:t>
            </w:r>
            <w:r w:rsidR="00BA70C5" w:rsidRPr="00FF367A">
              <w:rPr>
                <w:rStyle w:val="Hyperlink"/>
                <w:rFonts w:cs="Times New Roman"/>
              </w:rPr>
              <w:t>Programme</w:t>
            </w:r>
            <w:r w:rsidR="00BA70C5">
              <w:rPr>
                <w:webHidden/>
              </w:rPr>
              <w:tab/>
            </w:r>
            <w:r w:rsidR="00BA70C5">
              <w:rPr>
                <w:webHidden/>
              </w:rPr>
              <w:fldChar w:fldCharType="begin"/>
            </w:r>
            <w:r w:rsidR="00BA70C5">
              <w:rPr>
                <w:webHidden/>
              </w:rPr>
              <w:instrText xml:space="preserve"> PAGEREF _Toc74241388 \h </w:instrText>
            </w:r>
            <w:r w:rsidR="00BA70C5">
              <w:rPr>
                <w:webHidden/>
              </w:rPr>
            </w:r>
            <w:r w:rsidR="00BA70C5">
              <w:rPr>
                <w:webHidden/>
              </w:rPr>
              <w:fldChar w:fldCharType="separate"/>
            </w:r>
            <w:r w:rsidR="00BA70C5">
              <w:rPr>
                <w:webHidden/>
              </w:rPr>
              <w:t>30</w:t>
            </w:r>
            <w:r w:rsidR="00BA70C5">
              <w:rPr>
                <w:webHidden/>
              </w:rPr>
              <w:fldChar w:fldCharType="end"/>
            </w:r>
          </w:hyperlink>
        </w:p>
        <w:p w14:paraId="389F5FF1" w14:textId="53966606" w:rsidR="00BA70C5" w:rsidRDefault="00F30208">
          <w:pPr>
            <w:pStyle w:val="TOC3"/>
            <w:tabs>
              <w:tab w:val="right" w:leader="dot" w:pos="9062"/>
            </w:tabs>
            <w:rPr>
              <w:rFonts w:asciiTheme="minorHAnsi" w:eastAsiaTheme="minorEastAsia" w:hAnsiTheme="minorHAnsi" w:cstheme="minorBidi"/>
              <w:i w:val="0"/>
              <w:iCs w:val="0"/>
              <w:noProof/>
              <w:sz w:val="22"/>
              <w:szCs w:val="22"/>
            </w:rPr>
          </w:pPr>
          <w:hyperlink w:anchor="_Toc74241389" w:history="1">
            <w:r w:rsidR="00BA70C5" w:rsidRPr="00FF367A">
              <w:rPr>
                <w:rStyle w:val="Hyperlink"/>
                <w:rFonts w:ascii="Candara" w:hAnsi="Candara"/>
                <w:noProof/>
                <w:lang w:val="fr-FR"/>
              </w:rPr>
              <w:t>3.1.1 Politique de gestion et de protection de l’environnement</w:t>
            </w:r>
            <w:r w:rsidR="00BA70C5">
              <w:rPr>
                <w:noProof/>
                <w:webHidden/>
              </w:rPr>
              <w:tab/>
            </w:r>
            <w:r w:rsidR="00BA70C5">
              <w:rPr>
                <w:noProof/>
                <w:webHidden/>
              </w:rPr>
              <w:fldChar w:fldCharType="begin"/>
            </w:r>
            <w:r w:rsidR="00BA70C5">
              <w:rPr>
                <w:noProof/>
                <w:webHidden/>
              </w:rPr>
              <w:instrText xml:space="preserve"> PAGEREF _Toc74241389 \h </w:instrText>
            </w:r>
            <w:r w:rsidR="00BA70C5">
              <w:rPr>
                <w:noProof/>
                <w:webHidden/>
              </w:rPr>
            </w:r>
            <w:r w:rsidR="00BA70C5">
              <w:rPr>
                <w:noProof/>
                <w:webHidden/>
              </w:rPr>
              <w:fldChar w:fldCharType="separate"/>
            </w:r>
            <w:r w:rsidR="00BA70C5">
              <w:rPr>
                <w:noProof/>
                <w:webHidden/>
              </w:rPr>
              <w:t>30</w:t>
            </w:r>
            <w:r w:rsidR="00BA70C5">
              <w:rPr>
                <w:noProof/>
                <w:webHidden/>
              </w:rPr>
              <w:fldChar w:fldCharType="end"/>
            </w:r>
          </w:hyperlink>
        </w:p>
        <w:p w14:paraId="55308388" w14:textId="5DA21998" w:rsidR="00BA70C5" w:rsidRDefault="00F30208">
          <w:pPr>
            <w:pStyle w:val="TOC3"/>
            <w:tabs>
              <w:tab w:val="right" w:leader="dot" w:pos="9062"/>
            </w:tabs>
            <w:rPr>
              <w:rFonts w:asciiTheme="minorHAnsi" w:eastAsiaTheme="minorEastAsia" w:hAnsiTheme="minorHAnsi" w:cstheme="minorBidi"/>
              <w:i w:val="0"/>
              <w:iCs w:val="0"/>
              <w:noProof/>
              <w:sz w:val="22"/>
              <w:szCs w:val="22"/>
            </w:rPr>
          </w:pPr>
          <w:hyperlink w:anchor="_Toc74241390" w:history="1">
            <w:r w:rsidR="00BA70C5" w:rsidRPr="00FF367A">
              <w:rPr>
                <w:rStyle w:val="Hyperlink"/>
                <w:rFonts w:ascii="Candara" w:hAnsi="Candara"/>
                <w:noProof/>
                <w:lang w:val="fr-FR"/>
              </w:rPr>
              <w:t>3.1.2 Dispositif juridique national de la gestion environnementale</w:t>
            </w:r>
            <w:r w:rsidR="00BA70C5">
              <w:rPr>
                <w:noProof/>
                <w:webHidden/>
              </w:rPr>
              <w:tab/>
            </w:r>
            <w:r w:rsidR="00BA70C5">
              <w:rPr>
                <w:noProof/>
                <w:webHidden/>
              </w:rPr>
              <w:fldChar w:fldCharType="begin"/>
            </w:r>
            <w:r w:rsidR="00BA70C5">
              <w:rPr>
                <w:noProof/>
                <w:webHidden/>
              </w:rPr>
              <w:instrText xml:space="preserve"> PAGEREF _Toc74241390 \h </w:instrText>
            </w:r>
            <w:r w:rsidR="00BA70C5">
              <w:rPr>
                <w:noProof/>
                <w:webHidden/>
              </w:rPr>
            </w:r>
            <w:r w:rsidR="00BA70C5">
              <w:rPr>
                <w:noProof/>
                <w:webHidden/>
              </w:rPr>
              <w:fldChar w:fldCharType="separate"/>
            </w:r>
            <w:r w:rsidR="00BA70C5">
              <w:rPr>
                <w:noProof/>
                <w:webHidden/>
              </w:rPr>
              <w:t>33</w:t>
            </w:r>
            <w:r w:rsidR="00BA70C5">
              <w:rPr>
                <w:noProof/>
                <w:webHidden/>
              </w:rPr>
              <w:fldChar w:fldCharType="end"/>
            </w:r>
          </w:hyperlink>
        </w:p>
        <w:p w14:paraId="4132D039" w14:textId="7D8C4475" w:rsidR="00BA70C5" w:rsidRDefault="00F30208">
          <w:pPr>
            <w:pStyle w:val="TOC3"/>
            <w:tabs>
              <w:tab w:val="right" w:leader="dot" w:pos="9062"/>
            </w:tabs>
            <w:rPr>
              <w:rFonts w:asciiTheme="minorHAnsi" w:eastAsiaTheme="minorEastAsia" w:hAnsiTheme="minorHAnsi" w:cstheme="minorBidi"/>
              <w:i w:val="0"/>
              <w:iCs w:val="0"/>
              <w:noProof/>
              <w:sz w:val="22"/>
              <w:szCs w:val="22"/>
            </w:rPr>
          </w:pPr>
          <w:hyperlink w:anchor="_Toc74241391" w:history="1">
            <w:r w:rsidR="00BA70C5" w:rsidRPr="00FF367A">
              <w:rPr>
                <w:rStyle w:val="Hyperlink"/>
                <w:rFonts w:ascii="Candara" w:hAnsi="Candara"/>
                <w:noProof/>
                <w:lang w:val="fr-FR"/>
              </w:rPr>
              <w:t>3.1.3 Procédures de gestion environnementale</w:t>
            </w:r>
            <w:r w:rsidR="00BA70C5">
              <w:rPr>
                <w:noProof/>
                <w:webHidden/>
              </w:rPr>
              <w:tab/>
            </w:r>
            <w:r w:rsidR="00BA70C5">
              <w:rPr>
                <w:noProof/>
                <w:webHidden/>
              </w:rPr>
              <w:fldChar w:fldCharType="begin"/>
            </w:r>
            <w:r w:rsidR="00BA70C5">
              <w:rPr>
                <w:noProof/>
                <w:webHidden/>
              </w:rPr>
              <w:instrText xml:space="preserve"> PAGEREF _Toc74241391 \h </w:instrText>
            </w:r>
            <w:r w:rsidR="00BA70C5">
              <w:rPr>
                <w:noProof/>
                <w:webHidden/>
              </w:rPr>
            </w:r>
            <w:r w:rsidR="00BA70C5">
              <w:rPr>
                <w:noProof/>
                <w:webHidden/>
              </w:rPr>
              <w:fldChar w:fldCharType="separate"/>
            </w:r>
            <w:r w:rsidR="00BA70C5">
              <w:rPr>
                <w:noProof/>
                <w:webHidden/>
              </w:rPr>
              <w:t>34</w:t>
            </w:r>
            <w:r w:rsidR="00BA70C5">
              <w:rPr>
                <w:noProof/>
                <w:webHidden/>
              </w:rPr>
              <w:fldChar w:fldCharType="end"/>
            </w:r>
          </w:hyperlink>
        </w:p>
        <w:p w14:paraId="556AF00D" w14:textId="7C2C7BCE" w:rsidR="00BA70C5" w:rsidRDefault="00F30208">
          <w:pPr>
            <w:pStyle w:val="TOC3"/>
            <w:tabs>
              <w:tab w:val="right" w:leader="dot" w:pos="9062"/>
            </w:tabs>
            <w:rPr>
              <w:rFonts w:asciiTheme="minorHAnsi" w:eastAsiaTheme="minorEastAsia" w:hAnsiTheme="minorHAnsi" w:cstheme="minorBidi"/>
              <w:i w:val="0"/>
              <w:iCs w:val="0"/>
              <w:noProof/>
              <w:sz w:val="22"/>
              <w:szCs w:val="22"/>
            </w:rPr>
          </w:pPr>
          <w:hyperlink w:anchor="_Toc74241392" w:history="1">
            <w:r w:rsidR="00BA70C5" w:rsidRPr="00FF367A">
              <w:rPr>
                <w:rStyle w:val="Hyperlink"/>
                <w:rFonts w:ascii="Candara" w:hAnsi="Candara"/>
                <w:noProof/>
                <w:lang w:val="fr-FR"/>
              </w:rPr>
              <w:t>3.1.4 Cadre institutionnel national de gestion environnementale</w:t>
            </w:r>
            <w:r w:rsidR="00BA70C5">
              <w:rPr>
                <w:noProof/>
                <w:webHidden/>
              </w:rPr>
              <w:tab/>
            </w:r>
            <w:r w:rsidR="00BA70C5">
              <w:rPr>
                <w:noProof/>
                <w:webHidden/>
              </w:rPr>
              <w:fldChar w:fldCharType="begin"/>
            </w:r>
            <w:r w:rsidR="00BA70C5">
              <w:rPr>
                <w:noProof/>
                <w:webHidden/>
              </w:rPr>
              <w:instrText xml:space="preserve"> PAGEREF _Toc74241392 \h </w:instrText>
            </w:r>
            <w:r w:rsidR="00BA70C5">
              <w:rPr>
                <w:noProof/>
                <w:webHidden/>
              </w:rPr>
            </w:r>
            <w:r w:rsidR="00BA70C5">
              <w:rPr>
                <w:noProof/>
                <w:webHidden/>
              </w:rPr>
              <w:fldChar w:fldCharType="separate"/>
            </w:r>
            <w:r w:rsidR="00BA70C5">
              <w:rPr>
                <w:noProof/>
                <w:webHidden/>
              </w:rPr>
              <w:t>36</w:t>
            </w:r>
            <w:r w:rsidR="00BA70C5">
              <w:rPr>
                <w:noProof/>
                <w:webHidden/>
              </w:rPr>
              <w:fldChar w:fldCharType="end"/>
            </w:r>
          </w:hyperlink>
        </w:p>
        <w:p w14:paraId="0287F84B" w14:textId="47FA9394" w:rsidR="00BA70C5" w:rsidRPr="007D7ED0" w:rsidRDefault="00F30208" w:rsidP="007D7ED0">
          <w:pPr>
            <w:pStyle w:val="TOC2"/>
            <w:rPr>
              <w:rFonts w:asciiTheme="minorHAnsi" w:eastAsiaTheme="minorEastAsia" w:hAnsiTheme="minorHAnsi" w:cstheme="minorBidi"/>
              <w:sz w:val="22"/>
              <w:szCs w:val="22"/>
              <w:lang w:eastAsia="en-US"/>
            </w:rPr>
          </w:pPr>
          <w:hyperlink w:anchor="_Toc74241393" w:history="1">
            <w:r w:rsidR="00BA70C5" w:rsidRPr="007D7ED0">
              <w:rPr>
                <w:rStyle w:val="Hyperlink"/>
              </w:rPr>
              <w:t>3.2 Systèmes de gestion sociale</w:t>
            </w:r>
            <w:r w:rsidR="00BA70C5" w:rsidRPr="007D7ED0">
              <w:rPr>
                <w:webHidden/>
              </w:rPr>
              <w:tab/>
            </w:r>
            <w:r w:rsidR="00BA70C5" w:rsidRPr="007D7ED0">
              <w:rPr>
                <w:webHidden/>
              </w:rPr>
              <w:fldChar w:fldCharType="begin"/>
            </w:r>
            <w:r w:rsidR="00BA70C5" w:rsidRPr="007D7ED0">
              <w:rPr>
                <w:webHidden/>
              </w:rPr>
              <w:instrText xml:space="preserve"> PAGEREF _Toc74241393 \h </w:instrText>
            </w:r>
            <w:r w:rsidR="00BA70C5" w:rsidRPr="007D7ED0">
              <w:rPr>
                <w:webHidden/>
              </w:rPr>
            </w:r>
            <w:r w:rsidR="00BA70C5" w:rsidRPr="007D7ED0">
              <w:rPr>
                <w:webHidden/>
              </w:rPr>
              <w:fldChar w:fldCharType="separate"/>
            </w:r>
            <w:r w:rsidR="00BA70C5" w:rsidRPr="007D7ED0">
              <w:rPr>
                <w:webHidden/>
              </w:rPr>
              <w:t>39</w:t>
            </w:r>
            <w:r w:rsidR="00BA70C5" w:rsidRPr="007D7ED0">
              <w:rPr>
                <w:webHidden/>
              </w:rPr>
              <w:fldChar w:fldCharType="end"/>
            </w:r>
          </w:hyperlink>
        </w:p>
        <w:p w14:paraId="354D195B" w14:textId="329E571B" w:rsidR="00BA70C5" w:rsidRDefault="00F30208">
          <w:pPr>
            <w:pStyle w:val="TOC3"/>
            <w:tabs>
              <w:tab w:val="right" w:leader="dot" w:pos="9062"/>
            </w:tabs>
            <w:rPr>
              <w:rFonts w:asciiTheme="minorHAnsi" w:eastAsiaTheme="minorEastAsia" w:hAnsiTheme="minorHAnsi" w:cstheme="minorBidi"/>
              <w:i w:val="0"/>
              <w:iCs w:val="0"/>
              <w:noProof/>
              <w:sz w:val="22"/>
              <w:szCs w:val="22"/>
            </w:rPr>
          </w:pPr>
          <w:hyperlink w:anchor="_Toc74241394" w:history="1">
            <w:r w:rsidR="00BA70C5" w:rsidRPr="00FF367A">
              <w:rPr>
                <w:rStyle w:val="Hyperlink"/>
                <w:rFonts w:ascii="Candara" w:hAnsi="Candara"/>
                <w:noProof/>
                <w:lang w:val="fr-FR"/>
              </w:rPr>
              <w:t>3.2.1 Cadre juridique et réglementaire de la gestion sociale</w:t>
            </w:r>
            <w:r w:rsidR="00BA70C5">
              <w:rPr>
                <w:noProof/>
                <w:webHidden/>
              </w:rPr>
              <w:tab/>
            </w:r>
            <w:r w:rsidR="00BA70C5">
              <w:rPr>
                <w:noProof/>
                <w:webHidden/>
              </w:rPr>
              <w:fldChar w:fldCharType="begin"/>
            </w:r>
            <w:r w:rsidR="00BA70C5">
              <w:rPr>
                <w:noProof/>
                <w:webHidden/>
              </w:rPr>
              <w:instrText xml:space="preserve"> PAGEREF _Toc74241394 \h </w:instrText>
            </w:r>
            <w:r w:rsidR="00BA70C5">
              <w:rPr>
                <w:noProof/>
                <w:webHidden/>
              </w:rPr>
            </w:r>
            <w:r w:rsidR="00BA70C5">
              <w:rPr>
                <w:noProof/>
                <w:webHidden/>
              </w:rPr>
              <w:fldChar w:fldCharType="separate"/>
            </w:r>
            <w:r w:rsidR="00BA70C5">
              <w:rPr>
                <w:noProof/>
                <w:webHidden/>
              </w:rPr>
              <w:t>39</w:t>
            </w:r>
            <w:r w:rsidR="00BA70C5">
              <w:rPr>
                <w:noProof/>
                <w:webHidden/>
              </w:rPr>
              <w:fldChar w:fldCharType="end"/>
            </w:r>
          </w:hyperlink>
        </w:p>
        <w:p w14:paraId="69D2962B" w14:textId="7FFE8229" w:rsidR="00BA70C5" w:rsidRDefault="00F30208">
          <w:pPr>
            <w:pStyle w:val="TOC3"/>
            <w:tabs>
              <w:tab w:val="right" w:leader="dot" w:pos="9062"/>
            </w:tabs>
            <w:rPr>
              <w:rFonts w:asciiTheme="minorHAnsi" w:eastAsiaTheme="minorEastAsia" w:hAnsiTheme="minorHAnsi" w:cstheme="minorBidi"/>
              <w:i w:val="0"/>
              <w:iCs w:val="0"/>
              <w:noProof/>
              <w:sz w:val="22"/>
              <w:szCs w:val="22"/>
            </w:rPr>
          </w:pPr>
          <w:hyperlink w:anchor="_Toc74241395" w:history="1">
            <w:r w:rsidR="00BA70C5" w:rsidRPr="00FF367A">
              <w:rPr>
                <w:rStyle w:val="Hyperlink"/>
                <w:rFonts w:ascii="Candara" w:hAnsi="Candara"/>
                <w:noProof/>
                <w:lang w:val="fr-FR"/>
              </w:rPr>
              <w:t>3.2.2 Principales institutions concernées par la gestion sociale</w:t>
            </w:r>
            <w:r w:rsidR="00BA70C5">
              <w:rPr>
                <w:noProof/>
                <w:webHidden/>
              </w:rPr>
              <w:tab/>
            </w:r>
            <w:r w:rsidR="00BA70C5">
              <w:rPr>
                <w:noProof/>
                <w:webHidden/>
              </w:rPr>
              <w:fldChar w:fldCharType="begin"/>
            </w:r>
            <w:r w:rsidR="00BA70C5">
              <w:rPr>
                <w:noProof/>
                <w:webHidden/>
              </w:rPr>
              <w:instrText xml:space="preserve"> PAGEREF _Toc74241395 \h </w:instrText>
            </w:r>
            <w:r w:rsidR="00BA70C5">
              <w:rPr>
                <w:noProof/>
                <w:webHidden/>
              </w:rPr>
            </w:r>
            <w:r w:rsidR="00BA70C5">
              <w:rPr>
                <w:noProof/>
                <w:webHidden/>
              </w:rPr>
              <w:fldChar w:fldCharType="separate"/>
            </w:r>
            <w:r w:rsidR="00BA70C5">
              <w:rPr>
                <w:noProof/>
                <w:webHidden/>
              </w:rPr>
              <w:t>44</w:t>
            </w:r>
            <w:r w:rsidR="00BA70C5">
              <w:rPr>
                <w:noProof/>
                <w:webHidden/>
              </w:rPr>
              <w:fldChar w:fldCharType="end"/>
            </w:r>
          </w:hyperlink>
        </w:p>
        <w:p w14:paraId="4ED7E5DB" w14:textId="5A88B6C3" w:rsidR="00BA70C5" w:rsidRDefault="00F30208">
          <w:pPr>
            <w:pStyle w:val="TOC3"/>
            <w:tabs>
              <w:tab w:val="right" w:leader="dot" w:pos="9062"/>
            </w:tabs>
            <w:rPr>
              <w:rFonts w:asciiTheme="minorHAnsi" w:eastAsiaTheme="minorEastAsia" w:hAnsiTheme="minorHAnsi" w:cstheme="minorBidi"/>
              <w:i w:val="0"/>
              <w:iCs w:val="0"/>
              <w:noProof/>
              <w:sz w:val="22"/>
              <w:szCs w:val="22"/>
            </w:rPr>
          </w:pPr>
          <w:hyperlink w:anchor="_Toc74241396" w:history="1">
            <w:r w:rsidR="00BA70C5" w:rsidRPr="00FF367A">
              <w:rPr>
                <w:rStyle w:val="Hyperlink"/>
                <w:rFonts w:ascii="Candara" w:hAnsi="Candara"/>
                <w:noProof/>
                <w:lang w:val="fr-FR"/>
              </w:rPr>
              <w:t>3.2.3 Procédures de gestion sociale applicables</w:t>
            </w:r>
            <w:r w:rsidR="00BA70C5">
              <w:rPr>
                <w:noProof/>
                <w:webHidden/>
              </w:rPr>
              <w:tab/>
            </w:r>
            <w:r w:rsidR="00BA70C5">
              <w:rPr>
                <w:noProof/>
                <w:webHidden/>
              </w:rPr>
              <w:fldChar w:fldCharType="begin"/>
            </w:r>
            <w:r w:rsidR="00BA70C5">
              <w:rPr>
                <w:noProof/>
                <w:webHidden/>
              </w:rPr>
              <w:instrText xml:space="preserve"> PAGEREF _Toc74241396 \h </w:instrText>
            </w:r>
            <w:r w:rsidR="00BA70C5">
              <w:rPr>
                <w:noProof/>
                <w:webHidden/>
              </w:rPr>
            </w:r>
            <w:r w:rsidR="00BA70C5">
              <w:rPr>
                <w:noProof/>
                <w:webHidden/>
              </w:rPr>
              <w:fldChar w:fldCharType="separate"/>
            </w:r>
            <w:r w:rsidR="00BA70C5">
              <w:rPr>
                <w:noProof/>
                <w:webHidden/>
              </w:rPr>
              <w:t>44</w:t>
            </w:r>
            <w:r w:rsidR="00BA70C5">
              <w:rPr>
                <w:noProof/>
                <w:webHidden/>
              </w:rPr>
              <w:fldChar w:fldCharType="end"/>
            </w:r>
          </w:hyperlink>
        </w:p>
        <w:p w14:paraId="4B99F486" w14:textId="5A4659AA" w:rsidR="00BA70C5" w:rsidRDefault="00F30208">
          <w:pPr>
            <w:pStyle w:val="TOC1"/>
            <w:rPr>
              <w:rFonts w:asciiTheme="minorHAnsi" w:eastAsiaTheme="minorEastAsia" w:hAnsiTheme="minorHAnsi" w:cstheme="minorBidi"/>
              <w:b w:val="0"/>
              <w:bCs w:val="0"/>
              <w:caps w:val="0"/>
              <w:noProof/>
              <w:sz w:val="22"/>
              <w:szCs w:val="22"/>
            </w:rPr>
          </w:pPr>
          <w:hyperlink w:anchor="_Toc74241397" w:history="1">
            <w:r w:rsidR="00BA70C5" w:rsidRPr="00FF367A">
              <w:rPr>
                <w:rStyle w:val="Hyperlink"/>
                <w:rFonts w:ascii="Candara" w:hAnsi="Candara"/>
                <w:noProof/>
                <w:lang w:val="fr-FR"/>
              </w:rPr>
              <w:t>4 Évaluation de la capacité et de la performance institutionnelle</w:t>
            </w:r>
            <w:r w:rsidR="00BA70C5">
              <w:rPr>
                <w:noProof/>
                <w:webHidden/>
              </w:rPr>
              <w:tab/>
            </w:r>
            <w:r w:rsidR="00BA70C5">
              <w:rPr>
                <w:noProof/>
                <w:webHidden/>
              </w:rPr>
              <w:fldChar w:fldCharType="begin"/>
            </w:r>
            <w:r w:rsidR="00BA70C5">
              <w:rPr>
                <w:noProof/>
                <w:webHidden/>
              </w:rPr>
              <w:instrText xml:space="preserve"> PAGEREF _Toc74241397 \h </w:instrText>
            </w:r>
            <w:r w:rsidR="00BA70C5">
              <w:rPr>
                <w:noProof/>
                <w:webHidden/>
              </w:rPr>
            </w:r>
            <w:r w:rsidR="00BA70C5">
              <w:rPr>
                <w:noProof/>
                <w:webHidden/>
              </w:rPr>
              <w:fldChar w:fldCharType="separate"/>
            </w:r>
            <w:r w:rsidR="00BA70C5">
              <w:rPr>
                <w:noProof/>
                <w:webHidden/>
              </w:rPr>
              <w:t>46</w:t>
            </w:r>
            <w:r w:rsidR="00BA70C5">
              <w:rPr>
                <w:noProof/>
                <w:webHidden/>
              </w:rPr>
              <w:fldChar w:fldCharType="end"/>
            </w:r>
          </w:hyperlink>
        </w:p>
        <w:p w14:paraId="6C469D15" w14:textId="7FD09C44" w:rsidR="00BA70C5" w:rsidRDefault="00F30208" w:rsidP="007D7ED0">
          <w:pPr>
            <w:pStyle w:val="TOC2"/>
            <w:rPr>
              <w:rFonts w:asciiTheme="minorHAnsi" w:eastAsiaTheme="minorEastAsia" w:hAnsiTheme="minorHAnsi" w:cstheme="minorBidi"/>
              <w:sz w:val="22"/>
              <w:szCs w:val="22"/>
              <w:lang w:eastAsia="en-US"/>
            </w:rPr>
          </w:pPr>
          <w:hyperlink w:anchor="_Toc74241398" w:history="1">
            <w:r w:rsidR="00BA70C5" w:rsidRPr="00FF367A">
              <w:rPr>
                <w:rStyle w:val="Hyperlink"/>
              </w:rPr>
              <w:t>4.1 Adéquation des systèmes applicables</w:t>
            </w:r>
            <w:r w:rsidR="00BA70C5">
              <w:rPr>
                <w:webHidden/>
              </w:rPr>
              <w:tab/>
            </w:r>
            <w:r w:rsidR="00BA70C5">
              <w:rPr>
                <w:webHidden/>
              </w:rPr>
              <w:fldChar w:fldCharType="begin"/>
            </w:r>
            <w:r w:rsidR="00BA70C5">
              <w:rPr>
                <w:webHidden/>
              </w:rPr>
              <w:instrText xml:space="preserve"> PAGEREF _Toc74241398 \h </w:instrText>
            </w:r>
            <w:r w:rsidR="00BA70C5">
              <w:rPr>
                <w:webHidden/>
              </w:rPr>
            </w:r>
            <w:r w:rsidR="00BA70C5">
              <w:rPr>
                <w:webHidden/>
              </w:rPr>
              <w:fldChar w:fldCharType="separate"/>
            </w:r>
            <w:r w:rsidR="00BA70C5">
              <w:rPr>
                <w:webHidden/>
              </w:rPr>
              <w:t>46</w:t>
            </w:r>
            <w:r w:rsidR="00BA70C5">
              <w:rPr>
                <w:webHidden/>
              </w:rPr>
              <w:fldChar w:fldCharType="end"/>
            </w:r>
          </w:hyperlink>
        </w:p>
        <w:p w14:paraId="6C0517C0" w14:textId="04E83B32" w:rsidR="00BA70C5" w:rsidRDefault="00F30208">
          <w:pPr>
            <w:pStyle w:val="TOC3"/>
            <w:tabs>
              <w:tab w:val="left" w:pos="1200"/>
              <w:tab w:val="right" w:leader="dot" w:pos="9062"/>
            </w:tabs>
            <w:rPr>
              <w:rFonts w:asciiTheme="minorHAnsi" w:eastAsiaTheme="minorEastAsia" w:hAnsiTheme="minorHAnsi" w:cstheme="minorBidi"/>
              <w:i w:val="0"/>
              <w:iCs w:val="0"/>
              <w:noProof/>
              <w:sz w:val="22"/>
              <w:szCs w:val="22"/>
            </w:rPr>
          </w:pPr>
          <w:hyperlink w:anchor="_Toc74241399" w:history="1">
            <w:r w:rsidR="00BA70C5" w:rsidRPr="00FF367A">
              <w:rPr>
                <w:rStyle w:val="Hyperlink"/>
                <w:rFonts w:ascii="Candara" w:hAnsi="Candara" w:cstheme="minorHAnsi"/>
                <w:noProof/>
                <w:lang w:val="fr-FR"/>
              </w:rPr>
              <w:t>4.1.1</w:t>
            </w:r>
            <w:r w:rsidR="00BA70C5">
              <w:rPr>
                <w:rFonts w:asciiTheme="minorHAnsi" w:eastAsiaTheme="minorEastAsia" w:hAnsiTheme="minorHAnsi" w:cstheme="minorBidi"/>
                <w:i w:val="0"/>
                <w:iCs w:val="0"/>
                <w:noProof/>
                <w:sz w:val="22"/>
                <w:szCs w:val="22"/>
              </w:rPr>
              <w:tab/>
            </w:r>
            <w:r w:rsidR="00BA70C5" w:rsidRPr="00FF367A">
              <w:rPr>
                <w:rStyle w:val="Hyperlink"/>
                <w:rFonts w:ascii="Candara" w:hAnsi="Candara" w:cstheme="minorHAnsi"/>
                <w:noProof/>
                <w:lang w:val="fr-FR"/>
              </w:rPr>
              <w:t>Système de gestion environnementale</w:t>
            </w:r>
            <w:r w:rsidR="00BA70C5">
              <w:rPr>
                <w:noProof/>
                <w:webHidden/>
              </w:rPr>
              <w:tab/>
            </w:r>
            <w:r w:rsidR="00BA70C5">
              <w:rPr>
                <w:noProof/>
                <w:webHidden/>
              </w:rPr>
              <w:fldChar w:fldCharType="begin"/>
            </w:r>
            <w:r w:rsidR="00BA70C5">
              <w:rPr>
                <w:noProof/>
                <w:webHidden/>
              </w:rPr>
              <w:instrText xml:space="preserve"> PAGEREF _Toc74241399 \h </w:instrText>
            </w:r>
            <w:r w:rsidR="00BA70C5">
              <w:rPr>
                <w:noProof/>
                <w:webHidden/>
              </w:rPr>
            </w:r>
            <w:r w:rsidR="00BA70C5">
              <w:rPr>
                <w:noProof/>
                <w:webHidden/>
              </w:rPr>
              <w:fldChar w:fldCharType="separate"/>
            </w:r>
            <w:r w:rsidR="00BA70C5">
              <w:rPr>
                <w:noProof/>
                <w:webHidden/>
              </w:rPr>
              <w:t>46</w:t>
            </w:r>
            <w:r w:rsidR="00BA70C5">
              <w:rPr>
                <w:noProof/>
                <w:webHidden/>
              </w:rPr>
              <w:fldChar w:fldCharType="end"/>
            </w:r>
          </w:hyperlink>
        </w:p>
        <w:p w14:paraId="1A6D1AF6" w14:textId="57CC3CBB" w:rsidR="00BA70C5" w:rsidRDefault="00F30208">
          <w:pPr>
            <w:pStyle w:val="TOC3"/>
            <w:tabs>
              <w:tab w:val="left" w:pos="1200"/>
              <w:tab w:val="right" w:leader="dot" w:pos="9062"/>
            </w:tabs>
            <w:rPr>
              <w:rFonts w:asciiTheme="minorHAnsi" w:eastAsiaTheme="minorEastAsia" w:hAnsiTheme="minorHAnsi" w:cstheme="minorBidi"/>
              <w:i w:val="0"/>
              <w:iCs w:val="0"/>
              <w:noProof/>
              <w:sz w:val="22"/>
              <w:szCs w:val="22"/>
            </w:rPr>
          </w:pPr>
          <w:hyperlink w:anchor="_Toc74241400" w:history="1">
            <w:r w:rsidR="00BA70C5" w:rsidRPr="00FF367A">
              <w:rPr>
                <w:rStyle w:val="Hyperlink"/>
                <w:rFonts w:ascii="Candara" w:hAnsi="Candara" w:cstheme="minorHAnsi"/>
                <w:noProof/>
                <w:lang w:val="fr-FR"/>
              </w:rPr>
              <w:t>4.1.2</w:t>
            </w:r>
            <w:r w:rsidR="00BA70C5">
              <w:rPr>
                <w:rFonts w:asciiTheme="minorHAnsi" w:eastAsiaTheme="minorEastAsia" w:hAnsiTheme="minorHAnsi" w:cstheme="minorBidi"/>
                <w:i w:val="0"/>
                <w:iCs w:val="0"/>
                <w:noProof/>
                <w:sz w:val="22"/>
                <w:szCs w:val="22"/>
              </w:rPr>
              <w:tab/>
            </w:r>
            <w:r w:rsidR="00BA70C5" w:rsidRPr="00FF367A">
              <w:rPr>
                <w:rStyle w:val="Hyperlink"/>
                <w:rFonts w:ascii="Candara" w:hAnsi="Candara" w:cstheme="minorHAnsi"/>
                <w:noProof/>
                <w:lang w:val="fr-FR"/>
              </w:rPr>
              <w:t>Système de gestion sociale</w:t>
            </w:r>
            <w:r w:rsidR="00BA70C5">
              <w:rPr>
                <w:noProof/>
                <w:webHidden/>
              </w:rPr>
              <w:tab/>
            </w:r>
            <w:r w:rsidR="00BA70C5">
              <w:rPr>
                <w:noProof/>
                <w:webHidden/>
              </w:rPr>
              <w:fldChar w:fldCharType="begin"/>
            </w:r>
            <w:r w:rsidR="00BA70C5">
              <w:rPr>
                <w:noProof/>
                <w:webHidden/>
              </w:rPr>
              <w:instrText xml:space="preserve"> PAGEREF _Toc74241400 \h </w:instrText>
            </w:r>
            <w:r w:rsidR="00BA70C5">
              <w:rPr>
                <w:noProof/>
                <w:webHidden/>
              </w:rPr>
            </w:r>
            <w:r w:rsidR="00BA70C5">
              <w:rPr>
                <w:noProof/>
                <w:webHidden/>
              </w:rPr>
              <w:fldChar w:fldCharType="separate"/>
            </w:r>
            <w:r w:rsidR="00BA70C5">
              <w:rPr>
                <w:noProof/>
                <w:webHidden/>
              </w:rPr>
              <w:t>47</w:t>
            </w:r>
            <w:r w:rsidR="00BA70C5">
              <w:rPr>
                <w:noProof/>
                <w:webHidden/>
              </w:rPr>
              <w:fldChar w:fldCharType="end"/>
            </w:r>
          </w:hyperlink>
        </w:p>
        <w:p w14:paraId="66B00CBB" w14:textId="59D36E2E" w:rsidR="00BA70C5" w:rsidRDefault="00F30208" w:rsidP="007D7ED0">
          <w:pPr>
            <w:pStyle w:val="TOC2"/>
            <w:rPr>
              <w:rFonts w:asciiTheme="minorHAnsi" w:eastAsiaTheme="minorEastAsia" w:hAnsiTheme="minorHAnsi" w:cstheme="minorBidi"/>
              <w:sz w:val="22"/>
              <w:szCs w:val="22"/>
              <w:lang w:eastAsia="en-US"/>
            </w:rPr>
          </w:pPr>
          <w:hyperlink w:anchor="_Toc74241401" w:history="1">
            <w:r w:rsidR="00BA70C5" w:rsidRPr="00FF367A">
              <w:rPr>
                <w:rStyle w:val="Hyperlink"/>
                <w:rFonts w:cstheme="minorHAnsi"/>
              </w:rPr>
              <w:t>4.2 Adéquation de la capacité institutionnelle et des mécanismes de coordination</w:t>
            </w:r>
            <w:r w:rsidR="00BA70C5">
              <w:rPr>
                <w:webHidden/>
              </w:rPr>
              <w:tab/>
            </w:r>
            <w:r w:rsidR="00BA70C5">
              <w:rPr>
                <w:webHidden/>
              </w:rPr>
              <w:fldChar w:fldCharType="begin"/>
            </w:r>
            <w:r w:rsidR="00BA70C5">
              <w:rPr>
                <w:webHidden/>
              </w:rPr>
              <w:instrText xml:space="preserve"> PAGEREF _Toc74241401 \h </w:instrText>
            </w:r>
            <w:r w:rsidR="00BA70C5">
              <w:rPr>
                <w:webHidden/>
              </w:rPr>
            </w:r>
            <w:r w:rsidR="00BA70C5">
              <w:rPr>
                <w:webHidden/>
              </w:rPr>
              <w:fldChar w:fldCharType="separate"/>
            </w:r>
            <w:r w:rsidR="00BA70C5">
              <w:rPr>
                <w:webHidden/>
              </w:rPr>
              <w:t>47</w:t>
            </w:r>
            <w:r w:rsidR="00BA70C5">
              <w:rPr>
                <w:webHidden/>
              </w:rPr>
              <w:fldChar w:fldCharType="end"/>
            </w:r>
          </w:hyperlink>
        </w:p>
        <w:p w14:paraId="0AE55913" w14:textId="47A695B3" w:rsidR="00BA70C5" w:rsidRDefault="00F30208">
          <w:pPr>
            <w:pStyle w:val="TOC3"/>
            <w:tabs>
              <w:tab w:val="right" w:leader="dot" w:pos="9062"/>
            </w:tabs>
            <w:rPr>
              <w:rFonts w:asciiTheme="minorHAnsi" w:eastAsiaTheme="minorEastAsia" w:hAnsiTheme="minorHAnsi" w:cstheme="minorBidi"/>
              <w:i w:val="0"/>
              <w:iCs w:val="0"/>
              <w:noProof/>
              <w:sz w:val="22"/>
              <w:szCs w:val="22"/>
            </w:rPr>
          </w:pPr>
          <w:hyperlink w:anchor="_Toc74241402" w:history="1">
            <w:r w:rsidR="00BA70C5" w:rsidRPr="00FF367A">
              <w:rPr>
                <w:rStyle w:val="Hyperlink"/>
                <w:rFonts w:ascii="Candara" w:hAnsi="Candara" w:cstheme="minorHAnsi"/>
                <w:noProof/>
                <w:lang w:val="fr-FR"/>
              </w:rPr>
              <w:t>4.2.1 Capacités de gestion environnementale</w:t>
            </w:r>
            <w:r w:rsidR="00BA70C5">
              <w:rPr>
                <w:noProof/>
                <w:webHidden/>
              </w:rPr>
              <w:tab/>
            </w:r>
            <w:r w:rsidR="00BA70C5">
              <w:rPr>
                <w:noProof/>
                <w:webHidden/>
              </w:rPr>
              <w:fldChar w:fldCharType="begin"/>
            </w:r>
            <w:r w:rsidR="00BA70C5">
              <w:rPr>
                <w:noProof/>
                <w:webHidden/>
              </w:rPr>
              <w:instrText xml:space="preserve"> PAGEREF _Toc74241402 \h </w:instrText>
            </w:r>
            <w:r w:rsidR="00BA70C5">
              <w:rPr>
                <w:noProof/>
                <w:webHidden/>
              </w:rPr>
            </w:r>
            <w:r w:rsidR="00BA70C5">
              <w:rPr>
                <w:noProof/>
                <w:webHidden/>
              </w:rPr>
              <w:fldChar w:fldCharType="separate"/>
            </w:r>
            <w:r w:rsidR="00BA70C5">
              <w:rPr>
                <w:noProof/>
                <w:webHidden/>
              </w:rPr>
              <w:t>47</w:t>
            </w:r>
            <w:r w:rsidR="00BA70C5">
              <w:rPr>
                <w:noProof/>
                <w:webHidden/>
              </w:rPr>
              <w:fldChar w:fldCharType="end"/>
            </w:r>
          </w:hyperlink>
        </w:p>
        <w:p w14:paraId="1B96DA0A" w14:textId="5062E808" w:rsidR="00BA70C5" w:rsidRDefault="00F30208">
          <w:pPr>
            <w:pStyle w:val="TOC3"/>
            <w:tabs>
              <w:tab w:val="right" w:leader="dot" w:pos="9062"/>
            </w:tabs>
            <w:rPr>
              <w:rFonts w:asciiTheme="minorHAnsi" w:eastAsiaTheme="minorEastAsia" w:hAnsiTheme="minorHAnsi" w:cstheme="minorBidi"/>
              <w:i w:val="0"/>
              <w:iCs w:val="0"/>
              <w:noProof/>
              <w:sz w:val="22"/>
              <w:szCs w:val="22"/>
            </w:rPr>
          </w:pPr>
          <w:hyperlink w:anchor="_Toc74241403" w:history="1">
            <w:r w:rsidR="00BA70C5" w:rsidRPr="00FF367A">
              <w:rPr>
                <w:rStyle w:val="Hyperlink"/>
                <w:rFonts w:ascii="Candara" w:hAnsi="Candara" w:cstheme="minorHAnsi"/>
                <w:noProof/>
                <w:lang w:val="fr-FR"/>
              </w:rPr>
              <w:t>4.2.2 Capacités de gestion sociale</w:t>
            </w:r>
            <w:r w:rsidR="00BA70C5">
              <w:rPr>
                <w:noProof/>
                <w:webHidden/>
              </w:rPr>
              <w:tab/>
            </w:r>
            <w:r w:rsidR="00BA70C5">
              <w:rPr>
                <w:noProof/>
                <w:webHidden/>
              </w:rPr>
              <w:fldChar w:fldCharType="begin"/>
            </w:r>
            <w:r w:rsidR="00BA70C5">
              <w:rPr>
                <w:noProof/>
                <w:webHidden/>
              </w:rPr>
              <w:instrText xml:space="preserve"> PAGEREF _Toc74241403 \h </w:instrText>
            </w:r>
            <w:r w:rsidR="00BA70C5">
              <w:rPr>
                <w:noProof/>
                <w:webHidden/>
              </w:rPr>
            </w:r>
            <w:r w:rsidR="00BA70C5">
              <w:rPr>
                <w:noProof/>
                <w:webHidden/>
              </w:rPr>
              <w:fldChar w:fldCharType="separate"/>
            </w:r>
            <w:r w:rsidR="00BA70C5">
              <w:rPr>
                <w:noProof/>
                <w:webHidden/>
              </w:rPr>
              <w:t>48</w:t>
            </w:r>
            <w:r w:rsidR="00BA70C5">
              <w:rPr>
                <w:noProof/>
                <w:webHidden/>
              </w:rPr>
              <w:fldChar w:fldCharType="end"/>
            </w:r>
          </w:hyperlink>
        </w:p>
        <w:p w14:paraId="05376497" w14:textId="7096644A" w:rsidR="00BA70C5" w:rsidRDefault="00F30208">
          <w:pPr>
            <w:pStyle w:val="TOC1"/>
            <w:rPr>
              <w:rFonts w:asciiTheme="minorHAnsi" w:eastAsiaTheme="minorEastAsia" w:hAnsiTheme="minorHAnsi" w:cstheme="minorBidi"/>
              <w:b w:val="0"/>
              <w:bCs w:val="0"/>
              <w:caps w:val="0"/>
              <w:noProof/>
              <w:sz w:val="22"/>
              <w:szCs w:val="22"/>
            </w:rPr>
          </w:pPr>
          <w:hyperlink w:anchor="_Toc74241404" w:history="1">
            <w:r w:rsidR="00BA70C5" w:rsidRPr="00FF367A">
              <w:rPr>
                <w:rStyle w:val="Hyperlink"/>
                <w:rFonts w:ascii="Candara" w:hAnsi="Candara"/>
                <w:noProof/>
                <w:lang w:val="fr-FR"/>
              </w:rPr>
              <w:t>5. Conclusions et recommandations</w:t>
            </w:r>
            <w:r w:rsidR="00BA70C5">
              <w:rPr>
                <w:noProof/>
                <w:webHidden/>
              </w:rPr>
              <w:tab/>
            </w:r>
            <w:r w:rsidR="00BA70C5">
              <w:rPr>
                <w:noProof/>
                <w:webHidden/>
              </w:rPr>
              <w:fldChar w:fldCharType="begin"/>
            </w:r>
            <w:r w:rsidR="00BA70C5">
              <w:rPr>
                <w:noProof/>
                <w:webHidden/>
              </w:rPr>
              <w:instrText xml:space="preserve"> PAGEREF _Toc74241404 \h </w:instrText>
            </w:r>
            <w:r w:rsidR="00BA70C5">
              <w:rPr>
                <w:noProof/>
                <w:webHidden/>
              </w:rPr>
            </w:r>
            <w:r w:rsidR="00BA70C5">
              <w:rPr>
                <w:noProof/>
                <w:webHidden/>
              </w:rPr>
              <w:fldChar w:fldCharType="separate"/>
            </w:r>
            <w:r w:rsidR="00BA70C5">
              <w:rPr>
                <w:noProof/>
                <w:webHidden/>
              </w:rPr>
              <w:t>50</w:t>
            </w:r>
            <w:r w:rsidR="00BA70C5">
              <w:rPr>
                <w:noProof/>
                <w:webHidden/>
              </w:rPr>
              <w:fldChar w:fldCharType="end"/>
            </w:r>
          </w:hyperlink>
        </w:p>
        <w:p w14:paraId="391A95C0" w14:textId="116F127C" w:rsidR="00BA70C5" w:rsidRDefault="00F30208" w:rsidP="007D7ED0">
          <w:pPr>
            <w:pStyle w:val="TOC2"/>
            <w:rPr>
              <w:rFonts w:asciiTheme="minorHAnsi" w:eastAsiaTheme="minorEastAsia" w:hAnsiTheme="minorHAnsi" w:cstheme="minorBidi"/>
              <w:sz w:val="22"/>
              <w:szCs w:val="22"/>
              <w:lang w:eastAsia="en-US"/>
            </w:rPr>
          </w:pPr>
          <w:hyperlink w:anchor="_Toc74241405" w:history="1">
            <w:r w:rsidR="00BA70C5" w:rsidRPr="00FF367A">
              <w:rPr>
                <w:rStyle w:val="Hyperlink"/>
              </w:rPr>
              <w:t>5.1 Synthèse de l’Évaluation des systèmes applicables au Programme</w:t>
            </w:r>
            <w:r w:rsidR="00BA70C5">
              <w:rPr>
                <w:webHidden/>
              </w:rPr>
              <w:tab/>
            </w:r>
            <w:r w:rsidR="00BA70C5">
              <w:rPr>
                <w:webHidden/>
              </w:rPr>
              <w:fldChar w:fldCharType="begin"/>
            </w:r>
            <w:r w:rsidR="00BA70C5">
              <w:rPr>
                <w:webHidden/>
              </w:rPr>
              <w:instrText xml:space="preserve"> PAGEREF _Toc74241405 \h </w:instrText>
            </w:r>
            <w:r w:rsidR="00BA70C5">
              <w:rPr>
                <w:webHidden/>
              </w:rPr>
            </w:r>
            <w:r w:rsidR="00BA70C5">
              <w:rPr>
                <w:webHidden/>
              </w:rPr>
              <w:fldChar w:fldCharType="separate"/>
            </w:r>
            <w:r w:rsidR="00BA70C5">
              <w:rPr>
                <w:webHidden/>
              </w:rPr>
              <w:t>50</w:t>
            </w:r>
            <w:r w:rsidR="00BA70C5">
              <w:rPr>
                <w:webHidden/>
              </w:rPr>
              <w:fldChar w:fldCharType="end"/>
            </w:r>
          </w:hyperlink>
        </w:p>
        <w:p w14:paraId="4BEFB6A0" w14:textId="61616E7D" w:rsidR="00BA70C5" w:rsidRDefault="00F30208">
          <w:pPr>
            <w:pStyle w:val="TOC3"/>
            <w:tabs>
              <w:tab w:val="right" w:leader="dot" w:pos="9062"/>
            </w:tabs>
            <w:rPr>
              <w:rFonts w:asciiTheme="minorHAnsi" w:eastAsiaTheme="minorEastAsia" w:hAnsiTheme="minorHAnsi" w:cstheme="minorBidi"/>
              <w:i w:val="0"/>
              <w:iCs w:val="0"/>
              <w:noProof/>
              <w:sz w:val="22"/>
              <w:szCs w:val="22"/>
            </w:rPr>
          </w:pPr>
          <w:hyperlink w:anchor="_Toc74241406" w:history="1">
            <w:r w:rsidR="00BA70C5" w:rsidRPr="00FF367A">
              <w:rPr>
                <w:rStyle w:val="Hyperlink"/>
                <w:rFonts w:ascii="Candara" w:hAnsi="Candara" w:cstheme="minorHAnsi"/>
                <w:noProof/>
                <w:lang w:val="fr-FR"/>
              </w:rPr>
              <w:t>5.1.1 Systèmes de gestion environnementale</w:t>
            </w:r>
            <w:r w:rsidR="00BA70C5">
              <w:rPr>
                <w:noProof/>
                <w:webHidden/>
              </w:rPr>
              <w:tab/>
            </w:r>
            <w:r w:rsidR="00BA70C5">
              <w:rPr>
                <w:noProof/>
                <w:webHidden/>
              </w:rPr>
              <w:fldChar w:fldCharType="begin"/>
            </w:r>
            <w:r w:rsidR="00BA70C5">
              <w:rPr>
                <w:noProof/>
                <w:webHidden/>
              </w:rPr>
              <w:instrText xml:space="preserve"> PAGEREF _Toc74241406 \h </w:instrText>
            </w:r>
            <w:r w:rsidR="00BA70C5">
              <w:rPr>
                <w:noProof/>
                <w:webHidden/>
              </w:rPr>
            </w:r>
            <w:r w:rsidR="00BA70C5">
              <w:rPr>
                <w:noProof/>
                <w:webHidden/>
              </w:rPr>
              <w:fldChar w:fldCharType="separate"/>
            </w:r>
            <w:r w:rsidR="00BA70C5">
              <w:rPr>
                <w:noProof/>
                <w:webHidden/>
              </w:rPr>
              <w:t>50</w:t>
            </w:r>
            <w:r w:rsidR="00BA70C5">
              <w:rPr>
                <w:noProof/>
                <w:webHidden/>
              </w:rPr>
              <w:fldChar w:fldCharType="end"/>
            </w:r>
          </w:hyperlink>
        </w:p>
        <w:p w14:paraId="463DE3BA" w14:textId="742D17AE" w:rsidR="00BA70C5" w:rsidRDefault="00F30208">
          <w:pPr>
            <w:pStyle w:val="TOC3"/>
            <w:tabs>
              <w:tab w:val="right" w:leader="dot" w:pos="9062"/>
            </w:tabs>
            <w:rPr>
              <w:rFonts w:asciiTheme="minorHAnsi" w:eastAsiaTheme="minorEastAsia" w:hAnsiTheme="minorHAnsi" w:cstheme="minorBidi"/>
              <w:i w:val="0"/>
              <w:iCs w:val="0"/>
              <w:noProof/>
              <w:sz w:val="22"/>
              <w:szCs w:val="22"/>
            </w:rPr>
          </w:pPr>
          <w:hyperlink w:anchor="_Toc74241407" w:history="1">
            <w:r w:rsidR="00BA70C5" w:rsidRPr="00FF367A">
              <w:rPr>
                <w:rStyle w:val="Hyperlink"/>
                <w:rFonts w:ascii="Candara" w:hAnsi="Candara"/>
                <w:noProof/>
              </w:rPr>
              <w:t>5.1.2 Systèmes de gestion sociale</w:t>
            </w:r>
            <w:r w:rsidR="00BA70C5">
              <w:rPr>
                <w:noProof/>
                <w:webHidden/>
              </w:rPr>
              <w:tab/>
            </w:r>
            <w:r w:rsidR="00BA70C5">
              <w:rPr>
                <w:noProof/>
                <w:webHidden/>
              </w:rPr>
              <w:fldChar w:fldCharType="begin"/>
            </w:r>
            <w:r w:rsidR="00BA70C5">
              <w:rPr>
                <w:noProof/>
                <w:webHidden/>
              </w:rPr>
              <w:instrText xml:space="preserve"> PAGEREF _Toc74241407 \h </w:instrText>
            </w:r>
            <w:r w:rsidR="00BA70C5">
              <w:rPr>
                <w:noProof/>
                <w:webHidden/>
              </w:rPr>
            </w:r>
            <w:r w:rsidR="00BA70C5">
              <w:rPr>
                <w:noProof/>
                <w:webHidden/>
              </w:rPr>
              <w:fldChar w:fldCharType="separate"/>
            </w:r>
            <w:r w:rsidR="00BA70C5">
              <w:rPr>
                <w:noProof/>
                <w:webHidden/>
              </w:rPr>
              <w:t>54</w:t>
            </w:r>
            <w:r w:rsidR="00BA70C5">
              <w:rPr>
                <w:noProof/>
                <w:webHidden/>
              </w:rPr>
              <w:fldChar w:fldCharType="end"/>
            </w:r>
          </w:hyperlink>
        </w:p>
        <w:p w14:paraId="4F563AF9" w14:textId="10D9AFE6" w:rsidR="00BA70C5" w:rsidRDefault="00F30208" w:rsidP="007D7ED0">
          <w:pPr>
            <w:pStyle w:val="TOC2"/>
            <w:rPr>
              <w:rFonts w:asciiTheme="minorHAnsi" w:eastAsiaTheme="minorEastAsia" w:hAnsiTheme="minorHAnsi" w:cstheme="minorBidi"/>
              <w:sz w:val="22"/>
              <w:szCs w:val="22"/>
              <w:lang w:eastAsia="en-US"/>
            </w:rPr>
          </w:pPr>
          <w:hyperlink w:anchor="_Toc74241408" w:history="1">
            <w:r w:rsidR="00BA70C5" w:rsidRPr="00FF367A">
              <w:rPr>
                <w:rStyle w:val="Hyperlink"/>
                <w:rFonts w:cstheme="minorHAnsi"/>
              </w:rPr>
              <w:t>5.2 Éléments à intégrer dans le plan d’action de l’ESES</w:t>
            </w:r>
            <w:r w:rsidR="00BA70C5">
              <w:rPr>
                <w:webHidden/>
              </w:rPr>
              <w:tab/>
            </w:r>
            <w:r w:rsidR="00BA70C5">
              <w:rPr>
                <w:webHidden/>
              </w:rPr>
              <w:fldChar w:fldCharType="begin"/>
            </w:r>
            <w:r w:rsidR="00BA70C5">
              <w:rPr>
                <w:webHidden/>
              </w:rPr>
              <w:instrText xml:space="preserve"> PAGEREF _Toc74241408 \h </w:instrText>
            </w:r>
            <w:r w:rsidR="00BA70C5">
              <w:rPr>
                <w:webHidden/>
              </w:rPr>
            </w:r>
            <w:r w:rsidR="00BA70C5">
              <w:rPr>
                <w:webHidden/>
              </w:rPr>
              <w:fldChar w:fldCharType="separate"/>
            </w:r>
            <w:r w:rsidR="00BA70C5">
              <w:rPr>
                <w:webHidden/>
              </w:rPr>
              <w:t>54</w:t>
            </w:r>
            <w:r w:rsidR="00BA70C5">
              <w:rPr>
                <w:webHidden/>
              </w:rPr>
              <w:fldChar w:fldCharType="end"/>
            </w:r>
          </w:hyperlink>
        </w:p>
        <w:p w14:paraId="77C61BE7" w14:textId="17906812" w:rsidR="002476A5" w:rsidRDefault="002476A5">
          <w:r w:rsidRPr="00046E7D">
            <w:rPr>
              <w:rFonts w:ascii="Candara" w:hAnsi="Candara"/>
              <w:b/>
              <w:bCs/>
              <w:noProof/>
            </w:rPr>
            <w:fldChar w:fldCharType="end"/>
          </w:r>
        </w:p>
      </w:sdtContent>
    </w:sdt>
    <w:p w14:paraId="1668C057" w14:textId="77777777" w:rsidR="00797898" w:rsidRPr="003A404D" w:rsidRDefault="00797898"/>
    <w:p w14:paraId="732FFBF6" w14:textId="77777777" w:rsidR="00B66F5F" w:rsidRPr="003A404D" w:rsidRDefault="00B66F5F">
      <w:r w:rsidRPr="003A404D">
        <w:br w:type="page"/>
      </w:r>
    </w:p>
    <w:p w14:paraId="12E20FF2" w14:textId="77777777" w:rsidR="00B66F5F" w:rsidRPr="00046E7D" w:rsidRDefault="00B66F5F" w:rsidP="00046E7D">
      <w:pPr>
        <w:pStyle w:val="Heading1"/>
        <w:rPr>
          <w:b w:val="0"/>
          <w:bCs w:val="0"/>
          <w:sz w:val="28"/>
          <w:szCs w:val="28"/>
        </w:rPr>
      </w:pPr>
      <w:bookmarkStart w:id="3" w:name="_Toc74241369"/>
      <w:r w:rsidRPr="00046E7D">
        <w:rPr>
          <w:rFonts w:ascii="Candara" w:hAnsi="Candara"/>
          <w:sz w:val="28"/>
          <w:szCs w:val="28"/>
        </w:rPr>
        <w:lastRenderedPageBreak/>
        <w:t>Résumé</w:t>
      </w:r>
      <w:bookmarkEnd w:id="3"/>
    </w:p>
    <w:p w14:paraId="058A68E5" w14:textId="77777777" w:rsidR="00B66F5F" w:rsidRPr="003A404D" w:rsidRDefault="00B66F5F"/>
    <w:p w14:paraId="4F5467BA" w14:textId="17A5F1CC" w:rsidR="003770FF" w:rsidRPr="003770FF" w:rsidRDefault="003770FF" w:rsidP="00B33704">
      <w:pPr>
        <w:widowControl w:val="0"/>
        <w:numPr>
          <w:ilvl w:val="0"/>
          <w:numId w:val="9"/>
        </w:numPr>
        <w:autoSpaceDE w:val="0"/>
        <w:autoSpaceDN w:val="0"/>
        <w:adjustRightInd w:val="0"/>
        <w:spacing w:after="120" w:line="360" w:lineRule="atLeast"/>
        <w:ind w:left="284" w:hanging="284"/>
        <w:jc w:val="both"/>
        <w:textAlignment w:val="baseline"/>
        <w:rPr>
          <w:rFonts w:ascii="Calibri" w:eastAsia="Calibri" w:hAnsi="Calibri" w:cs="Calibri"/>
          <w:color w:val="000000"/>
        </w:rPr>
      </w:pPr>
      <w:bookmarkStart w:id="4" w:name="_Hlk65696714"/>
      <w:r w:rsidRPr="003770FF">
        <w:rPr>
          <w:rFonts w:ascii="Calibri" w:eastAsia="Calibri" w:hAnsi="Calibri" w:cs="Calibri"/>
          <w:b/>
          <w:bCs/>
          <w:color w:val="000000"/>
        </w:rPr>
        <w:t xml:space="preserve">Cette Évaluation des Systèmes Environnementaux et Sociaux (ESES) a été entreprise par la Banque mondiale dans le cadre de la préparation du Prêt-Programme axé sur les Résultats (PPR) « performance du secteur public marocain (ENNAJAA) ». </w:t>
      </w:r>
      <w:r w:rsidRPr="003770FF">
        <w:rPr>
          <w:rFonts w:ascii="Calibri" w:eastAsia="Calibri" w:hAnsi="Calibri" w:cs="Calibri"/>
          <w:color w:val="000000"/>
        </w:rPr>
        <w:t xml:space="preserve">Le PPR d’un prêt d’un montant de 300 millions de dollars en faveur du Gouvernement du Royaume du Maroc vise à améliorer </w:t>
      </w:r>
      <w:r w:rsidR="001F6031" w:rsidRPr="001F6031">
        <w:rPr>
          <w:rFonts w:ascii="Calibri" w:eastAsia="Calibri" w:hAnsi="Calibri" w:cs="Calibri"/>
          <w:color w:val="000000"/>
        </w:rPr>
        <w:t>la performance et la transparence des opérations gouvernementales de base basées sur les données</w:t>
      </w:r>
      <w:r w:rsidRPr="003770FF">
        <w:rPr>
          <w:rFonts w:ascii="Calibri" w:eastAsia="Calibri" w:hAnsi="Calibri" w:cs="Calibri"/>
          <w:color w:val="000000"/>
        </w:rPr>
        <w:t xml:space="preserve">. L’atteinte de cet objectif s’appuiera sur les résultats des programmes antérieurement mis en œuvre, dont principalement le Plan national de réforme administrative (PNRA, 2018-2021) ; le Plan national de dématérialisation des marchés publics ; le Plan d'action stratégique 2017-2021 de la Direction Générale des Impôts et la Note d'orientation générale pour le développement du digital 2025. Bien que certaines de ces stratégies sectorielles arrivent à échéance, elles ouvrent la voie à la réforme du secteur public et continueront à encadrer la réforme du gouvernement à cette fin. En outre, le gouvernement prévoit de les renouveler. Par ailleurs, les activités du programme sont alignées sur les priorités de la loi de finances 2021, dont l'une consiste à accélérer la réforme administrative.  </w:t>
      </w:r>
    </w:p>
    <w:p w14:paraId="741C290D" w14:textId="77777777" w:rsidR="003770FF" w:rsidRPr="003770FF" w:rsidRDefault="003770FF" w:rsidP="00B33704">
      <w:pPr>
        <w:widowControl w:val="0"/>
        <w:numPr>
          <w:ilvl w:val="0"/>
          <w:numId w:val="9"/>
        </w:numPr>
        <w:autoSpaceDE w:val="0"/>
        <w:autoSpaceDN w:val="0"/>
        <w:adjustRightInd w:val="0"/>
        <w:spacing w:after="120" w:line="360" w:lineRule="atLeast"/>
        <w:ind w:left="284" w:hanging="284"/>
        <w:jc w:val="both"/>
        <w:textAlignment w:val="baseline"/>
        <w:rPr>
          <w:rFonts w:ascii="Calibri" w:eastAsia="Calibri" w:hAnsi="Calibri" w:cs="Calibri"/>
          <w:color w:val="000000"/>
        </w:rPr>
      </w:pPr>
      <w:r w:rsidRPr="003770FF">
        <w:rPr>
          <w:rFonts w:ascii="Calibri" w:eastAsia="Calibri" w:hAnsi="Calibri" w:cs="Calibri"/>
          <w:color w:val="000000"/>
        </w:rPr>
        <w:t>Le programme du gouvernement est formalisé par l'agrégation de divers programmes ministériels du budget-programme 2021-2023. Le programme gouvernemental est composé de 7 sous-programmes du budget, suivant la nomenclature basée sur la performance fixée par la loi de finances de 2015 et reflétée dans les Projets de Performance (</w:t>
      </w:r>
      <w:proofErr w:type="spellStart"/>
      <w:r w:rsidRPr="003770FF">
        <w:rPr>
          <w:rFonts w:ascii="Calibri" w:eastAsia="Calibri" w:hAnsi="Calibri" w:cs="Calibri"/>
          <w:color w:val="000000"/>
        </w:rPr>
        <w:t>PdP</w:t>
      </w:r>
      <w:proofErr w:type="spellEnd"/>
      <w:r w:rsidRPr="003770FF">
        <w:rPr>
          <w:rFonts w:ascii="Calibri" w:eastAsia="Calibri" w:hAnsi="Calibri" w:cs="Calibri"/>
          <w:color w:val="000000"/>
        </w:rPr>
        <w:t>) du Ministère de l'Economie (MEFRA), en charge de la réforme administrative, et du Ministère de l'Industrie (</w:t>
      </w:r>
      <w:bookmarkStart w:id="5" w:name="_Hlk72827758"/>
      <w:r w:rsidRPr="003770FF">
        <w:rPr>
          <w:rFonts w:ascii="Calibri" w:eastAsia="Calibri" w:hAnsi="Calibri" w:cs="Calibri"/>
          <w:color w:val="000000"/>
        </w:rPr>
        <w:t>MICVEN</w:t>
      </w:r>
      <w:bookmarkEnd w:id="5"/>
      <w:r w:rsidRPr="003770FF">
        <w:rPr>
          <w:rFonts w:ascii="Calibri" w:eastAsia="Calibri" w:hAnsi="Calibri" w:cs="Calibri"/>
          <w:color w:val="000000"/>
        </w:rPr>
        <w:t>), responsable de l'agenda de la transformation numérique.</w:t>
      </w:r>
    </w:p>
    <w:p w14:paraId="775FD9CC" w14:textId="77777777" w:rsidR="003770FF" w:rsidRPr="003770FF" w:rsidRDefault="003770FF" w:rsidP="00B33704">
      <w:pPr>
        <w:widowControl w:val="0"/>
        <w:numPr>
          <w:ilvl w:val="0"/>
          <w:numId w:val="9"/>
        </w:numPr>
        <w:autoSpaceDE w:val="0"/>
        <w:autoSpaceDN w:val="0"/>
        <w:adjustRightInd w:val="0"/>
        <w:spacing w:after="120" w:line="360" w:lineRule="atLeast"/>
        <w:ind w:left="284" w:hanging="284"/>
        <w:jc w:val="both"/>
        <w:textAlignment w:val="baseline"/>
        <w:rPr>
          <w:rFonts w:ascii="Calibri" w:eastAsia="Calibri" w:hAnsi="Calibri" w:cs="Calibri"/>
          <w:color w:val="000000"/>
        </w:rPr>
      </w:pPr>
      <w:r w:rsidRPr="003770FF">
        <w:rPr>
          <w:rFonts w:ascii="Calibri" w:eastAsia="Calibri" w:hAnsi="Calibri" w:cs="Calibri"/>
          <w:color w:val="000000"/>
        </w:rPr>
        <w:t>S'appuyant sur le programme du gouvernement, le PforR ENNAJAA soutient trois domaines de résultats qui abordent les éléments fondamentaux de la transformation du secteur public marocain. Les domaines de résultats (DR) du programme sont ancrés dans les thèmes du programme du gouvernement, à savoir l'efficacité des dépenses publiques, l'amélioration de la gestion des recettes et le renforcement des performances d'une administration basée sur les données et l'intégration des services publics par l'interopérabilité.</w:t>
      </w:r>
    </w:p>
    <w:p w14:paraId="33334D8A" w14:textId="77777777" w:rsidR="003770FF" w:rsidRPr="003770FF" w:rsidRDefault="003770FF" w:rsidP="00B33704">
      <w:pPr>
        <w:widowControl w:val="0"/>
        <w:numPr>
          <w:ilvl w:val="0"/>
          <w:numId w:val="9"/>
        </w:numPr>
        <w:autoSpaceDE w:val="0"/>
        <w:autoSpaceDN w:val="0"/>
        <w:adjustRightInd w:val="0"/>
        <w:spacing w:after="120" w:line="360" w:lineRule="atLeast"/>
        <w:ind w:left="284" w:hanging="284"/>
        <w:jc w:val="both"/>
        <w:textAlignment w:val="baseline"/>
        <w:rPr>
          <w:rFonts w:ascii="Calibri" w:eastAsia="Calibri" w:hAnsi="Calibri" w:cs="Calibri"/>
          <w:color w:val="000000"/>
        </w:rPr>
      </w:pPr>
      <w:r w:rsidRPr="003770FF">
        <w:rPr>
          <w:rFonts w:ascii="Calibri" w:eastAsia="Calibri" w:hAnsi="Calibri" w:cs="Calibri"/>
          <w:color w:val="000000"/>
        </w:rPr>
        <w:t xml:space="preserve">La promotion de l'efficacité et de la performance du secteur public marocain est une priorité de l'engagement de la Banque auprès du Maroc, comme le reflètent les trois domaines d'intervention stratégiques et le fondement du Cadre de partenariat national (CPN), 2019-2024. Le Programme contribuera à l'objectif 2 du CPN ("Accroître les possibilités de croissance du secteur privé en mettant l'accent sur les MPME et l'employabilité des jeunes") en améliorant l'accès des PME aux données ouvertes sur les marchés publics. Le programme contribuera également à l'objectif 11 du CPN ("Améliorer l'efficacité des dépenses publiques") en améliorant les opérations de base du gouvernement en exploitant la puissance des outils numériques, en assurant une gestion saine des finances publiques et en promouvant des services administratifs analogiques modernisés. En outre, </w:t>
      </w:r>
      <w:r w:rsidRPr="003770FF">
        <w:rPr>
          <w:rFonts w:ascii="Calibri" w:eastAsia="Calibri" w:hAnsi="Calibri" w:cs="Calibri"/>
          <w:color w:val="000000"/>
        </w:rPr>
        <w:lastRenderedPageBreak/>
        <w:t>le programme contribuera également à l'objectif 12 du CPN ("Améliorer la transparence et développer les éléments constitutifs d'un engagement efficace des citoyens et de l'État") en soutenant les efforts d'ouverture des données pour améliorer la transparence et la responsabilité du gouvernement.</w:t>
      </w:r>
    </w:p>
    <w:p w14:paraId="5232664C" w14:textId="7F90C774" w:rsidR="003770FF" w:rsidRPr="003770FF" w:rsidRDefault="003770FF" w:rsidP="00B33704">
      <w:pPr>
        <w:widowControl w:val="0"/>
        <w:numPr>
          <w:ilvl w:val="0"/>
          <w:numId w:val="9"/>
        </w:numPr>
        <w:autoSpaceDE w:val="0"/>
        <w:autoSpaceDN w:val="0"/>
        <w:adjustRightInd w:val="0"/>
        <w:spacing w:after="120" w:line="360" w:lineRule="atLeast"/>
        <w:ind w:left="284" w:hanging="284"/>
        <w:jc w:val="both"/>
        <w:textAlignment w:val="baseline"/>
        <w:rPr>
          <w:rFonts w:ascii="Calibri" w:eastAsia="Calibri" w:hAnsi="Calibri" w:cs="Calibri"/>
          <w:color w:val="000000"/>
        </w:rPr>
      </w:pPr>
      <w:r w:rsidRPr="003770FF">
        <w:rPr>
          <w:rFonts w:ascii="Calibri" w:eastAsia="Calibri" w:hAnsi="Calibri" w:cs="Calibri"/>
          <w:b/>
          <w:bCs/>
          <w:color w:val="000000"/>
        </w:rPr>
        <w:t xml:space="preserve">L’ESES examine les systèmes de gestion environnementale et sociale du PPR. </w:t>
      </w:r>
      <w:r w:rsidRPr="003770FF">
        <w:rPr>
          <w:rFonts w:ascii="Calibri" w:eastAsia="Calibri" w:hAnsi="Calibri" w:cs="Calibri"/>
          <w:color w:val="000000"/>
        </w:rPr>
        <w:t xml:space="preserve"> </w:t>
      </w:r>
      <w:r w:rsidR="00A56DC9" w:rsidRPr="00A56DC9">
        <w:rPr>
          <w:rFonts w:ascii="Calibri" w:eastAsia="Calibri" w:hAnsi="Calibri" w:cs="Calibri"/>
          <w:color w:val="000000"/>
        </w:rPr>
        <w:t>Elle évalue leur conformité avec les dispositions de la Politique et Directive opérationnelle s’appliquant aux Programmes pour les Résultats dans le but de gérer les risques du Programme et promouvoir le développement durable. Le paragraphe 9 de la politique décrit les principes de base qui doivent être respectés dans l'ESES</w:t>
      </w:r>
      <w:r w:rsidRPr="003770FF">
        <w:rPr>
          <w:rFonts w:ascii="Calibri" w:eastAsia="Calibri" w:hAnsi="Calibri" w:cs="Calibri"/>
          <w:color w:val="000000"/>
        </w:rPr>
        <w:t>. L'ESES porte sur l’analyse (i) du cadre législatif et réglementaire : lois, réglementations, procédures, etc. (le « système tel que défini ») ; et (ii) de la capacité des institutions concernées par le Programme à mettre en œuvre efficacement les systèmes de gestion environnementale et sociale (le « système tel qu'il est appliqué dans la pratique »).</w:t>
      </w:r>
      <w:r w:rsidRPr="003770FF">
        <w:rPr>
          <w:rFonts w:ascii="Arial" w:eastAsia="Calibri" w:hAnsi="Arial" w:cs="Arial"/>
          <w:color w:val="000000"/>
          <w:sz w:val="24"/>
          <w:szCs w:val="24"/>
        </w:rPr>
        <w:t xml:space="preserve"> </w:t>
      </w:r>
      <w:r w:rsidRPr="003770FF">
        <w:rPr>
          <w:rFonts w:ascii="Calibri" w:eastAsia="Calibri" w:hAnsi="Calibri" w:cs="Calibri"/>
          <w:color w:val="000000"/>
        </w:rPr>
        <w:t>La préparation de l'ESES et l'élaboration de mesures visant à renforcer le système de gestion environnementale et sociale ont bénéficié d’informations diverses et d’un processus de consultation élargi, notamment la revue de la documentation, et des consultations avec des parties prenant</w:t>
      </w:r>
      <w:r w:rsidR="000E69C9">
        <w:rPr>
          <w:rFonts w:ascii="Calibri" w:eastAsia="Calibri" w:hAnsi="Calibri" w:cs="Calibri"/>
          <w:color w:val="000000"/>
        </w:rPr>
        <w:t>e</w:t>
      </w:r>
      <w:r w:rsidRPr="003770FF">
        <w:rPr>
          <w:rFonts w:ascii="Calibri" w:eastAsia="Calibri" w:hAnsi="Calibri" w:cs="Calibri"/>
          <w:color w:val="000000"/>
        </w:rPr>
        <w:t xml:space="preserve">s. </w:t>
      </w:r>
    </w:p>
    <w:p w14:paraId="728B502B" w14:textId="77777777" w:rsidR="003770FF" w:rsidRPr="003770FF" w:rsidRDefault="003770FF" w:rsidP="00B33704">
      <w:pPr>
        <w:widowControl w:val="0"/>
        <w:numPr>
          <w:ilvl w:val="0"/>
          <w:numId w:val="9"/>
        </w:numPr>
        <w:autoSpaceDE w:val="0"/>
        <w:autoSpaceDN w:val="0"/>
        <w:adjustRightInd w:val="0"/>
        <w:spacing w:after="120" w:line="360" w:lineRule="atLeast"/>
        <w:ind w:left="284" w:hanging="284"/>
        <w:jc w:val="both"/>
        <w:textAlignment w:val="baseline"/>
        <w:rPr>
          <w:rFonts w:ascii="Calibri" w:eastAsia="Calibri" w:hAnsi="Calibri" w:cs="Calibri"/>
          <w:color w:val="000000"/>
        </w:rPr>
      </w:pPr>
      <w:r w:rsidRPr="003770FF">
        <w:rPr>
          <w:rFonts w:ascii="Calibri" w:eastAsia="Calibri" w:hAnsi="Calibri" w:cs="Calibri"/>
          <w:color w:val="000000"/>
        </w:rPr>
        <w:t xml:space="preserve">Le Programme proposé comprend trois domaines de résultats qui se renforcent mutuellement et se composent chacun d’un ensemble d’activités dont plusieurs contribueraient à plus d'un domaine de résultats (DR) : </w:t>
      </w:r>
    </w:p>
    <w:p w14:paraId="658F644D" w14:textId="2D70B966" w:rsidR="003770FF" w:rsidRPr="003770FF" w:rsidRDefault="003770FF" w:rsidP="00B33704">
      <w:pPr>
        <w:widowControl w:val="0"/>
        <w:numPr>
          <w:ilvl w:val="1"/>
          <w:numId w:val="22"/>
        </w:numPr>
        <w:autoSpaceDE w:val="0"/>
        <w:autoSpaceDN w:val="0"/>
        <w:adjustRightInd w:val="0"/>
        <w:spacing w:after="120" w:line="360" w:lineRule="atLeast"/>
        <w:contextualSpacing/>
        <w:jc w:val="both"/>
        <w:textAlignment w:val="baseline"/>
        <w:rPr>
          <w:rFonts w:ascii="Calibri" w:eastAsia="Calibri" w:hAnsi="Calibri" w:cs="Calibri"/>
          <w:color w:val="000000"/>
        </w:rPr>
      </w:pPr>
      <w:r w:rsidRPr="003770FF">
        <w:rPr>
          <w:rFonts w:ascii="Calibri" w:eastAsia="Calibri" w:hAnsi="Calibri" w:cs="Calibri"/>
          <w:color w:val="000000"/>
        </w:rPr>
        <w:t>Domaine de résultats 1 : Améliorer l'efficacité des dépenses publiques.</w:t>
      </w:r>
    </w:p>
    <w:p w14:paraId="4907C05A" w14:textId="502C8604" w:rsidR="003770FF" w:rsidRPr="003770FF" w:rsidRDefault="003770FF" w:rsidP="00B33704">
      <w:pPr>
        <w:widowControl w:val="0"/>
        <w:numPr>
          <w:ilvl w:val="1"/>
          <w:numId w:val="22"/>
        </w:numPr>
        <w:autoSpaceDE w:val="0"/>
        <w:autoSpaceDN w:val="0"/>
        <w:adjustRightInd w:val="0"/>
        <w:spacing w:after="120" w:line="360" w:lineRule="atLeast"/>
        <w:contextualSpacing/>
        <w:jc w:val="both"/>
        <w:textAlignment w:val="baseline"/>
        <w:rPr>
          <w:rFonts w:ascii="Calibri" w:eastAsia="Calibri" w:hAnsi="Calibri" w:cs="Calibri"/>
          <w:color w:val="000000"/>
        </w:rPr>
      </w:pPr>
      <w:r w:rsidRPr="003770FF">
        <w:rPr>
          <w:rFonts w:ascii="Calibri" w:eastAsia="Calibri" w:hAnsi="Calibri" w:cs="Calibri"/>
          <w:color w:val="000000"/>
        </w:rPr>
        <w:t xml:space="preserve">Domaine de résultat 2 : Améliorer la </w:t>
      </w:r>
      <w:r w:rsidR="001F6031">
        <w:rPr>
          <w:rFonts w:ascii="Calibri" w:eastAsia="Calibri" w:hAnsi="Calibri" w:cs="Calibri"/>
          <w:color w:val="000000"/>
        </w:rPr>
        <w:t>gestion</w:t>
      </w:r>
      <w:r w:rsidR="001F6031" w:rsidRPr="003770FF">
        <w:rPr>
          <w:rFonts w:ascii="Calibri" w:eastAsia="Calibri" w:hAnsi="Calibri" w:cs="Calibri"/>
          <w:color w:val="000000"/>
        </w:rPr>
        <w:t xml:space="preserve"> </w:t>
      </w:r>
      <w:r w:rsidRPr="003770FF">
        <w:rPr>
          <w:rFonts w:ascii="Calibri" w:eastAsia="Calibri" w:hAnsi="Calibri" w:cs="Calibri"/>
          <w:color w:val="000000"/>
        </w:rPr>
        <w:t>des recettes</w:t>
      </w:r>
      <w:r w:rsidR="001F6031">
        <w:rPr>
          <w:rFonts w:ascii="Calibri" w:eastAsia="Calibri" w:hAnsi="Calibri" w:cs="Calibri"/>
          <w:color w:val="000000"/>
        </w:rPr>
        <w:t xml:space="preserve"> publiques</w:t>
      </w:r>
      <w:r w:rsidRPr="003770FF">
        <w:rPr>
          <w:rFonts w:ascii="Calibri" w:eastAsia="Calibri" w:hAnsi="Calibri" w:cs="Calibri"/>
          <w:color w:val="000000"/>
        </w:rPr>
        <w:t>.</w:t>
      </w:r>
    </w:p>
    <w:p w14:paraId="496B297E" w14:textId="3CA1ECE1" w:rsidR="003770FF" w:rsidRPr="003770FF" w:rsidRDefault="003770FF" w:rsidP="00B33704">
      <w:pPr>
        <w:widowControl w:val="0"/>
        <w:numPr>
          <w:ilvl w:val="1"/>
          <w:numId w:val="22"/>
        </w:numPr>
        <w:autoSpaceDE w:val="0"/>
        <w:autoSpaceDN w:val="0"/>
        <w:adjustRightInd w:val="0"/>
        <w:spacing w:after="120" w:line="360" w:lineRule="atLeast"/>
        <w:contextualSpacing/>
        <w:jc w:val="both"/>
        <w:textAlignment w:val="baseline"/>
        <w:rPr>
          <w:rFonts w:ascii="Calibri" w:eastAsia="Calibri" w:hAnsi="Calibri" w:cs="Calibri"/>
          <w:color w:val="000000"/>
        </w:rPr>
      </w:pPr>
      <w:r w:rsidRPr="003770FF">
        <w:rPr>
          <w:rFonts w:ascii="Calibri" w:eastAsia="Calibri" w:hAnsi="Calibri" w:cs="Calibri"/>
          <w:color w:val="000000"/>
        </w:rPr>
        <w:t xml:space="preserve">Domaine de résultat 3 : </w:t>
      </w:r>
      <w:r w:rsidR="001F6031" w:rsidRPr="001F6031">
        <w:rPr>
          <w:rFonts w:ascii="Calibri" w:eastAsia="Calibri" w:hAnsi="Calibri" w:cs="Calibri"/>
          <w:color w:val="000000"/>
        </w:rPr>
        <w:t>Renforcer les fondements de la transformation numérique par l'interopérabilité et l'open data</w:t>
      </w:r>
      <w:r w:rsidR="001F6031">
        <w:rPr>
          <w:rFonts w:ascii="Calibri" w:eastAsia="Calibri" w:hAnsi="Calibri" w:cs="Calibri"/>
          <w:color w:val="000000"/>
        </w:rPr>
        <w:t xml:space="preserve"> </w:t>
      </w:r>
      <w:r w:rsidRPr="003770FF">
        <w:rPr>
          <w:rFonts w:ascii="Calibri" w:eastAsia="Calibri" w:hAnsi="Calibri" w:cs="Calibri"/>
          <w:color w:val="000000"/>
        </w:rPr>
        <w:t>.</w:t>
      </w:r>
    </w:p>
    <w:p w14:paraId="2F2396B9" w14:textId="77777777" w:rsidR="003770FF" w:rsidRPr="003770FF" w:rsidRDefault="003770FF" w:rsidP="00B33704">
      <w:pPr>
        <w:widowControl w:val="0"/>
        <w:numPr>
          <w:ilvl w:val="0"/>
          <w:numId w:val="9"/>
        </w:numPr>
        <w:autoSpaceDE w:val="0"/>
        <w:autoSpaceDN w:val="0"/>
        <w:adjustRightInd w:val="0"/>
        <w:spacing w:after="120" w:line="360" w:lineRule="atLeast"/>
        <w:ind w:left="270" w:hanging="270"/>
        <w:jc w:val="both"/>
        <w:textAlignment w:val="baseline"/>
        <w:rPr>
          <w:rFonts w:ascii="Calibri" w:eastAsia="Calibri" w:hAnsi="Calibri" w:cs="Calibri"/>
          <w:color w:val="000000"/>
        </w:rPr>
      </w:pPr>
      <w:r w:rsidRPr="003770FF">
        <w:rPr>
          <w:rFonts w:ascii="Calibri" w:eastAsia="Calibri" w:hAnsi="Calibri" w:cs="Calibri"/>
          <w:b/>
          <w:bCs/>
          <w:color w:val="000000"/>
        </w:rPr>
        <w:t>Bénéficiaires du Programme :</w:t>
      </w:r>
      <w:r w:rsidRPr="003770FF">
        <w:rPr>
          <w:rFonts w:ascii="Calibri" w:eastAsia="Calibri" w:hAnsi="Calibri" w:cs="Calibri"/>
          <w:color w:val="000000"/>
        </w:rPr>
        <w:t xml:space="preserve"> Le programme bénéficiera directement et essentiellement aux structures centrales de l’administration. Toutefois, pour certains ILDs, les résultats du Programme bénéficieront également aux structures déconcentrées. Les bénéficiaires indirects du Programme correspondent à l’ensemble de la population du Royaume.</w:t>
      </w:r>
    </w:p>
    <w:p w14:paraId="035A09C8" w14:textId="77777777" w:rsidR="003770FF" w:rsidRPr="003770FF" w:rsidRDefault="003770FF" w:rsidP="00B33704">
      <w:pPr>
        <w:widowControl w:val="0"/>
        <w:numPr>
          <w:ilvl w:val="0"/>
          <w:numId w:val="9"/>
        </w:numPr>
        <w:autoSpaceDE w:val="0"/>
        <w:autoSpaceDN w:val="0"/>
        <w:adjustRightInd w:val="0"/>
        <w:spacing w:after="120" w:line="360" w:lineRule="atLeast"/>
        <w:ind w:left="284" w:hanging="284"/>
        <w:jc w:val="both"/>
        <w:textAlignment w:val="baseline"/>
        <w:rPr>
          <w:rFonts w:ascii="Calibri" w:eastAsia="Calibri" w:hAnsi="Calibri" w:cs="Calibri"/>
          <w:color w:val="000000"/>
        </w:rPr>
      </w:pPr>
      <w:r w:rsidRPr="003770FF">
        <w:rPr>
          <w:rFonts w:ascii="Calibri" w:eastAsia="Calibri" w:hAnsi="Calibri" w:cs="Calibri"/>
          <w:b/>
          <w:bCs/>
          <w:color w:val="000000"/>
        </w:rPr>
        <w:t xml:space="preserve">Zone géographique du programme. </w:t>
      </w:r>
      <w:r w:rsidRPr="003770FF">
        <w:rPr>
          <w:rFonts w:ascii="Calibri" w:eastAsia="Calibri" w:hAnsi="Calibri" w:cs="Calibri"/>
          <w:color w:val="000000"/>
        </w:rPr>
        <w:t>Elle comprendrait les régions de Tanger-Tétouan-Al Hoceima, l'Oriental, Fès-Meknès, Rabat-Salé-Kénitra, Béni-Mellal-</w:t>
      </w:r>
      <w:proofErr w:type="spellStart"/>
      <w:r w:rsidRPr="003770FF">
        <w:rPr>
          <w:rFonts w:ascii="Calibri" w:eastAsia="Calibri" w:hAnsi="Calibri" w:cs="Calibri"/>
          <w:color w:val="000000"/>
        </w:rPr>
        <w:t>Khénifra</w:t>
      </w:r>
      <w:proofErr w:type="spellEnd"/>
      <w:r w:rsidRPr="003770FF">
        <w:rPr>
          <w:rFonts w:ascii="Calibri" w:eastAsia="Calibri" w:hAnsi="Calibri" w:cs="Calibri"/>
          <w:color w:val="000000"/>
        </w:rPr>
        <w:t xml:space="preserve">, Casablanca-Settat, Marrakech-Safi, </w:t>
      </w:r>
      <w:proofErr w:type="spellStart"/>
      <w:r w:rsidRPr="003770FF">
        <w:rPr>
          <w:rFonts w:ascii="Calibri" w:eastAsia="Calibri" w:hAnsi="Calibri" w:cs="Calibri"/>
          <w:color w:val="000000"/>
        </w:rPr>
        <w:t>Draâ</w:t>
      </w:r>
      <w:proofErr w:type="spellEnd"/>
      <w:r w:rsidRPr="003770FF">
        <w:rPr>
          <w:rFonts w:ascii="Calibri" w:eastAsia="Calibri" w:hAnsi="Calibri" w:cs="Calibri"/>
          <w:color w:val="000000"/>
        </w:rPr>
        <w:t xml:space="preserve">-Tafilalet, Souss-Massa et </w:t>
      </w:r>
      <w:proofErr w:type="spellStart"/>
      <w:r w:rsidRPr="003770FF">
        <w:rPr>
          <w:rFonts w:ascii="Calibri" w:eastAsia="Calibri" w:hAnsi="Calibri" w:cs="Calibri"/>
          <w:color w:val="000000"/>
        </w:rPr>
        <w:t>Guelmim</w:t>
      </w:r>
      <w:proofErr w:type="spellEnd"/>
      <w:r w:rsidRPr="003770FF">
        <w:rPr>
          <w:rFonts w:ascii="Calibri" w:eastAsia="Calibri" w:hAnsi="Calibri" w:cs="Calibri"/>
          <w:color w:val="000000"/>
        </w:rPr>
        <w:t>-Oued Noun.</w:t>
      </w:r>
    </w:p>
    <w:p w14:paraId="3035F794" w14:textId="065A7FC5" w:rsidR="003770FF" w:rsidRPr="003770FF" w:rsidRDefault="003770FF" w:rsidP="00B33704">
      <w:pPr>
        <w:widowControl w:val="0"/>
        <w:numPr>
          <w:ilvl w:val="0"/>
          <w:numId w:val="9"/>
        </w:numPr>
        <w:autoSpaceDE w:val="0"/>
        <w:autoSpaceDN w:val="0"/>
        <w:adjustRightInd w:val="0"/>
        <w:spacing w:after="120" w:line="360" w:lineRule="atLeast"/>
        <w:ind w:left="284" w:hanging="284"/>
        <w:jc w:val="both"/>
        <w:textAlignment w:val="baseline"/>
        <w:rPr>
          <w:rFonts w:ascii="Calibri" w:eastAsia="Calibri" w:hAnsi="Calibri" w:cs="Calibri"/>
          <w:color w:val="000000"/>
        </w:rPr>
      </w:pPr>
      <w:r w:rsidRPr="003770FF">
        <w:rPr>
          <w:rFonts w:ascii="Calibri" w:eastAsia="Calibri" w:hAnsi="Calibri" w:cs="Calibri"/>
          <w:color w:val="000000"/>
        </w:rPr>
        <w:t>Le Programme sera géré par le ministère de l'économie, des finances et de la réforme administrative (MEFRA). Compte tenu de la nature transversale et multisectorielle du programme, le ministère des finances dispose du pouvoir de rassemblement nécessaire pour assurer le succès du programme ENNAJAA et faciliter le dialogue gouvernemental sur la réforme numérique. Le ministère de l'intérieur (MI) et le ministère de l'industrie, de l'investissement, du commerce et de l'économie verte et numérique (</w:t>
      </w:r>
      <w:r w:rsidR="00A56DC9" w:rsidRPr="00A56DC9">
        <w:rPr>
          <w:rFonts w:ascii="Calibri" w:eastAsia="Calibri" w:hAnsi="Calibri" w:cs="Calibri"/>
          <w:color w:val="000000"/>
        </w:rPr>
        <w:t>MICVEN</w:t>
      </w:r>
      <w:r w:rsidRPr="003770FF">
        <w:rPr>
          <w:rFonts w:ascii="Calibri" w:eastAsia="Calibri" w:hAnsi="Calibri" w:cs="Calibri"/>
          <w:color w:val="000000"/>
        </w:rPr>
        <w:t>) travailleront en étroite collaboration avec le ministère des finances pour assurer le succès de la mise en œuvre du programme.</w:t>
      </w:r>
    </w:p>
    <w:p w14:paraId="2167ABE7" w14:textId="2B095585" w:rsidR="003770FF" w:rsidRPr="003770FF" w:rsidRDefault="003770FF" w:rsidP="00B33704">
      <w:pPr>
        <w:widowControl w:val="0"/>
        <w:numPr>
          <w:ilvl w:val="0"/>
          <w:numId w:val="9"/>
        </w:numPr>
        <w:autoSpaceDE w:val="0"/>
        <w:autoSpaceDN w:val="0"/>
        <w:adjustRightInd w:val="0"/>
        <w:spacing w:after="120" w:line="360" w:lineRule="atLeast"/>
        <w:ind w:left="284" w:hanging="284"/>
        <w:jc w:val="both"/>
        <w:textAlignment w:val="baseline"/>
        <w:rPr>
          <w:rFonts w:ascii="Arial" w:eastAsia="Calibri" w:hAnsi="Arial" w:cs="Calibri"/>
          <w:color w:val="000000"/>
          <w:sz w:val="24"/>
          <w:szCs w:val="24"/>
        </w:rPr>
      </w:pPr>
      <w:r w:rsidRPr="003770FF">
        <w:rPr>
          <w:rFonts w:ascii="Calibri" w:eastAsia="Calibri" w:hAnsi="Calibri" w:cs="Calibri"/>
          <w:b/>
          <w:bCs/>
          <w:color w:val="000000"/>
        </w:rPr>
        <w:lastRenderedPageBreak/>
        <w:t>Limitation des risques environnementaux du Programme</w:t>
      </w:r>
      <w:r w:rsidRPr="003770FF">
        <w:rPr>
          <w:rFonts w:ascii="Calibri" w:eastAsia="Calibri" w:hAnsi="Calibri" w:cs="Calibri"/>
          <w:color w:val="000000"/>
        </w:rPr>
        <w:t xml:space="preserve">. Les effets </w:t>
      </w:r>
      <w:r w:rsidR="000E69C9">
        <w:rPr>
          <w:rFonts w:ascii="Calibri" w:eastAsia="Calibri" w:hAnsi="Calibri" w:cs="Calibri"/>
          <w:color w:val="000000"/>
        </w:rPr>
        <w:t>environnementaux négatifs sont limités à cause de</w:t>
      </w:r>
      <w:r w:rsidRPr="003770FF">
        <w:rPr>
          <w:rFonts w:ascii="Calibri" w:eastAsia="Calibri" w:hAnsi="Calibri" w:cs="Calibri"/>
          <w:color w:val="000000"/>
        </w:rPr>
        <w:t xml:space="preserve"> :</w:t>
      </w:r>
    </w:p>
    <w:p w14:paraId="213A8D2B" w14:textId="77777777" w:rsidR="003770FF" w:rsidRPr="003770FF" w:rsidRDefault="003770FF" w:rsidP="00B33704">
      <w:pPr>
        <w:widowControl w:val="0"/>
        <w:numPr>
          <w:ilvl w:val="0"/>
          <w:numId w:val="10"/>
        </w:numPr>
        <w:autoSpaceDE w:val="0"/>
        <w:autoSpaceDN w:val="0"/>
        <w:adjustRightInd w:val="0"/>
        <w:spacing w:after="120" w:line="360" w:lineRule="atLeast"/>
        <w:contextualSpacing/>
        <w:jc w:val="both"/>
        <w:textAlignment w:val="baseline"/>
        <w:rPr>
          <w:rFonts w:ascii="Arial" w:eastAsia="Calibri" w:hAnsi="Arial" w:cs="Calibri"/>
          <w:color w:val="000000"/>
          <w:sz w:val="24"/>
          <w:szCs w:val="24"/>
        </w:rPr>
      </w:pPr>
      <w:r w:rsidRPr="003770FF">
        <w:rPr>
          <w:rFonts w:ascii="Calibri" w:eastAsia="Calibri" w:hAnsi="Calibri" w:cs="Calibri"/>
          <w:color w:val="000000"/>
        </w:rPr>
        <w:t xml:space="preserve">L'exclusion, en vertu de la nature même du PforR, de tout investissement impliquant des risques environnementaux et sociaux importants ou majeurs. </w:t>
      </w:r>
    </w:p>
    <w:p w14:paraId="5E4672B3" w14:textId="77777777" w:rsidR="003770FF" w:rsidRPr="003770FF" w:rsidRDefault="003770FF" w:rsidP="00B33704">
      <w:pPr>
        <w:widowControl w:val="0"/>
        <w:numPr>
          <w:ilvl w:val="0"/>
          <w:numId w:val="10"/>
        </w:numPr>
        <w:autoSpaceDE w:val="0"/>
        <w:autoSpaceDN w:val="0"/>
        <w:adjustRightInd w:val="0"/>
        <w:spacing w:after="120" w:line="360" w:lineRule="atLeast"/>
        <w:contextualSpacing/>
        <w:jc w:val="both"/>
        <w:textAlignment w:val="baseline"/>
        <w:rPr>
          <w:rFonts w:ascii="Arial" w:eastAsia="Calibri" w:hAnsi="Arial" w:cs="Calibri"/>
          <w:color w:val="000000"/>
          <w:sz w:val="24"/>
          <w:szCs w:val="24"/>
        </w:rPr>
      </w:pPr>
      <w:r w:rsidRPr="003770FF">
        <w:rPr>
          <w:rFonts w:ascii="Calibri" w:eastAsia="Calibri" w:hAnsi="Calibri" w:cs="Calibri"/>
          <w:color w:val="000000"/>
        </w:rPr>
        <w:t>L'existence d'institutions spécialisées capables de gérer la plupart des aspects environnementaux et sociaux du Programme.</w:t>
      </w:r>
    </w:p>
    <w:p w14:paraId="4FAB3330" w14:textId="77777777" w:rsidR="003770FF" w:rsidRPr="003770FF" w:rsidRDefault="003770FF" w:rsidP="00B33704">
      <w:pPr>
        <w:widowControl w:val="0"/>
        <w:numPr>
          <w:ilvl w:val="0"/>
          <w:numId w:val="10"/>
        </w:numPr>
        <w:autoSpaceDE w:val="0"/>
        <w:autoSpaceDN w:val="0"/>
        <w:adjustRightInd w:val="0"/>
        <w:spacing w:after="120" w:line="360" w:lineRule="atLeast"/>
        <w:contextualSpacing/>
        <w:jc w:val="both"/>
        <w:textAlignment w:val="baseline"/>
        <w:rPr>
          <w:rFonts w:ascii="Arial" w:eastAsia="Calibri" w:hAnsi="Arial" w:cs="Calibri"/>
          <w:color w:val="000000"/>
          <w:sz w:val="24"/>
          <w:szCs w:val="24"/>
        </w:rPr>
      </w:pPr>
      <w:r w:rsidRPr="003770FF">
        <w:rPr>
          <w:rFonts w:ascii="Calibri" w:eastAsia="Calibri" w:hAnsi="Calibri" w:cs="Calibri"/>
          <w:color w:val="000000"/>
        </w:rPr>
        <w:t xml:space="preserve">L'existence d'un arsenal juridique approprié pour gérer efficacement tous les aspects de la gestion environnementale et sociale du Programme.  </w:t>
      </w:r>
    </w:p>
    <w:p w14:paraId="75D7A36F" w14:textId="77777777" w:rsidR="003770FF" w:rsidRPr="003770FF" w:rsidRDefault="003770FF" w:rsidP="00B33704">
      <w:pPr>
        <w:widowControl w:val="0"/>
        <w:numPr>
          <w:ilvl w:val="0"/>
          <w:numId w:val="9"/>
        </w:numPr>
        <w:autoSpaceDE w:val="0"/>
        <w:autoSpaceDN w:val="0"/>
        <w:adjustRightInd w:val="0"/>
        <w:spacing w:after="120" w:line="360" w:lineRule="atLeast"/>
        <w:ind w:left="270" w:hanging="270"/>
        <w:jc w:val="both"/>
        <w:textAlignment w:val="baseline"/>
        <w:rPr>
          <w:rFonts w:ascii="Calibri" w:eastAsia="Calibri" w:hAnsi="Calibri" w:cs="Calibri"/>
          <w:color w:val="000000"/>
        </w:rPr>
      </w:pPr>
      <w:r w:rsidRPr="003770FF">
        <w:rPr>
          <w:rFonts w:ascii="Calibri" w:eastAsia="Calibri" w:hAnsi="Calibri" w:cs="Calibri"/>
          <w:b/>
          <w:bCs/>
          <w:color w:val="000000"/>
        </w:rPr>
        <w:t xml:space="preserve">Retombées environnementales bénéfiques. </w:t>
      </w:r>
      <w:r w:rsidRPr="003770FF">
        <w:rPr>
          <w:rFonts w:ascii="Calibri" w:eastAsia="Calibri" w:hAnsi="Calibri" w:cs="Calibri"/>
          <w:color w:val="000000"/>
        </w:rPr>
        <w:t>A travers les activités qu’il vise à financer, le Programme, permettra de :</w:t>
      </w:r>
    </w:p>
    <w:p w14:paraId="6CA5C1D9" w14:textId="1852BD0A" w:rsidR="003770FF" w:rsidRPr="003770FF" w:rsidRDefault="003770FF" w:rsidP="00B33704">
      <w:pPr>
        <w:widowControl w:val="0"/>
        <w:numPr>
          <w:ilvl w:val="0"/>
          <w:numId w:val="21"/>
        </w:numPr>
        <w:autoSpaceDE w:val="0"/>
        <w:autoSpaceDN w:val="0"/>
        <w:adjustRightInd w:val="0"/>
        <w:spacing w:after="120" w:line="360" w:lineRule="atLeast"/>
        <w:contextualSpacing/>
        <w:jc w:val="both"/>
        <w:textAlignment w:val="baseline"/>
        <w:rPr>
          <w:rFonts w:ascii="Calibri" w:eastAsia="Calibri" w:hAnsi="Calibri" w:cs="Calibri"/>
          <w:color w:val="000000"/>
        </w:rPr>
      </w:pPr>
      <w:r w:rsidRPr="003770FF">
        <w:rPr>
          <w:rFonts w:ascii="Calibri" w:eastAsia="Calibri" w:hAnsi="Calibri" w:cs="Calibri"/>
          <w:color w:val="000000"/>
        </w:rPr>
        <w:t>Soutenir la transformation numérique du gouvernement et son évolution vers un secteur public efficace, équitable et transparent axé sur les données, le programme renforcera l'adoption et la performance des principales infrastructures techniques, des cadres de gouvernance et des dispositions institutionnelles nécessaires pour permettre une meilleure utilisation, réutilisation et partage des données dans l'ensemble de l'administration publique;</w:t>
      </w:r>
    </w:p>
    <w:p w14:paraId="2E0A8AA8" w14:textId="77777777" w:rsidR="003770FF" w:rsidRPr="003770FF" w:rsidRDefault="003770FF" w:rsidP="00B33704">
      <w:pPr>
        <w:widowControl w:val="0"/>
        <w:numPr>
          <w:ilvl w:val="0"/>
          <w:numId w:val="21"/>
        </w:numPr>
        <w:autoSpaceDE w:val="0"/>
        <w:autoSpaceDN w:val="0"/>
        <w:adjustRightInd w:val="0"/>
        <w:spacing w:after="120" w:line="360" w:lineRule="atLeast"/>
        <w:contextualSpacing/>
        <w:jc w:val="both"/>
        <w:textAlignment w:val="baseline"/>
        <w:rPr>
          <w:rFonts w:ascii="Calibri" w:eastAsia="Calibri" w:hAnsi="Calibri" w:cs="Calibri"/>
          <w:color w:val="000000"/>
        </w:rPr>
      </w:pPr>
      <w:r w:rsidRPr="003770FF">
        <w:rPr>
          <w:rFonts w:ascii="Calibri" w:eastAsia="Calibri" w:hAnsi="Calibri" w:cs="Calibri"/>
          <w:color w:val="000000"/>
        </w:rPr>
        <w:t xml:space="preserve">L'adoption accrue de ces technologies devrait entrainer la diminution de l’usage du papier (Consommation de papier au Maroc : 20 kg par an et par habitant, </w:t>
      </w:r>
      <w:proofErr w:type="spellStart"/>
      <w:r w:rsidRPr="003770FF">
        <w:rPr>
          <w:rFonts w:ascii="Calibri" w:eastAsia="Calibri" w:hAnsi="Calibri" w:cs="Calibri"/>
          <w:color w:val="000000"/>
        </w:rPr>
        <w:t>MedPapier</w:t>
      </w:r>
      <w:proofErr w:type="spellEnd"/>
      <w:r w:rsidRPr="003770FF">
        <w:rPr>
          <w:rFonts w:ascii="Calibri" w:eastAsia="Calibri" w:hAnsi="Calibri" w:cs="Calibri"/>
          <w:color w:val="000000"/>
        </w:rPr>
        <w:t xml:space="preserve"> – rapport financier 2019</w:t>
      </w:r>
      <w:r w:rsidRPr="003770FF">
        <w:rPr>
          <w:rFonts w:ascii="Calibri" w:eastAsia="Calibri" w:hAnsi="Calibri" w:cs="Calibri"/>
          <w:color w:val="000000"/>
          <w:vertAlign w:val="superscript"/>
        </w:rPr>
        <w:footnoteReference w:id="1"/>
      </w:r>
      <w:r w:rsidRPr="003770FF">
        <w:rPr>
          <w:rFonts w:ascii="Calibri" w:eastAsia="Calibri" w:hAnsi="Calibri" w:cs="Calibri"/>
          <w:color w:val="000000"/>
        </w:rPr>
        <w:t xml:space="preserve">) et donc la diminution de l’empreinte carbone y relative. </w:t>
      </w:r>
    </w:p>
    <w:p w14:paraId="65762D5D" w14:textId="77777777" w:rsidR="003770FF" w:rsidRPr="003770FF" w:rsidRDefault="003770FF" w:rsidP="00B33704">
      <w:pPr>
        <w:widowControl w:val="0"/>
        <w:numPr>
          <w:ilvl w:val="0"/>
          <w:numId w:val="21"/>
        </w:numPr>
        <w:autoSpaceDE w:val="0"/>
        <w:autoSpaceDN w:val="0"/>
        <w:adjustRightInd w:val="0"/>
        <w:spacing w:after="120" w:line="360" w:lineRule="atLeast"/>
        <w:contextualSpacing/>
        <w:jc w:val="both"/>
        <w:textAlignment w:val="baseline"/>
        <w:rPr>
          <w:rFonts w:ascii="Calibri" w:eastAsia="Calibri" w:hAnsi="Calibri" w:cs="Calibri"/>
          <w:color w:val="000000"/>
        </w:rPr>
      </w:pPr>
      <w:r w:rsidRPr="003770FF">
        <w:rPr>
          <w:rFonts w:ascii="Calibri" w:eastAsia="Calibri" w:hAnsi="Calibri" w:cs="Calibri"/>
          <w:color w:val="000000"/>
        </w:rPr>
        <w:t>Elle entrainera également la diminution des déplacements entre les administrations ainsi que les déplacements des usages vers ces administrations. La consommation énergétique évitée contribuera à l’effort national de réduction des gaz à effet de serre et d’amélioration de la qualité de l’air des centres urbains ;</w:t>
      </w:r>
    </w:p>
    <w:p w14:paraId="01B73CEE" w14:textId="77777777" w:rsidR="003770FF" w:rsidRPr="003770FF" w:rsidRDefault="003770FF" w:rsidP="00B33704">
      <w:pPr>
        <w:widowControl w:val="0"/>
        <w:numPr>
          <w:ilvl w:val="0"/>
          <w:numId w:val="21"/>
        </w:numPr>
        <w:autoSpaceDE w:val="0"/>
        <w:autoSpaceDN w:val="0"/>
        <w:adjustRightInd w:val="0"/>
        <w:spacing w:after="0" w:line="360" w:lineRule="atLeast"/>
        <w:contextualSpacing/>
        <w:jc w:val="both"/>
        <w:textAlignment w:val="baseline"/>
        <w:rPr>
          <w:rFonts w:ascii="Calibri" w:eastAsia="Calibri" w:hAnsi="Calibri" w:cs="Calibri"/>
          <w:color w:val="000000"/>
        </w:rPr>
      </w:pPr>
      <w:r w:rsidRPr="003770FF">
        <w:rPr>
          <w:rFonts w:ascii="Calibri" w:eastAsia="Calibri" w:hAnsi="Calibri" w:cs="Calibri"/>
          <w:color w:val="000000"/>
        </w:rPr>
        <w:t>Promulguer un nouveau cadre juridique et réglementaire régissant la performance d'une administration axée sur les données et tenant compte des engagements nationaux en matière de gestion environnementale et sociale.</w:t>
      </w:r>
    </w:p>
    <w:p w14:paraId="6DA91867" w14:textId="4C5D9283" w:rsidR="003770FF" w:rsidRDefault="003770FF" w:rsidP="003770FF">
      <w:pPr>
        <w:widowControl w:val="0"/>
        <w:autoSpaceDE w:val="0"/>
        <w:autoSpaceDN w:val="0"/>
        <w:adjustRightInd w:val="0"/>
        <w:spacing w:after="0" w:line="360" w:lineRule="atLeast"/>
        <w:jc w:val="both"/>
        <w:textAlignment w:val="baseline"/>
        <w:rPr>
          <w:rFonts w:ascii="Calibri" w:eastAsia="Calibri" w:hAnsi="Calibri" w:cs="Calibri"/>
          <w:color w:val="000000"/>
        </w:rPr>
      </w:pPr>
    </w:p>
    <w:p w14:paraId="3E9ED374" w14:textId="3DA3002E" w:rsidR="00AC31E3" w:rsidRPr="00D85E9B" w:rsidRDefault="00AC31E3" w:rsidP="00D85E9B">
      <w:pPr>
        <w:widowControl w:val="0"/>
        <w:numPr>
          <w:ilvl w:val="0"/>
          <w:numId w:val="9"/>
        </w:numPr>
        <w:autoSpaceDE w:val="0"/>
        <w:autoSpaceDN w:val="0"/>
        <w:adjustRightInd w:val="0"/>
        <w:spacing w:after="120" w:line="360" w:lineRule="atLeast"/>
        <w:ind w:left="270" w:hanging="270"/>
        <w:jc w:val="both"/>
        <w:textAlignment w:val="baseline"/>
        <w:rPr>
          <w:rFonts w:cstheme="minorHAnsi"/>
          <w:b/>
          <w:bCs/>
        </w:rPr>
      </w:pPr>
      <w:r w:rsidRPr="00D85E9B">
        <w:rPr>
          <w:rFonts w:ascii="Calibri" w:eastAsia="Calibri" w:hAnsi="Calibri" w:cs="Calibri"/>
          <w:b/>
          <w:bCs/>
          <w:color w:val="000000"/>
        </w:rPr>
        <w:t>Retombées</w:t>
      </w:r>
      <w:r w:rsidRPr="00D85E9B">
        <w:rPr>
          <w:rFonts w:cstheme="minorHAnsi"/>
          <w:b/>
          <w:bCs/>
        </w:rPr>
        <w:t xml:space="preserve"> sociales bénéfiques</w:t>
      </w:r>
      <w:r>
        <w:rPr>
          <w:rFonts w:cstheme="minorHAnsi"/>
          <w:b/>
          <w:bCs/>
        </w:rPr>
        <w:t> :</w:t>
      </w:r>
    </w:p>
    <w:p w14:paraId="6E22EDD7" w14:textId="77777777" w:rsidR="00AC31E3" w:rsidRPr="00FF0863" w:rsidRDefault="00AC31E3" w:rsidP="00D85E9B">
      <w:pPr>
        <w:widowControl w:val="0"/>
        <w:numPr>
          <w:ilvl w:val="0"/>
          <w:numId w:val="21"/>
        </w:numPr>
        <w:autoSpaceDE w:val="0"/>
        <w:autoSpaceDN w:val="0"/>
        <w:adjustRightInd w:val="0"/>
        <w:spacing w:after="0" w:line="360" w:lineRule="atLeast"/>
        <w:contextualSpacing/>
        <w:jc w:val="both"/>
        <w:textAlignment w:val="baseline"/>
        <w:rPr>
          <w:rFonts w:cstheme="minorHAnsi"/>
        </w:rPr>
      </w:pPr>
      <w:r w:rsidRPr="00FF0863">
        <w:rPr>
          <w:rFonts w:cstheme="minorHAnsi"/>
        </w:rPr>
        <w:t>La </w:t>
      </w:r>
      <w:r w:rsidRPr="00D85E9B">
        <w:rPr>
          <w:rFonts w:ascii="Calibri" w:eastAsia="Calibri" w:hAnsi="Calibri" w:cs="Calibri"/>
          <w:color w:val="000000"/>
        </w:rPr>
        <w:t>transformation</w:t>
      </w:r>
      <w:r w:rsidRPr="00FF0863">
        <w:rPr>
          <w:rFonts w:cstheme="minorHAnsi"/>
        </w:rPr>
        <w:t xml:space="preserve"> digitale</w:t>
      </w:r>
      <w:r w:rsidRPr="00FF0863">
        <w:t xml:space="preserve"> des services publics de l’administration est</w:t>
      </w:r>
      <w:r w:rsidRPr="00FF0863">
        <w:rPr>
          <w:rFonts w:cstheme="minorHAnsi"/>
        </w:rPr>
        <w:t xml:space="preserve"> devenue plus qu’une nécessité, dans la mesure où elle répond non seulement aux attentes des citoyens usagers des services publics, mais c’est aussi une solution crédible pour réduire les dépenses et améliorer l’organisation et la gestion de l’administration publique</w:t>
      </w:r>
    </w:p>
    <w:p w14:paraId="4D0B561A" w14:textId="77777777" w:rsidR="00AC31E3" w:rsidRPr="00FF0863" w:rsidRDefault="00AC31E3" w:rsidP="00D85E9B">
      <w:pPr>
        <w:widowControl w:val="0"/>
        <w:numPr>
          <w:ilvl w:val="0"/>
          <w:numId w:val="21"/>
        </w:numPr>
        <w:autoSpaceDE w:val="0"/>
        <w:autoSpaceDN w:val="0"/>
        <w:adjustRightInd w:val="0"/>
        <w:spacing w:after="0" w:line="360" w:lineRule="atLeast"/>
        <w:contextualSpacing/>
        <w:jc w:val="both"/>
        <w:textAlignment w:val="baseline"/>
        <w:rPr>
          <w:rFonts w:cstheme="minorHAnsi"/>
        </w:rPr>
      </w:pPr>
      <w:r w:rsidRPr="00FF0863">
        <w:rPr>
          <w:rFonts w:cstheme="minorHAnsi"/>
        </w:rPr>
        <w:t xml:space="preserve">Le </w:t>
      </w:r>
      <w:r w:rsidRPr="00D85E9B">
        <w:rPr>
          <w:rFonts w:ascii="Calibri" w:eastAsia="Calibri" w:hAnsi="Calibri" w:cs="Calibri"/>
          <w:color w:val="000000"/>
        </w:rPr>
        <w:t>processus</w:t>
      </w:r>
      <w:r w:rsidRPr="00FF0863">
        <w:rPr>
          <w:rFonts w:cstheme="minorHAnsi"/>
        </w:rPr>
        <w:t xml:space="preserve"> de digitalisation de l’administration au Maroc s’est accéléré ces dernières années et notamment avec le confinement dû à la pandémie COVID 19. Plusieurs prestations du service public sont d’ores et déjà effectuées par les usagers en ligne sans qu’ils ressentent le besoin de se déplacer. Tel est le cas par exemple des démarches concernant</w:t>
      </w:r>
      <w:r w:rsidRPr="00FF0863">
        <w:t xml:space="preserve"> l’état civil et le paiement de certains impôts.</w:t>
      </w:r>
    </w:p>
    <w:p w14:paraId="46F30D2B" w14:textId="77777777" w:rsidR="00AC31E3" w:rsidRDefault="00AC31E3" w:rsidP="00D85E9B">
      <w:pPr>
        <w:widowControl w:val="0"/>
        <w:numPr>
          <w:ilvl w:val="0"/>
          <w:numId w:val="21"/>
        </w:numPr>
        <w:autoSpaceDE w:val="0"/>
        <w:autoSpaceDN w:val="0"/>
        <w:adjustRightInd w:val="0"/>
        <w:spacing w:after="0" w:line="360" w:lineRule="atLeast"/>
        <w:contextualSpacing/>
        <w:jc w:val="both"/>
        <w:textAlignment w:val="baseline"/>
        <w:rPr>
          <w:rFonts w:cstheme="minorHAnsi"/>
        </w:rPr>
      </w:pPr>
      <w:r w:rsidRPr="00FF0863">
        <w:rPr>
          <w:lang w:eastAsia="fr-FR"/>
        </w:rPr>
        <w:lastRenderedPageBreak/>
        <w:t xml:space="preserve">Le </w:t>
      </w:r>
      <w:r w:rsidRPr="00D85E9B">
        <w:rPr>
          <w:rFonts w:ascii="Calibri" w:eastAsia="Calibri" w:hAnsi="Calibri" w:cs="Calibri"/>
          <w:color w:val="000000"/>
        </w:rPr>
        <w:t>Programme</w:t>
      </w:r>
      <w:r w:rsidRPr="00237651">
        <w:rPr>
          <w:lang w:eastAsia="fr-FR"/>
        </w:rPr>
        <w:t xml:space="preserve"> aura, à moyen terme, des retombées sociales bénéfiques pour l’ensemble de la</w:t>
      </w:r>
      <w:r>
        <w:rPr>
          <w:lang w:eastAsia="fr-FR"/>
        </w:rPr>
        <w:t xml:space="preserve"> population du Royaume. En effet, </w:t>
      </w:r>
      <w:r>
        <w:rPr>
          <w:rFonts w:cstheme="minorHAnsi"/>
        </w:rPr>
        <w:t>en appuyant</w:t>
      </w:r>
      <w:r w:rsidRPr="00AA2E4C">
        <w:rPr>
          <w:rFonts w:cstheme="minorHAnsi"/>
        </w:rPr>
        <w:t xml:space="preserve"> les efforts du gouvernement pour améliorer l'efficacité des dépenses publiques</w:t>
      </w:r>
      <w:r>
        <w:rPr>
          <w:rFonts w:cstheme="minorHAnsi"/>
        </w:rPr>
        <w:t xml:space="preserve"> (Domaine de résultats 1), le Programme améliorera la performance budgétaire et l’efficacité de l’utilisation des deniers publics ce qui aura des retombées sur les investissements publics. </w:t>
      </w:r>
    </w:p>
    <w:p w14:paraId="754D0FC5" w14:textId="77777777" w:rsidR="00AC31E3" w:rsidRDefault="00AC31E3" w:rsidP="00D85E9B">
      <w:pPr>
        <w:widowControl w:val="0"/>
        <w:numPr>
          <w:ilvl w:val="0"/>
          <w:numId w:val="21"/>
        </w:numPr>
        <w:autoSpaceDE w:val="0"/>
        <w:autoSpaceDN w:val="0"/>
        <w:adjustRightInd w:val="0"/>
        <w:spacing w:after="0" w:line="360" w:lineRule="atLeast"/>
        <w:contextualSpacing/>
        <w:jc w:val="both"/>
        <w:textAlignment w:val="baseline"/>
        <w:rPr>
          <w:rFonts w:cstheme="minorHAnsi"/>
        </w:rPr>
      </w:pPr>
      <w:r w:rsidRPr="00D85E9B">
        <w:rPr>
          <w:rFonts w:ascii="Calibri" w:eastAsia="Calibri" w:hAnsi="Calibri" w:cs="Calibri"/>
          <w:color w:val="000000"/>
        </w:rPr>
        <w:t>L’amélioration</w:t>
      </w:r>
      <w:r>
        <w:rPr>
          <w:rFonts w:cstheme="minorHAnsi"/>
        </w:rPr>
        <w:t xml:space="preserve"> de l’efficacité de la collecte des impôts locaux et l’augmentation des recettes des municipalités (Domaine de résultat 2) aura pour effet de permettre des investissements plus équitables et plus équilibrés en faveur de toutes les couches de la population urbaine et rurale. </w:t>
      </w:r>
    </w:p>
    <w:p w14:paraId="28630103" w14:textId="77777777" w:rsidR="00AC31E3" w:rsidRPr="00FF0863" w:rsidRDefault="00AC31E3" w:rsidP="00D85E9B">
      <w:pPr>
        <w:widowControl w:val="0"/>
        <w:numPr>
          <w:ilvl w:val="0"/>
          <w:numId w:val="21"/>
        </w:numPr>
        <w:autoSpaceDE w:val="0"/>
        <w:autoSpaceDN w:val="0"/>
        <w:adjustRightInd w:val="0"/>
        <w:spacing w:after="0" w:line="360" w:lineRule="atLeast"/>
        <w:contextualSpacing/>
        <w:jc w:val="both"/>
        <w:textAlignment w:val="baseline"/>
        <w:rPr>
          <w:rFonts w:cstheme="minorHAnsi"/>
        </w:rPr>
      </w:pPr>
      <w:r w:rsidRPr="00FF0863">
        <w:rPr>
          <w:rFonts w:cstheme="minorHAnsi"/>
        </w:rPr>
        <w:t xml:space="preserve">En </w:t>
      </w:r>
      <w:r w:rsidRPr="00D85E9B">
        <w:rPr>
          <w:rFonts w:ascii="Calibri" w:eastAsia="Calibri" w:hAnsi="Calibri" w:cs="Calibri"/>
          <w:color w:val="000000"/>
        </w:rPr>
        <w:t>appuyant</w:t>
      </w:r>
      <w:r w:rsidRPr="00FF0863">
        <w:rPr>
          <w:rFonts w:cstheme="minorHAnsi"/>
        </w:rPr>
        <w:t xml:space="preserve"> la numérisation de l’administration publique et le gouvernement axé sur les données (Domaine de résultats 3), le Programme contribuera à améliorer les services administratifs en faveur des usagers de l’administration, en termes de durée, d’accessibilité, d’efficacité et de qualité. De même qu’il renforcera l’ouverture et la transparence du gouvernement, </w:t>
      </w:r>
      <w:r w:rsidRPr="00FF0863">
        <w:rPr>
          <w:rFonts w:cstheme="minorHAnsi"/>
        </w:rPr>
        <w:t xml:space="preserve">améliorera l’accès des citoyens et des acteurs économiques et sociaux aux données et améliorera l’image de l’administration et la confiance chez les citoyens. </w:t>
      </w:r>
    </w:p>
    <w:p w14:paraId="50544811" w14:textId="77777777" w:rsidR="00AC31E3" w:rsidRPr="003770FF" w:rsidRDefault="00AC31E3" w:rsidP="003770FF">
      <w:pPr>
        <w:widowControl w:val="0"/>
        <w:autoSpaceDE w:val="0"/>
        <w:autoSpaceDN w:val="0"/>
        <w:adjustRightInd w:val="0"/>
        <w:spacing w:after="0" w:line="360" w:lineRule="atLeast"/>
        <w:jc w:val="both"/>
        <w:textAlignment w:val="baseline"/>
        <w:rPr>
          <w:rFonts w:ascii="Calibri" w:eastAsia="Calibri" w:hAnsi="Calibri" w:cs="Calibri"/>
          <w:color w:val="000000"/>
        </w:rPr>
      </w:pPr>
    </w:p>
    <w:p w14:paraId="13B75891" w14:textId="3981E283" w:rsidR="00BC0CC2" w:rsidRDefault="003770FF" w:rsidP="00B33704">
      <w:pPr>
        <w:numPr>
          <w:ilvl w:val="0"/>
          <w:numId w:val="9"/>
        </w:numPr>
        <w:spacing w:line="360" w:lineRule="auto"/>
        <w:contextualSpacing/>
        <w:jc w:val="both"/>
        <w:rPr>
          <w:rFonts w:ascii="Calibri" w:eastAsia="Calibri" w:hAnsi="Calibri" w:cs="Calibri"/>
          <w:color w:val="000000"/>
        </w:rPr>
      </w:pPr>
      <w:r w:rsidRPr="003770FF">
        <w:rPr>
          <w:rFonts w:ascii="Calibri" w:eastAsia="Calibri" w:hAnsi="Calibri" w:cs="Calibri"/>
          <w:b/>
          <w:bCs/>
          <w:color w:val="000000"/>
        </w:rPr>
        <w:t xml:space="preserve">Les risques environnementaux et </w:t>
      </w:r>
      <w:r w:rsidR="00BC0CC2">
        <w:rPr>
          <w:rFonts w:ascii="Calibri" w:eastAsia="Calibri" w:hAnsi="Calibri" w:cs="Calibri"/>
          <w:b/>
          <w:bCs/>
          <w:color w:val="000000"/>
        </w:rPr>
        <w:t xml:space="preserve">sociaux ainsi que </w:t>
      </w:r>
      <w:r w:rsidRPr="003770FF">
        <w:rPr>
          <w:rFonts w:ascii="Calibri" w:eastAsia="Calibri" w:hAnsi="Calibri" w:cs="Calibri"/>
          <w:b/>
          <w:bCs/>
          <w:color w:val="000000"/>
        </w:rPr>
        <w:t xml:space="preserve">les impacts négatifs associés au Programme seront </w:t>
      </w:r>
      <w:r w:rsidR="00A56DC9">
        <w:rPr>
          <w:rFonts w:ascii="Calibri" w:eastAsia="Calibri" w:hAnsi="Calibri" w:cs="Calibri"/>
          <w:b/>
          <w:bCs/>
          <w:color w:val="000000"/>
        </w:rPr>
        <w:t xml:space="preserve">de </w:t>
      </w:r>
      <w:r w:rsidR="000037BE">
        <w:rPr>
          <w:rFonts w:ascii="Calibri" w:eastAsia="Calibri" w:hAnsi="Calibri" w:cs="Calibri"/>
          <w:b/>
          <w:bCs/>
          <w:color w:val="000000"/>
        </w:rPr>
        <w:t xml:space="preserve">faible </w:t>
      </w:r>
      <w:r w:rsidR="00B03853">
        <w:rPr>
          <w:rFonts w:ascii="Calibri" w:eastAsia="Calibri" w:hAnsi="Calibri" w:cs="Calibri"/>
          <w:b/>
          <w:bCs/>
          <w:color w:val="000000"/>
        </w:rPr>
        <w:t>envergure</w:t>
      </w:r>
      <w:r w:rsidR="000466C7">
        <w:rPr>
          <w:rFonts w:ascii="Calibri" w:eastAsia="Calibri" w:hAnsi="Calibri" w:cs="Calibri"/>
          <w:b/>
          <w:bCs/>
          <w:color w:val="000000"/>
        </w:rPr>
        <w:t>,</w:t>
      </w:r>
      <w:r w:rsidR="00B03853">
        <w:rPr>
          <w:rFonts w:ascii="Calibri" w:eastAsia="Calibri" w:hAnsi="Calibri" w:cs="Calibri"/>
          <w:b/>
          <w:bCs/>
          <w:color w:val="000000"/>
        </w:rPr>
        <w:t xml:space="preserve"> voire</w:t>
      </w:r>
      <w:r w:rsidR="000037BE">
        <w:rPr>
          <w:rFonts w:ascii="Calibri" w:eastAsia="Calibri" w:hAnsi="Calibri" w:cs="Calibri"/>
          <w:b/>
          <w:bCs/>
          <w:color w:val="000000"/>
        </w:rPr>
        <w:t xml:space="preserve"> </w:t>
      </w:r>
      <w:r w:rsidRPr="003770FF">
        <w:rPr>
          <w:rFonts w:ascii="Calibri" w:eastAsia="Calibri" w:hAnsi="Calibri" w:cs="Calibri"/>
          <w:b/>
          <w:bCs/>
          <w:color w:val="000000"/>
        </w:rPr>
        <w:t>absents</w:t>
      </w:r>
      <w:r w:rsidRPr="003770FF">
        <w:rPr>
          <w:rFonts w:ascii="Calibri" w:eastAsia="Calibri" w:hAnsi="Calibri" w:cs="Calibri"/>
          <w:color w:val="000000"/>
        </w:rPr>
        <w:t xml:space="preserve">. </w:t>
      </w:r>
    </w:p>
    <w:p w14:paraId="0B1A0C21" w14:textId="6CFC927C" w:rsidR="003770FF" w:rsidRPr="00D85E9B" w:rsidRDefault="003770FF" w:rsidP="00BC0CC2">
      <w:pPr>
        <w:widowControl w:val="0"/>
        <w:numPr>
          <w:ilvl w:val="0"/>
          <w:numId w:val="21"/>
        </w:numPr>
        <w:autoSpaceDE w:val="0"/>
        <w:autoSpaceDN w:val="0"/>
        <w:adjustRightInd w:val="0"/>
        <w:spacing w:after="0" w:line="360" w:lineRule="atLeast"/>
        <w:contextualSpacing/>
        <w:jc w:val="both"/>
        <w:textAlignment w:val="baseline"/>
        <w:rPr>
          <w:rFonts w:ascii="Calibri" w:eastAsia="Calibri" w:hAnsi="Calibri" w:cs="Calibri"/>
          <w:color w:val="000000"/>
        </w:rPr>
      </w:pPr>
      <w:r w:rsidRPr="003770FF">
        <w:rPr>
          <w:rFonts w:ascii="Calibri" w:eastAsia="Calibri" w:hAnsi="Calibri" w:cs="Calibri"/>
          <w:color w:val="000000"/>
        </w:rPr>
        <w:t>En effet, les activités financées dans le cadre de ce Programme sont principalement non-structurelles</w:t>
      </w:r>
      <w:r w:rsidR="00A56DC9">
        <w:rPr>
          <w:rStyle w:val="FootnoteReference"/>
          <w:rFonts w:ascii="Calibri" w:eastAsia="Calibri" w:hAnsi="Calibri" w:cs="Calibri"/>
          <w:color w:val="000000"/>
        </w:rPr>
        <w:footnoteReference w:id="2"/>
      </w:r>
      <w:r w:rsidRPr="003770FF">
        <w:rPr>
          <w:rFonts w:ascii="Calibri" w:eastAsia="Calibri" w:hAnsi="Calibri" w:cs="Calibri"/>
          <w:color w:val="000000"/>
        </w:rPr>
        <w:t xml:space="preserve"> et correspondent à des renforcements des systèmes et de ce fait ne présentent pas de potentiel de </w:t>
      </w:r>
      <w:r w:rsidRPr="003770FF">
        <w:rPr>
          <w:rFonts w:ascii="Calibri" w:eastAsia="Calibri" w:hAnsi="Calibri" w:cs="Calibri"/>
          <w:color w:val="000000"/>
        </w:rPr>
        <w:t xml:space="preserve">génération de risques </w:t>
      </w:r>
      <w:r w:rsidR="00C454F0" w:rsidRPr="003770FF">
        <w:rPr>
          <w:rFonts w:ascii="Calibri" w:eastAsia="Calibri" w:hAnsi="Calibri" w:cs="Calibri"/>
          <w:color w:val="000000"/>
        </w:rPr>
        <w:t>environnementaux.</w:t>
      </w:r>
      <w:r w:rsidRPr="003770FF">
        <w:rPr>
          <w:rFonts w:ascii="Calibri" w:eastAsia="Calibri" w:hAnsi="Calibri" w:cs="Calibri"/>
          <w:b/>
          <w:bCs/>
          <w:color w:val="000000"/>
        </w:rPr>
        <w:t xml:space="preserve"> Les risques environnementaux sont de ce fait considérés faibles.</w:t>
      </w:r>
    </w:p>
    <w:p w14:paraId="292778C0" w14:textId="77777777" w:rsidR="00BC0CC2" w:rsidRPr="00D85E9B" w:rsidRDefault="00BC0CC2" w:rsidP="00D85E9B">
      <w:pPr>
        <w:widowControl w:val="0"/>
        <w:autoSpaceDE w:val="0"/>
        <w:autoSpaceDN w:val="0"/>
        <w:adjustRightInd w:val="0"/>
        <w:spacing w:after="0" w:line="360" w:lineRule="atLeast"/>
        <w:ind w:left="720"/>
        <w:contextualSpacing/>
        <w:jc w:val="both"/>
        <w:textAlignment w:val="baseline"/>
        <w:rPr>
          <w:rFonts w:ascii="Calibri" w:eastAsia="Calibri" w:hAnsi="Calibri" w:cs="Calibri"/>
          <w:color w:val="000000"/>
        </w:rPr>
      </w:pPr>
    </w:p>
    <w:p w14:paraId="482E1DEA" w14:textId="52FB540B" w:rsidR="00BC0CC2" w:rsidRPr="00B26B28" w:rsidRDefault="00BC0CC2" w:rsidP="00D85E9B">
      <w:pPr>
        <w:numPr>
          <w:ilvl w:val="0"/>
          <w:numId w:val="9"/>
        </w:numPr>
        <w:spacing w:line="360" w:lineRule="auto"/>
        <w:contextualSpacing/>
        <w:jc w:val="both"/>
        <w:rPr>
          <w:rFonts w:cstheme="minorHAnsi"/>
        </w:rPr>
      </w:pPr>
      <w:r w:rsidRPr="00B26B28">
        <w:rPr>
          <w:rFonts w:cstheme="minorHAnsi"/>
        </w:rPr>
        <w:t xml:space="preserve">Étant </w:t>
      </w:r>
      <w:r w:rsidRPr="00D85E9B">
        <w:rPr>
          <w:rFonts w:ascii="Calibri" w:eastAsia="Calibri" w:hAnsi="Calibri" w:cs="Calibri"/>
          <w:color w:val="000000"/>
        </w:rPr>
        <w:t>donné</w:t>
      </w:r>
      <w:r w:rsidRPr="00B26B28">
        <w:rPr>
          <w:rFonts w:cstheme="minorHAnsi"/>
        </w:rPr>
        <w:t xml:space="preserve"> la nature des activités du Programme qui sont destinées </w:t>
      </w:r>
      <w:r w:rsidRPr="00B26B28">
        <w:rPr>
          <w:rFonts w:eastAsia="Calibri" w:cstheme="minorHAnsi"/>
          <w:color w:val="000000"/>
        </w:rPr>
        <w:t>à améliorer l'efficacité, l'équité et la transparence du secteur public en faisant progresser la transformation numérique des services prioritaires qui permettra d'accroître la conformité fiscale et de réduire les dépenses récurrentes</w:t>
      </w:r>
      <w:r w:rsidRPr="00B26B28">
        <w:rPr>
          <w:rFonts w:cstheme="minorHAnsi"/>
        </w:rPr>
        <w:t xml:space="preserve">, </w:t>
      </w:r>
      <w:r w:rsidRPr="00FF0863">
        <w:rPr>
          <w:rFonts w:cstheme="minorHAnsi"/>
          <w:b/>
          <w:bCs/>
        </w:rPr>
        <w:t>les risques sociaux sont globalement minimes</w:t>
      </w:r>
      <w:r>
        <w:rPr>
          <w:rFonts w:cstheme="minorHAnsi"/>
        </w:rPr>
        <w:t> ; en effet :</w:t>
      </w:r>
      <w:r w:rsidRPr="00B26B28">
        <w:rPr>
          <w:rFonts w:cstheme="minorHAnsi"/>
        </w:rPr>
        <w:t xml:space="preserve">  </w:t>
      </w:r>
    </w:p>
    <w:p w14:paraId="728D61E6" w14:textId="77777777" w:rsidR="00BC0CC2" w:rsidRDefault="00BC0CC2" w:rsidP="00D85E9B">
      <w:pPr>
        <w:widowControl w:val="0"/>
        <w:numPr>
          <w:ilvl w:val="0"/>
          <w:numId w:val="21"/>
        </w:numPr>
        <w:autoSpaceDE w:val="0"/>
        <w:autoSpaceDN w:val="0"/>
        <w:adjustRightInd w:val="0"/>
        <w:spacing w:after="0" w:line="360" w:lineRule="atLeast"/>
        <w:contextualSpacing/>
        <w:jc w:val="both"/>
        <w:textAlignment w:val="baseline"/>
        <w:rPr>
          <w:rFonts w:eastAsia="Calibri" w:cstheme="minorHAnsi"/>
          <w:color w:val="000000"/>
        </w:rPr>
      </w:pPr>
      <w:r w:rsidRPr="00D85E9B">
        <w:rPr>
          <w:rFonts w:ascii="Calibri" w:eastAsia="Calibri" w:hAnsi="Calibri" w:cs="Calibri"/>
          <w:color w:val="000000"/>
        </w:rPr>
        <w:t>Il n’y a pas de risques sociaux associés aux acquisitions foncières, Le Programme ne finançant pas de travaux de réhabilitation ou de construction de quelque nature que ce soit, et donc n’entraînant pas de déplacement physique et/ou économique de population</w:t>
      </w:r>
      <w:r>
        <w:rPr>
          <w:rFonts w:eastAsia="Calibri" w:cstheme="minorHAnsi"/>
          <w:color w:val="000000"/>
        </w:rPr>
        <w:t> ;</w:t>
      </w:r>
    </w:p>
    <w:p w14:paraId="34F1A6F9" w14:textId="77777777" w:rsidR="00BC0CC2" w:rsidRDefault="00BC0CC2" w:rsidP="00BC0CC2">
      <w:pPr>
        <w:pStyle w:val="ListParagraph"/>
        <w:rPr>
          <w:rFonts w:eastAsia="Calibri" w:cstheme="minorHAnsi"/>
        </w:rPr>
      </w:pPr>
    </w:p>
    <w:p w14:paraId="359F6005" w14:textId="77777777" w:rsidR="00BC0CC2" w:rsidRPr="00B26B28" w:rsidRDefault="00BC0CC2" w:rsidP="00D85E9B">
      <w:pPr>
        <w:widowControl w:val="0"/>
        <w:numPr>
          <w:ilvl w:val="0"/>
          <w:numId w:val="21"/>
        </w:numPr>
        <w:autoSpaceDE w:val="0"/>
        <w:autoSpaceDN w:val="0"/>
        <w:adjustRightInd w:val="0"/>
        <w:spacing w:after="0" w:line="360" w:lineRule="atLeast"/>
        <w:contextualSpacing/>
        <w:jc w:val="both"/>
        <w:textAlignment w:val="baseline"/>
        <w:rPr>
          <w:rFonts w:eastAsia="Calibri" w:cstheme="minorHAnsi"/>
          <w:color w:val="000000"/>
        </w:rPr>
      </w:pPr>
      <w:r w:rsidRPr="00822BCB">
        <w:rPr>
          <w:rFonts w:eastAsia="Calibri" w:cstheme="minorHAnsi"/>
          <w:color w:val="000000"/>
        </w:rPr>
        <w:t xml:space="preserve">La nature des </w:t>
      </w:r>
      <w:r w:rsidRPr="00D85E9B">
        <w:rPr>
          <w:rFonts w:ascii="Calibri" w:eastAsia="Calibri" w:hAnsi="Calibri" w:cs="Calibri"/>
          <w:color w:val="000000"/>
        </w:rPr>
        <w:t>activités</w:t>
      </w:r>
      <w:r w:rsidRPr="00822BCB">
        <w:rPr>
          <w:rFonts w:eastAsia="Calibri" w:cstheme="minorHAnsi"/>
          <w:color w:val="000000"/>
        </w:rPr>
        <w:t xml:space="preserve"> envisagées ne laisse pas présager que des groupes vulnérables, spécifiques pourraient subir des préjudices</w:t>
      </w:r>
      <w:r>
        <w:rPr>
          <w:rFonts w:eastAsia="Calibri" w:cstheme="minorHAnsi"/>
          <w:color w:val="000000"/>
        </w:rPr>
        <w:t>,</w:t>
      </w:r>
      <w:r w:rsidRPr="00822BCB">
        <w:rPr>
          <w:rFonts w:eastAsia="Calibri" w:cstheme="minorHAnsi"/>
          <w:color w:val="000000"/>
        </w:rPr>
        <w:t xml:space="preserve"> bien au contraire les activités prévues vont contribuer à l’amélioration de l’accessibilité en dématérialisant certaines démarches administratives qui nécessitent le déplacement des usagers.</w:t>
      </w:r>
    </w:p>
    <w:p w14:paraId="261CA29D" w14:textId="5E4D861F" w:rsidR="00BC0CC2" w:rsidRDefault="00BC0CC2" w:rsidP="00BC0CC2">
      <w:pPr>
        <w:widowControl w:val="0"/>
        <w:autoSpaceDE w:val="0"/>
        <w:autoSpaceDN w:val="0"/>
        <w:adjustRightInd w:val="0"/>
        <w:spacing w:after="0" w:line="360" w:lineRule="atLeast"/>
        <w:ind w:left="360"/>
        <w:contextualSpacing/>
        <w:jc w:val="both"/>
        <w:textAlignment w:val="baseline"/>
        <w:rPr>
          <w:rFonts w:ascii="Calibri" w:eastAsia="Calibri" w:hAnsi="Calibri" w:cs="Calibri"/>
          <w:color w:val="000000"/>
        </w:rPr>
      </w:pPr>
    </w:p>
    <w:p w14:paraId="5F1F31DB" w14:textId="77777777" w:rsidR="00A01103" w:rsidRPr="003770FF" w:rsidRDefault="00A01103" w:rsidP="00D85E9B">
      <w:pPr>
        <w:widowControl w:val="0"/>
        <w:autoSpaceDE w:val="0"/>
        <w:autoSpaceDN w:val="0"/>
        <w:adjustRightInd w:val="0"/>
        <w:spacing w:after="0" w:line="360" w:lineRule="atLeast"/>
        <w:ind w:left="360"/>
        <w:contextualSpacing/>
        <w:jc w:val="both"/>
        <w:textAlignment w:val="baseline"/>
        <w:rPr>
          <w:rFonts w:ascii="Calibri" w:eastAsia="Calibri" w:hAnsi="Calibri" w:cs="Calibri"/>
          <w:color w:val="000000"/>
        </w:rPr>
      </w:pPr>
    </w:p>
    <w:p w14:paraId="014FF6FA" w14:textId="77777777" w:rsidR="003770FF" w:rsidRPr="003770FF" w:rsidRDefault="003770FF" w:rsidP="00B33704">
      <w:pPr>
        <w:widowControl w:val="0"/>
        <w:numPr>
          <w:ilvl w:val="0"/>
          <w:numId w:val="9"/>
        </w:numPr>
        <w:autoSpaceDE w:val="0"/>
        <w:autoSpaceDN w:val="0"/>
        <w:adjustRightInd w:val="0"/>
        <w:spacing w:after="120" w:line="360" w:lineRule="atLeast"/>
        <w:jc w:val="both"/>
        <w:textAlignment w:val="baseline"/>
        <w:rPr>
          <w:rFonts w:ascii="Calibri" w:eastAsia="Calibri" w:hAnsi="Calibri" w:cs="Calibri"/>
          <w:color w:val="000000"/>
        </w:rPr>
      </w:pPr>
      <w:r w:rsidRPr="003770FF">
        <w:rPr>
          <w:rFonts w:ascii="Calibri" w:eastAsia="Calibri" w:hAnsi="Calibri" w:cs="Calibri"/>
          <w:b/>
          <w:bCs/>
          <w:color w:val="000000"/>
        </w:rPr>
        <w:t xml:space="preserve">Évaluation du système E&amp;S du Programme. </w:t>
      </w:r>
    </w:p>
    <w:p w14:paraId="73C29601" w14:textId="121F5716" w:rsidR="003770FF" w:rsidRPr="003770FF" w:rsidRDefault="003770FF" w:rsidP="00B33704">
      <w:pPr>
        <w:widowControl w:val="0"/>
        <w:numPr>
          <w:ilvl w:val="1"/>
          <w:numId w:val="9"/>
        </w:numPr>
        <w:autoSpaceDE w:val="0"/>
        <w:autoSpaceDN w:val="0"/>
        <w:adjustRightInd w:val="0"/>
        <w:spacing w:after="120" w:line="360" w:lineRule="atLeast"/>
        <w:jc w:val="both"/>
        <w:textAlignment w:val="baseline"/>
        <w:rPr>
          <w:rFonts w:ascii="Calibri" w:eastAsia="Calibri" w:hAnsi="Calibri" w:cs="Calibri"/>
          <w:color w:val="000000"/>
        </w:rPr>
      </w:pPr>
      <w:r w:rsidRPr="003770FF">
        <w:rPr>
          <w:rFonts w:ascii="Calibri" w:eastAsia="Calibri" w:hAnsi="Calibri" w:cs="Calibri"/>
          <w:color w:val="000000"/>
        </w:rPr>
        <w:t xml:space="preserve">La réglementation environnementale nationale et particulièrement la loi n° 11-03 (Protection et mise en valeur de l’environnement) ainsi que la loi </w:t>
      </w:r>
      <w:r w:rsidR="00F444AD">
        <w:rPr>
          <w:rFonts w:ascii="Calibri" w:eastAsia="Calibri" w:hAnsi="Calibri" w:cs="Calibri"/>
          <w:color w:val="000000"/>
        </w:rPr>
        <w:t>12-03 sur les études d’impact sur l’environnement</w:t>
      </w:r>
      <w:r w:rsidRPr="003770FF">
        <w:rPr>
          <w:rFonts w:ascii="Calibri" w:eastAsia="Calibri" w:hAnsi="Calibri" w:cs="Calibri"/>
          <w:color w:val="000000"/>
        </w:rPr>
        <w:t>, insistent sur les projets générateurs d’impacts négatifs importants en proposant des outils (notamment l’EIE) de gestion et de suivi (PSSE) alors que les projets et activités à faible ou moyen potentiel d’impacts négatifs s</w:t>
      </w:r>
      <w:r w:rsidR="00F444AD">
        <w:rPr>
          <w:rFonts w:ascii="Calibri" w:eastAsia="Calibri" w:hAnsi="Calibri" w:cs="Calibri"/>
          <w:color w:val="000000"/>
        </w:rPr>
        <w:t>er</w:t>
      </w:r>
      <w:r w:rsidRPr="003770FF">
        <w:rPr>
          <w:rFonts w:ascii="Calibri" w:eastAsia="Calibri" w:hAnsi="Calibri" w:cs="Calibri"/>
          <w:color w:val="000000"/>
        </w:rPr>
        <w:t>ont désormais encadrés par la notice d’impact environnemental</w:t>
      </w:r>
      <w:r w:rsidR="00F444AD">
        <w:rPr>
          <w:rFonts w:ascii="Calibri" w:eastAsia="Calibri" w:hAnsi="Calibri" w:cs="Calibri"/>
          <w:color w:val="000000"/>
        </w:rPr>
        <w:t xml:space="preserve"> introduite par la loi 49-17 sur l’évaluation environnementale</w:t>
      </w:r>
      <w:r w:rsidRPr="003770FF">
        <w:rPr>
          <w:rFonts w:ascii="Calibri" w:eastAsia="Calibri" w:hAnsi="Calibri" w:cs="Calibri"/>
          <w:color w:val="000000"/>
        </w:rPr>
        <w:t xml:space="preserve">. Les procédures et les principes de gestion environnementale sont conformes d’une manière générale aux pratiques internationales. Les procédures de gestion environnementale et d’EIE sont à la fois claires aux niveaux techniques et solides au niveau institutionnel. La loi </w:t>
      </w:r>
      <w:r w:rsidR="00F444AD">
        <w:rPr>
          <w:rFonts w:ascii="Calibri" w:eastAsia="Calibri" w:hAnsi="Calibri" w:cs="Calibri"/>
          <w:color w:val="000000"/>
        </w:rPr>
        <w:t>12-03</w:t>
      </w:r>
      <w:r w:rsidRPr="003770FF">
        <w:rPr>
          <w:rFonts w:ascii="Calibri" w:eastAsia="Calibri" w:hAnsi="Calibri" w:cs="Calibri"/>
          <w:color w:val="000000"/>
        </w:rPr>
        <w:t xml:space="preserve"> </w:t>
      </w:r>
      <w:r w:rsidRPr="003770FF">
        <w:rPr>
          <w:rFonts w:ascii="Calibri" w:eastAsia="Calibri" w:hAnsi="Calibri" w:cs="Calibri"/>
          <w:color w:val="000000"/>
        </w:rPr>
        <w:t>relative à l’EIE constitue un outil légal qui subordonne l’autorisation administrative de tout projet soumis à l’ÉIE à une décision d’acceptabilité environnementale</w:t>
      </w:r>
      <w:r w:rsidR="00F444AD">
        <w:rPr>
          <w:rFonts w:ascii="Calibri" w:eastAsia="Calibri" w:hAnsi="Calibri" w:cs="Calibri"/>
          <w:color w:val="000000"/>
        </w:rPr>
        <w:t xml:space="preserve"> alors que la l</w:t>
      </w:r>
      <w:r w:rsidR="000466C7">
        <w:rPr>
          <w:rFonts w:ascii="Calibri" w:eastAsia="Calibri" w:hAnsi="Calibri" w:cs="Calibri"/>
          <w:color w:val="000000"/>
        </w:rPr>
        <w:t>o</w:t>
      </w:r>
      <w:r w:rsidR="00F444AD">
        <w:rPr>
          <w:rFonts w:ascii="Calibri" w:eastAsia="Calibri" w:hAnsi="Calibri" w:cs="Calibri"/>
          <w:color w:val="000000"/>
        </w:rPr>
        <w:t>i 49-17 parue dans le bulletin officiel en Aout 2020 ne rentrera en vigueur que lorsque ses textes d’application seront promulgués.</w:t>
      </w:r>
      <w:r w:rsidR="000466C7">
        <w:rPr>
          <w:rFonts w:ascii="Calibri" w:eastAsia="Calibri" w:hAnsi="Calibri" w:cs="Calibri"/>
          <w:color w:val="000000"/>
        </w:rPr>
        <w:t xml:space="preserve"> Aucun des textes règlementaires qui encadrent la gestion environnementale dans le système national </w:t>
      </w:r>
      <w:r w:rsidR="001159AC">
        <w:rPr>
          <w:rFonts w:ascii="Calibri" w:eastAsia="Calibri" w:hAnsi="Calibri" w:cs="Calibri"/>
          <w:color w:val="000000"/>
        </w:rPr>
        <w:t>ne s’applique aux activités du Programme car ces dernières ne présentent pas de risques ni d’impacts environnementaux négatifs.</w:t>
      </w:r>
    </w:p>
    <w:p w14:paraId="0B01A59F" w14:textId="77777777" w:rsidR="003770FF" w:rsidRPr="003770FF" w:rsidRDefault="003770FF" w:rsidP="00B33704">
      <w:pPr>
        <w:widowControl w:val="0"/>
        <w:numPr>
          <w:ilvl w:val="1"/>
          <w:numId w:val="9"/>
        </w:numPr>
        <w:autoSpaceDE w:val="0"/>
        <w:autoSpaceDN w:val="0"/>
        <w:adjustRightInd w:val="0"/>
        <w:spacing w:after="120" w:line="360" w:lineRule="atLeast"/>
        <w:jc w:val="both"/>
        <w:textAlignment w:val="baseline"/>
        <w:rPr>
          <w:rFonts w:ascii="Calibri" w:eastAsia="Calibri" w:hAnsi="Calibri" w:cs="Calibri"/>
          <w:color w:val="000000"/>
        </w:rPr>
      </w:pPr>
      <w:r w:rsidRPr="003770FF">
        <w:rPr>
          <w:rFonts w:ascii="Calibri" w:eastAsia="Calibri" w:hAnsi="Calibri" w:cs="Calibri"/>
          <w:color w:val="000000"/>
        </w:rPr>
        <w:t>Le Département de l’environnement responsable de la gestion du système d'EIE dispose d'une bonne expérience et des compétences nécessaires, particulièrement dans le domaine de l'examen des EIE, du contrôle de la mise en œuvre des projets et du suivi des milieux (air, eau, sol), par le biais du Laboratoire National de l’Environnement</w:t>
      </w:r>
      <w:r w:rsidRPr="003770FF">
        <w:rPr>
          <w:rFonts w:ascii="Calibri" w:eastAsia="Calibri" w:hAnsi="Calibri" w:cs="Calibri"/>
          <w:color w:val="000000"/>
        </w:rPr>
        <w:t xml:space="preserve">. </w:t>
      </w:r>
    </w:p>
    <w:p w14:paraId="593B6A26" w14:textId="152FD864" w:rsidR="003770FF" w:rsidRPr="003770FF" w:rsidRDefault="003770FF" w:rsidP="00B33704">
      <w:pPr>
        <w:widowControl w:val="0"/>
        <w:numPr>
          <w:ilvl w:val="1"/>
          <w:numId w:val="9"/>
        </w:numPr>
        <w:autoSpaceDE w:val="0"/>
        <w:autoSpaceDN w:val="0"/>
        <w:adjustRightInd w:val="0"/>
        <w:spacing w:after="120" w:line="360" w:lineRule="atLeast"/>
        <w:jc w:val="both"/>
        <w:textAlignment w:val="baseline"/>
        <w:rPr>
          <w:rFonts w:ascii="Calibri" w:eastAsia="Calibri" w:hAnsi="Calibri" w:cs="Calibri"/>
          <w:color w:val="000000"/>
        </w:rPr>
      </w:pPr>
      <w:r w:rsidRPr="003770FF">
        <w:rPr>
          <w:rFonts w:ascii="Calibri" w:eastAsia="Calibri" w:hAnsi="Calibri" w:cs="Calibri"/>
          <w:color w:val="000000"/>
        </w:rPr>
        <w:t>Le MEFRA intervient dans la préparation de toutes les opérations financées par la Banque. MEFRA est au fait de toutes les exigences E&amp;S du PPR et maitrise toutes les étapes de préparation de l’ES</w:t>
      </w:r>
      <w:r w:rsidR="00F444AD">
        <w:rPr>
          <w:rFonts w:ascii="Calibri" w:eastAsia="Calibri" w:hAnsi="Calibri" w:cs="Calibri"/>
          <w:color w:val="000000"/>
        </w:rPr>
        <w:t>E</w:t>
      </w:r>
      <w:r w:rsidRPr="003770FF">
        <w:rPr>
          <w:rFonts w:ascii="Calibri" w:eastAsia="Calibri" w:hAnsi="Calibri" w:cs="Calibri"/>
          <w:color w:val="000000"/>
        </w:rPr>
        <w:t>S, de consultations publiques et de partage de l’information avec les parties prenantes et avec les parties affectées par le Programme. Cependant, de tous les PPR du portefeuille de la Banque</w:t>
      </w:r>
      <w:r w:rsidR="000037BE">
        <w:rPr>
          <w:rFonts w:ascii="Calibri" w:eastAsia="Calibri" w:hAnsi="Calibri" w:cs="Calibri"/>
          <w:color w:val="000000"/>
        </w:rPr>
        <w:t xml:space="preserve"> mondiale</w:t>
      </w:r>
      <w:r w:rsidRPr="003770FF">
        <w:rPr>
          <w:rFonts w:ascii="Calibri" w:eastAsia="Calibri" w:hAnsi="Calibri" w:cs="Calibri"/>
          <w:color w:val="000000"/>
        </w:rPr>
        <w:t xml:space="preserve"> au Maroc, aucun n’est mis en œuvre par MEFRA. </w:t>
      </w:r>
    </w:p>
    <w:p w14:paraId="57642625" w14:textId="1C3C5DCB" w:rsidR="003770FF" w:rsidRPr="003770FF" w:rsidRDefault="003770FF" w:rsidP="00B33704">
      <w:pPr>
        <w:widowControl w:val="0"/>
        <w:numPr>
          <w:ilvl w:val="1"/>
          <w:numId w:val="9"/>
        </w:numPr>
        <w:autoSpaceDE w:val="0"/>
        <w:autoSpaceDN w:val="0"/>
        <w:adjustRightInd w:val="0"/>
        <w:spacing w:after="120" w:line="360" w:lineRule="atLeast"/>
        <w:jc w:val="both"/>
        <w:textAlignment w:val="baseline"/>
        <w:rPr>
          <w:rFonts w:ascii="Calibri" w:eastAsia="Calibri" w:hAnsi="Calibri" w:cs="Calibri"/>
          <w:color w:val="000000"/>
        </w:rPr>
      </w:pPr>
      <w:r w:rsidRPr="003770FF">
        <w:rPr>
          <w:rFonts w:ascii="Calibri" w:eastAsia="Calibri" w:hAnsi="Calibri" w:cs="Calibri"/>
          <w:color w:val="000000"/>
        </w:rPr>
        <w:t>La Direction générale des collectivités territoriales implémente depuis 2018 le PPR appui à l’amélioration des performances municipales. L’UGP du Programme qui comprend un point focal E&amp;S a développé un guide de gestion E&amp;S qui a été le support pour l’élaboration des modules de formation E&amp;S vers</w:t>
      </w:r>
      <w:r w:rsidR="000037BE" w:rsidRPr="003770FF">
        <w:rPr>
          <w:rFonts w:ascii="Calibri" w:eastAsia="Calibri" w:hAnsi="Calibri" w:cs="Calibri"/>
          <w:color w:val="000000"/>
        </w:rPr>
        <w:t>é</w:t>
      </w:r>
      <w:r w:rsidRPr="003770FF">
        <w:rPr>
          <w:rFonts w:ascii="Calibri" w:eastAsia="Calibri" w:hAnsi="Calibri" w:cs="Calibri"/>
          <w:color w:val="000000"/>
        </w:rPr>
        <w:t>s dans le plan de formation de la DGCT au bénéfice des communes participant au Programme.</w:t>
      </w:r>
    </w:p>
    <w:p w14:paraId="38183A53" w14:textId="4E0BA519" w:rsidR="003770FF" w:rsidRPr="003770FF" w:rsidRDefault="003770FF" w:rsidP="00B33704">
      <w:pPr>
        <w:widowControl w:val="0"/>
        <w:numPr>
          <w:ilvl w:val="1"/>
          <w:numId w:val="9"/>
        </w:numPr>
        <w:autoSpaceDE w:val="0"/>
        <w:autoSpaceDN w:val="0"/>
        <w:adjustRightInd w:val="0"/>
        <w:spacing w:after="120" w:line="360" w:lineRule="atLeast"/>
        <w:jc w:val="both"/>
        <w:textAlignment w:val="baseline"/>
        <w:rPr>
          <w:rFonts w:ascii="Calibri" w:eastAsia="Calibri" w:hAnsi="Calibri" w:cs="Calibri"/>
          <w:color w:val="000000"/>
        </w:rPr>
      </w:pPr>
      <w:r w:rsidRPr="003770FF">
        <w:rPr>
          <w:rFonts w:ascii="Calibri" w:eastAsia="Calibri" w:hAnsi="Calibri" w:cs="Calibri"/>
          <w:color w:val="000000"/>
        </w:rPr>
        <w:t xml:space="preserve">L’Agence de Développement du Digital est placée sous la tutelle du Ministère de l'Industrie, du Commerce et de l'Economie Verte et Numérique (MICEVN). </w:t>
      </w:r>
    </w:p>
    <w:p w14:paraId="148256AD" w14:textId="77777777" w:rsidR="003770FF" w:rsidRPr="003770FF" w:rsidRDefault="003770FF" w:rsidP="00B33704">
      <w:pPr>
        <w:widowControl w:val="0"/>
        <w:numPr>
          <w:ilvl w:val="1"/>
          <w:numId w:val="9"/>
        </w:numPr>
        <w:autoSpaceDE w:val="0"/>
        <w:autoSpaceDN w:val="0"/>
        <w:adjustRightInd w:val="0"/>
        <w:spacing w:after="120" w:line="360" w:lineRule="atLeast"/>
        <w:jc w:val="both"/>
        <w:textAlignment w:val="baseline"/>
        <w:rPr>
          <w:rFonts w:ascii="Calibri" w:eastAsia="Calibri" w:hAnsi="Calibri" w:cs="Calibri"/>
          <w:color w:val="000000"/>
        </w:rPr>
      </w:pPr>
      <w:r w:rsidRPr="003770FF">
        <w:rPr>
          <w:rFonts w:ascii="Calibri" w:eastAsia="Calibri" w:hAnsi="Calibri" w:cs="Calibri"/>
          <w:color w:val="000000"/>
        </w:rPr>
        <w:t xml:space="preserve">Sur le plan de l’expertise, il existe plusieurs bureaux d'études et consultants qui disposent </w:t>
      </w:r>
      <w:r w:rsidRPr="003770FF">
        <w:rPr>
          <w:rFonts w:ascii="Calibri" w:eastAsia="Calibri" w:hAnsi="Calibri" w:cs="Calibri"/>
          <w:color w:val="000000"/>
        </w:rPr>
        <w:lastRenderedPageBreak/>
        <w:t>de références en la matière et de bonnes capacités dans le domaine de la gestion de l'environnement.</w:t>
      </w:r>
    </w:p>
    <w:p w14:paraId="6CEEEB75" w14:textId="77777777" w:rsidR="00274A1F" w:rsidRDefault="003770FF" w:rsidP="001F6031">
      <w:pPr>
        <w:widowControl w:val="0"/>
        <w:numPr>
          <w:ilvl w:val="0"/>
          <w:numId w:val="9"/>
        </w:numPr>
        <w:autoSpaceDE w:val="0"/>
        <w:autoSpaceDN w:val="0"/>
        <w:adjustRightInd w:val="0"/>
        <w:spacing w:after="120" w:line="360" w:lineRule="atLeast"/>
        <w:ind w:left="284" w:hanging="284"/>
        <w:jc w:val="both"/>
        <w:textAlignment w:val="baseline"/>
        <w:rPr>
          <w:rFonts w:ascii="Calibri" w:eastAsia="Calibri" w:hAnsi="Calibri" w:cs="Calibri"/>
          <w:color w:val="000000"/>
        </w:rPr>
      </w:pPr>
      <w:r w:rsidRPr="000A10E0">
        <w:rPr>
          <w:rFonts w:ascii="Calibri" w:eastAsia="Calibri" w:hAnsi="Calibri" w:cs="Calibri"/>
          <w:b/>
          <w:bCs/>
          <w:color w:val="000000"/>
        </w:rPr>
        <w:t>Plan d’action de l’ESES</w:t>
      </w:r>
      <w:r w:rsidRPr="000A10E0">
        <w:rPr>
          <w:rFonts w:ascii="Calibri" w:eastAsia="Calibri" w:hAnsi="Calibri" w:cs="Calibri"/>
          <w:color w:val="000000"/>
        </w:rPr>
        <w:t>. Aucun</w:t>
      </w:r>
      <w:r w:rsidR="00F444AD">
        <w:rPr>
          <w:rFonts w:ascii="Calibri" w:eastAsia="Calibri" w:hAnsi="Calibri" w:cs="Calibri"/>
          <w:color w:val="000000"/>
        </w:rPr>
        <w:t xml:space="preserve"> indicateur de décaissement n’est lié </w:t>
      </w:r>
      <w:r w:rsidR="00BA0C95">
        <w:rPr>
          <w:rFonts w:ascii="Calibri" w:eastAsia="Calibri" w:hAnsi="Calibri" w:cs="Calibri"/>
          <w:color w:val="000000"/>
        </w:rPr>
        <w:t>à</w:t>
      </w:r>
      <w:r w:rsidR="00F444AD">
        <w:rPr>
          <w:rFonts w:ascii="Calibri" w:eastAsia="Calibri" w:hAnsi="Calibri" w:cs="Calibri"/>
          <w:color w:val="000000"/>
        </w:rPr>
        <w:t xml:space="preserve"> la gestion environnementale </w:t>
      </w:r>
      <w:r w:rsidRPr="000A10E0">
        <w:rPr>
          <w:rFonts w:ascii="Calibri" w:eastAsia="Calibri" w:hAnsi="Calibri" w:cs="Calibri"/>
          <w:color w:val="000000"/>
        </w:rPr>
        <w:t xml:space="preserve">du Programme à cause de l’absence de </w:t>
      </w:r>
      <w:r w:rsidRPr="000A10E0">
        <w:rPr>
          <w:rFonts w:ascii="Calibri" w:eastAsia="Calibri" w:hAnsi="Calibri" w:cs="Calibri"/>
          <w:color w:val="000000"/>
        </w:rPr>
        <w:t xml:space="preserve">risques et impacts environnementaux. </w:t>
      </w:r>
    </w:p>
    <w:p w14:paraId="052401CE" w14:textId="594F4609" w:rsidR="00274A1F" w:rsidRPr="00FF0863" w:rsidRDefault="001159AC" w:rsidP="00274A1F">
      <w:pPr>
        <w:pStyle w:val="Paranumbering"/>
        <w:numPr>
          <w:ilvl w:val="0"/>
          <w:numId w:val="9"/>
        </w:numPr>
        <w:ind w:left="426" w:right="-23" w:hanging="426"/>
        <w:rPr>
          <w:rStyle w:val="hps"/>
          <w:rFonts w:asciiTheme="minorHAnsi" w:hAnsiTheme="minorHAnsi" w:cstheme="minorHAnsi"/>
          <w:color w:val="auto"/>
          <w:sz w:val="22"/>
          <w:szCs w:val="22"/>
          <w:lang w:val="fr-FR"/>
        </w:rPr>
      </w:pPr>
      <w:r>
        <w:rPr>
          <w:rStyle w:val="hps"/>
          <w:rFonts w:asciiTheme="minorHAnsi" w:hAnsiTheme="minorHAnsi" w:cstheme="minorHAnsi"/>
          <w:color w:val="auto"/>
          <w:sz w:val="22"/>
          <w:szCs w:val="22"/>
          <w:lang w:val="fr-FR"/>
        </w:rPr>
        <w:t xml:space="preserve">Certaines parties prenantes au Programme ne disposent pas d’un système de gestion E&amp;S. </w:t>
      </w:r>
      <w:r w:rsidR="00274A1F" w:rsidRPr="00FF0863">
        <w:rPr>
          <w:rStyle w:val="hps"/>
          <w:rFonts w:asciiTheme="minorHAnsi" w:hAnsiTheme="minorHAnsi" w:cstheme="minorHAnsi"/>
          <w:color w:val="auto"/>
          <w:sz w:val="22"/>
          <w:szCs w:val="22"/>
          <w:lang w:val="fr-FR"/>
        </w:rPr>
        <w:t xml:space="preserve">Le Programme présente une opportunité pour </w:t>
      </w:r>
      <w:r w:rsidR="00A5596E">
        <w:rPr>
          <w:rStyle w:val="hps"/>
          <w:rFonts w:asciiTheme="minorHAnsi" w:hAnsiTheme="minorHAnsi" w:cstheme="minorHAnsi"/>
          <w:color w:val="auto"/>
          <w:sz w:val="22"/>
          <w:szCs w:val="22"/>
          <w:lang w:val="fr-FR"/>
        </w:rPr>
        <w:t xml:space="preserve">appuyer ces parties prenantes à </w:t>
      </w:r>
      <w:r w:rsidR="00274A1F" w:rsidRPr="00FF0863">
        <w:rPr>
          <w:rStyle w:val="hps"/>
          <w:rFonts w:asciiTheme="minorHAnsi" w:hAnsiTheme="minorHAnsi" w:cstheme="minorHAnsi"/>
          <w:color w:val="auto"/>
          <w:sz w:val="22"/>
          <w:szCs w:val="22"/>
          <w:lang w:val="fr-FR"/>
        </w:rPr>
        <w:t>développer et mettre en œuvre un système de gestion E&amp;S</w:t>
      </w:r>
      <w:r w:rsidR="00A5596E">
        <w:rPr>
          <w:rStyle w:val="hps"/>
          <w:rFonts w:asciiTheme="minorHAnsi" w:hAnsiTheme="minorHAnsi" w:cstheme="minorHAnsi"/>
          <w:color w:val="auto"/>
          <w:sz w:val="22"/>
          <w:szCs w:val="22"/>
          <w:lang w:val="fr-FR"/>
        </w:rPr>
        <w:t xml:space="preserve"> qui pourrait bénéficier à leurs projets et programmes</w:t>
      </w:r>
      <w:r w:rsidR="00274A1F" w:rsidRPr="00FF0863">
        <w:rPr>
          <w:rStyle w:val="hps"/>
          <w:rFonts w:asciiTheme="minorHAnsi" w:hAnsiTheme="minorHAnsi" w:cstheme="minorHAnsi"/>
          <w:color w:val="auto"/>
          <w:sz w:val="22"/>
          <w:szCs w:val="22"/>
          <w:lang w:val="fr-FR"/>
        </w:rPr>
        <w:t xml:space="preserve">. Le montage de ce système débute par des sessions de formation sur les outils de gestion E&amp;S adressées aux représentants des parties prenantes tels que MEFRA, MI et ADD. </w:t>
      </w:r>
      <w:r>
        <w:rPr>
          <w:rStyle w:val="hps"/>
          <w:rFonts w:asciiTheme="minorHAnsi" w:hAnsiTheme="minorHAnsi" w:cstheme="minorHAnsi"/>
          <w:color w:val="auto"/>
          <w:sz w:val="22"/>
          <w:szCs w:val="22"/>
          <w:lang w:val="fr-FR"/>
        </w:rPr>
        <w:t>Même si le Programme ne nécessite pas la désignation de points focaux E&amp;S car aucun suivi E&amp;S n’est exigé du fait de l’absence de risques et impacts E&amp;S négatifs, c</w:t>
      </w:r>
      <w:r w:rsidR="00274A1F" w:rsidRPr="00FF0863">
        <w:rPr>
          <w:rStyle w:val="hps"/>
          <w:rFonts w:asciiTheme="minorHAnsi" w:hAnsiTheme="minorHAnsi" w:cstheme="minorHAnsi"/>
          <w:color w:val="auto"/>
          <w:sz w:val="22"/>
          <w:szCs w:val="22"/>
          <w:lang w:val="fr-FR"/>
        </w:rPr>
        <w:t xml:space="preserve">es représentants agiront comme points focaux E&amp;S et seront outillés et formés sur l’identification des risques et impacts E&amp;S au regard de la règlementation nationale et des pratiques internationales, sur la définition, la mise en œuvre et le suivi des mesures d’atténuation ainsi </w:t>
      </w:r>
      <w:r w:rsidR="00274A1F" w:rsidRPr="00FF0863">
        <w:rPr>
          <w:rStyle w:val="hps"/>
          <w:rFonts w:asciiTheme="minorHAnsi" w:hAnsiTheme="minorHAnsi" w:cstheme="minorHAnsi"/>
          <w:color w:val="auto"/>
          <w:sz w:val="22"/>
          <w:szCs w:val="22"/>
          <w:lang w:val="fr-FR"/>
        </w:rPr>
        <w:t xml:space="preserve">que sur le </w:t>
      </w:r>
      <w:proofErr w:type="spellStart"/>
      <w:r w:rsidR="00274A1F" w:rsidRPr="00FF0863">
        <w:rPr>
          <w:rStyle w:val="hps"/>
          <w:rFonts w:asciiTheme="minorHAnsi" w:hAnsiTheme="minorHAnsi" w:cstheme="minorHAnsi"/>
          <w:color w:val="auto"/>
          <w:sz w:val="22"/>
          <w:szCs w:val="22"/>
          <w:lang w:val="fr-FR"/>
        </w:rPr>
        <w:t>reporting</w:t>
      </w:r>
      <w:proofErr w:type="spellEnd"/>
      <w:r w:rsidR="00274A1F" w:rsidRPr="00FF0863">
        <w:rPr>
          <w:rStyle w:val="hps"/>
          <w:rFonts w:asciiTheme="minorHAnsi" w:hAnsiTheme="minorHAnsi" w:cstheme="minorHAnsi"/>
          <w:color w:val="auto"/>
          <w:sz w:val="22"/>
          <w:szCs w:val="22"/>
          <w:lang w:val="fr-FR"/>
        </w:rPr>
        <w:t xml:space="preserve"> et l’évaluation du SGE&amp;S. </w:t>
      </w:r>
    </w:p>
    <w:p w14:paraId="5165FCF3" w14:textId="77777777" w:rsidR="00274A1F" w:rsidRPr="00FF0863" w:rsidRDefault="00274A1F" w:rsidP="00274A1F">
      <w:pPr>
        <w:pStyle w:val="Paranumbering"/>
        <w:numPr>
          <w:ilvl w:val="0"/>
          <w:numId w:val="9"/>
        </w:numPr>
        <w:ind w:left="426" w:right="-23" w:hanging="426"/>
        <w:rPr>
          <w:rStyle w:val="hps"/>
          <w:rFonts w:asciiTheme="minorHAnsi" w:hAnsiTheme="minorHAnsi" w:cstheme="minorHAnsi"/>
          <w:color w:val="auto"/>
          <w:sz w:val="22"/>
          <w:szCs w:val="22"/>
          <w:lang w:val="fr-FR"/>
        </w:rPr>
      </w:pPr>
      <w:r w:rsidRPr="00FF0863">
        <w:rPr>
          <w:rStyle w:val="hps"/>
          <w:rFonts w:asciiTheme="minorHAnsi" w:hAnsiTheme="minorHAnsi" w:cstheme="minorHAnsi"/>
          <w:color w:val="auto"/>
          <w:sz w:val="22"/>
          <w:szCs w:val="22"/>
          <w:lang w:val="fr-FR"/>
        </w:rPr>
        <w:t xml:space="preserve">Le Tableau ci-dessous présente l’ensemble des éléments du Plan d’action de l’ESES qui </w:t>
      </w:r>
      <w:r w:rsidRPr="00FF0863">
        <w:rPr>
          <w:rStyle w:val="hps"/>
          <w:rFonts w:asciiTheme="minorHAnsi" w:hAnsiTheme="minorHAnsi" w:cstheme="minorHAnsi"/>
          <w:b/>
          <w:bCs/>
          <w:color w:val="auto"/>
          <w:sz w:val="22"/>
          <w:szCs w:val="22"/>
          <w:lang w:val="fr-FR"/>
        </w:rPr>
        <w:t>feront partie intégrante du Plan d’Action du Programme.</w:t>
      </w:r>
      <w:r w:rsidRPr="00FF0863">
        <w:rPr>
          <w:rStyle w:val="hps"/>
          <w:rFonts w:asciiTheme="minorHAnsi" w:hAnsiTheme="minorHAnsi" w:cstheme="minorHAnsi"/>
          <w:color w:val="auto"/>
          <w:sz w:val="22"/>
          <w:szCs w:val="22"/>
          <w:lang w:val="fr-FR"/>
        </w:rPr>
        <w:t xml:space="preserve"> Le coût de toutes les actions identifiées, concernant le volet social de l’ESES, sera intégré dans le budget global du Programme.</w:t>
      </w:r>
    </w:p>
    <w:p w14:paraId="50A5CA32" w14:textId="77777777" w:rsidR="00274A1F" w:rsidRDefault="00274A1F" w:rsidP="00274A1F"/>
    <w:tbl>
      <w:tblPr>
        <w:tblStyle w:val="Grilledutableau42"/>
        <w:tblW w:w="5000" w:type="pct"/>
        <w:tblLook w:val="04A0" w:firstRow="1" w:lastRow="0" w:firstColumn="1" w:lastColumn="0" w:noHBand="0" w:noVBand="1"/>
      </w:tblPr>
      <w:tblGrid>
        <w:gridCol w:w="1801"/>
        <w:gridCol w:w="2066"/>
        <w:gridCol w:w="2204"/>
        <w:gridCol w:w="1249"/>
        <w:gridCol w:w="1742"/>
      </w:tblGrid>
      <w:tr w:rsidR="00274A1F" w:rsidRPr="00846AB1" w14:paraId="0FBC6B69" w14:textId="77777777" w:rsidTr="00C036A1">
        <w:trPr>
          <w:trHeight w:val="376"/>
        </w:trPr>
        <w:tc>
          <w:tcPr>
            <w:tcW w:w="994" w:type="pct"/>
            <w:hideMark/>
          </w:tcPr>
          <w:p w14:paraId="034ACACB" w14:textId="77777777" w:rsidR="00274A1F" w:rsidRPr="00846AB1" w:rsidRDefault="00274A1F" w:rsidP="00C036A1">
            <w:pPr>
              <w:spacing w:line="276" w:lineRule="auto"/>
              <w:jc w:val="center"/>
              <w:rPr>
                <w:rFonts w:asciiTheme="minorHAnsi" w:hAnsiTheme="minorHAnsi" w:cstheme="minorHAnsi"/>
                <w:b/>
                <w:color w:val="000000" w:themeColor="text1"/>
                <w:sz w:val="18"/>
                <w:szCs w:val="18"/>
                <w:lang w:val="fr-FR"/>
              </w:rPr>
            </w:pPr>
            <w:bookmarkStart w:id="6" w:name="_Hlk75155516"/>
            <w:r w:rsidRPr="00846AB1">
              <w:rPr>
                <w:rFonts w:asciiTheme="minorHAnsi" w:hAnsiTheme="minorHAnsi" w:cstheme="minorHAnsi"/>
                <w:b/>
                <w:color w:val="000000" w:themeColor="text1"/>
                <w:sz w:val="18"/>
                <w:szCs w:val="18"/>
                <w:lang w:val="fr-FR"/>
              </w:rPr>
              <w:t>Action</w:t>
            </w:r>
          </w:p>
        </w:tc>
        <w:tc>
          <w:tcPr>
            <w:tcW w:w="1140" w:type="pct"/>
          </w:tcPr>
          <w:p w14:paraId="67526D10" w14:textId="77777777" w:rsidR="00274A1F" w:rsidRPr="00846AB1" w:rsidRDefault="00274A1F" w:rsidP="00C036A1">
            <w:pPr>
              <w:spacing w:line="276" w:lineRule="auto"/>
              <w:jc w:val="center"/>
              <w:rPr>
                <w:rFonts w:asciiTheme="minorHAnsi" w:hAnsiTheme="minorHAnsi" w:cstheme="minorHAnsi"/>
                <w:b/>
                <w:color w:val="000000" w:themeColor="text1"/>
                <w:sz w:val="18"/>
                <w:szCs w:val="18"/>
                <w:lang w:val="fr-FR"/>
              </w:rPr>
            </w:pPr>
            <w:r w:rsidRPr="00846AB1">
              <w:rPr>
                <w:rFonts w:asciiTheme="minorHAnsi" w:hAnsiTheme="minorHAnsi" w:cstheme="minorHAnsi"/>
                <w:b/>
                <w:color w:val="000000" w:themeColor="text1"/>
                <w:sz w:val="18"/>
                <w:szCs w:val="18"/>
                <w:lang w:val="fr-FR"/>
              </w:rPr>
              <w:t xml:space="preserve">Activités </w:t>
            </w:r>
          </w:p>
        </w:tc>
        <w:tc>
          <w:tcPr>
            <w:tcW w:w="1216" w:type="pct"/>
            <w:hideMark/>
          </w:tcPr>
          <w:p w14:paraId="602EFC2B" w14:textId="77777777" w:rsidR="00274A1F" w:rsidRPr="00846AB1" w:rsidRDefault="00274A1F" w:rsidP="00C036A1">
            <w:pPr>
              <w:spacing w:line="276" w:lineRule="auto"/>
              <w:jc w:val="center"/>
              <w:rPr>
                <w:rFonts w:asciiTheme="minorHAnsi" w:hAnsiTheme="minorHAnsi" w:cstheme="minorHAnsi"/>
                <w:b/>
                <w:color w:val="000000" w:themeColor="text1"/>
                <w:sz w:val="18"/>
                <w:szCs w:val="18"/>
                <w:lang w:val="fr-FR"/>
              </w:rPr>
            </w:pPr>
            <w:r w:rsidRPr="00846AB1">
              <w:rPr>
                <w:rFonts w:asciiTheme="minorHAnsi" w:hAnsiTheme="minorHAnsi" w:cstheme="minorHAnsi"/>
                <w:b/>
                <w:color w:val="000000" w:themeColor="text1"/>
                <w:sz w:val="18"/>
                <w:szCs w:val="18"/>
                <w:lang w:val="fr-FR"/>
              </w:rPr>
              <w:t>Responsables</w:t>
            </w:r>
          </w:p>
        </w:tc>
        <w:tc>
          <w:tcPr>
            <w:tcW w:w="689" w:type="pct"/>
            <w:hideMark/>
          </w:tcPr>
          <w:p w14:paraId="058CEA0C" w14:textId="77777777" w:rsidR="00274A1F" w:rsidRPr="00846AB1" w:rsidRDefault="00274A1F" w:rsidP="00C036A1">
            <w:pPr>
              <w:spacing w:line="276" w:lineRule="auto"/>
              <w:jc w:val="center"/>
              <w:rPr>
                <w:rFonts w:asciiTheme="minorHAnsi" w:hAnsiTheme="minorHAnsi" w:cstheme="minorHAnsi"/>
                <w:b/>
                <w:color w:val="000000" w:themeColor="text1"/>
                <w:sz w:val="18"/>
                <w:szCs w:val="18"/>
                <w:lang w:val="fr-FR"/>
              </w:rPr>
            </w:pPr>
            <w:r w:rsidRPr="00846AB1">
              <w:rPr>
                <w:rFonts w:asciiTheme="minorHAnsi" w:hAnsiTheme="minorHAnsi" w:cstheme="minorHAnsi"/>
                <w:b/>
                <w:color w:val="000000" w:themeColor="text1"/>
                <w:sz w:val="18"/>
                <w:szCs w:val="18"/>
                <w:lang w:val="fr-FR"/>
              </w:rPr>
              <w:t>Échéances</w:t>
            </w:r>
          </w:p>
        </w:tc>
        <w:tc>
          <w:tcPr>
            <w:tcW w:w="961" w:type="pct"/>
            <w:hideMark/>
          </w:tcPr>
          <w:p w14:paraId="09FB7B78" w14:textId="77777777" w:rsidR="00274A1F" w:rsidRPr="00846AB1" w:rsidRDefault="00274A1F" w:rsidP="00C036A1">
            <w:pPr>
              <w:spacing w:line="276" w:lineRule="auto"/>
              <w:jc w:val="center"/>
              <w:rPr>
                <w:rFonts w:asciiTheme="minorHAnsi" w:hAnsiTheme="minorHAnsi" w:cstheme="minorHAnsi"/>
                <w:b/>
                <w:color w:val="000000" w:themeColor="text1"/>
                <w:sz w:val="18"/>
                <w:szCs w:val="18"/>
                <w:lang w:val="fr-FR"/>
              </w:rPr>
            </w:pPr>
            <w:r w:rsidRPr="00846AB1">
              <w:rPr>
                <w:rFonts w:asciiTheme="minorHAnsi" w:hAnsiTheme="minorHAnsi" w:cstheme="minorHAnsi"/>
                <w:b/>
                <w:color w:val="000000" w:themeColor="text1"/>
                <w:sz w:val="18"/>
                <w:szCs w:val="18"/>
                <w:lang w:val="fr-FR"/>
              </w:rPr>
              <w:t xml:space="preserve">Mesures </w:t>
            </w:r>
            <w:r w:rsidRPr="00846AB1">
              <w:rPr>
                <w:rFonts w:asciiTheme="minorHAnsi" w:hAnsiTheme="minorHAnsi" w:cstheme="minorHAnsi"/>
                <w:color w:val="555555"/>
                <w:sz w:val="18"/>
                <w:szCs w:val="18"/>
                <w:shd w:val="clear" w:color="auto" w:fill="EEF9FA"/>
                <w:lang w:val="fr-FR"/>
              </w:rPr>
              <w:t> </w:t>
            </w:r>
          </w:p>
        </w:tc>
      </w:tr>
      <w:tr w:rsidR="00274A1F" w:rsidRPr="00846AB1" w14:paraId="7891538B" w14:textId="77777777" w:rsidTr="00C036A1">
        <w:tc>
          <w:tcPr>
            <w:tcW w:w="5000" w:type="pct"/>
            <w:gridSpan w:val="5"/>
            <w:shd w:val="clear" w:color="auto" w:fill="D9E2F3" w:themeFill="accent1" w:themeFillTint="33"/>
          </w:tcPr>
          <w:p w14:paraId="4A715331" w14:textId="77777777" w:rsidR="00274A1F" w:rsidRPr="00846AB1" w:rsidRDefault="00274A1F" w:rsidP="00C036A1">
            <w:pPr>
              <w:spacing w:line="276" w:lineRule="auto"/>
              <w:jc w:val="center"/>
              <w:rPr>
                <w:rFonts w:asciiTheme="minorHAnsi" w:hAnsiTheme="minorHAnsi" w:cstheme="minorHAnsi"/>
                <w:b/>
                <w:color w:val="000000" w:themeColor="text1"/>
                <w:sz w:val="18"/>
                <w:szCs w:val="18"/>
                <w:lang w:val="fr-FR"/>
              </w:rPr>
            </w:pPr>
            <w:r w:rsidRPr="00851CEC">
              <w:rPr>
                <w:rFonts w:asciiTheme="minorHAnsi" w:hAnsiTheme="minorHAnsi" w:cstheme="minorHAnsi"/>
                <w:b/>
                <w:color w:val="000000" w:themeColor="text1"/>
                <w:sz w:val="18"/>
                <w:szCs w:val="18"/>
                <w:lang w:val="fr-FR"/>
              </w:rPr>
              <w:t>Actions pour renforcer le système de gestion environnemental et social</w:t>
            </w:r>
          </w:p>
        </w:tc>
      </w:tr>
      <w:tr w:rsidR="00274A1F" w:rsidRPr="00846AB1" w14:paraId="2648E4B3" w14:textId="77777777" w:rsidTr="00C036A1">
        <w:trPr>
          <w:trHeight w:val="1048"/>
        </w:trPr>
        <w:tc>
          <w:tcPr>
            <w:tcW w:w="994" w:type="pct"/>
          </w:tcPr>
          <w:p w14:paraId="7A3EE60A" w14:textId="77777777" w:rsidR="00274A1F" w:rsidRPr="00846AB1" w:rsidRDefault="00274A1F" w:rsidP="00C036A1">
            <w:pPr>
              <w:spacing w:line="276" w:lineRule="auto"/>
              <w:rPr>
                <w:rFonts w:asciiTheme="minorHAnsi" w:eastAsia="ヒラギノ角ゴ Pro W3" w:hAnsiTheme="minorHAnsi" w:cstheme="minorHAnsi"/>
                <w:color w:val="000000" w:themeColor="text1"/>
                <w:sz w:val="18"/>
                <w:szCs w:val="18"/>
                <w:lang w:val="fr-FR"/>
              </w:rPr>
            </w:pPr>
            <w:r w:rsidRPr="00846AB1">
              <w:rPr>
                <w:rFonts w:asciiTheme="minorHAnsi" w:eastAsia="ヒラギノ角ゴ Pro W3" w:hAnsiTheme="minorHAnsi" w:cstheme="minorHAnsi"/>
                <w:color w:val="000000" w:themeColor="text1"/>
                <w:sz w:val="18"/>
                <w:szCs w:val="18"/>
                <w:lang w:val="fr-FR"/>
              </w:rPr>
              <w:t>Point Focal Environnemental et social / UGP</w:t>
            </w:r>
          </w:p>
        </w:tc>
        <w:tc>
          <w:tcPr>
            <w:tcW w:w="1140" w:type="pct"/>
          </w:tcPr>
          <w:p w14:paraId="5A0C1939" w14:textId="77777777" w:rsidR="00274A1F" w:rsidRPr="00846AB1" w:rsidRDefault="00274A1F" w:rsidP="00C036A1">
            <w:pPr>
              <w:spacing w:line="276" w:lineRule="auto"/>
              <w:rPr>
                <w:rFonts w:asciiTheme="minorHAnsi" w:eastAsia="ヒラギノ角ゴ Pro W3" w:hAnsiTheme="minorHAnsi" w:cstheme="minorHAnsi"/>
                <w:color w:val="000000" w:themeColor="text1"/>
                <w:sz w:val="18"/>
                <w:szCs w:val="18"/>
                <w:lang w:val="fr-FR"/>
              </w:rPr>
            </w:pPr>
            <w:r w:rsidRPr="00846AB1">
              <w:rPr>
                <w:rFonts w:asciiTheme="minorHAnsi" w:hAnsiTheme="minorHAnsi" w:cstheme="minorHAnsi"/>
                <w:color w:val="000000" w:themeColor="text1"/>
                <w:sz w:val="18"/>
                <w:szCs w:val="18"/>
                <w:lang w:val="fr-FR"/>
              </w:rPr>
              <w:t xml:space="preserve">Désignation et rattachement à l’Unité de Gestion du Programme </w:t>
            </w:r>
          </w:p>
        </w:tc>
        <w:tc>
          <w:tcPr>
            <w:tcW w:w="1216" w:type="pct"/>
          </w:tcPr>
          <w:p w14:paraId="1D3088D5" w14:textId="77777777" w:rsidR="00274A1F" w:rsidRPr="00846AB1" w:rsidRDefault="00274A1F" w:rsidP="00C036A1">
            <w:pPr>
              <w:spacing w:line="276" w:lineRule="auto"/>
              <w:jc w:val="center"/>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M</w:t>
            </w:r>
            <w:r>
              <w:rPr>
                <w:rFonts w:cstheme="minorHAnsi"/>
                <w:color w:val="000000" w:themeColor="text1"/>
                <w:sz w:val="18"/>
                <w:szCs w:val="18"/>
              </w:rPr>
              <w:t>EFRA</w:t>
            </w:r>
          </w:p>
        </w:tc>
        <w:tc>
          <w:tcPr>
            <w:tcW w:w="689" w:type="pct"/>
          </w:tcPr>
          <w:p w14:paraId="69FE2726" w14:textId="77777777" w:rsidR="00274A1F" w:rsidRPr="00846AB1" w:rsidRDefault="00274A1F" w:rsidP="00C036A1">
            <w:pPr>
              <w:spacing w:line="276" w:lineRule="auto"/>
              <w:rPr>
                <w:rFonts w:asciiTheme="minorHAnsi" w:hAnsiTheme="minorHAnsi" w:cstheme="minorHAnsi"/>
                <w:color w:val="000000" w:themeColor="text1"/>
                <w:sz w:val="18"/>
                <w:szCs w:val="18"/>
                <w:lang w:val="fr-FR"/>
              </w:rPr>
            </w:pPr>
            <w:r w:rsidRPr="00846AB1">
              <w:rPr>
                <w:rFonts w:asciiTheme="minorHAnsi" w:hAnsiTheme="minorHAnsi" w:cstheme="minorHAnsi"/>
                <w:color w:val="000000" w:themeColor="text1"/>
                <w:sz w:val="18"/>
                <w:szCs w:val="18"/>
                <w:lang w:val="fr-FR"/>
              </w:rPr>
              <w:t xml:space="preserve">Avant l’entrée en vigueur du Programme  </w:t>
            </w:r>
          </w:p>
        </w:tc>
        <w:tc>
          <w:tcPr>
            <w:tcW w:w="961" w:type="pct"/>
          </w:tcPr>
          <w:p w14:paraId="5630B97D" w14:textId="77777777" w:rsidR="00274A1F" w:rsidRPr="00846AB1" w:rsidRDefault="00274A1F" w:rsidP="00C036A1">
            <w:pPr>
              <w:spacing w:line="276" w:lineRule="auto"/>
              <w:rPr>
                <w:rFonts w:asciiTheme="minorHAnsi" w:hAnsiTheme="minorHAnsi" w:cstheme="minorHAnsi"/>
                <w:color w:val="000000" w:themeColor="text1"/>
                <w:sz w:val="18"/>
                <w:szCs w:val="18"/>
                <w:lang w:val="fr-FR"/>
              </w:rPr>
            </w:pPr>
            <w:r w:rsidRPr="00846AB1">
              <w:rPr>
                <w:rFonts w:asciiTheme="minorHAnsi" w:hAnsiTheme="minorHAnsi" w:cstheme="minorHAnsi"/>
                <w:color w:val="000000" w:themeColor="text1"/>
                <w:sz w:val="18"/>
                <w:szCs w:val="18"/>
                <w:lang w:val="fr-FR"/>
              </w:rPr>
              <w:t>Nomination du Point focal environnemental</w:t>
            </w:r>
            <w:r w:rsidRPr="00846AB1">
              <w:rPr>
                <w:rFonts w:asciiTheme="minorHAnsi" w:eastAsia="ヒラギノ角ゴ Pro W3" w:hAnsiTheme="minorHAnsi" w:cstheme="minorHAnsi"/>
                <w:color w:val="000000" w:themeColor="text1"/>
                <w:sz w:val="18"/>
                <w:szCs w:val="18"/>
                <w:lang w:val="fr-FR"/>
              </w:rPr>
              <w:t xml:space="preserve"> et social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066"/>
        <w:gridCol w:w="2204"/>
        <w:gridCol w:w="1249"/>
        <w:gridCol w:w="1742"/>
      </w:tblGrid>
      <w:tr w:rsidR="00274A1F" w:rsidRPr="00846AB1" w14:paraId="6E82CE35" w14:textId="77777777" w:rsidTr="00C036A1">
        <w:trPr>
          <w:trHeight w:val="1120"/>
        </w:trPr>
        <w:tc>
          <w:tcPr>
            <w:tcW w:w="994" w:type="pct"/>
            <w:tcBorders>
              <w:left w:val="single" w:sz="4" w:space="0" w:color="auto"/>
              <w:right w:val="single" w:sz="4" w:space="0" w:color="auto"/>
            </w:tcBorders>
          </w:tcPr>
          <w:p w14:paraId="557A7D45" w14:textId="77777777" w:rsidR="00274A1F" w:rsidRPr="00A81F37" w:rsidRDefault="00274A1F" w:rsidP="00C036A1">
            <w:pPr>
              <w:spacing w:line="276" w:lineRule="auto"/>
              <w:rPr>
                <w:rFonts w:eastAsia="ヒラギノ角ゴ Pro W3" w:cstheme="minorHAnsi"/>
                <w:color w:val="000000" w:themeColor="text1"/>
                <w:sz w:val="18"/>
                <w:szCs w:val="18"/>
              </w:rPr>
            </w:pPr>
            <w:r w:rsidRPr="00A81F37">
              <w:rPr>
                <w:rFonts w:cstheme="minorHAnsi"/>
                <w:sz w:val="18"/>
                <w:szCs w:val="18"/>
              </w:rPr>
              <w:t>Mécanisme de gestion des doléances</w:t>
            </w:r>
          </w:p>
        </w:tc>
        <w:tc>
          <w:tcPr>
            <w:tcW w:w="1140" w:type="pct"/>
            <w:tcBorders>
              <w:top w:val="single" w:sz="4" w:space="0" w:color="auto"/>
              <w:left w:val="single" w:sz="4" w:space="0" w:color="auto"/>
              <w:right w:val="single" w:sz="4" w:space="0" w:color="auto"/>
            </w:tcBorders>
          </w:tcPr>
          <w:p w14:paraId="57249C87" w14:textId="77777777" w:rsidR="00274A1F" w:rsidRPr="00A81F37" w:rsidRDefault="00274A1F" w:rsidP="00C036A1">
            <w:pPr>
              <w:widowControl w:val="0"/>
              <w:autoSpaceDE w:val="0"/>
              <w:autoSpaceDN w:val="0"/>
              <w:adjustRightInd w:val="0"/>
              <w:spacing w:after="200" w:line="276" w:lineRule="auto"/>
              <w:ind w:left="-97"/>
              <w:contextualSpacing/>
              <w:jc w:val="both"/>
              <w:textAlignment w:val="baseline"/>
              <w:rPr>
                <w:rFonts w:cstheme="minorHAnsi"/>
                <w:color w:val="000000"/>
                <w:sz w:val="18"/>
                <w:szCs w:val="18"/>
              </w:rPr>
            </w:pPr>
            <w:r>
              <w:rPr>
                <w:rFonts w:cstheme="minorHAnsi"/>
                <w:color w:val="000000"/>
                <w:sz w:val="18"/>
                <w:szCs w:val="18"/>
              </w:rPr>
              <w:t>Evaluation puis Renforcement</w:t>
            </w:r>
            <w:r w:rsidRPr="00A81F37">
              <w:rPr>
                <w:rFonts w:cstheme="minorHAnsi"/>
                <w:color w:val="000000"/>
                <w:sz w:val="18"/>
                <w:szCs w:val="18"/>
              </w:rPr>
              <w:t xml:space="preserve"> des</w:t>
            </w:r>
            <w:r>
              <w:rPr>
                <w:rFonts w:cstheme="minorHAnsi"/>
                <w:color w:val="000000"/>
                <w:sz w:val="18"/>
                <w:szCs w:val="18"/>
              </w:rPr>
              <w:t xml:space="preserve"> systèmes de</w:t>
            </w:r>
            <w:r w:rsidRPr="00A81F37">
              <w:rPr>
                <w:rFonts w:cstheme="minorHAnsi"/>
                <w:color w:val="000000"/>
                <w:sz w:val="18"/>
                <w:szCs w:val="18"/>
              </w:rPr>
              <w:t xml:space="preserve"> doléances </w:t>
            </w:r>
            <w:r>
              <w:rPr>
                <w:rFonts w:cstheme="minorHAnsi"/>
                <w:color w:val="000000"/>
                <w:sz w:val="18"/>
                <w:szCs w:val="18"/>
              </w:rPr>
              <w:t>existants ;</w:t>
            </w:r>
          </w:p>
          <w:p w14:paraId="3295C66E" w14:textId="77777777" w:rsidR="00274A1F" w:rsidRDefault="00274A1F" w:rsidP="00C036A1">
            <w:pPr>
              <w:widowControl w:val="0"/>
              <w:autoSpaceDE w:val="0"/>
              <w:autoSpaceDN w:val="0"/>
              <w:adjustRightInd w:val="0"/>
              <w:spacing w:after="200" w:line="276" w:lineRule="auto"/>
              <w:ind w:left="-97"/>
              <w:contextualSpacing/>
              <w:jc w:val="both"/>
              <w:textAlignment w:val="baseline"/>
              <w:rPr>
                <w:rFonts w:cstheme="minorHAnsi"/>
                <w:color w:val="000000"/>
                <w:sz w:val="18"/>
                <w:szCs w:val="18"/>
              </w:rPr>
            </w:pPr>
          </w:p>
          <w:p w14:paraId="36EA2634" w14:textId="77777777" w:rsidR="00274A1F" w:rsidRPr="00A81F37" w:rsidRDefault="00274A1F" w:rsidP="00C036A1">
            <w:pPr>
              <w:widowControl w:val="0"/>
              <w:autoSpaceDE w:val="0"/>
              <w:autoSpaceDN w:val="0"/>
              <w:adjustRightInd w:val="0"/>
              <w:spacing w:after="200" w:line="276" w:lineRule="auto"/>
              <w:ind w:left="-97"/>
              <w:contextualSpacing/>
              <w:jc w:val="both"/>
              <w:textAlignment w:val="baseline"/>
              <w:rPr>
                <w:rFonts w:cstheme="minorHAnsi"/>
                <w:color w:val="000000" w:themeColor="text1"/>
                <w:sz w:val="18"/>
                <w:szCs w:val="18"/>
              </w:rPr>
            </w:pPr>
          </w:p>
        </w:tc>
        <w:tc>
          <w:tcPr>
            <w:tcW w:w="1216" w:type="pct"/>
            <w:tcBorders>
              <w:top w:val="single" w:sz="4" w:space="0" w:color="auto"/>
              <w:left w:val="single" w:sz="4" w:space="0" w:color="auto"/>
              <w:right w:val="single" w:sz="4" w:space="0" w:color="auto"/>
            </w:tcBorders>
          </w:tcPr>
          <w:p w14:paraId="4FC8743A" w14:textId="77777777" w:rsidR="00274A1F" w:rsidRPr="00A81F37" w:rsidRDefault="00274A1F" w:rsidP="00C036A1">
            <w:pPr>
              <w:spacing w:line="276" w:lineRule="auto"/>
              <w:jc w:val="center"/>
              <w:rPr>
                <w:rFonts w:cstheme="minorHAnsi"/>
                <w:sz w:val="18"/>
                <w:szCs w:val="18"/>
                <w:lang w:val="en-US"/>
              </w:rPr>
            </w:pPr>
            <w:r w:rsidRPr="00D06CCF">
              <w:rPr>
                <w:rFonts w:cstheme="minorHAnsi"/>
                <w:color w:val="000000" w:themeColor="text1"/>
                <w:sz w:val="18"/>
                <w:szCs w:val="18"/>
                <w:lang w:val="en-US"/>
              </w:rPr>
              <w:t>MEFRA</w:t>
            </w:r>
            <w:r w:rsidRPr="00A81F37">
              <w:rPr>
                <w:rFonts w:cstheme="minorHAnsi"/>
                <w:sz w:val="18"/>
                <w:szCs w:val="18"/>
                <w:lang w:val="en-US"/>
              </w:rPr>
              <w:t xml:space="preserve"> /Point focal E&amp;S</w:t>
            </w:r>
          </w:p>
          <w:p w14:paraId="581FBF05" w14:textId="77777777" w:rsidR="00274A1F" w:rsidRPr="00A81F37" w:rsidRDefault="00274A1F" w:rsidP="00C036A1">
            <w:pPr>
              <w:spacing w:line="276" w:lineRule="auto"/>
              <w:jc w:val="center"/>
              <w:rPr>
                <w:rFonts w:cstheme="minorHAnsi"/>
                <w:color w:val="000000" w:themeColor="text1"/>
                <w:sz w:val="18"/>
                <w:szCs w:val="18"/>
                <w:lang w:val="en-US"/>
              </w:rPr>
            </w:pPr>
          </w:p>
        </w:tc>
        <w:tc>
          <w:tcPr>
            <w:tcW w:w="689" w:type="pct"/>
            <w:tcBorders>
              <w:top w:val="single" w:sz="4" w:space="0" w:color="auto"/>
              <w:left w:val="single" w:sz="4" w:space="0" w:color="auto"/>
              <w:right w:val="single" w:sz="4" w:space="0" w:color="auto"/>
            </w:tcBorders>
          </w:tcPr>
          <w:p w14:paraId="54EFF683" w14:textId="77777777" w:rsidR="00274A1F" w:rsidRPr="00A81F37" w:rsidRDefault="00274A1F" w:rsidP="00C036A1">
            <w:pPr>
              <w:spacing w:line="276" w:lineRule="auto"/>
              <w:rPr>
                <w:rFonts w:cstheme="minorHAnsi"/>
                <w:color w:val="000000" w:themeColor="text1"/>
                <w:sz w:val="18"/>
                <w:szCs w:val="18"/>
              </w:rPr>
            </w:pPr>
            <w:r w:rsidRPr="00A81F37">
              <w:rPr>
                <w:rFonts w:cstheme="minorHAnsi"/>
                <w:sz w:val="18"/>
                <w:szCs w:val="18"/>
              </w:rPr>
              <w:t>Durant la 1</w:t>
            </w:r>
            <w:r w:rsidRPr="00A81F37">
              <w:rPr>
                <w:rFonts w:cstheme="minorHAnsi"/>
                <w:sz w:val="18"/>
                <w:szCs w:val="18"/>
                <w:vertAlign w:val="superscript"/>
              </w:rPr>
              <w:t xml:space="preserve">ere </w:t>
            </w:r>
            <w:r w:rsidRPr="00A81F37">
              <w:rPr>
                <w:rFonts w:cstheme="minorHAnsi"/>
                <w:sz w:val="18"/>
                <w:szCs w:val="18"/>
              </w:rPr>
              <w:t>année de l’entrée en vigueur du Programme</w:t>
            </w:r>
          </w:p>
        </w:tc>
        <w:tc>
          <w:tcPr>
            <w:tcW w:w="961" w:type="pct"/>
            <w:tcBorders>
              <w:left w:val="single" w:sz="4" w:space="0" w:color="auto"/>
              <w:right w:val="single" w:sz="4" w:space="0" w:color="auto"/>
            </w:tcBorders>
          </w:tcPr>
          <w:p w14:paraId="14D0D550" w14:textId="77777777" w:rsidR="00274A1F" w:rsidRDefault="00274A1F" w:rsidP="00C036A1">
            <w:pPr>
              <w:widowControl w:val="0"/>
              <w:autoSpaceDE w:val="0"/>
              <w:autoSpaceDN w:val="0"/>
              <w:adjustRightInd w:val="0"/>
              <w:spacing w:after="200" w:line="276" w:lineRule="auto"/>
              <w:contextualSpacing/>
              <w:jc w:val="both"/>
              <w:textAlignment w:val="baseline"/>
              <w:rPr>
                <w:color w:val="000000"/>
                <w:sz w:val="18"/>
                <w:szCs w:val="18"/>
              </w:rPr>
            </w:pPr>
            <w:r>
              <w:rPr>
                <w:rFonts w:cstheme="minorHAnsi"/>
                <w:color w:val="000000"/>
                <w:sz w:val="18"/>
                <w:szCs w:val="18"/>
              </w:rPr>
              <w:t xml:space="preserve">-évaluation </w:t>
            </w:r>
            <w:r>
              <w:rPr>
                <w:color w:val="000000"/>
                <w:sz w:val="18"/>
                <w:szCs w:val="18"/>
              </w:rPr>
              <w:t>de l’existant</w:t>
            </w:r>
          </w:p>
          <w:p w14:paraId="2A9409BF" w14:textId="77777777" w:rsidR="00274A1F" w:rsidRPr="00A81F37" w:rsidRDefault="00274A1F" w:rsidP="00C036A1">
            <w:pPr>
              <w:widowControl w:val="0"/>
              <w:autoSpaceDE w:val="0"/>
              <w:autoSpaceDN w:val="0"/>
              <w:adjustRightInd w:val="0"/>
              <w:spacing w:after="200" w:line="276" w:lineRule="auto"/>
              <w:contextualSpacing/>
              <w:jc w:val="both"/>
              <w:textAlignment w:val="baseline"/>
              <w:rPr>
                <w:rFonts w:cstheme="minorHAnsi"/>
                <w:color w:val="000000"/>
                <w:sz w:val="18"/>
                <w:szCs w:val="18"/>
              </w:rPr>
            </w:pPr>
            <w:r>
              <w:rPr>
                <w:rFonts w:cstheme="minorHAnsi"/>
                <w:color w:val="000000"/>
                <w:sz w:val="18"/>
                <w:szCs w:val="18"/>
              </w:rPr>
              <w:t>-</w:t>
            </w:r>
            <w:r w:rsidRPr="00A81F37">
              <w:rPr>
                <w:rFonts w:cstheme="minorHAnsi"/>
                <w:color w:val="000000"/>
                <w:sz w:val="18"/>
                <w:szCs w:val="18"/>
              </w:rPr>
              <w:t>Nombre de parties prenantes adoptant le système ;</w:t>
            </w:r>
          </w:p>
          <w:p w14:paraId="10642F9A" w14:textId="25355AA5" w:rsidR="00274A1F" w:rsidRPr="00D85E9B" w:rsidRDefault="00274A1F" w:rsidP="00D85E9B">
            <w:pPr>
              <w:widowControl w:val="0"/>
              <w:autoSpaceDE w:val="0"/>
              <w:autoSpaceDN w:val="0"/>
              <w:adjustRightInd w:val="0"/>
              <w:spacing w:after="200" w:line="276" w:lineRule="auto"/>
              <w:contextualSpacing/>
              <w:jc w:val="both"/>
              <w:textAlignment w:val="baseline"/>
              <w:rPr>
                <w:rFonts w:cstheme="minorHAnsi"/>
                <w:color w:val="000000"/>
                <w:sz w:val="18"/>
                <w:szCs w:val="18"/>
              </w:rPr>
            </w:pPr>
            <w:r>
              <w:rPr>
                <w:rFonts w:cstheme="minorHAnsi"/>
                <w:color w:val="000000"/>
                <w:sz w:val="18"/>
                <w:szCs w:val="18"/>
              </w:rPr>
              <w:t>-</w:t>
            </w:r>
            <w:r w:rsidRPr="00A81F37">
              <w:rPr>
                <w:rFonts w:cstheme="minorHAnsi"/>
                <w:color w:val="000000"/>
                <w:sz w:val="18"/>
                <w:szCs w:val="18"/>
              </w:rPr>
              <w:t xml:space="preserve">Modèle de </w:t>
            </w:r>
            <w:proofErr w:type="spellStart"/>
            <w:r w:rsidRPr="00A81F37">
              <w:rPr>
                <w:rFonts w:cstheme="minorHAnsi"/>
                <w:color w:val="000000"/>
                <w:sz w:val="18"/>
                <w:szCs w:val="18"/>
              </w:rPr>
              <w:t>reporting</w:t>
            </w:r>
            <w:proofErr w:type="spellEnd"/>
            <w:r w:rsidRPr="00A81F37">
              <w:rPr>
                <w:rFonts w:cstheme="minorHAnsi"/>
                <w:color w:val="000000"/>
                <w:sz w:val="18"/>
                <w:szCs w:val="18"/>
              </w:rPr>
              <w:t xml:space="preserve"> soumis et approuvé par la Banque Mondiale</w:t>
            </w:r>
          </w:p>
        </w:tc>
      </w:tr>
    </w:tbl>
    <w:tbl>
      <w:tblPr>
        <w:tblStyle w:val="Grilledutableau42"/>
        <w:tblW w:w="5000" w:type="pct"/>
        <w:tblLook w:val="04A0" w:firstRow="1" w:lastRow="0" w:firstColumn="1" w:lastColumn="0" w:noHBand="0" w:noVBand="1"/>
      </w:tblPr>
      <w:tblGrid>
        <w:gridCol w:w="9062"/>
      </w:tblGrid>
      <w:tr w:rsidR="00274A1F" w:rsidRPr="00846AB1" w14:paraId="11925B92" w14:textId="77777777" w:rsidTr="00C036A1">
        <w:trPr>
          <w:trHeight w:val="354"/>
        </w:trPr>
        <w:tc>
          <w:tcPr>
            <w:tcW w:w="5000" w:type="pct"/>
            <w:shd w:val="clear" w:color="auto" w:fill="D9E2F3" w:themeFill="accent1" w:themeFillTint="33"/>
          </w:tcPr>
          <w:p w14:paraId="2B2DA7FD" w14:textId="77777777" w:rsidR="00274A1F" w:rsidRPr="00846AB1" w:rsidRDefault="00274A1F" w:rsidP="00C036A1">
            <w:pPr>
              <w:spacing w:before="100" w:beforeAutospacing="1" w:after="100" w:afterAutospacing="1"/>
              <w:ind w:left="250"/>
              <w:jc w:val="center"/>
              <w:rPr>
                <w:rFonts w:asciiTheme="minorHAnsi" w:hAnsiTheme="minorHAnsi" w:cstheme="minorHAnsi"/>
                <w:b/>
                <w:bCs/>
                <w:sz w:val="18"/>
                <w:szCs w:val="18"/>
                <w:lang w:val="fr-FR"/>
              </w:rPr>
            </w:pPr>
            <w:r w:rsidRPr="00846AB1">
              <w:rPr>
                <w:rFonts w:asciiTheme="minorHAnsi" w:hAnsiTheme="minorHAnsi" w:cstheme="minorHAnsi"/>
                <w:b/>
                <w:bCs/>
                <w:sz w:val="18"/>
                <w:szCs w:val="18"/>
                <w:lang w:val="fr-FR"/>
              </w:rPr>
              <w:t>Mesures visant à renforcer les capacités et le suivi évaluation/monitoring en gestion environnementale et sociale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066"/>
        <w:gridCol w:w="2204"/>
        <w:gridCol w:w="1249"/>
        <w:gridCol w:w="1742"/>
      </w:tblGrid>
      <w:tr w:rsidR="00274A1F" w:rsidRPr="0044651F" w14:paraId="32BC1B41" w14:textId="77777777" w:rsidTr="00C036A1">
        <w:trPr>
          <w:trHeight w:val="2056"/>
        </w:trPr>
        <w:tc>
          <w:tcPr>
            <w:tcW w:w="994" w:type="pct"/>
            <w:tcBorders>
              <w:left w:val="single" w:sz="4" w:space="0" w:color="auto"/>
              <w:right w:val="single" w:sz="4" w:space="0" w:color="auto"/>
            </w:tcBorders>
            <w:shd w:val="clear" w:color="auto" w:fill="auto"/>
          </w:tcPr>
          <w:p w14:paraId="36CFAE88" w14:textId="77777777" w:rsidR="00274A1F" w:rsidRPr="0044651F" w:rsidRDefault="00274A1F" w:rsidP="00C036A1">
            <w:pPr>
              <w:spacing w:line="276" w:lineRule="auto"/>
              <w:rPr>
                <w:rFonts w:cstheme="minorHAnsi"/>
                <w:b/>
                <w:bCs/>
                <w:sz w:val="18"/>
                <w:szCs w:val="18"/>
              </w:rPr>
            </w:pPr>
            <w:r w:rsidRPr="0044651F">
              <w:rPr>
                <w:rFonts w:cstheme="minorHAnsi"/>
                <w:bCs/>
                <w:sz w:val="18"/>
                <w:szCs w:val="18"/>
              </w:rPr>
              <w:t xml:space="preserve">Renforcement des capacités des parties prenantes concernées </w:t>
            </w:r>
          </w:p>
          <w:p w14:paraId="58675D9D" w14:textId="77777777" w:rsidR="00274A1F" w:rsidRPr="0044651F" w:rsidRDefault="00274A1F" w:rsidP="00C036A1">
            <w:pPr>
              <w:spacing w:line="276" w:lineRule="auto"/>
              <w:rPr>
                <w:rFonts w:cstheme="minorHAnsi"/>
                <w:b/>
                <w:bCs/>
                <w:sz w:val="18"/>
                <w:szCs w:val="18"/>
              </w:rPr>
            </w:pPr>
          </w:p>
        </w:tc>
        <w:tc>
          <w:tcPr>
            <w:tcW w:w="1140" w:type="pct"/>
            <w:tcBorders>
              <w:left w:val="single" w:sz="4" w:space="0" w:color="auto"/>
              <w:right w:val="single" w:sz="4" w:space="0" w:color="auto"/>
            </w:tcBorders>
            <w:shd w:val="clear" w:color="auto" w:fill="auto"/>
          </w:tcPr>
          <w:p w14:paraId="107F3172" w14:textId="77777777" w:rsidR="00274A1F" w:rsidRPr="0044651F" w:rsidRDefault="00274A1F" w:rsidP="00C036A1">
            <w:pPr>
              <w:rPr>
                <w:rFonts w:cstheme="minorHAnsi"/>
                <w:color w:val="000000" w:themeColor="text1"/>
                <w:sz w:val="18"/>
                <w:szCs w:val="18"/>
              </w:rPr>
            </w:pPr>
            <w:r w:rsidRPr="0044651F">
              <w:rPr>
                <w:rFonts w:cstheme="minorHAnsi"/>
                <w:color w:val="000000" w:themeColor="text1"/>
                <w:sz w:val="18"/>
                <w:szCs w:val="18"/>
              </w:rPr>
              <w:t xml:space="preserve">Développement du module de formation sur la gestion environnementale et sociale comprenant les outils de suivi </w:t>
            </w:r>
          </w:p>
          <w:p w14:paraId="7A989AFB" w14:textId="77777777" w:rsidR="00274A1F" w:rsidRPr="0044651F" w:rsidRDefault="00274A1F" w:rsidP="00C036A1">
            <w:pPr>
              <w:rPr>
                <w:rFonts w:cstheme="minorHAnsi"/>
                <w:color w:val="000000" w:themeColor="text1"/>
                <w:sz w:val="18"/>
                <w:szCs w:val="18"/>
              </w:rPr>
            </w:pPr>
          </w:p>
          <w:p w14:paraId="4B7E94B5" w14:textId="77777777" w:rsidR="00274A1F" w:rsidRPr="0044651F" w:rsidRDefault="00274A1F" w:rsidP="00C036A1">
            <w:pPr>
              <w:rPr>
                <w:rFonts w:cstheme="minorHAnsi"/>
                <w:b/>
                <w:bCs/>
                <w:sz w:val="18"/>
                <w:szCs w:val="18"/>
              </w:rPr>
            </w:pPr>
            <w:r w:rsidRPr="0044651F">
              <w:rPr>
                <w:rFonts w:cstheme="minorHAnsi"/>
                <w:color w:val="000000" w:themeColor="text1"/>
                <w:sz w:val="18"/>
                <w:szCs w:val="18"/>
              </w:rPr>
              <w:lastRenderedPageBreak/>
              <w:t>Organisation de sessions de formation  </w:t>
            </w:r>
          </w:p>
        </w:tc>
        <w:tc>
          <w:tcPr>
            <w:tcW w:w="1216" w:type="pct"/>
            <w:tcBorders>
              <w:left w:val="single" w:sz="4" w:space="0" w:color="auto"/>
              <w:right w:val="single" w:sz="4" w:space="0" w:color="auto"/>
            </w:tcBorders>
            <w:shd w:val="clear" w:color="auto" w:fill="auto"/>
          </w:tcPr>
          <w:p w14:paraId="521BB19B" w14:textId="77777777" w:rsidR="00274A1F" w:rsidRPr="0044651F" w:rsidRDefault="00274A1F" w:rsidP="00C036A1">
            <w:pPr>
              <w:spacing w:line="276" w:lineRule="auto"/>
              <w:jc w:val="center"/>
              <w:rPr>
                <w:rFonts w:cstheme="minorHAnsi"/>
                <w:color w:val="000000" w:themeColor="text1"/>
                <w:sz w:val="18"/>
                <w:szCs w:val="18"/>
              </w:rPr>
            </w:pPr>
          </w:p>
          <w:p w14:paraId="0B795696" w14:textId="77777777" w:rsidR="00274A1F" w:rsidRPr="0044651F" w:rsidRDefault="00274A1F" w:rsidP="00C036A1">
            <w:pPr>
              <w:spacing w:line="276" w:lineRule="auto"/>
              <w:jc w:val="center"/>
              <w:rPr>
                <w:rFonts w:cstheme="minorHAnsi"/>
                <w:b/>
                <w:color w:val="000000" w:themeColor="text1"/>
                <w:sz w:val="18"/>
                <w:szCs w:val="18"/>
              </w:rPr>
            </w:pPr>
          </w:p>
          <w:p w14:paraId="48FB72B6" w14:textId="77777777" w:rsidR="00274A1F" w:rsidRPr="0044651F" w:rsidRDefault="00274A1F" w:rsidP="00C036A1">
            <w:pPr>
              <w:spacing w:line="276" w:lineRule="auto"/>
              <w:jc w:val="center"/>
              <w:rPr>
                <w:rFonts w:cstheme="minorHAnsi"/>
                <w:b/>
                <w:color w:val="000000" w:themeColor="text1"/>
                <w:sz w:val="18"/>
                <w:szCs w:val="18"/>
              </w:rPr>
            </w:pPr>
          </w:p>
          <w:p w14:paraId="716C8F20" w14:textId="77777777" w:rsidR="00274A1F" w:rsidRPr="0044651F" w:rsidRDefault="00274A1F" w:rsidP="00C036A1">
            <w:pPr>
              <w:spacing w:line="276" w:lineRule="auto"/>
              <w:jc w:val="center"/>
              <w:rPr>
                <w:rFonts w:cstheme="minorHAnsi"/>
                <w:b/>
                <w:color w:val="000000" w:themeColor="text1"/>
                <w:sz w:val="18"/>
                <w:szCs w:val="18"/>
              </w:rPr>
            </w:pPr>
          </w:p>
          <w:p w14:paraId="6CBBA4C0" w14:textId="77777777" w:rsidR="00274A1F" w:rsidRPr="0044651F" w:rsidRDefault="00274A1F" w:rsidP="00C036A1">
            <w:pPr>
              <w:spacing w:line="276" w:lineRule="auto"/>
              <w:jc w:val="center"/>
              <w:rPr>
                <w:rFonts w:cstheme="minorHAnsi"/>
                <w:sz w:val="18"/>
                <w:szCs w:val="18"/>
              </w:rPr>
            </w:pPr>
            <w:r>
              <w:rPr>
                <w:rFonts w:cstheme="minorHAnsi"/>
                <w:sz w:val="18"/>
                <w:szCs w:val="18"/>
              </w:rPr>
              <w:t>MEFRA</w:t>
            </w:r>
          </w:p>
        </w:tc>
        <w:tc>
          <w:tcPr>
            <w:tcW w:w="689" w:type="pct"/>
            <w:tcBorders>
              <w:left w:val="single" w:sz="4" w:space="0" w:color="auto"/>
              <w:right w:val="single" w:sz="4" w:space="0" w:color="auto"/>
            </w:tcBorders>
            <w:shd w:val="clear" w:color="auto" w:fill="auto"/>
          </w:tcPr>
          <w:p w14:paraId="75AC49C4" w14:textId="77777777" w:rsidR="00274A1F" w:rsidRPr="0044651F" w:rsidRDefault="00274A1F" w:rsidP="00C036A1">
            <w:pPr>
              <w:spacing w:line="276" w:lineRule="auto"/>
              <w:rPr>
                <w:rFonts w:cstheme="minorHAnsi"/>
                <w:color w:val="000000" w:themeColor="text1"/>
                <w:sz w:val="18"/>
                <w:szCs w:val="18"/>
              </w:rPr>
            </w:pPr>
            <w:r w:rsidRPr="0044651F">
              <w:rPr>
                <w:rFonts w:cstheme="minorHAnsi"/>
                <w:color w:val="000000" w:themeColor="text1"/>
                <w:sz w:val="18"/>
                <w:szCs w:val="18"/>
              </w:rPr>
              <w:t>1</w:t>
            </w:r>
            <w:r w:rsidRPr="0044651F">
              <w:rPr>
                <w:rFonts w:cstheme="minorHAnsi"/>
                <w:color w:val="000000" w:themeColor="text1"/>
                <w:sz w:val="18"/>
                <w:szCs w:val="18"/>
                <w:vertAlign w:val="superscript"/>
              </w:rPr>
              <w:t>er</w:t>
            </w:r>
            <w:r w:rsidRPr="0044651F">
              <w:rPr>
                <w:rFonts w:cstheme="minorHAnsi"/>
                <w:color w:val="000000" w:themeColor="text1"/>
                <w:sz w:val="18"/>
                <w:szCs w:val="18"/>
              </w:rPr>
              <w:t xml:space="preserve"> trimestre de mise en œuvre du Programme</w:t>
            </w:r>
          </w:p>
          <w:p w14:paraId="6D96D352" w14:textId="77777777" w:rsidR="00274A1F" w:rsidRPr="0044651F" w:rsidRDefault="00274A1F" w:rsidP="00C036A1">
            <w:pPr>
              <w:spacing w:line="276" w:lineRule="auto"/>
              <w:rPr>
                <w:rFonts w:cstheme="minorHAnsi"/>
                <w:color w:val="000000" w:themeColor="text1"/>
                <w:sz w:val="18"/>
                <w:szCs w:val="18"/>
              </w:rPr>
            </w:pPr>
          </w:p>
          <w:p w14:paraId="4E35D904" w14:textId="77777777" w:rsidR="00274A1F" w:rsidRPr="0044651F" w:rsidRDefault="00274A1F" w:rsidP="00C036A1">
            <w:pPr>
              <w:spacing w:line="276" w:lineRule="auto"/>
              <w:rPr>
                <w:rFonts w:cstheme="minorHAnsi"/>
                <w:color w:val="000000" w:themeColor="text1"/>
                <w:sz w:val="18"/>
                <w:szCs w:val="18"/>
              </w:rPr>
            </w:pPr>
          </w:p>
          <w:p w14:paraId="02D33B69" w14:textId="77777777" w:rsidR="00274A1F" w:rsidRPr="0044651F" w:rsidRDefault="00274A1F" w:rsidP="00C036A1">
            <w:pPr>
              <w:spacing w:line="276" w:lineRule="auto"/>
              <w:rPr>
                <w:rFonts w:cstheme="minorHAnsi"/>
                <w:b/>
                <w:bCs/>
                <w:sz w:val="18"/>
                <w:szCs w:val="18"/>
              </w:rPr>
            </w:pPr>
            <w:r w:rsidRPr="0044651F">
              <w:rPr>
                <w:rFonts w:cstheme="minorHAnsi"/>
                <w:color w:val="000000" w:themeColor="text1"/>
                <w:sz w:val="18"/>
                <w:szCs w:val="18"/>
              </w:rPr>
              <w:t>A partir du 1</w:t>
            </w:r>
            <w:r w:rsidRPr="0044651F">
              <w:rPr>
                <w:rFonts w:cstheme="minorHAnsi"/>
                <w:color w:val="000000" w:themeColor="text1"/>
                <w:sz w:val="18"/>
                <w:szCs w:val="18"/>
                <w:vertAlign w:val="superscript"/>
              </w:rPr>
              <w:t xml:space="preserve">ier </w:t>
            </w:r>
            <w:r w:rsidRPr="0044651F">
              <w:rPr>
                <w:rFonts w:cstheme="minorHAnsi"/>
                <w:color w:val="000000" w:themeColor="text1"/>
                <w:sz w:val="18"/>
                <w:szCs w:val="18"/>
              </w:rPr>
              <w:t xml:space="preserve">semestre </w:t>
            </w:r>
            <w:r w:rsidRPr="0044651F">
              <w:rPr>
                <w:rFonts w:cstheme="minorHAnsi"/>
                <w:color w:val="000000" w:themeColor="text1"/>
                <w:sz w:val="18"/>
                <w:szCs w:val="18"/>
              </w:rPr>
              <w:lastRenderedPageBreak/>
              <w:t>de la mise en œuvre du Programme</w:t>
            </w:r>
          </w:p>
        </w:tc>
        <w:tc>
          <w:tcPr>
            <w:tcW w:w="961" w:type="pct"/>
            <w:tcBorders>
              <w:left w:val="single" w:sz="4" w:space="0" w:color="auto"/>
              <w:right w:val="single" w:sz="4" w:space="0" w:color="auto"/>
            </w:tcBorders>
            <w:shd w:val="clear" w:color="auto" w:fill="auto"/>
          </w:tcPr>
          <w:p w14:paraId="7C9ACD29" w14:textId="77777777" w:rsidR="00274A1F" w:rsidRPr="0044651F" w:rsidRDefault="00274A1F" w:rsidP="00C036A1">
            <w:pPr>
              <w:spacing w:before="100" w:beforeAutospacing="1" w:after="100" w:afterAutospacing="1"/>
              <w:rPr>
                <w:rFonts w:cstheme="minorHAnsi"/>
                <w:sz w:val="18"/>
                <w:szCs w:val="18"/>
              </w:rPr>
            </w:pPr>
            <w:r w:rsidRPr="0044651F">
              <w:rPr>
                <w:rFonts w:cstheme="minorHAnsi"/>
                <w:sz w:val="18"/>
                <w:szCs w:val="18"/>
              </w:rPr>
              <w:lastRenderedPageBreak/>
              <w:t>Module de formation développé</w:t>
            </w:r>
          </w:p>
          <w:p w14:paraId="59BD8991" w14:textId="77777777" w:rsidR="00274A1F" w:rsidRPr="0044651F" w:rsidRDefault="00274A1F" w:rsidP="00C036A1">
            <w:pPr>
              <w:spacing w:before="100" w:beforeAutospacing="1" w:after="100" w:afterAutospacing="1"/>
              <w:rPr>
                <w:rFonts w:cstheme="minorHAnsi"/>
                <w:sz w:val="18"/>
                <w:szCs w:val="18"/>
              </w:rPr>
            </w:pPr>
          </w:p>
          <w:p w14:paraId="57537131" w14:textId="77777777" w:rsidR="00274A1F" w:rsidRDefault="00274A1F" w:rsidP="00C036A1">
            <w:pPr>
              <w:spacing w:before="100" w:beforeAutospacing="1" w:after="100" w:afterAutospacing="1"/>
              <w:rPr>
                <w:rFonts w:cstheme="minorHAnsi"/>
                <w:sz w:val="18"/>
                <w:szCs w:val="18"/>
              </w:rPr>
            </w:pPr>
          </w:p>
          <w:p w14:paraId="372A45C2" w14:textId="77777777" w:rsidR="00274A1F" w:rsidRPr="0044651F" w:rsidRDefault="00274A1F" w:rsidP="00C036A1">
            <w:pPr>
              <w:spacing w:before="100" w:beforeAutospacing="1" w:after="100" w:afterAutospacing="1"/>
              <w:rPr>
                <w:rFonts w:cstheme="minorHAnsi"/>
                <w:sz w:val="18"/>
                <w:szCs w:val="18"/>
              </w:rPr>
            </w:pPr>
            <w:r w:rsidRPr="0044651F">
              <w:rPr>
                <w:rFonts w:cstheme="minorHAnsi"/>
                <w:sz w:val="18"/>
                <w:szCs w:val="18"/>
              </w:rPr>
              <w:lastRenderedPageBreak/>
              <w:t>Plan de formation</w:t>
            </w:r>
          </w:p>
          <w:p w14:paraId="6BC2FEF6" w14:textId="77777777" w:rsidR="00274A1F" w:rsidRPr="0044651F" w:rsidRDefault="00274A1F" w:rsidP="00C036A1">
            <w:pPr>
              <w:spacing w:before="100" w:beforeAutospacing="1" w:after="100" w:afterAutospacing="1"/>
              <w:rPr>
                <w:rFonts w:cstheme="minorHAnsi"/>
                <w:sz w:val="18"/>
                <w:szCs w:val="18"/>
              </w:rPr>
            </w:pPr>
            <w:r w:rsidRPr="0044651F">
              <w:rPr>
                <w:rFonts w:cstheme="minorHAnsi"/>
                <w:sz w:val="18"/>
                <w:szCs w:val="18"/>
              </w:rPr>
              <w:t>Rapports sur les formations réalisées</w:t>
            </w:r>
          </w:p>
        </w:tc>
      </w:tr>
    </w:tbl>
    <w:p w14:paraId="756E5810" w14:textId="77777777" w:rsidR="00274A1F" w:rsidRPr="003A404D" w:rsidRDefault="00274A1F" w:rsidP="00274A1F"/>
    <w:p w14:paraId="7DFDCC17" w14:textId="0A3E0DBE" w:rsidR="00B75F3C" w:rsidRDefault="00B75F3C" w:rsidP="003770FF">
      <w:pPr>
        <w:pStyle w:val="ListParagraph"/>
        <w:spacing w:after="120"/>
        <w:ind w:left="284"/>
        <w:contextualSpacing w:val="0"/>
        <w:rPr>
          <w:rFonts w:asciiTheme="minorHAnsi" w:hAnsiTheme="minorHAnsi" w:cstheme="minorHAnsi"/>
          <w:sz w:val="22"/>
          <w:szCs w:val="22"/>
        </w:rPr>
      </w:pPr>
    </w:p>
    <w:bookmarkEnd w:id="4"/>
    <w:bookmarkEnd w:id="6"/>
    <w:p w14:paraId="428750A5" w14:textId="77777777" w:rsidR="00F63347" w:rsidRDefault="00F63347">
      <w:pPr>
        <w:pStyle w:val="ListParagraph"/>
        <w:spacing w:after="120"/>
        <w:ind w:left="0"/>
        <w:contextualSpacing w:val="0"/>
        <w:rPr>
          <w:rFonts w:asciiTheme="minorHAnsi" w:hAnsiTheme="minorHAnsi" w:cstheme="minorHAnsi"/>
          <w:sz w:val="22"/>
          <w:szCs w:val="22"/>
        </w:rPr>
        <w:sectPr w:rsidR="00F63347" w:rsidSect="00056905">
          <w:pgSz w:w="11906" w:h="16838"/>
          <w:pgMar w:top="1417" w:right="1417" w:bottom="1417" w:left="1417" w:header="708" w:footer="708" w:gutter="0"/>
          <w:pgNumType w:start="1"/>
          <w:cols w:space="708"/>
          <w:docGrid w:linePitch="360"/>
        </w:sectPr>
      </w:pPr>
    </w:p>
    <w:p w14:paraId="311292F6" w14:textId="15C71D21" w:rsidR="00610DC6" w:rsidRPr="00046E7D" w:rsidRDefault="00610DC6" w:rsidP="00046E7D">
      <w:pPr>
        <w:pStyle w:val="Heading1"/>
        <w:rPr>
          <w:rFonts w:ascii="Candara" w:hAnsi="Candara"/>
          <w:sz w:val="28"/>
          <w:szCs w:val="28"/>
          <w:lang w:val="fr-FR"/>
        </w:rPr>
      </w:pPr>
      <w:bookmarkStart w:id="7" w:name="_Toc496827301"/>
      <w:bookmarkStart w:id="8" w:name="_Toc74241370"/>
      <w:r w:rsidRPr="00046E7D">
        <w:rPr>
          <w:rFonts w:ascii="Candara" w:hAnsi="Candara"/>
          <w:sz w:val="28"/>
          <w:szCs w:val="28"/>
          <w:lang w:val="fr-FR"/>
        </w:rPr>
        <w:lastRenderedPageBreak/>
        <w:t>1. Introduction</w:t>
      </w:r>
      <w:bookmarkEnd w:id="7"/>
      <w:bookmarkEnd w:id="8"/>
    </w:p>
    <w:p w14:paraId="39A406C2" w14:textId="77777777" w:rsidR="00B123E0" w:rsidRDefault="00B123E0" w:rsidP="00B123E0">
      <w:pPr>
        <w:spacing w:line="240" w:lineRule="auto"/>
        <w:ind w:left="1134" w:right="686"/>
        <w:jc w:val="both"/>
        <w:rPr>
          <w:rFonts w:ascii="Candara" w:hAnsi="Candara"/>
          <w:i/>
          <w:iCs/>
          <w:sz w:val="20"/>
          <w:szCs w:val="20"/>
        </w:rPr>
      </w:pPr>
      <w:bookmarkStart w:id="9" w:name="_Toc489881139"/>
    </w:p>
    <w:p w14:paraId="309CA975" w14:textId="4FA9A176" w:rsidR="00610DC6" w:rsidRPr="00046E7D" w:rsidRDefault="00610DC6" w:rsidP="00046E7D">
      <w:pPr>
        <w:spacing w:line="240" w:lineRule="auto"/>
        <w:ind w:left="1134" w:right="686"/>
        <w:jc w:val="both"/>
        <w:rPr>
          <w:rFonts w:ascii="Candara" w:hAnsi="Candara"/>
          <w:i/>
          <w:iCs/>
          <w:sz w:val="20"/>
          <w:szCs w:val="20"/>
        </w:rPr>
      </w:pPr>
      <w:r w:rsidRPr="00046E7D">
        <w:rPr>
          <w:rFonts w:ascii="Candara" w:hAnsi="Candara"/>
          <w:i/>
          <w:iCs/>
          <w:sz w:val="20"/>
          <w:szCs w:val="20"/>
        </w:rPr>
        <w:t>Cette première section de l’ESES rappelle le contexte général dans lequel le Programme proposé s’inscrit et présente la finalité de l’ESES en conformité avec les dispositions de la Politique opérationnelle PO/BP de la Banque mondiale s’appliquant à un Prêt-Programme pour les Résultats (PPR). L’approche méthodologique adoptée comporte une revue de la documentation et des données disponibles, des visites sur le terrain et des réunions de consultation avec le personnel technique à la fois aux niveaux national et local.</w:t>
      </w:r>
      <w:bookmarkEnd w:id="9"/>
      <w:r w:rsidRPr="00046E7D">
        <w:rPr>
          <w:rFonts w:ascii="Candara" w:hAnsi="Candara"/>
          <w:i/>
          <w:iCs/>
          <w:sz w:val="20"/>
          <w:szCs w:val="20"/>
        </w:rPr>
        <w:t xml:space="preserve"> </w:t>
      </w:r>
    </w:p>
    <w:p w14:paraId="051DA8ED" w14:textId="77777777" w:rsidR="00610DC6" w:rsidRPr="003A404D" w:rsidRDefault="00610DC6" w:rsidP="00610DC6">
      <w:pPr>
        <w:spacing w:line="240" w:lineRule="auto"/>
        <w:ind w:left="1701" w:right="685"/>
      </w:pPr>
    </w:p>
    <w:p w14:paraId="5DE64125" w14:textId="3C2F5990" w:rsidR="00610DC6" w:rsidRPr="00046E7D" w:rsidRDefault="00610DC6" w:rsidP="00610DC6">
      <w:pPr>
        <w:pStyle w:val="Heading2"/>
        <w:spacing w:line="240" w:lineRule="auto"/>
        <w:rPr>
          <w:rFonts w:ascii="Candara" w:hAnsi="Candara"/>
          <w:color w:val="auto"/>
          <w:lang w:val="fr-FR"/>
        </w:rPr>
      </w:pPr>
      <w:bookmarkStart w:id="10" w:name="_Toc392690468"/>
      <w:r w:rsidRPr="00046E7D">
        <w:rPr>
          <w:rFonts w:ascii="Candara" w:hAnsi="Candara"/>
          <w:color w:val="auto"/>
          <w:lang w:val="fr-FR"/>
        </w:rPr>
        <w:t xml:space="preserve"> </w:t>
      </w:r>
      <w:bookmarkStart w:id="11" w:name="_Toc496827302"/>
      <w:bookmarkStart w:id="12" w:name="_Toc74241371"/>
      <w:r w:rsidRPr="00046E7D">
        <w:rPr>
          <w:rFonts w:ascii="Candara" w:hAnsi="Candara"/>
          <w:color w:val="auto"/>
          <w:lang w:val="fr-FR"/>
        </w:rPr>
        <w:t>1.1 Contexte et objectifs du Programme</w:t>
      </w:r>
      <w:bookmarkEnd w:id="10"/>
      <w:bookmarkEnd w:id="11"/>
      <w:bookmarkEnd w:id="12"/>
      <w:r w:rsidRPr="00046E7D">
        <w:rPr>
          <w:rFonts w:ascii="Candara" w:hAnsi="Candara"/>
          <w:color w:val="auto"/>
          <w:lang w:val="fr-FR"/>
        </w:rPr>
        <w:t xml:space="preserve"> </w:t>
      </w:r>
    </w:p>
    <w:p w14:paraId="655E195B" w14:textId="580CB40C" w:rsidR="00346108" w:rsidRPr="00046E7D" w:rsidRDefault="00610DC6" w:rsidP="00D85E9B">
      <w:pPr>
        <w:numPr>
          <w:ilvl w:val="0"/>
          <w:numId w:val="11"/>
        </w:numPr>
        <w:autoSpaceDE w:val="0"/>
        <w:autoSpaceDN w:val="0"/>
        <w:adjustRightInd w:val="0"/>
        <w:spacing w:before="120" w:after="0" w:line="360" w:lineRule="auto"/>
        <w:contextualSpacing/>
        <w:jc w:val="both"/>
        <w:rPr>
          <w:rFonts w:eastAsia="Calibri" w:cstheme="minorHAnsi"/>
          <w:i/>
        </w:rPr>
      </w:pPr>
      <w:r w:rsidRPr="00046E7D">
        <w:rPr>
          <w:rFonts w:cstheme="minorHAnsi"/>
        </w:rPr>
        <w:t xml:space="preserve">Cette </w:t>
      </w:r>
      <w:r w:rsidRPr="00D85E9B">
        <w:rPr>
          <w:rFonts w:ascii="Calibri" w:eastAsia="Times New Roman" w:hAnsi="Calibri" w:cs="Calibri"/>
          <w:szCs w:val="24"/>
          <w:lang w:val="fr-CA"/>
        </w:rPr>
        <w:t>Évaluation</w:t>
      </w:r>
      <w:r w:rsidRPr="00046E7D">
        <w:rPr>
          <w:rFonts w:cstheme="minorHAnsi"/>
        </w:rPr>
        <w:t xml:space="preserve"> des Systèmes Environnementaux et Sociaux (ESES) a été entreprise par la Banque mondiale dans le cadre de la préparation du </w:t>
      </w:r>
      <w:r w:rsidRPr="00046E7D">
        <w:rPr>
          <w:rFonts w:cstheme="minorHAnsi"/>
          <w:b/>
          <w:bCs/>
          <w:i/>
          <w:iCs/>
        </w:rPr>
        <w:t>Prêt-Programme axé sur les Résultats (PPR)</w:t>
      </w:r>
      <w:r w:rsidR="00C62177">
        <w:rPr>
          <w:rFonts w:cstheme="minorHAnsi"/>
          <w:b/>
          <w:bCs/>
          <w:i/>
          <w:iCs/>
        </w:rPr>
        <w:t xml:space="preserve"> </w:t>
      </w:r>
      <w:r w:rsidR="00C62177" w:rsidRPr="00C62177">
        <w:rPr>
          <w:rFonts w:cstheme="minorHAnsi"/>
          <w:b/>
          <w:bCs/>
          <w:i/>
          <w:iCs/>
        </w:rPr>
        <w:t>de performance du secteur public marocain (ENNAJAA)</w:t>
      </w:r>
      <w:r w:rsidR="00346108" w:rsidRPr="00046E7D">
        <w:rPr>
          <w:rFonts w:cstheme="minorHAnsi"/>
          <w:i/>
          <w:iCs/>
        </w:rPr>
        <w:t>.</w:t>
      </w:r>
      <w:r w:rsidR="00791D83" w:rsidRPr="00046E7D">
        <w:rPr>
          <w:rFonts w:cstheme="minorHAnsi"/>
          <w:b/>
          <w:bCs/>
          <w:caps/>
          <w:color w:val="333333"/>
          <w:sz w:val="20"/>
          <w:shd w:val="clear" w:color="auto" w:fill="DDDDD9"/>
        </w:rPr>
        <w:t xml:space="preserve"> </w:t>
      </w:r>
    </w:p>
    <w:p w14:paraId="2A3C740F" w14:textId="03CBBF62" w:rsidR="00791490" w:rsidRPr="00791490" w:rsidRDefault="003A5437" w:rsidP="00D85E9B">
      <w:pPr>
        <w:numPr>
          <w:ilvl w:val="0"/>
          <w:numId w:val="11"/>
        </w:numPr>
        <w:autoSpaceDE w:val="0"/>
        <w:autoSpaceDN w:val="0"/>
        <w:adjustRightInd w:val="0"/>
        <w:spacing w:before="120" w:after="0" w:line="360" w:lineRule="auto"/>
        <w:contextualSpacing/>
        <w:jc w:val="both"/>
        <w:rPr>
          <w:rFonts w:cstheme="minorHAnsi"/>
        </w:rPr>
      </w:pPr>
      <w:r w:rsidRPr="00046E7D">
        <w:rPr>
          <w:rFonts w:cstheme="minorHAnsi"/>
        </w:rPr>
        <w:t xml:space="preserve"> </w:t>
      </w:r>
      <w:r w:rsidR="00610DC6" w:rsidRPr="00046E7D">
        <w:rPr>
          <w:rFonts w:cstheme="minorHAnsi"/>
        </w:rPr>
        <w:t xml:space="preserve">Le </w:t>
      </w:r>
      <w:r w:rsidR="00610DC6" w:rsidRPr="00D85E9B">
        <w:rPr>
          <w:rFonts w:ascii="Calibri" w:eastAsia="Times New Roman" w:hAnsi="Calibri" w:cs="Calibri"/>
          <w:szCs w:val="24"/>
          <w:lang w:val="fr-CA"/>
        </w:rPr>
        <w:t>Programme</w:t>
      </w:r>
      <w:r w:rsidR="00610DC6" w:rsidRPr="00046E7D">
        <w:rPr>
          <w:rFonts w:cstheme="minorHAnsi"/>
        </w:rPr>
        <w:t xml:space="preserve">, qui inclut un prêt d’un montant de </w:t>
      </w:r>
      <w:r w:rsidR="00C62177">
        <w:rPr>
          <w:rFonts w:cstheme="minorHAnsi"/>
        </w:rPr>
        <w:t>3</w:t>
      </w:r>
      <w:r w:rsidR="006F0189" w:rsidRPr="00046E7D">
        <w:rPr>
          <w:rFonts w:cstheme="minorHAnsi"/>
        </w:rPr>
        <w:t xml:space="preserve">00 </w:t>
      </w:r>
      <w:r w:rsidR="00610DC6" w:rsidRPr="00046E7D">
        <w:rPr>
          <w:rFonts w:cstheme="minorHAnsi"/>
        </w:rPr>
        <w:t>millions de dollars en faveur du Gouvernement du Royaume du Maroc</w:t>
      </w:r>
      <w:r w:rsidR="0009593A">
        <w:rPr>
          <w:rFonts w:cstheme="minorHAnsi"/>
        </w:rPr>
        <w:t xml:space="preserve"> </w:t>
      </w:r>
      <w:bookmarkStart w:id="13" w:name="_Hlk65667933"/>
      <w:bookmarkStart w:id="14" w:name="_Hlk65698476"/>
      <w:r w:rsidR="00791490">
        <w:rPr>
          <w:rFonts w:cstheme="minorHAnsi"/>
        </w:rPr>
        <w:t xml:space="preserve">vise à </w:t>
      </w:r>
      <w:r w:rsidR="00791490" w:rsidRPr="00791490">
        <w:rPr>
          <w:rFonts w:cstheme="minorHAnsi"/>
        </w:rPr>
        <w:t xml:space="preserve">améliorer </w:t>
      </w:r>
      <w:r w:rsidR="001C6D8C" w:rsidRPr="001C6D8C">
        <w:rPr>
          <w:rFonts w:cstheme="minorHAnsi"/>
        </w:rPr>
        <w:t>la performance et la transparence des opérations gouvernementales de base basées sur les données</w:t>
      </w:r>
      <w:r w:rsidR="001C6D8C">
        <w:rPr>
          <w:rFonts w:cstheme="minorHAnsi"/>
        </w:rPr>
        <w:t xml:space="preserve"> </w:t>
      </w:r>
      <w:bookmarkEnd w:id="13"/>
      <w:r w:rsidR="00791490" w:rsidRPr="00791490">
        <w:rPr>
          <w:rFonts w:cstheme="minorHAnsi"/>
        </w:rPr>
        <w:t xml:space="preserve">. </w:t>
      </w:r>
      <w:r w:rsidR="002A5E86" w:rsidRPr="00046E7D">
        <w:rPr>
          <w:rFonts w:cstheme="minorHAnsi"/>
        </w:rPr>
        <w:t xml:space="preserve">L’atteinte de cet objectif </w:t>
      </w:r>
      <w:r w:rsidR="006E0641" w:rsidRPr="00046E7D">
        <w:rPr>
          <w:rFonts w:cstheme="minorHAnsi"/>
        </w:rPr>
        <w:t xml:space="preserve">s’appuiera </w:t>
      </w:r>
      <w:r w:rsidR="007546D2" w:rsidRPr="00046E7D">
        <w:rPr>
          <w:rFonts w:cstheme="minorHAnsi"/>
        </w:rPr>
        <w:t xml:space="preserve">sur les </w:t>
      </w:r>
      <w:r w:rsidR="00B10D8F" w:rsidRPr="00046E7D">
        <w:rPr>
          <w:rFonts w:cstheme="minorHAnsi"/>
        </w:rPr>
        <w:t xml:space="preserve">résultats des </w:t>
      </w:r>
      <w:r w:rsidR="007546D2" w:rsidRPr="00046E7D">
        <w:rPr>
          <w:rFonts w:cstheme="minorHAnsi"/>
        </w:rPr>
        <w:t xml:space="preserve">programmes </w:t>
      </w:r>
      <w:r w:rsidR="00B10D8F" w:rsidRPr="00046E7D">
        <w:rPr>
          <w:rFonts w:cstheme="minorHAnsi"/>
        </w:rPr>
        <w:t>antérieurement mis en œuvre</w:t>
      </w:r>
      <w:r w:rsidR="006E0641" w:rsidRPr="00046E7D">
        <w:rPr>
          <w:rFonts w:cstheme="minorHAnsi"/>
        </w:rPr>
        <w:t>,</w:t>
      </w:r>
      <w:r w:rsidR="007546D2" w:rsidRPr="00046E7D">
        <w:rPr>
          <w:rFonts w:cstheme="minorHAnsi"/>
        </w:rPr>
        <w:t xml:space="preserve"> dont principalement le </w:t>
      </w:r>
      <w:r w:rsidR="00791490" w:rsidRPr="00791490">
        <w:rPr>
          <w:rFonts w:cstheme="minorHAnsi"/>
        </w:rPr>
        <w:t>Plan national de réforme administrative (PNRA</w:t>
      </w:r>
      <w:r w:rsidR="00791490">
        <w:rPr>
          <w:rFonts w:cstheme="minorHAnsi"/>
        </w:rPr>
        <w:t xml:space="preserve">, </w:t>
      </w:r>
      <w:r w:rsidR="00791490" w:rsidRPr="00791490">
        <w:rPr>
          <w:rFonts w:cstheme="minorHAnsi"/>
        </w:rPr>
        <w:t>2018-2021) ; le Plan national de dématérialisation des marchés publics ; le Plan d'action stratégique 2017-2021 de la D</w:t>
      </w:r>
      <w:r w:rsidR="00791490">
        <w:rPr>
          <w:rFonts w:cstheme="minorHAnsi"/>
        </w:rPr>
        <w:t xml:space="preserve">irection </w:t>
      </w:r>
      <w:r w:rsidR="00791490" w:rsidRPr="00791490">
        <w:rPr>
          <w:rFonts w:cstheme="minorHAnsi"/>
        </w:rPr>
        <w:t>G</w:t>
      </w:r>
      <w:r w:rsidR="00791490">
        <w:rPr>
          <w:rFonts w:cstheme="minorHAnsi"/>
        </w:rPr>
        <w:t xml:space="preserve">énérale des </w:t>
      </w:r>
      <w:r w:rsidR="00791490" w:rsidRPr="00791490">
        <w:rPr>
          <w:rFonts w:cstheme="minorHAnsi"/>
        </w:rPr>
        <w:t>I</w:t>
      </w:r>
      <w:r w:rsidR="00791490">
        <w:rPr>
          <w:rFonts w:cstheme="minorHAnsi"/>
        </w:rPr>
        <w:t>mpôts</w:t>
      </w:r>
      <w:r w:rsidR="00791490" w:rsidRPr="00791490">
        <w:rPr>
          <w:rFonts w:cstheme="minorHAnsi"/>
        </w:rPr>
        <w:t xml:space="preserve"> et la Note d'orientation générale </w:t>
      </w:r>
      <w:r w:rsidR="00791490">
        <w:rPr>
          <w:rFonts w:cstheme="minorHAnsi"/>
        </w:rPr>
        <w:t>pour le développement du digital</w:t>
      </w:r>
      <w:r w:rsidR="00791490" w:rsidRPr="00791490">
        <w:rPr>
          <w:rFonts w:cstheme="minorHAnsi"/>
        </w:rPr>
        <w:t xml:space="preserve"> 2025. Bien que certaines de ces stratégies sectorielles arrivent à échéance, elles ouvrent la voie à la réforme du secteur public et continueront à encadrer la réforme du gouvernement à cette fin. En outre, le gouvernement prévoit de les renouveler. Par ailleurs, les activités du programme sont alignées sur les priorités de la loi de finances 2021, dont l'une consiste à accélérer la réforme administrative.  </w:t>
      </w:r>
      <w:bookmarkEnd w:id="14"/>
    </w:p>
    <w:p w14:paraId="6DCC821B" w14:textId="331E042C" w:rsidR="00791490" w:rsidRPr="00791490" w:rsidRDefault="00791490" w:rsidP="00D85E9B">
      <w:pPr>
        <w:numPr>
          <w:ilvl w:val="0"/>
          <w:numId w:val="11"/>
        </w:numPr>
        <w:autoSpaceDE w:val="0"/>
        <w:autoSpaceDN w:val="0"/>
        <w:adjustRightInd w:val="0"/>
        <w:spacing w:before="120" w:after="0" w:line="360" w:lineRule="auto"/>
        <w:contextualSpacing/>
        <w:jc w:val="both"/>
        <w:rPr>
          <w:rFonts w:cstheme="minorHAnsi"/>
        </w:rPr>
      </w:pPr>
      <w:bookmarkStart w:id="15" w:name="_Hlk65698588"/>
      <w:bookmarkStart w:id="16" w:name="_Hlk38652956"/>
      <w:r w:rsidRPr="00791490">
        <w:rPr>
          <w:rFonts w:cstheme="minorHAnsi"/>
        </w:rPr>
        <w:t xml:space="preserve">Le </w:t>
      </w:r>
      <w:r w:rsidRPr="00D85E9B">
        <w:rPr>
          <w:rFonts w:ascii="Calibri" w:eastAsia="Times New Roman" w:hAnsi="Calibri" w:cs="Calibri"/>
          <w:szCs w:val="24"/>
          <w:lang w:val="fr-CA"/>
        </w:rPr>
        <w:t>programme</w:t>
      </w:r>
      <w:r w:rsidRPr="00791490">
        <w:rPr>
          <w:rFonts w:cstheme="minorHAnsi"/>
        </w:rPr>
        <w:t xml:space="preserve"> du gouvernement est formalisé par l'agrégation de divers programmes ministériels du budget-programme 2021-2023. Le programme gouvernemental est composé de 7 sous-programmes du budget, suivant la nomenclature basée sur la performance fixée par l</w:t>
      </w:r>
      <w:r>
        <w:rPr>
          <w:rFonts w:cstheme="minorHAnsi"/>
        </w:rPr>
        <w:t xml:space="preserve">a loi de finances de </w:t>
      </w:r>
      <w:r w:rsidRPr="00791490">
        <w:rPr>
          <w:rFonts w:cstheme="minorHAnsi"/>
        </w:rPr>
        <w:t>2015 et reflétée dans les Projets de Performance (</w:t>
      </w:r>
      <w:proofErr w:type="spellStart"/>
      <w:r w:rsidRPr="00791490">
        <w:rPr>
          <w:rFonts w:cstheme="minorHAnsi"/>
        </w:rPr>
        <w:t>PdP</w:t>
      </w:r>
      <w:proofErr w:type="spellEnd"/>
      <w:r w:rsidRPr="00791490">
        <w:rPr>
          <w:rFonts w:cstheme="minorHAnsi"/>
        </w:rPr>
        <w:t xml:space="preserve">) du Ministère de l'Economie (MEFRA), en charge de la réforme administrative, et du Ministère de l'Industrie (MICVEN), responsable de l'agenda de la transformation numérique. </w:t>
      </w:r>
      <w:bookmarkEnd w:id="15"/>
      <w:r w:rsidRPr="00791490">
        <w:rPr>
          <w:rFonts w:cstheme="minorHAnsi"/>
        </w:rPr>
        <w:t>Le programme 115 (P115) couvre la politique économique et la stratégie des finances publiques du gouvernement, qui vise, entre autres, à rendre opérationnel</w:t>
      </w:r>
      <w:r>
        <w:rPr>
          <w:rFonts w:cstheme="minorHAnsi"/>
        </w:rPr>
        <w:t>le</w:t>
      </w:r>
      <w:r w:rsidRPr="00791490">
        <w:rPr>
          <w:rFonts w:cstheme="minorHAnsi"/>
        </w:rPr>
        <w:t xml:space="preserve"> l</w:t>
      </w:r>
      <w:r>
        <w:rPr>
          <w:rFonts w:cstheme="minorHAnsi"/>
        </w:rPr>
        <w:t>a loi de finances d</w:t>
      </w:r>
      <w:r w:rsidRPr="00791490">
        <w:rPr>
          <w:rFonts w:cstheme="minorHAnsi"/>
        </w:rPr>
        <w:t xml:space="preserve">e 2015 et sa nouvelle approche budgétaire basée sur la performance. Le programme P117 couvre l'exécution des dépenses publiques et met en œuvre le plan d'action TGR. </w:t>
      </w:r>
      <w:r>
        <w:rPr>
          <w:rFonts w:cstheme="minorHAnsi"/>
        </w:rPr>
        <w:t xml:space="preserve">Le programme </w:t>
      </w:r>
      <w:r w:rsidRPr="00791490">
        <w:rPr>
          <w:rFonts w:cstheme="minorHAnsi"/>
        </w:rPr>
        <w:t xml:space="preserve">P118 englobe </w:t>
      </w:r>
      <w:r>
        <w:rPr>
          <w:rFonts w:cstheme="minorHAnsi"/>
        </w:rPr>
        <w:t xml:space="preserve">quant à lui, </w:t>
      </w:r>
      <w:r w:rsidRPr="00791490">
        <w:rPr>
          <w:rFonts w:cstheme="minorHAnsi"/>
        </w:rPr>
        <w:t xml:space="preserve">la mobilisation des recettes intérieures et finance le déploiement de la stratégie de la DGI. </w:t>
      </w:r>
      <w:r>
        <w:rPr>
          <w:rFonts w:cstheme="minorHAnsi"/>
        </w:rPr>
        <w:t xml:space="preserve">Le programme </w:t>
      </w:r>
      <w:r w:rsidRPr="00791490">
        <w:rPr>
          <w:rFonts w:cstheme="minorHAnsi"/>
        </w:rPr>
        <w:t xml:space="preserve">P124 exécute le PNRA dirigé par le département de la réforme administrative du MEFRA. Le programme </w:t>
      </w:r>
      <w:r w:rsidRPr="00791490">
        <w:rPr>
          <w:rFonts w:cstheme="minorHAnsi"/>
        </w:rPr>
        <w:lastRenderedPageBreak/>
        <w:t xml:space="preserve">du gouvernement comprend également 2 sous-programmes dirigés par le MICVEN (P429 et P470) pour favoriser la transformation numérique de l'économie et de l'administration. Enfin, le </w:t>
      </w:r>
      <w:r>
        <w:rPr>
          <w:rFonts w:cstheme="minorHAnsi"/>
        </w:rPr>
        <w:t xml:space="preserve">programme </w:t>
      </w:r>
      <w:r w:rsidRPr="00791490">
        <w:rPr>
          <w:rFonts w:cstheme="minorHAnsi"/>
        </w:rPr>
        <w:t xml:space="preserve">P310 est placé sous la direction du ministère de l'intérieur et met en œuvre le plan de déconcentration. </w:t>
      </w:r>
    </w:p>
    <w:p w14:paraId="756653E7" w14:textId="0DB79E8B" w:rsidR="00791490" w:rsidRPr="00791490" w:rsidRDefault="00791490" w:rsidP="00D85E9B">
      <w:pPr>
        <w:numPr>
          <w:ilvl w:val="0"/>
          <w:numId w:val="11"/>
        </w:numPr>
        <w:autoSpaceDE w:val="0"/>
        <w:autoSpaceDN w:val="0"/>
        <w:adjustRightInd w:val="0"/>
        <w:spacing w:before="120" w:after="0" w:line="360" w:lineRule="auto"/>
        <w:contextualSpacing/>
        <w:jc w:val="both"/>
        <w:rPr>
          <w:rFonts w:cstheme="minorHAnsi"/>
        </w:rPr>
      </w:pPr>
      <w:bookmarkStart w:id="17" w:name="_Hlk65698638"/>
      <w:r w:rsidRPr="00D85E9B">
        <w:rPr>
          <w:rFonts w:ascii="Calibri" w:eastAsia="Times New Roman" w:hAnsi="Calibri" w:cs="Calibri"/>
          <w:szCs w:val="24"/>
          <w:lang w:val="fr-CA"/>
        </w:rPr>
        <w:t>S'appuyant</w:t>
      </w:r>
      <w:r w:rsidRPr="00791490">
        <w:rPr>
          <w:rFonts w:cstheme="minorHAnsi"/>
        </w:rPr>
        <w:t xml:space="preserve"> sur le programme du gouvernement, le PforR ENNAJAA soutient trois domaines de résultats qui abordent les éléments fondamentaux de la transformation du secteur public marocain. Les domaines de résultats (</w:t>
      </w:r>
      <w:r w:rsidR="00921BA9">
        <w:rPr>
          <w:rFonts w:cstheme="minorHAnsi"/>
        </w:rPr>
        <w:t>D</w:t>
      </w:r>
      <w:r w:rsidRPr="00791490">
        <w:rPr>
          <w:rFonts w:cstheme="minorHAnsi"/>
        </w:rPr>
        <w:t>R) du programme sont ancrés dans les thèmes d</w:t>
      </w:r>
      <w:r w:rsidR="00921BA9">
        <w:rPr>
          <w:rFonts w:cstheme="minorHAnsi"/>
        </w:rPr>
        <w:t>u</w:t>
      </w:r>
      <w:r w:rsidRPr="00791490">
        <w:rPr>
          <w:rFonts w:cstheme="minorHAnsi"/>
        </w:rPr>
        <w:t xml:space="preserve"> programme du gouvernement, à savoir l'efficacité des dépenses publiques, l'amélioration de la gestion des recettes et le renforcement des performances d'une administration basée sur les données et l'intégration des services publics par l'interopérabilité.</w:t>
      </w:r>
      <w:bookmarkEnd w:id="17"/>
      <w:r w:rsidRPr="00791490">
        <w:rPr>
          <w:rFonts w:cstheme="minorHAnsi"/>
        </w:rPr>
        <w:t xml:space="preserve">   </w:t>
      </w:r>
    </w:p>
    <w:bookmarkEnd w:id="16"/>
    <w:p w14:paraId="6268AC61" w14:textId="52EAB986" w:rsidR="0009593A" w:rsidRPr="0009593A" w:rsidRDefault="0009593A" w:rsidP="00D85E9B">
      <w:pPr>
        <w:numPr>
          <w:ilvl w:val="0"/>
          <w:numId w:val="11"/>
        </w:numPr>
        <w:autoSpaceDE w:val="0"/>
        <w:autoSpaceDN w:val="0"/>
        <w:adjustRightInd w:val="0"/>
        <w:spacing w:before="120" w:after="0" w:line="360" w:lineRule="auto"/>
        <w:contextualSpacing/>
        <w:jc w:val="both"/>
        <w:rPr>
          <w:rFonts w:cstheme="minorHAnsi"/>
        </w:rPr>
      </w:pPr>
      <w:r w:rsidRPr="0009593A">
        <w:rPr>
          <w:rFonts w:cstheme="minorHAnsi"/>
        </w:rPr>
        <w:t>Au cours de la dernière décennie, le gouvernement marocain s'est engagé dans un effort ambitieux de modernisation de son administration publique. L'adoption de la Constitution de 2011</w:t>
      </w:r>
      <w:r>
        <w:rPr>
          <w:rFonts w:cstheme="minorHAnsi"/>
        </w:rPr>
        <w:t xml:space="preserve"> </w:t>
      </w:r>
      <w:r w:rsidRPr="0009593A">
        <w:rPr>
          <w:rFonts w:cstheme="minorHAnsi"/>
        </w:rPr>
        <w:t>a ouvert une nouvelle ère de réformes du secteur public. Les dispositions de la nouvelle Constitution sont spécifiques à la bonne gouvernance (titre XII), à l'égalité d'accès aux services publics et à la continuité du service public (article 154). Ces fondements constitutionnels ont été au cœur de toutes les réformes du secteur public au Maroc depuis lors. En matière de gestion des finances publiques, la loi organique des finances (LOF) de 2015 a introduit la budgétisation basée sur les performances afin de favoriser l'évaluation des politiques publiques et un contrôle financier sain du secteur public. Le gouvernement travaille également à la modernisation de la gestion des investissements publics. Dans le domaine des marchés publics, le gouvernement du Maroc a pris des mesures pour renforcer la transparence et la responsabilité dans le processus de passation des marchés et a élaboré un Plan national de dématérialisation de la commande publique (P</w:t>
      </w:r>
      <w:r>
        <w:rPr>
          <w:rFonts w:cstheme="minorHAnsi"/>
        </w:rPr>
        <w:t>N</w:t>
      </w:r>
      <w:r w:rsidRPr="0009593A">
        <w:rPr>
          <w:rFonts w:cstheme="minorHAnsi"/>
        </w:rPr>
        <w:t>DCP)</w:t>
      </w:r>
      <w:r>
        <w:rPr>
          <w:rFonts w:cstheme="minorHAnsi"/>
        </w:rPr>
        <w:t>.</w:t>
      </w:r>
      <w:r w:rsidRPr="0009593A">
        <w:rPr>
          <w:rFonts w:cstheme="minorHAnsi"/>
        </w:rPr>
        <w:t xml:space="preserve"> Dans ce cadre, le Trésor général du Royaume </w:t>
      </w:r>
      <w:r>
        <w:rPr>
          <w:rFonts w:cstheme="minorHAnsi"/>
        </w:rPr>
        <w:t xml:space="preserve">(TGR) </w:t>
      </w:r>
      <w:r w:rsidRPr="0009593A">
        <w:rPr>
          <w:rFonts w:cstheme="minorHAnsi"/>
        </w:rPr>
        <w:t>avance sur la réforme et la numérisation de ses systèm</w:t>
      </w:r>
      <w:r>
        <w:rPr>
          <w:rFonts w:cstheme="minorHAnsi"/>
        </w:rPr>
        <w:t>es de</w:t>
      </w:r>
      <w:r w:rsidRPr="0009593A">
        <w:rPr>
          <w:rFonts w:cstheme="minorHAnsi"/>
        </w:rPr>
        <w:t xml:space="preserve"> marchés publics</w:t>
      </w:r>
      <w:r>
        <w:rPr>
          <w:rFonts w:cstheme="minorHAnsi"/>
        </w:rPr>
        <w:t>.</w:t>
      </w:r>
    </w:p>
    <w:p w14:paraId="6EDA0B11" w14:textId="53AEF7B6" w:rsidR="0009593A" w:rsidRDefault="0009593A" w:rsidP="00D85E9B">
      <w:pPr>
        <w:numPr>
          <w:ilvl w:val="0"/>
          <w:numId w:val="11"/>
        </w:numPr>
        <w:autoSpaceDE w:val="0"/>
        <w:autoSpaceDN w:val="0"/>
        <w:adjustRightInd w:val="0"/>
        <w:spacing w:before="120" w:after="0" w:line="360" w:lineRule="auto"/>
        <w:contextualSpacing/>
        <w:jc w:val="both"/>
        <w:rPr>
          <w:rFonts w:cstheme="minorHAnsi"/>
        </w:rPr>
      </w:pPr>
      <w:r w:rsidRPr="0009593A">
        <w:rPr>
          <w:rFonts w:cstheme="minorHAnsi"/>
        </w:rPr>
        <w:t xml:space="preserve">Outre ces efforts </w:t>
      </w:r>
      <w:r w:rsidRPr="00D85E9B">
        <w:rPr>
          <w:rFonts w:ascii="Calibri" w:eastAsia="Times New Roman" w:hAnsi="Calibri" w:cs="Calibri"/>
          <w:szCs w:val="24"/>
          <w:lang w:val="fr-CA"/>
        </w:rPr>
        <w:t>pour</w:t>
      </w:r>
      <w:r w:rsidRPr="0009593A">
        <w:rPr>
          <w:rFonts w:cstheme="minorHAnsi"/>
        </w:rPr>
        <w:t xml:space="preserve"> améliorer la gestion des dépenses publiques, le gouvernement travaille sur une nouvelle loi-cadre, traduisant les principales recommandations des Assises Nationales sur la Fiscalité de 2019 en réformes tangibles pour augmenter les recettes intérieures</w:t>
      </w:r>
      <w:r>
        <w:rPr>
          <w:rFonts w:cstheme="minorHAnsi"/>
        </w:rPr>
        <w:t>.</w:t>
      </w:r>
      <w:r w:rsidRPr="0009593A">
        <w:rPr>
          <w:rFonts w:cstheme="minorHAnsi"/>
        </w:rPr>
        <w:t xml:space="preserve"> Au niveau local, le gouvernement a renforcé son engagement à rapprocher les services publics des citoyens grâce à la Loi Organique sur la Régionalisation Avancée de 2015 et à la Charte de 2018 sur </w:t>
      </w:r>
      <w:r>
        <w:rPr>
          <w:rFonts w:cstheme="minorHAnsi"/>
        </w:rPr>
        <w:t xml:space="preserve">la </w:t>
      </w:r>
      <w:r w:rsidR="00E0324E" w:rsidRPr="0009593A">
        <w:rPr>
          <w:rFonts w:cstheme="minorHAnsi"/>
        </w:rPr>
        <w:t>Déconcentration</w:t>
      </w:r>
      <w:r w:rsidRPr="0009593A">
        <w:rPr>
          <w:rFonts w:cstheme="minorHAnsi"/>
        </w:rPr>
        <w:t xml:space="preserve"> pour favoriser la numérisation et la simplification de bout en bout des services publics et généraliser les données ouvertes au sein de l'administration</w:t>
      </w:r>
      <w:r>
        <w:rPr>
          <w:rFonts w:cstheme="minorHAnsi"/>
        </w:rPr>
        <w:t>.</w:t>
      </w:r>
    </w:p>
    <w:p w14:paraId="724AF1A2" w14:textId="5258F094" w:rsidR="00EF3F5C" w:rsidRPr="00046E7D" w:rsidRDefault="007F17F6" w:rsidP="00D85E9B">
      <w:pPr>
        <w:numPr>
          <w:ilvl w:val="0"/>
          <w:numId w:val="11"/>
        </w:numPr>
        <w:autoSpaceDE w:val="0"/>
        <w:autoSpaceDN w:val="0"/>
        <w:adjustRightInd w:val="0"/>
        <w:spacing w:before="120" w:after="0" w:line="360" w:lineRule="auto"/>
        <w:contextualSpacing/>
        <w:jc w:val="both"/>
        <w:rPr>
          <w:rFonts w:cstheme="minorHAnsi"/>
        </w:rPr>
      </w:pPr>
      <w:bookmarkStart w:id="18" w:name="_Hlk65698861"/>
      <w:r w:rsidRPr="007F17F6">
        <w:rPr>
          <w:rFonts w:cstheme="minorHAnsi"/>
        </w:rPr>
        <w:t xml:space="preserve">La </w:t>
      </w:r>
      <w:r w:rsidRPr="00D85E9B">
        <w:rPr>
          <w:rFonts w:ascii="Calibri" w:eastAsia="Times New Roman" w:hAnsi="Calibri" w:cs="Calibri"/>
          <w:szCs w:val="24"/>
          <w:lang w:val="fr-CA"/>
        </w:rPr>
        <w:t>promotion</w:t>
      </w:r>
      <w:r w:rsidRPr="007F17F6">
        <w:rPr>
          <w:rFonts w:cstheme="minorHAnsi"/>
        </w:rPr>
        <w:t xml:space="preserve"> de l'efficacité et de la performance du secteur public marocain est une priorité de l'engagement de la Banque </w:t>
      </w:r>
      <w:r w:rsidR="00596704">
        <w:rPr>
          <w:rFonts w:cstheme="minorHAnsi"/>
        </w:rPr>
        <w:t>auprès du Maroc</w:t>
      </w:r>
      <w:r w:rsidRPr="007F17F6">
        <w:rPr>
          <w:rFonts w:cstheme="minorHAnsi"/>
        </w:rPr>
        <w:t xml:space="preserve">, comme le reflètent les trois domaines d'intervention stratégiques et le fondement du Cadre de partenariat </w:t>
      </w:r>
      <w:r w:rsidR="00596704">
        <w:rPr>
          <w:rFonts w:cstheme="minorHAnsi"/>
        </w:rPr>
        <w:t>national</w:t>
      </w:r>
      <w:r w:rsidRPr="007F17F6">
        <w:rPr>
          <w:rFonts w:cstheme="minorHAnsi"/>
        </w:rPr>
        <w:t xml:space="preserve"> (CP</w:t>
      </w:r>
      <w:r w:rsidR="00596704">
        <w:rPr>
          <w:rFonts w:cstheme="minorHAnsi"/>
        </w:rPr>
        <w:t>N</w:t>
      </w:r>
      <w:r w:rsidRPr="007F17F6">
        <w:rPr>
          <w:rFonts w:cstheme="minorHAnsi"/>
        </w:rPr>
        <w:t>), 2019-2024. L'objectif général du CP</w:t>
      </w:r>
      <w:r w:rsidR="00596704">
        <w:rPr>
          <w:rFonts w:cstheme="minorHAnsi"/>
        </w:rPr>
        <w:t>N</w:t>
      </w:r>
      <w:r w:rsidRPr="007F17F6">
        <w:rPr>
          <w:rFonts w:cstheme="minorHAnsi"/>
        </w:rPr>
        <w:t xml:space="preserve"> est d'aider le Maroc à promouvoir la cohésion sociale en améliorant les conditions de </w:t>
      </w:r>
      <w:r w:rsidRPr="007F17F6">
        <w:rPr>
          <w:rFonts w:cstheme="minorHAnsi"/>
        </w:rPr>
        <w:lastRenderedPageBreak/>
        <w:t>création d'emplois et en réduisant les disparités sociales et territoriales. S'appuyant sur le programme du gouvernement du Maroc, le CP</w:t>
      </w:r>
      <w:r w:rsidR="00596704">
        <w:rPr>
          <w:rFonts w:cstheme="minorHAnsi"/>
        </w:rPr>
        <w:t>N</w:t>
      </w:r>
      <w:r w:rsidRPr="007F17F6">
        <w:rPr>
          <w:rFonts w:cstheme="minorHAnsi"/>
        </w:rPr>
        <w:t xml:space="preserve"> poursuit trois axes stratégiques : (i) Promouvoir la création d'emplois par le secteur privé ; (ii) Transformer et protéger le capital humain ; et (iii) Promouvoir un développement territorial inclusif et résilient. La gouvernance et l'engagement des citoyens constituent un fondement du C</w:t>
      </w:r>
      <w:r w:rsidR="00596704">
        <w:rPr>
          <w:rFonts w:cstheme="minorHAnsi"/>
        </w:rPr>
        <w:t>PN</w:t>
      </w:r>
      <w:r w:rsidRPr="007F17F6">
        <w:rPr>
          <w:rFonts w:cstheme="minorHAnsi"/>
        </w:rPr>
        <w:t>. Deux thèmes transversaux soutiennent également la mise en œuvre du C</w:t>
      </w:r>
      <w:r w:rsidR="00596704">
        <w:rPr>
          <w:rFonts w:cstheme="minorHAnsi"/>
        </w:rPr>
        <w:t>PN</w:t>
      </w:r>
      <w:r w:rsidRPr="007F17F6">
        <w:rPr>
          <w:rFonts w:cstheme="minorHAnsi"/>
        </w:rPr>
        <w:t xml:space="preserve"> : (i) Genre - Autonomiser les femmes et les filles pour une prospérité partagée ; et (ii) Exploiter l'économie numérique pour l'emploi et une croissance plus rapide. Le programme proposé est le principal mécanisme permettant de rendre opérationnel le fondement de la gouvernance de base et de l'engagement des citoyens du C</w:t>
      </w:r>
      <w:r w:rsidR="00596704">
        <w:rPr>
          <w:rFonts w:cstheme="minorHAnsi"/>
        </w:rPr>
        <w:t>PN</w:t>
      </w:r>
      <w:r w:rsidRPr="007F17F6">
        <w:rPr>
          <w:rFonts w:cstheme="minorHAnsi"/>
        </w:rPr>
        <w:t xml:space="preserve">. Le </w:t>
      </w:r>
      <w:r w:rsidR="00596704">
        <w:rPr>
          <w:rFonts w:cstheme="minorHAnsi"/>
        </w:rPr>
        <w:t>P</w:t>
      </w:r>
      <w:r w:rsidRPr="007F17F6">
        <w:rPr>
          <w:rFonts w:cstheme="minorHAnsi"/>
        </w:rPr>
        <w:t>rogramme contribuera à l'objectif 2 du CP</w:t>
      </w:r>
      <w:r w:rsidR="00596704">
        <w:rPr>
          <w:rFonts w:cstheme="minorHAnsi"/>
        </w:rPr>
        <w:t>N</w:t>
      </w:r>
      <w:r w:rsidRPr="007F17F6">
        <w:rPr>
          <w:rFonts w:cstheme="minorHAnsi"/>
        </w:rPr>
        <w:t xml:space="preserve"> ("</w:t>
      </w:r>
      <w:r w:rsidRPr="00596704">
        <w:rPr>
          <w:rFonts w:cstheme="minorHAnsi"/>
          <w:i/>
          <w:iCs/>
        </w:rPr>
        <w:t>Accroître les possibilités de croissance du secteur privé en mettant l'accent sur les MPME et l'employabilité des jeunes</w:t>
      </w:r>
      <w:r w:rsidRPr="007F17F6">
        <w:rPr>
          <w:rFonts w:cstheme="minorHAnsi"/>
        </w:rPr>
        <w:t>") en améliorant l'accès des PME aux données ouvertes sur les marchés publics. Le programme contribuera également à l'objectif 11 du CP</w:t>
      </w:r>
      <w:r w:rsidR="00596704">
        <w:rPr>
          <w:rFonts w:cstheme="minorHAnsi"/>
        </w:rPr>
        <w:t>N</w:t>
      </w:r>
      <w:r w:rsidRPr="007F17F6">
        <w:rPr>
          <w:rFonts w:cstheme="minorHAnsi"/>
        </w:rPr>
        <w:t xml:space="preserve"> ("</w:t>
      </w:r>
      <w:r w:rsidRPr="00596704">
        <w:rPr>
          <w:rFonts w:cstheme="minorHAnsi"/>
          <w:i/>
          <w:iCs/>
        </w:rPr>
        <w:t>Améliorer l'efficacité des dépenses publiques</w:t>
      </w:r>
      <w:r w:rsidRPr="007F17F6">
        <w:rPr>
          <w:rFonts w:cstheme="minorHAnsi"/>
        </w:rPr>
        <w:t>") en améliorant les opérations de base du gouvernement en exploitant la puissance des outils numériques, en assurant une gestion saine des finances publiques et en promouvant des services administratifs analogiques modernisés. En outre, le programme contribuera également à l'objectif 12 du CP</w:t>
      </w:r>
      <w:r w:rsidR="00596704">
        <w:rPr>
          <w:rFonts w:cstheme="minorHAnsi"/>
        </w:rPr>
        <w:t>N</w:t>
      </w:r>
      <w:r w:rsidRPr="007F17F6">
        <w:rPr>
          <w:rFonts w:cstheme="minorHAnsi"/>
        </w:rPr>
        <w:t xml:space="preserve"> ("</w:t>
      </w:r>
      <w:r w:rsidRPr="00596704">
        <w:rPr>
          <w:rFonts w:cstheme="minorHAnsi"/>
          <w:i/>
          <w:iCs/>
        </w:rPr>
        <w:t>Améliorer la transparence et développer les éléments constitutifs d'un engagement efficace des citoyens et de l'État</w:t>
      </w:r>
      <w:r w:rsidRPr="007F17F6">
        <w:rPr>
          <w:rFonts w:cstheme="minorHAnsi"/>
        </w:rPr>
        <w:t>") en soutenant les efforts d'ouverture des données pour améliorer la transparence et la responsabilité du gouvernement.</w:t>
      </w:r>
      <w:bookmarkEnd w:id="18"/>
    </w:p>
    <w:p w14:paraId="1156FD7A" w14:textId="6B15DFEC" w:rsidR="00B62C4C" w:rsidRDefault="00325492" w:rsidP="00D85E9B">
      <w:pPr>
        <w:numPr>
          <w:ilvl w:val="0"/>
          <w:numId w:val="11"/>
        </w:numPr>
        <w:autoSpaceDE w:val="0"/>
        <w:autoSpaceDN w:val="0"/>
        <w:adjustRightInd w:val="0"/>
        <w:spacing w:before="120" w:after="0" w:line="360" w:lineRule="auto"/>
        <w:contextualSpacing/>
        <w:jc w:val="both"/>
        <w:rPr>
          <w:rFonts w:cstheme="minorHAnsi"/>
        </w:rPr>
      </w:pPr>
      <w:r w:rsidRPr="00B62C4C">
        <w:rPr>
          <w:rFonts w:cstheme="minorHAnsi"/>
        </w:rPr>
        <w:t xml:space="preserve">Le financement sur </w:t>
      </w:r>
      <w:r w:rsidRPr="00D85E9B">
        <w:rPr>
          <w:rFonts w:ascii="Calibri" w:eastAsia="Times New Roman" w:hAnsi="Calibri" w:cs="Calibri"/>
          <w:szCs w:val="24"/>
          <w:lang w:val="fr-CA"/>
        </w:rPr>
        <w:t>le</w:t>
      </w:r>
      <w:r w:rsidRPr="00B62C4C">
        <w:rPr>
          <w:rFonts w:cstheme="minorHAnsi"/>
        </w:rPr>
        <w:t xml:space="preserve"> modèle « Programme pour les Résultats » (PPR) a été identifié comme étant le plus approprié pour soutenir la mise en œuvre de la nouvelle stratégie agricole car : (i) </w:t>
      </w:r>
      <w:r w:rsidR="00B62C4C" w:rsidRPr="00B62C4C">
        <w:rPr>
          <w:rFonts w:cstheme="minorHAnsi"/>
          <w:i/>
          <w:iCs/>
          <w:u w:val="single"/>
        </w:rPr>
        <w:t>Expérience du Maroc avec le PPR</w:t>
      </w:r>
      <w:r w:rsidR="00B62C4C" w:rsidRPr="00B62C4C">
        <w:rPr>
          <w:rFonts w:cstheme="minorHAnsi"/>
        </w:rPr>
        <w:t xml:space="preserve"> : Bien qu'il soit suggéré d'utiliser l'instrument P</w:t>
      </w:r>
      <w:r w:rsidR="00B62C4C">
        <w:rPr>
          <w:rFonts w:cstheme="minorHAnsi"/>
        </w:rPr>
        <w:t>P</w:t>
      </w:r>
      <w:r w:rsidR="00B62C4C" w:rsidRPr="00B62C4C">
        <w:rPr>
          <w:rFonts w:cstheme="minorHAnsi"/>
        </w:rPr>
        <w:t xml:space="preserve">R pour la première fois pour soutenir les réformes de gouvernance du secteur public, le Maroc a une longue expérience de cet instrument. Actuellement, plus de la moitié des projets du portefeuille de la Banque au Maroc utilise cet instrument, (ii) </w:t>
      </w:r>
      <w:r w:rsidR="00B62C4C" w:rsidRPr="00B62C4C">
        <w:rPr>
          <w:rFonts w:cstheme="minorHAnsi"/>
          <w:i/>
          <w:iCs/>
          <w:u w:val="single"/>
        </w:rPr>
        <w:t xml:space="preserve">Utilisation des systèmes nationaux </w:t>
      </w:r>
      <w:r w:rsidR="00B62C4C" w:rsidRPr="00B62C4C">
        <w:rPr>
          <w:rFonts w:cstheme="minorHAnsi"/>
        </w:rPr>
        <w:t>: Le PPR est l'un des instruments préférés du gouvernement car il permet d'utiliser les systèmes nationaux tout en renforçant la culture des résultats et le S</w:t>
      </w:r>
      <w:r w:rsidR="00276DC3">
        <w:rPr>
          <w:rFonts w:cstheme="minorHAnsi"/>
        </w:rPr>
        <w:t xml:space="preserve">uivi et </w:t>
      </w:r>
      <w:r w:rsidR="00B62C4C" w:rsidRPr="00B62C4C">
        <w:rPr>
          <w:rFonts w:cstheme="minorHAnsi"/>
        </w:rPr>
        <w:t>E</w:t>
      </w:r>
      <w:r w:rsidR="00276DC3">
        <w:rPr>
          <w:rFonts w:cstheme="minorHAnsi"/>
        </w:rPr>
        <w:t>valuation (S&amp;E)</w:t>
      </w:r>
      <w:r w:rsidR="00B62C4C" w:rsidRPr="00B62C4C">
        <w:rPr>
          <w:rFonts w:cstheme="minorHAnsi"/>
        </w:rPr>
        <w:t xml:space="preserve">. De plus, l'instrument PPR complète bien certaines des réformes soutenues par le programme comme, par exemple, les réformes des statistiques, de la gestion des finances publiques et des marchés publics, (iii) </w:t>
      </w:r>
      <w:r w:rsidR="00B62C4C" w:rsidRPr="00B62C4C">
        <w:rPr>
          <w:rFonts w:cstheme="minorHAnsi"/>
          <w:i/>
          <w:iCs/>
          <w:u w:val="single"/>
        </w:rPr>
        <w:t>Pouvoir rassembleur</w:t>
      </w:r>
      <w:r w:rsidR="00B62C4C" w:rsidRPr="00B62C4C">
        <w:rPr>
          <w:rFonts w:cstheme="minorHAnsi"/>
        </w:rPr>
        <w:t xml:space="preserve"> : Le gouvernement apprécie la capacité de la Banque mondiale à mobiliser les parties prenantes de divers horizons pour atteindre des objectifs communs afin de soutenir des réformes multisectorielles complexes.  L'instrument PPR aide à aligner les intérêts des parties prenantes pour atteindre les ILD sélectionnés, (iv) </w:t>
      </w:r>
      <w:r w:rsidR="00B62C4C" w:rsidRPr="00B62C4C">
        <w:rPr>
          <w:rFonts w:cstheme="minorHAnsi"/>
          <w:i/>
          <w:iCs/>
          <w:u w:val="single"/>
        </w:rPr>
        <w:t>Cadre incitatif</w:t>
      </w:r>
      <w:r w:rsidR="00B62C4C" w:rsidRPr="00B62C4C">
        <w:rPr>
          <w:rFonts w:cstheme="minorHAnsi"/>
        </w:rPr>
        <w:t xml:space="preserve"> : En se concentrant sur les résultats, le PPR soutient une approche qui permet d'améliorer la coordination gouvernementale en alignant mieux les incitations des différents acteurs et en se concentrant sur les résultats. L'approche proposée </w:t>
      </w:r>
      <w:r w:rsidR="00B62C4C" w:rsidRPr="00B62C4C">
        <w:rPr>
          <w:rFonts w:cstheme="minorHAnsi"/>
        </w:rPr>
        <w:lastRenderedPageBreak/>
        <w:t xml:space="preserve">abordera les questions de coordination et créera un environnement autorisant à traiter les contraintes de l'économie politique et la résistance au changement en alignant les incitations des différents acteurs tout en se concentrant sur des résultats tangibles et mesurables et (v) </w:t>
      </w:r>
      <w:r w:rsidR="00B62C4C" w:rsidRPr="00B62C4C">
        <w:rPr>
          <w:rFonts w:cstheme="minorHAnsi"/>
          <w:i/>
          <w:iCs/>
          <w:u w:val="single"/>
        </w:rPr>
        <w:t>Soutien technique</w:t>
      </w:r>
      <w:r w:rsidR="00B62C4C" w:rsidRPr="00B62C4C">
        <w:rPr>
          <w:rFonts w:cstheme="minorHAnsi"/>
        </w:rPr>
        <w:t xml:space="preserve"> : Sur la base des expériences passées, le gouvernement apprécie l'expertise technique de la Banque mondiale dans les différents domaines qui seront soutenus par le </w:t>
      </w:r>
      <w:r w:rsidR="00B62C4C">
        <w:rPr>
          <w:rFonts w:cstheme="minorHAnsi"/>
        </w:rPr>
        <w:t>P</w:t>
      </w:r>
      <w:r w:rsidR="00B62C4C" w:rsidRPr="00B62C4C">
        <w:rPr>
          <w:rFonts w:cstheme="minorHAnsi"/>
        </w:rPr>
        <w:t xml:space="preserve">rogramme.  </w:t>
      </w:r>
    </w:p>
    <w:p w14:paraId="0B21FB5E" w14:textId="5146DD74" w:rsidR="00325492" w:rsidRPr="00B62C4C" w:rsidRDefault="00325492" w:rsidP="00B62C4C">
      <w:pPr>
        <w:pStyle w:val="Paranumbering"/>
        <w:numPr>
          <w:ilvl w:val="0"/>
          <w:numId w:val="0"/>
        </w:numPr>
        <w:spacing w:before="0" w:after="0"/>
        <w:ind w:left="708" w:right="-23"/>
        <w:rPr>
          <w:rFonts w:asciiTheme="minorHAnsi" w:hAnsiTheme="minorHAnsi" w:cstheme="minorHAnsi"/>
          <w:color w:val="auto"/>
          <w:sz w:val="22"/>
          <w:szCs w:val="22"/>
          <w:lang w:val="fr-FR"/>
        </w:rPr>
      </w:pPr>
    </w:p>
    <w:p w14:paraId="231C365C" w14:textId="0B75C76A" w:rsidR="00610DC6" w:rsidRPr="00046E7D" w:rsidRDefault="00610DC6" w:rsidP="003A5437">
      <w:pPr>
        <w:pStyle w:val="Heading2"/>
        <w:spacing w:line="240" w:lineRule="auto"/>
        <w:rPr>
          <w:rFonts w:ascii="Candara" w:hAnsi="Candara"/>
          <w:color w:val="auto"/>
          <w:lang w:val="fr-FR"/>
        </w:rPr>
      </w:pPr>
      <w:bookmarkStart w:id="19" w:name="_Toc392690469"/>
      <w:bookmarkStart w:id="20" w:name="_Toc496827303"/>
      <w:bookmarkStart w:id="21" w:name="_Toc74241372"/>
      <w:r w:rsidRPr="00046E7D">
        <w:rPr>
          <w:rFonts w:ascii="Candara" w:hAnsi="Candara"/>
          <w:color w:val="auto"/>
          <w:lang w:val="fr-FR"/>
        </w:rPr>
        <w:t xml:space="preserve">1.2 Finalités et démarche de </w:t>
      </w:r>
      <w:bookmarkEnd w:id="19"/>
      <w:r w:rsidRPr="00046E7D">
        <w:rPr>
          <w:rFonts w:ascii="Candara" w:hAnsi="Candara"/>
          <w:color w:val="auto"/>
          <w:lang w:val="fr-FR"/>
        </w:rPr>
        <w:t>l’ESES</w:t>
      </w:r>
      <w:bookmarkEnd w:id="20"/>
      <w:bookmarkEnd w:id="21"/>
    </w:p>
    <w:p w14:paraId="0C5E2A90" w14:textId="77777777" w:rsidR="00610DC6" w:rsidRPr="00046E7D" w:rsidRDefault="00610DC6" w:rsidP="001C6D8C">
      <w:pPr>
        <w:numPr>
          <w:ilvl w:val="0"/>
          <w:numId w:val="11"/>
        </w:numPr>
        <w:autoSpaceDE w:val="0"/>
        <w:autoSpaceDN w:val="0"/>
        <w:adjustRightInd w:val="0"/>
        <w:spacing w:before="120" w:after="0" w:line="360" w:lineRule="auto"/>
        <w:contextualSpacing/>
        <w:jc w:val="both"/>
        <w:rPr>
          <w:rFonts w:cstheme="minorHAnsi"/>
        </w:rPr>
      </w:pPr>
      <w:r w:rsidRPr="00046E7D">
        <w:rPr>
          <w:rFonts w:cstheme="minorHAnsi"/>
        </w:rPr>
        <w:t xml:space="preserve">La présente Évaluation des Systèmes Environnementaux et Sociaux (ESES) a été menée par la Banque mondiale avec l'appui et la collaboration de l'Emprunteur dans le cadre de la préparation du Programme. </w:t>
      </w:r>
    </w:p>
    <w:p w14:paraId="13938033" w14:textId="437F7306" w:rsidR="00610DC6" w:rsidRPr="00046E7D" w:rsidRDefault="0012189B" w:rsidP="001C6D8C">
      <w:pPr>
        <w:numPr>
          <w:ilvl w:val="0"/>
          <w:numId w:val="11"/>
        </w:numPr>
        <w:autoSpaceDE w:val="0"/>
        <w:autoSpaceDN w:val="0"/>
        <w:adjustRightInd w:val="0"/>
        <w:spacing w:before="120" w:after="0" w:line="360" w:lineRule="auto"/>
        <w:contextualSpacing/>
        <w:jc w:val="both"/>
        <w:rPr>
          <w:rFonts w:cstheme="minorHAnsi"/>
        </w:rPr>
      </w:pPr>
      <w:r w:rsidRPr="0012189B">
        <w:rPr>
          <w:rFonts w:cstheme="minorHAnsi"/>
        </w:rPr>
        <w:t>L’ESES examine les systèmes environnementaux et sociaux applicables au Programme pour évaluer leur conformité avec les dispositions de la Politique de la Banque Mondiale sur les Programmes pour les Résultats (PPR) dans le but de gérer les risques environnementaux et sociaux du Programme et promouvoir le développement durable. Les principes de base de cette Politique, sont les suivants</w:t>
      </w:r>
      <w:r w:rsidR="00610DC6" w:rsidRPr="00046E7D">
        <w:rPr>
          <w:rFonts w:cstheme="minorHAnsi"/>
        </w:rPr>
        <w:t xml:space="preserve"> :</w:t>
      </w:r>
    </w:p>
    <w:p w14:paraId="1CA9EC9C" w14:textId="77777777" w:rsidR="00610DC6" w:rsidRPr="003A404D" w:rsidRDefault="00610DC6" w:rsidP="00D85E9B">
      <w:pPr>
        <w:spacing w:before="120" w:after="120"/>
        <w:rPr>
          <w:b/>
          <w:bCs/>
          <w:iCs/>
          <w:lang w:eastAsia="x-none"/>
        </w:rPr>
      </w:pPr>
      <w:r w:rsidRPr="00190371">
        <w:rPr>
          <w:b/>
          <w:bCs/>
          <w:iCs/>
          <w:lang w:eastAsia="x-none"/>
        </w:rPr>
        <w:t>Systèmes de gestion environnementale</w:t>
      </w:r>
      <w:r w:rsidR="00E37732" w:rsidRPr="00190371">
        <w:rPr>
          <w:b/>
          <w:bCs/>
          <w:iCs/>
          <w:lang w:eastAsia="x-none"/>
        </w:rPr>
        <w:t> :</w:t>
      </w:r>
    </w:p>
    <w:p w14:paraId="3DE6EC79" w14:textId="77777777" w:rsidR="00610DC6" w:rsidRPr="00046E7D" w:rsidRDefault="00610DC6" w:rsidP="001C6D8C">
      <w:pPr>
        <w:numPr>
          <w:ilvl w:val="0"/>
          <w:numId w:val="11"/>
        </w:numPr>
        <w:autoSpaceDE w:val="0"/>
        <w:autoSpaceDN w:val="0"/>
        <w:adjustRightInd w:val="0"/>
        <w:spacing w:before="120" w:after="0" w:line="360" w:lineRule="auto"/>
        <w:contextualSpacing/>
        <w:jc w:val="both"/>
        <w:rPr>
          <w:rFonts w:cstheme="minorHAnsi"/>
          <w:lang w:eastAsia="x-none"/>
        </w:rPr>
      </w:pPr>
      <w:r w:rsidRPr="00046E7D">
        <w:rPr>
          <w:rFonts w:cstheme="minorHAnsi"/>
          <w:lang w:eastAsia="x-none"/>
        </w:rPr>
        <w:t xml:space="preserve">Promouvoir la </w:t>
      </w:r>
      <w:r w:rsidRPr="00D85E9B">
        <w:rPr>
          <w:rStyle w:val="hps"/>
        </w:rPr>
        <w:t>durabilité</w:t>
      </w:r>
      <w:r w:rsidRPr="00046E7D">
        <w:rPr>
          <w:rFonts w:cstheme="minorHAnsi"/>
          <w:lang w:eastAsia="x-none"/>
        </w:rPr>
        <w:t xml:space="preserve"> environnementale et sociale dans la conception du programme ; éviter, minimiser ou atténuer les impacts négatifs, et promouvoir la prise de décisions éclairées concernant les impacts environnementaux et sociaux du programme ; </w:t>
      </w:r>
    </w:p>
    <w:p w14:paraId="5F0AA297" w14:textId="77777777" w:rsidR="00610DC6" w:rsidRPr="00046E7D" w:rsidRDefault="00610DC6" w:rsidP="001C6D8C">
      <w:pPr>
        <w:numPr>
          <w:ilvl w:val="0"/>
          <w:numId w:val="11"/>
        </w:numPr>
        <w:autoSpaceDE w:val="0"/>
        <w:autoSpaceDN w:val="0"/>
        <w:adjustRightInd w:val="0"/>
        <w:spacing w:before="120" w:after="0" w:line="360" w:lineRule="auto"/>
        <w:contextualSpacing/>
        <w:jc w:val="both"/>
        <w:rPr>
          <w:rFonts w:cstheme="minorHAnsi"/>
          <w:lang w:eastAsia="x-none"/>
        </w:rPr>
      </w:pPr>
      <w:r w:rsidRPr="00046E7D">
        <w:rPr>
          <w:rFonts w:cstheme="minorHAnsi"/>
          <w:lang w:eastAsia="x-none"/>
        </w:rPr>
        <w:t xml:space="preserve">Éviter, </w:t>
      </w:r>
      <w:r w:rsidRPr="00D85E9B">
        <w:rPr>
          <w:rFonts w:ascii="Calibri" w:eastAsia="Times New Roman" w:hAnsi="Calibri" w:cs="Calibri"/>
          <w:szCs w:val="24"/>
          <w:lang w:val="fr-CA"/>
        </w:rPr>
        <w:t>minimiser</w:t>
      </w:r>
      <w:r w:rsidRPr="00046E7D">
        <w:rPr>
          <w:rFonts w:cstheme="minorHAnsi"/>
          <w:lang w:eastAsia="x-none"/>
        </w:rPr>
        <w:t xml:space="preserve"> ou atténuer les impacts négatifs sur les habitats naturels et les ressources culturelles physiques résultant du programme ; et </w:t>
      </w:r>
    </w:p>
    <w:p w14:paraId="360C6362" w14:textId="77777777" w:rsidR="00610DC6" w:rsidRPr="00046E7D" w:rsidRDefault="00610DC6" w:rsidP="001C6D8C">
      <w:pPr>
        <w:numPr>
          <w:ilvl w:val="0"/>
          <w:numId w:val="11"/>
        </w:numPr>
        <w:autoSpaceDE w:val="0"/>
        <w:autoSpaceDN w:val="0"/>
        <w:adjustRightInd w:val="0"/>
        <w:spacing w:before="120" w:after="0" w:line="360" w:lineRule="auto"/>
        <w:contextualSpacing/>
        <w:jc w:val="both"/>
        <w:rPr>
          <w:rFonts w:cstheme="minorHAnsi"/>
          <w:lang w:eastAsia="x-none"/>
        </w:rPr>
      </w:pPr>
      <w:r w:rsidRPr="00046E7D">
        <w:rPr>
          <w:rFonts w:cstheme="minorHAnsi"/>
          <w:lang w:eastAsia="x-none"/>
        </w:rPr>
        <w:t>Protéger la sécurité publique et celle des travailleurs contre les risques potentiels associés à : (i) la construction et / ou l'exploitation d'installations ou d'autres pratiques opérationnelles dans le cadre du programme, (ii) l'exposition à des produits chimiques toxiques, les déchets dangereux et d'autres produits dangereux dans le cadre du programme et ; (iii) la reconstruction ou la réhabilitation d'infrastructures situées dans des zones exposées aux risques naturels.</w:t>
      </w:r>
    </w:p>
    <w:p w14:paraId="144D68FE" w14:textId="77777777" w:rsidR="00610DC6" w:rsidRPr="003A404D" w:rsidRDefault="00610DC6" w:rsidP="00D85E9B">
      <w:pPr>
        <w:spacing w:before="120" w:after="120"/>
        <w:rPr>
          <w:b/>
          <w:bCs/>
          <w:iCs/>
          <w:lang w:eastAsia="x-none"/>
        </w:rPr>
      </w:pPr>
      <w:r w:rsidRPr="003A404D">
        <w:rPr>
          <w:b/>
          <w:bCs/>
          <w:iCs/>
          <w:lang w:eastAsia="x-none"/>
        </w:rPr>
        <w:t>Systèmes de gestion sociale</w:t>
      </w:r>
      <w:r w:rsidR="00E37732" w:rsidRPr="003A404D">
        <w:rPr>
          <w:b/>
          <w:bCs/>
          <w:iCs/>
          <w:lang w:eastAsia="x-none"/>
        </w:rPr>
        <w:t> :</w:t>
      </w:r>
    </w:p>
    <w:p w14:paraId="78C18933" w14:textId="77777777" w:rsidR="00610DC6" w:rsidRPr="00046E7D" w:rsidRDefault="00610DC6" w:rsidP="00D85E9B">
      <w:pPr>
        <w:numPr>
          <w:ilvl w:val="0"/>
          <w:numId w:val="11"/>
        </w:numPr>
        <w:autoSpaceDE w:val="0"/>
        <w:autoSpaceDN w:val="0"/>
        <w:adjustRightInd w:val="0"/>
        <w:spacing w:before="120" w:after="0" w:line="360" w:lineRule="auto"/>
        <w:contextualSpacing/>
        <w:jc w:val="both"/>
        <w:rPr>
          <w:rFonts w:cstheme="minorHAnsi"/>
          <w:lang w:eastAsia="x-none"/>
        </w:rPr>
      </w:pPr>
      <w:r w:rsidRPr="00046E7D">
        <w:rPr>
          <w:rFonts w:cstheme="minorHAnsi"/>
          <w:lang w:eastAsia="x-none"/>
        </w:rPr>
        <w:t xml:space="preserve">Gérer </w:t>
      </w:r>
      <w:r w:rsidRPr="00D85E9B">
        <w:rPr>
          <w:rFonts w:ascii="Calibri" w:eastAsia="Times New Roman" w:hAnsi="Calibri" w:cs="Calibri"/>
          <w:szCs w:val="24"/>
          <w:lang w:val="fr-CA"/>
        </w:rPr>
        <w:t>l'acquisition</w:t>
      </w:r>
      <w:r w:rsidRPr="00046E7D">
        <w:rPr>
          <w:rFonts w:cstheme="minorHAnsi"/>
          <w:lang w:eastAsia="x-none"/>
        </w:rPr>
        <w:t xml:space="preserve"> des terres et la perte d’accès aux ressources naturelles d'une manière qui évite ou réduit les déplacements ; aider les personnes affectées à améliorer ou, au minimum, à restaurer leurs moyens de subsistance et leur niveau de vie, fournissant une indemnisation suffisante pour permettre l’achat de biens de remplacement d’une valeur équivalente ;</w:t>
      </w:r>
    </w:p>
    <w:p w14:paraId="33B95AD2" w14:textId="6C9A6469" w:rsidR="00610DC6" w:rsidRPr="00046E7D" w:rsidRDefault="00610DC6" w:rsidP="00D85E9B">
      <w:pPr>
        <w:numPr>
          <w:ilvl w:val="0"/>
          <w:numId w:val="11"/>
        </w:numPr>
        <w:autoSpaceDE w:val="0"/>
        <w:autoSpaceDN w:val="0"/>
        <w:adjustRightInd w:val="0"/>
        <w:spacing w:before="120" w:after="0" w:line="360" w:lineRule="auto"/>
        <w:contextualSpacing/>
        <w:jc w:val="both"/>
        <w:rPr>
          <w:rFonts w:cstheme="minorHAnsi"/>
          <w:lang w:eastAsia="x-none"/>
        </w:rPr>
      </w:pPr>
      <w:r w:rsidRPr="00046E7D">
        <w:rPr>
          <w:rFonts w:cstheme="minorHAnsi"/>
          <w:lang w:eastAsia="x-none"/>
        </w:rPr>
        <w:lastRenderedPageBreak/>
        <w:t xml:space="preserve">Dûment </w:t>
      </w:r>
      <w:r w:rsidRPr="00D85E9B">
        <w:rPr>
          <w:rFonts w:ascii="Calibri" w:eastAsia="Times New Roman" w:hAnsi="Calibri" w:cs="Calibri"/>
          <w:szCs w:val="24"/>
          <w:lang w:val="fr-CA"/>
        </w:rPr>
        <w:t>tenir</w:t>
      </w:r>
      <w:r w:rsidRPr="00046E7D">
        <w:rPr>
          <w:rFonts w:cstheme="minorHAnsi"/>
          <w:lang w:eastAsia="x-none"/>
        </w:rPr>
        <w:t xml:space="preserve"> compte de la pertinence culturelle et de l'accès équitable aux bénéfices du programme, en accordant une attention particulière </w:t>
      </w:r>
      <w:r w:rsidR="00A10D30" w:rsidRPr="00046E7D">
        <w:rPr>
          <w:rFonts w:cstheme="minorHAnsi"/>
          <w:lang w:eastAsia="x-none"/>
        </w:rPr>
        <w:t>à l’intégration des Jeunes, des femmes et des</w:t>
      </w:r>
      <w:r w:rsidRPr="00046E7D">
        <w:rPr>
          <w:rFonts w:cstheme="minorHAnsi"/>
          <w:lang w:eastAsia="x-none"/>
        </w:rPr>
        <w:t xml:space="preserve"> besoins </w:t>
      </w:r>
      <w:r w:rsidR="00A10D30" w:rsidRPr="00046E7D">
        <w:rPr>
          <w:rFonts w:cstheme="minorHAnsi"/>
          <w:lang w:eastAsia="x-none"/>
        </w:rPr>
        <w:t>et</w:t>
      </w:r>
      <w:r w:rsidRPr="00046E7D">
        <w:rPr>
          <w:rFonts w:cstheme="minorHAnsi"/>
          <w:lang w:eastAsia="x-none"/>
        </w:rPr>
        <w:t xml:space="preserve"> préoccupations des groupes vulnérables ; et </w:t>
      </w:r>
    </w:p>
    <w:p w14:paraId="68DDF657" w14:textId="77777777" w:rsidR="00610DC6" w:rsidRPr="00046E7D" w:rsidRDefault="00610DC6" w:rsidP="00D85E9B">
      <w:pPr>
        <w:numPr>
          <w:ilvl w:val="0"/>
          <w:numId w:val="11"/>
        </w:numPr>
        <w:autoSpaceDE w:val="0"/>
        <w:autoSpaceDN w:val="0"/>
        <w:adjustRightInd w:val="0"/>
        <w:spacing w:before="120" w:after="0" w:line="360" w:lineRule="auto"/>
        <w:contextualSpacing/>
        <w:jc w:val="both"/>
        <w:rPr>
          <w:rFonts w:cstheme="minorHAnsi"/>
          <w:lang w:eastAsia="x-none"/>
        </w:rPr>
      </w:pPr>
      <w:r w:rsidRPr="00046E7D">
        <w:rPr>
          <w:rFonts w:cstheme="minorHAnsi"/>
          <w:lang w:eastAsia="x-none"/>
        </w:rPr>
        <w:t xml:space="preserve"> Contribuer à </w:t>
      </w:r>
      <w:r w:rsidRPr="00D85E9B">
        <w:rPr>
          <w:rFonts w:ascii="Calibri" w:eastAsia="Times New Roman" w:hAnsi="Calibri" w:cs="Calibri"/>
          <w:szCs w:val="24"/>
          <w:lang w:val="fr-CA"/>
        </w:rPr>
        <w:t>réduire</w:t>
      </w:r>
      <w:r w:rsidRPr="00046E7D">
        <w:rPr>
          <w:rFonts w:cstheme="minorHAnsi"/>
          <w:lang w:eastAsia="x-none"/>
        </w:rPr>
        <w:t>, voire éradiquer, tout conflit social potentiel.</w:t>
      </w:r>
    </w:p>
    <w:p w14:paraId="26404F75" w14:textId="7A61ED29" w:rsidR="00610DC6" w:rsidRPr="00046E7D" w:rsidRDefault="00610DC6" w:rsidP="00D85E9B">
      <w:pPr>
        <w:numPr>
          <w:ilvl w:val="0"/>
          <w:numId w:val="11"/>
        </w:numPr>
        <w:autoSpaceDE w:val="0"/>
        <w:autoSpaceDN w:val="0"/>
        <w:adjustRightInd w:val="0"/>
        <w:spacing w:before="120" w:after="0" w:line="360" w:lineRule="auto"/>
        <w:contextualSpacing/>
        <w:jc w:val="both"/>
        <w:rPr>
          <w:rFonts w:cstheme="minorHAnsi"/>
        </w:rPr>
      </w:pPr>
      <w:r w:rsidRPr="00046E7D">
        <w:rPr>
          <w:rFonts w:cstheme="minorHAnsi"/>
        </w:rPr>
        <w:t xml:space="preserve">Dans sa </w:t>
      </w:r>
      <w:r w:rsidRPr="00D85E9B">
        <w:rPr>
          <w:rFonts w:ascii="Calibri" w:eastAsia="Times New Roman" w:hAnsi="Calibri" w:cs="Calibri"/>
          <w:szCs w:val="24"/>
          <w:lang w:val="fr-CA"/>
        </w:rPr>
        <w:t>démarche</w:t>
      </w:r>
      <w:r w:rsidRPr="00046E7D">
        <w:rPr>
          <w:rFonts w:cstheme="minorHAnsi"/>
        </w:rPr>
        <w:t xml:space="preserve">, le Programme exclut toute activité posant un risque d’impacts environnementaux et sociaux significatifs. A cet égard, sera exclu tout investissement qui serait considéré </w:t>
      </w:r>
      <w:r w:rsidR="00276DC3">
        <w:rPr>
          <w:rFonts w:cstheme="minorHAnsi"/>
        </w:rPr>
        <w:t xml:space="preserve">comme pouvant </w:t>
      </w:r>
      <w:r w:rsidRPr="00046E7D">
        <w:rPr>
          <w:rFonts w:cstheme="minorHAnsi"/>
        </w:rPr>
        <w:t>pos</w:t>
      </w:r>
      <w:r w:rsidR="00276DC3">
        <w:rPr>
          <w:rFonts w:cstheme="minorHAnsi"/>
        </w:rPr>
        <w:t xml:space="preserve">er </w:t>
      </w:r>
      <w:r w:rsidRPr="00046E7D">
        <w:rPr>
          <w:rFonts w:cstheme="minorHAnsi"/>
        </w:rPr>
        <w:t>un risque environnemental et social potentiellement important et des impacts négatifs divers, variés, irréversibles et sans précédent.</w:t>
      </w:r>
    </w:p>
    <w:p w14:paraId="0C350BE8" w14:textId="291EA79B" w:rsidR="00610DC6" w:rsidRPr="00046E7D" w:rsidRDefault="003A5437" w:rsidP="00D85E9B">
      <w:pPr>
        <w:numPr>
          <w:ilvl w:val="0"/>
          <w:numId w:val="11"/>
        </w:numPr>
        <w:autoSpaceDE w:val="0"/>
        <w:autoSpaceDN w:val="0"/>
        <w:adjustRightInd w:val="0"/>
        <w:spacing w:before="120" w:after="0" w:line="360" w:lineRule="auto"/>
        <w:contextualSpacing/>
        <w:jc w:val="both"/>
        <w:rPr>
          <w:rFonts w:cstheme="minorHAnsi"/>
        </w:rPr>
      </w:pPr>
      <w:r w:rsidRPr="00046E7D">
        <w:rPr>
          <w:rFonts w:cstheme="minorHAnsi"/>
        </w:rPr>
        <w:t xml:space="preserve"> </w:t>
      </w:r>
      <w:r w:rsidR="00610DC6" w:rsidRPr="00046E7D">
        <w:rPr>
          <w:rFonts w:cstheme="minorHAnsi"/>
        </w:rPr>
        <w:t xml:space="preserve">L'ESES porte sur </w:t>
      </w:r>
      <w:r w:rsidR="00610DC6" w:rsidRPr="00D85E9B">
        <w:rPr>
          <w:rFonts w:ascii="Calibri" w:eastAsia="Times New Roman" w:hAnsi="Calibri" w:cs="Calibri"/>
          <w:szCs w:val="24"/>
          <w:lang w:val="fr-CA"/>
        </w:rPr>
        <w:t>l’analyse</w:t>
      </w:r>
      <w:r w:rsidR="00610DC6" w:rsidRPr="00046E7D">
        <w:rPr>
          <w:rFonts w:cstheme="minorHAnsi"/>
        </w:rPr>
        <w:t xml:space="preserve"> : (i) du cadre législatif et réglementaire : lois, réglementations, procédures, etc. (le</w:t>
      </w:r>
      <w:r w:rsidR="005610E7" w:rsidRPr="00046E7D">
        <w:rPr>
          <w:rFonts w:cstheme="minorHAnsi"/>
        </w:rPr>
        <w:t xml:space="preserve"> « système</w:t>
      </w:r>
      <w:r w:rsidR="00610DC6" w:rsidRPr="00046E7D">
        <w:rPr>
          <w:rFonts w:cstheme="minorHAnsi"/>
        </w:rPr>
        <w:t xml:space="preserve"> tel que </w:t>
      </w:r>
      <w:r w:rsidR="005610E7" w:rsidRPr="00046E7D">
        <w:rPr>
          <w:rFonts w:cstheme="minorHAnsi"/>
        </w:rPr>
        <w:t>défini »</w:t>
      </w:r>
      <w:r w:rsidR="00610DC6" w:rsidRPr="00046E7D">
        <w:rPr>
          <w:rFonts w:cstheme="minorHAnsi"/>
        </w:rPr>
        <w:t>) ; et (ii) de la capacité des institutions concernées par le Programme à mettre en œuvre efficacement les systèmes de gestion environnementale et sociale (le</w:t>
      </w:r>
      <w:r w:rsidR="005610E7" w:rsidRPr="00046E7D">
        <w:rPr>
          <w:rFonts w:cstheme="minorHAnsi"/>
        </w:rPr>
        <w:t xml:space="preserve"> « système</w:t>
      </w:r>
      <w:r w:rsidR="00610DC6" w:rsidRPr="00046E7D">
        <w:rPr>
          <w:rFonts w:cstheme="minorHAnsi"/>
        </w:rPr>
        <w:t xml:space="preserve"> tel qu'il est appliqué dans la </w:t>
      </w:r>
      <w:r w:rsidR="005610E7" w:rsidRPr="00046E7D">
        <w:rPr>
          <w:rFonts w:cstheme="minorHAnsi"/>
        </w:rPr>
        <w:t>pratique »</w:t>
      </w:r>
      <w:r w:rsidR="00610DC6" w:rsidRPr="00046E7D">
        <w:rPr>
          <w:rFonts w:cstheme="minorHAnsi"/>
        </w:rPr>
        <w:t>). Elle identifie et analyse des écarts entre les systèmes nationaux et les principes de base s’appliquant au Programme sur les deux niveaux sus-indiqués.</w:t>
      </w:r>
    </w:p>
    <w:p w14:paraId="6A1672EF" w14:textId="01C2B7D7" w:rsidR="00610DC6" w:rsidRPr="00046E7D" w:rsidRDefault="003A5437" w:rsidP="00D85E9B">
      <w:pPr>
        <w:numPr>
          <w:ilvl w:val="0"/>
          <w:numId w:val="11"/>
        </w:numPr>
        <w:autoSpaceDE w:val="0"/>
        <w:autoSpaceDN w:val="0"/>
        <w:adjustRightInd w:val="0"/>
        <w:spacing w:before="120" w:after="0" w:line="360" w:lineRule="auto"/>
        <w:contextualSpacing/>
        <w:jc w:val="both"/>
        <w:rPr>
          <w:rFonts w:cstheme="minorHAnsi"/>
        </w:rPr>
      </w:pPr>
      <w:r w:rsidRPr="00046E7D">
        <w:rPr>
          <w:rFonts w:cstheme="minorHAnsi"/>
        </w:rPr>
        <w:t xml:space="preserve"> </w:t>
      </w:r>
      <w:r w:rsidR="00610DC6" w:rsidRPr="00046E7D">
        <w:rPr>
          <w:rFonts w:cstheme="minorHAnsi"/>
        </w:rPr>
        <w:t xml:space="preserve">La préparation du PPR exige l'évaluation du système environnemental et social applicable au </w:t>
      </w:r>
      <w:r w:rsidR="00B62C4C">
        <w:rPr>
          <w:rFonts w:cstheme="minorHAnsi"/>
        </w:rPr>
        <w:t>P</w:t>
      </w:r>
      <w:r w:rsidR="00610DC6" w:rsidRPr="00046E7D">
        <w:rPr>
          <w:rFonts w:cstheme="minorHAnsi"/>
        </w:rPr>
        <w:t>rogramme afin de s'assurer que celui-ci ne comporte pas de risques environnementaux et sociaux importants et que les systèmes mis en place permett</w:t>
      </w:r>
      <w:r w:rsidR="00B62C4C">
        <w:rPr>
          <w:rFonts w:cstheme="minorHAnsi"/>
        </w:rPr>
        <w:t>e</w:t>
      </w:r>
      <w:r w:rsidR="00610DC6" w:rsidRPr="00046E7D">
        <w:rPr>
          <w:rFonts w:cstheme="minorHAnsi"/>
        </w:rPr>
        <w:t xml:space="preserve">nt l'identification et l'atténuation des risques de manière appropriée. Cela comprend la préparation des rapports et la vérification et la divulgation des informations relatives aux effets environnementaux et sociaux potentiels des activités financées dans le cadre du Programme. </w:t>
      </w:r>
    </w:p>
    <w:p w14:paraId="7A4428BE" w14:textId="77777777" w:rsidR="00610DC6" w:rsidRPr="00046E7D" w:rsidRDefault="003A5437" w:rsidP="00D85E9B">
      <w:pPr>
        <w:numPr>
          <w:ilvl w:val="0"/>
          <w:numId w:val="11"/>
        </w:numPr>
        <w:autoSpaceDE w:val="0"/>
        <w:autoSpaceDN w:val="0"/>
        <w:adjustRightInd w:val="0"/>
        <w:spacing w:before="120" w:after="0" w:line="360" w:lineRule="auto"/>
        <w:contextualSpacing/>
        <w:jc w:val="both"/>
        <w:rPr>
          <w:rFonts w:cstheme="minorHAnsi"/>
        </w:rPr>
      </w:pPr>
      <w:r w:rsidRPr="00046E7D">
        <w:rPr>
          <w:rFonts w:cstheme="minorHAnsi"/>
        </w:rPr>
        <w:t xml:space="preserve"> </w:t>
      </w:r>
      <w:r w:rsidR="00610DC6" w:rsidRPr="00046E7D">
        <w:rPr>
          <w:rFonts w:cstheme="minorHAnsi"/>
        </w:rPr>
        <w:t xml:space="preserve">L'ESES vise à identifier les points forts et les faiblesses du système environnemental et social applicable au Programme en vue d'identifier les actions nécessaires à l'amélioration de ses performances. Des mesures spécifiques pour combler les faiblesses ou les lacunes identifiées sont proposées dans le Plan d'action relatif au Programme. Un bilan des risques environnementaux et sociaux associés au Programme est effectué à la lumière de ce Plan d’action et des mesures spécifiques de suivi et évaluation sont proposées en conséquence. </w:t>
      </w:r>
    </w:p>
    <w:p w14:paraId="23DBECC6" w14:textId="20F7F868" w:rsidR="00610DC6" w:rsidRPr="00046E7D" w:rsidRDefault="00610DC6" w:rsidP="00046E7D">
      <w:pPr>
        <w:pStyle w:val="Heading2"/>
        <w:spacing w:line="240" w:lineRule="auto"/>
        <w:rPr>
          <w:rFonts w:ascii="Candara" w:hAnsi="Candara"/>
          <w:color w:val="auto"/>
          <w:lang w:val="fr-FR"/>
        </w:rPr>
      </w:pPr>
      <w:bookmarkStart w:id="22" w:name="_Toc392690470"/>
      <w:r w:rsidRPr="00046E7D">
        <w:rPr>
          <w:rFonts w:ascii="Candara" w:hAnsi="Candara"/>
          <w:color w:val="auto"/>
          <w:lang w:val="fr-FR"/>
        </w:rPr>
        <w:t xml:space="preserve"> </w:t>
      </w:r>
      <w:bookmarkStart w:id="23" w:name="_Toc496827304"/>
      <w:bookmarkStart w:id="24" w:name="_Toc74241373"/>
      <w:r w:rsidRPr="00046E7D">
        <w:rPr>
          <w:rFonts w:ascii="Candara" w:hAnsi="Candara"/>
          <w:color w:val="auto"/>
          <w:lang w:val="fr-FR"/>
        </w:rPr>
        <w:t>1.3 Méthodologie</w:t>
      </w:r>
      <w:bookmarkEnd w:id="22"/>
      <w:bookmarkEnd w:id="23"/>
      <w:bookmarkEnd w:id="24"/>
      <w:r w:rsidRPr="00046E7D">
        <w:rPr>
          <w:rFonts w:ascii="Candara" w:hAnsi="Candara"/>
          <w:color w:val="auto"/>
          <w:lang w:val="fr-FR"/>
        </w:rPr>
        <w:t xml:space="preserve"> </w:t>
      </w:r>
    </w:p>
    <w:p w14:paraId="47172333" w14:textId="77777777" w:rsidR="00610DC6" w:rsidRPr="00046E7D" w:rsidRDefault="00610DC6" w:rsidP="00D85E9B">
      <w:pPr>
        <w:numPr>
          <w:ilvl w:val="0"/>
          <w:numId w:val="11"/>
        </w:numPr>
        <w:autoSpaceDE w:val="0"/>
        <w:autoSpaceDN w:val="0"/>
        <w:adjustRightInd w:val="0"/>
        <w:spacing w:before="120" w:after="0" w:line="360" w:lineRule="auto"/>
        <w:contextualSpacing/>
        <w:jc w:val="both"/>
        <w:rPr>
          <w:rFonts w:cstheme="minorHAnsi"/>
        </w:rPr>
      </w:pPr>
      <w:r w:rsidRPr="00046E7D">
        <w:rPr>
          <w:rFonts w:cstheme="minorHAnsi"/>
        </w:rPr>
        <w:t xml:space="preserve">La préparation de </w:t>
      </w:r>
      <w:r w:rsidRPr="00D85E9B">
        <w:rPr>
          <w:rFonts w:ascii="Calibri" w:eastAsia="Times New Roman" w:hAnsi="Calibri" w:cs="Calibri"/>
          <w:szCs w:val="24"/>
          <w:lang w:val="fr-CA"/>
        </w:rPr>
        <w:t>l'ESES</w:t>
      </w:r>
      <w:r w:rsidRPr="00046E7D">
        <w:rPr>
          <w:rFonts w:cstheme="minorHAnsi"/>
        </w:rPr>
        <w:t xml:space="preserve"> et l'élaboration de mesures visant à renforcer le système de gestion environnementale et sociale ont bénéficié d’informations diverses et d’un processus de consultation élargi, dont notamment :</w:t>
      </w:r>
    </w:p>
    <w:p w14:paraId="5DAE2900" w14:textId="1B1E7149" w:rsidR="00610DC6" w:rsidRPr="00046E7D" w:rsidRDefault="00610DC6" w:rsidP="00610DC6">
      <w:pPr>
        <w:widowControl w:val="0"/>
        <w:numPr>
          <w:ilvl w:val="0"/>
          <w:numId w:val="3"/>
        </w:numPr>
        <w:adjustRightInd w:val="0"/>
        <w:spacing w:before="120" w:after="60" w:line="360" w:lineRule="atLeast"/>
        <w:jc w:val="both"/>
        <w:textAlignment w:val="baseline"/>
        <w:rPr>
          <w:rFonts w:eastAsia="ヒラギノ角ゴ Pro W3" w:cstheme="minorHAnsi"/>
        </w:rPr>
      </w:pPr>
      <w:r w:rsidRPr="00046E7D">
        <w:rPr>
          <w:rFonts w:eastAsia="ヒラギノ角ゴ Pro W3" w:cstheme="minorHAnsi"/>
          <w:u w:val="single"/>
        </w:rPr>
        <w:t>Des consultations</w:t>
      </w:r>
      <w:r w:rsidR="00B62C4C">
        <w:rPr>
          <w:rFonts w:eastAsia="ヒラギノ角ゴ Pro W3" w:cstheme="minorHAnsi"/>
          <w:u w:val="single"/>
        </w:rPr>
        <w:t xml:space="preserve"> et</w:t>
      </w:r>
      <w:r w:rsidRPr="00046E7D">
        <w:rPr>
          <w:rFonts w:eastAsia="ヒラギノ角ゴ Pro W3" w:cstheme="minorHAnsi"/>
          <w:u w:val="single"/>
        </w:rPr>
        <w:t xml:space="preserve"> des entretiens </w:t>
      </w:r>
      <w:r w:rsidRPr="00046E7D">
        <w:rPr>
          <w:rFonts w:eastAsia="ヒラギノ角ゴ Pro W3" w:cstheme="minorHAnsi"/>
        </w:rPr>
        <w:t xml:space="preserve">afin de développer une meilleure compréhension des procédures, des normes, et de l'approche à adopter avec le personnel technique au sein du Ministère de </w:t>
      </w:r>
      <w:r w:rsidR="00B62C4C">
        <w:rPr>
          <w:rFonts w:eastAsia="ヒラギノ角ゴ Pro W3" w:cstheme="minorHAnsi"/>
        </w:rPr>
        <w:t>l’Economie, des Finances et de la Réforme de l’Administration (MEFRA)</w:t>
      </w:r>
      <w:r w:rsidRPr="00046E7D">
        <w:rPr>
          <w:rFonts w:eastAsia="ヒラギノ角ゴ Pro W3" w:cstheme="minorHAnsi"/>
        </w:rPr>
        <w:t xml:space="preserve"> et au sein d’autres services et parties prenantes institutionnelles notamment :</w:t>
      </w:r>
    </w:p>
    <w:p w14:paraId="7D67DE28" w14:textId="132FD45E" w:rsidR="00610DC6" w:rsidRPr="00046E7D" w:rsidRDefault="00B62C4C" w:rsidP="00610DC6">
      <w:pPr>
        <w:widowControl w:val="0"/>
        <w:numPr>
          <w:ilvl w:val="1"/>
          <w:numId w:val="3"/>
        </w:numPr>
        <w:adjustRightInd w:val="0"/>
        <w:spacing w:after="0" w:line="360" w:lineRule="atLeast"/>
        <w:jc w:val="both"/>
        <w:textAlignment w:val="baseline"/>
        <w:rPr>
          <w:rFonts w:eastAsia="ヒラギノ角ゴ Pro W3" w:cstheme="minorHAnsi"/>
        </w:rPr>
      </w:pPr>
      <w:r w:rsidRPr="00046E7D">
        <w:rPr>
          <w:rFonts w:eastAsia="ヒラギノ角ゴ Pro W3" w:cstheme="minorHAnsi"/>
        </w:rPr>
        <w:lastRenderedPageBreak/>
        <w:t>La</w:t>
      </w:r>
      <w:r w:rsidR="00610DC6" w:rsidRPr="00046E7D">
        <w:rPr>
          <w:rFonts w:eastAsia="ヒラギノ角ゴ Pro W3" w:cstheme="minorHAnsi"/>
        </w:rPr>
        <w:t xml:space="preserve"> Direction </w:t>
      </w:r>
      <w:r w:rsidR="00190371">
        <w:rPr>
          <w:rFonts w:eastAsia="ヒラギノ角ゴ Pro W3" w:cstheme="minorHAnsi"/>
        </w:rPr>
        <w:t>G</w:t>
      </w:r>
      <w:r>
        <w:rPr>
          <w:rFonts w:eastAsia="ヒラギノ角ゴ Pro W3" w:cstheme="minorHAnsi"/>
        </w:rPr>
        <w:t xml:space="preserve">énérale des Impôts </w:t>
      </w:r>
      <w:r w:rsidR="00610DC6" w:rsidRPr="00046E7D">
        <w:rPr>
          <w:rFonts w:eastAsia="ヒラギノ角ゴ Pro W3" w:cstheme="minorHAnsi"/>
        </w:rPr>
        <w:t>(D</w:t>
      </w:r>
      <w:r>
        <w:rPr>
          <w:rFonts w:eastAsia="ヒラギノ角ゴ Pro W3" w:cstheme="minorHAnsi"/>
        </w:rPr>
        <w:t>GI</w:t>
      </w:r>
      <w:r w:rsidR="00610DC6" w:rsidRPr="00046E7D">
        <w:rPr>
          <w:rFonts w:eastAsia="ヒラギノ角ゴ Pro W3" w:cstheme="minorHAnsi"/>
        </w:rPr>
        <w:t>) ;</w:t>
      </w:r>
    </w:p>
    <w:p w14:paraId="14C299B9" w14:textId="7CC9A222" w:rsidR="00610DC6" w:rsidRPr="00046E7D" w:rsidRDefault="00B62C4C" w:rsidP="00610DC6">
      <w:pPr>
        <w:widowControl w:val="0"/>
        <w:numPr>
          <w:ilvl w:val="1"/>
          <w:numId w:val="3"/>
        </w:numPr>
        <w:adjustRightInd w:val="0"/>
        <w:spacing w:after="0" w:line="360" w:lineRule="atLeast"/>
        <w:jc w:val="both"/>
        <w:textAlignment w:val="baseline"/>
        <w:rPr>
          <w:rFonts w:eastAsia="ヒラギノ角ゴ Pro W3" w:cstheme="minorHAnsi"/>
        </w:rPr>
      </w:pPr>
      <w:r w:rsidRPr="00046E7D">
        <w:rPr>
          <w:rFonts w:eastAsia="ヒラギノ角ゴ Pro W3" w:cstheme="minorHAnsi"/>
        </w:rPr>
        <w:t>L’Agence</w:t>
      </w:r>
      <w:r>
        <w:rPr>
          <w:rFonts w:eastAsia="ヒラギノ角ゴ Pro W3" w:cstheme="minorHAnsi"/>
        </w:rPr>
        <w:t xml:space="preserve"> de </w:t>
      </w:r>
      <w:r w:rsidR="00190371">
        <w:rPr>
          <w:rFonts w:eastAsia="ヒラギノ角ゴ Pro W3" w:cstheme="minorHAnsi"/>
        </w:rPr>
        <w:t>D</w:t>
      </w:r>
      <w:r>
        <w:rPr>
          <w:rFonts w:eastAsia="ヒラギノ角ゴ Pro W3" w:cstheme="minorHAnsi"/>
        </w:rPr>
        <w:t xml:space="preserve">éveloppement du </w:t>
      </w:r>
      <w:r w:rsidR="00190371">
        <w:rPr>
          <w:rFonts w:eastAsia="ヒラギノ角ゴ Pro W3" w:cstheme="minorHAnsi"/>
        </w:rPr>
        <w:t>D</w:t>
      </w:r>
      <w:r>
        <w:rPr>
          <w:rFonts w:eastAsia="ヒラギノ角ゴ Pro W3" w:cstheme="minorHAnsi"/>
        </w:rPr>
        <w:t>igital (ADD)</w:t>
      </w:r>
    </w:p>
    <w:p w14:paraId="343CE589" w14:textId="71E3FF7F" w:rsidR="00815890" w:rsidRPr="00046E7D" w:rsidRDefault="00543D25" w:rsidP="00B62C4C">
      <w:pPr>
        <w:widowControl w:val="0"/>
        <w:adjustRightInd w:val="0"/>
        <w:spacing w:after="0" w:line="360" w:lineRule="atLeast"/>
        <w:ind w:left="1440"/>
        <w:jc w:val="both"/>
        <w:textAlignment w:val="baseline"/>
        <w:rPr>
          <w:rFonts w:eastAsia="ヒラギノ角ゴ Pro W3" w:cstheme="minorHAnsi"/>
        </w:rPr>
      </w:pPr>
      <w:r w:rsidRPr="00046E7D">
        <w:rPr>
          <w:rFonts w:eastAsia="ヒラギノ角ゴ Pro W3" w:cstheme="minorHAnsi"/>
        </w:rPr>
        <w:t xml:space="preserve"> </w:t>
      </w:r>
    </w:p>
    <w:p w14:paraId="1F3E777D" w14:textId="63737B9A" w:rsidR="00610DC6" w:rsidRPr="00046E7D" w:rsidRDefault="00610DC6" w:rsidP="00B62C4C">
      <w:pPr>
        <w:widowControl w:val="0"/>
        <w:numPr>
          <w:ilvl w:val="0"/>
          <w:numId w:val="3"/>
        </w:numPr>
        <w:adjustRightInd w:val="0"/>
        <w:spacing w:after="60" w:line="360" w:lineRule="atLeast"/>
        <w:jc w:val="both"/>
        <w:textAlignment w:val="baseline"/>
        <w:rPr>
          <w:rFonts w:eastAsia="ヒラギノ角ゴ Pro W3" w:cstheme="minorHAnsi"/>
        </w:rPr>
      </w:pPr>
      <w:r w:rsidRPr="00046E7D">
        <w:rPr>
          <w:rFonts w:eastAsia="ヒラギノ角ゴ Pro W3" w:cstheme="minorHAnsi"/>
          <w:bCs/>
          <w:iCs/>
          <w:u w:val="single"/>
        </w:rPr>
        <w:t>Une Revue de la documentation</w:t>
      </w:r>
      <w:r w:rsidRPr="00046E7D">
        <w:rPr>
          <w:rFonts w:eastAsia="ヒラギノ角ゴ Pro W3" w:cstheme="minorHAnsi"/>
          <w:b/>
          <w:bCs/>
          <w:i/>
          <w:iCs/>
        </w:rPr>
        <w:t xml:space="preserve"> </w:t>
      </w:r>
      <w:r w:rsidRPr="00046E7D">
        <w:rPr>
          <w:rFonts w:eastAsia="ヒラギノ角ゴ Pro W3" w:cstheme="minorHAnsi"/>
          <w:bCs/>
          <w:iCs/>
        </w:rPr>
        <w:t>:</w:t>
      </w:r>
      <w:r w:rsidRPr="00046E7D">
        <w:rPr>
          <w:rFonts w:eastAsia="ヒラギノ角ゴ Pro W3" w:cstheme="minorHAnsi"/>
        </w:rPr>
        <w:t xml:space="preserve"> l'examen a porté sur les législations et réglementations environnementales et sociales actuelles </w:t>
      </w:r>
      <w:r w:rsidRPr="00046E7D">
        <w:rPr>
          <w:rFonts w:cstheme="minorHAnsi"/>
        </w:rPr>
        <w:t>applicables au Programme</w:t>
      </w:r>
      <w:r w:rsidRPr="00046E7D">
        <w:rPr>
          <w:rFonts w:eastAsia="ヒラギノ角ゴ Pro W3" w:cstheme="minorHAnsi"/>
        </w:rPr>
        <w:t>, sur les bibliographies pertinentes, et sur les rapports d’anciens projets ou en cours appuyés par la Banque mondiale ou d’autres partenaires.</w:t>
      </w:r>
    </w:p>
    <w:p w14:paraId="3A7AAB29" w14:textId="56543624" w:rsidR="00610DC6" w:rsidRPr="00046E7D" w:rsidRDefault="00610DC6" w:rsidP="00610DC6">
      <w:pPr>
        <w:widowControl w:val="0"/>
        <w:numPr>
          <w:ilvl w:val="0"/>
          <w:numId w:val="3"/>
        </w:numPr>
        <w:adjustRightInd w:val="0"/>
        <w:spacing w:before="60" w:after="60" w:line="360" w:lineRule="atLeast"/>
        <w:jc w:val="both"/>
        <w:textAlignment w:val="baseline"/>
        <w:rPr>
          <w:rFonts w:eastAsia="ヒラギノ角ゴ Pro W3" w:cstheme="minorHAnsi"/>
        </w:rPr>
      </w:pPr>
      <w:r w:rsidRPr="00046E7D">
        <w:rPr>
          <w:rFonts w:eastAsia="ヒラギノ角ゴ Pro W3" w:cstheme="minorHAnsi"/>
          <w:bCs/>
          <w:iCs/>
          <w:u w:val="single"/>
        </w:rPr>
        <w:t>Validation</w:t>
      </w:r>
      <w:r w:rsidRPr="00046E7D">
        <w:rPr>
          <w:rFonts w:eastAsia="ヒラギノ角ゴ Pro W3" w:cstheme="minorHAnsi"/>
          <w:b/>
          <w:bCs/>
          <w:i/>
          <w:iCs/>
        </w:rPr>
        <w:t xml:space="preserve"> </w:t>
      </w:r>
      <w:r w:rsidRPr="00046E7D">
        <w:rPr>
          <w:rFonts w:eastAsia="ヒラギノ角ゴ Pro W3" w:cstheme="minorHAnsi"/>
          <w:bCs/>
          <w:iCs/>
        </w:rPr>
        <w:t xml:space="preserve">: D’une part, </w:t>
      </w:r>
      <w:r w:rsidRPr="00046E7D">
        <w:rPr>
          <w:rFonts w:eastAsia="ヒラギノ角ゴ Pro W3" w:cstheme="minorHAnsi"/>
        </w:rPr>
        <w:t xml:space="preserve">un </w:t>
      </w:r>
      <w:r w:rsidRPr="00996D44">
        <w:rPr>
          <w:rFonts w:eastAsia="ヒラギノ角ゴ Pro W3" w:cstheme="minorHAnsi"/>
        </w:rPr>
        <w:t>atelier de consultation de</w:t>
      </w:r>
      <w:r w:rsidR="003430B8" w:rsidRPr="00996D44">
        <w:rPr>
          <w:rFonts w:eastAsia="ヒラギノ角ゴ Pro W3" w:cstheme="minorHAnsi"/>
        </w:rPr>
        <w:t>s parties prenantes y compris</w:t>
      </w:r>
      <w:r w:rsidRPr="00996D44">
        <w:rPr>
          <w:rFonts w:eastAsia="ヒラギノ角ゴ Pro W3" w:cstheme="minorHAnsi"/>
        </w:rPr>
        <w:t xml:space="preserve"> la société civile </w:t>
      </w:r>
      <w:r w:rsidR="00D44420" w:rsidRPr="00996D44">
        <w:rPr>
          <w:rFonts w:eastAsia="ヒラギノ角ゴ Pro W3" w:cstheme="minorHAnsi"/>
        </w:rPr>
        <w:t>aura</w:t>
      </w:r>
      <w:r w:rsidRPr="00996D44">
        <w:rPr>
          <w:rFonts w:eastAsia="ヒラギノ角ゴ Pro W3" w:cstheme="minorHAnsi"/>
        </w:rPr>
        <w:t xml:space="preserve"> lieu </w:t>
      </w:r>
      <w:r w:rsidR="00F033C8" w:rsidRPr="00996D44">
        <w:rPr>
          <w:rFonts w:eastAsia="ヒラギノ角ゴ Pro W3" w:cstheme="minorHAnsi"/>
        </w:rPr>
        <w:t xml:space="preserve">le </w:t>
      </w:r>
      <w:r w:rsidR="00B62C4C" w:rsidRPr="00996D44">
        <w:rPr>
          <w:rFonts w:eastAsia="ヒラギノ角ゴ Pro W3" w:cstheme="minorHAnsi"/>
        </w:rPr>
        <w:t xml:space="preserve">XX </w:t>
      </w:r>
      <w:r w:rsidR="0012189B" w:rsidRPr="00996D44">
        <w:rPr>
          <w:rFonts w:eastAsia="ヒラギノ角ゴ Pro W3" w:cstheme="minorHAnsi"/>
        </w:rPr>
        <w:t xml:space="preserve">Juin </w:t>
      </w:r>
      <w:r w:rsidR="00D44420" w:rsidRPr="00996D44">
        <w:rPr>
          <w:rFonts w:eastAsia="ヒラギノ角ゴ Pro W3" w:cstheme="minorHAnsi"/>
        </w:rPr>
        <w:t>202</w:t>
      </w:r>
      <w:r w:rsidR="00B62C4C" w:rsidRPr="00996D44">
        <w:rPr>
          <w:rFonts w:eastAsia="ヒラギノ角ゴ Pro W3" w:cstheme="minorHAnsi"/>
        </w:rPr>
        <w:t>1</w:t>
      </w:r>
      <w:r w:rsidR="00543D25" w:rsidRPr="00996D44">
        <w:rPr>
          <w:rFonts w:eastAsia="ヒラギノ角ゴ Pro W3" w:cstheme="minorHAnsi"/>
        </w:rPr>
        <w:t> </w:t>
      </w:r>
      <w:r w:rsidR="00B62C4C" w:rsidRPr="00996D44">
        <w:rPr>
          <w:rFonts w:eastAsia="ヒラギノ角ゴ Pro W3" w:cstheme="minorHAnsi"/>
        </w:rPr>
        <w:t>soit en pr</w:t>
      </w:r>
      <w:r w:rsidR="00276DC3" w:rsidRPr="00996D44">
        <w:rPr>
          <w:rFonts w:cstheme="minorHAnsi"/>
        </w:rPr>
        <w:t>é</w:t>
      </w:r>
      <w:r w:rsidR="00B62C4C" w:rsidRPr="00996D44">
        <w:rPr>
          <w:rFonts w:eastAsia="ヒラギノ角ゴ Pro W3" w:cstheme="minorHAnsi"/>
        </w:rPr>
        <w:t>sentiel soit en mode virtuel en fonction des d</w:t>
      </w:r>
      <w:r w:rsidR="00276DC3" w:rsidRPr="00996D44">
        <w:rPr>
          <w:rFonts w:cstheme="minorHAnsi"/>
        </w:rPr>
        <w:t>é</w:t>
      </w:r>
      <w:r w:rsidR="00B62C4C" w:rsidRPr="00996D44">
        <w:rPr>
          <w:rFonts w:eastAsia="ヒラギノ角ゴ Pro W3" w:cstheme="minorHAnsi"/>
        </w:rPr>
        <w:t>veloppements de la pand</w:t>
      </w:r>
      <w:r w:rsidR="00276DC3" w:rsidRPr="00996D44">
        <w:rPr>
          <w:rFonts w:cstheme="minorHAnsi"/>
        </w:rPr>
        <w:t>é</w:t>
      </w:r>
      <w:r w:rsidR="00B62C4C" w:rsidRPr="00996D44">
        <w:rPr>
          <w:rFonts w:eastAsia="ヒラギノ角ゴ Pro W3" w:cstheme="minorHAnsi"/>
        </w:rPr>
        <w:t xml:space="preserve">mie COVID 19. </w:t>
      </w:r>
      <w:r w:rsidRPr="00996D44">
        <w:rPr>
          <w:rFonts w:eastAsia="ヒラギノ角ゴ Pro W3" w:cstheme="minorHAnsi"/>
        </w:rPr>
        <w:t>(annexe</w:t>
      </w:r>
      <w:r w:rsidR="00D44420" w:rsidRPr="00996D44">
        <w:rPr>
          <w:rFonts w:eastAsia="ヒラギノ角ゴ Pro W3" w:cstheme="minorHAnsi"/>
        </w:rPr>
        <w:t xml:space="preserve"> à ajouter</w:t>
      </w:r>
      <w:r w:rsidRPr="00996D44">
        <w:rPr>
          <w:rFonts w:eastAsia="ヒラギノ角ゴ Pro W3" w:cstheme="minorHAnsi"/>
        </w:rPr>
        <w:t xml:space="preserve">: compte rendu de la consultation publique). </w:t>
      </w:r>
      <w:r w:rsidR="00D44420" w:rsidRPr="00996D44">
        <w:rPr>
          <w:rFonts w:eastAsia="ヒラギノ角ゴ Pro W3" w:cstheme="minorHAnsi"/>
        </w:rPr>
        <w:t>Seront invité</w:t>
      </w:r>
      <w:r w:rsidR="00716DF4" w:rsidRPr="00996D44">
        <w:rPr>
          <w:rFonts w:eastAsia="ヒラギノ角ゴ Pro W3" w:cstheme="minorHAnsi"/>
        </w:rPr>
        <w:t>es</w:t>
      </w:r>
      <w:r w:rsidR="00D44420" w:rsidRPr="00996D44">
        <w:rPr>
          <w:rFonts w:eastAsia="ヒラギノ角ゴ Pro W3" w:cstheme="minorHAnsi"/>
        </w:rPr>
        <w:t xml:space="preserve"> </w:t>
      </w:r>
      <w:r w:rsidRPr="00996D44">
        <w:rPr>
          <w:rFonts w:eastAsia="ヒラギノ角ゴ Pro W3" w:cstheme="minorHAnsi"/>
        </w:rPr>
        <w:t>à cette réunion</w:t>
      </w:r>
      <w:r w:rsidR="00191730" w:rsidRPr="00996D44">
        <w:rPr>
          <w:rFonts w:eastAsia="ヒラギノ角ゴ Pro W3" w:cstheme="minorHAnsi"/>
        </w:rPr>
        <w:t xml:space="preserve"> des personnes</w:t>
      </w:r>
      <w:r w:rsidRPr="00996D44">
        <w:rPr>
          <w:rFonts w:eastAsia="ヒラギノ角ゴ Pro W3" w:cstheme="minorHAnsi"/>
        </w:rPr>
        <w:t xml:space="preserve"> représentant des organisations de la société civile</w:t>
      </w:r>
      <w:r w:rsidRPr="00D44420">
        <w:rPr>
          <w:rFonts w:eastAsia="ヒラギノ角ゴ Pro W3" w:cstheme="minorHAnsi"/>
        </w:rPr>
        <w:t xml:space="preserve"> (intervenant notamment dans le domaine de</w:t>
      </w:r>
      <w:r w:rsidR="00DF7B5B">
        <w:rPr>
          <w:rFonts w:eastAsia="ヒラギノ角ゴ Pro W3" w:cstheme="minorHAnsi"/>
        </w:rPr>
        <w:t xml:space="preserve"> la </w:t>
      </w:r>
      <w:r w:rsidR="0012189B">
        <w:rPr>
          <w:rFonts w:eastAsia="ヒラギノ角ゴ Pro W3" w:cstheme="minorHAnsi"/>
        </w:rPr>
        <w:t>réforme</w:t>
      </w:r>
      <w:r w:rsidR="00DF7B5B">
        <w:rPr>
          <w:rFonts w:eastAsia="ヒラギノ角ゴ Pro W3" w:cstheme="minorHAnsi"/>
        </w:rPr>
        <w:t xml:space="preserve"> de l’administration et des finances publiques, de la digitalisation</w:t>
      </w:r>
      <w:r w:rsidRPr="00D44420">
        <w:rPr>
          <w:rFonts w:eastAsia="ヒラギノ角ゴ Pro W3" w:cstheme="minorHAnsi"/>
        </w:rPr>
        <w:t xml:space="preserve"> et de l’environnement), des Communes, </w:t>
      </w:r>
      <w:r w:rsidR="00DF7B5B">
        <w:rPr>
          <w:rFonts w:eastAsia="ヒラギノ角ゴ Pro W3" w:cstheme="minorHAnsi"/>
        </w:rPr>
        <w:t>des administrations utilisatrices du portail des march</w:t>
      </w:r>
      <w:r w:rsidR="00212333">
        <w:rPr>
          <w:rFonts w:eastAsia="ヒラギノ角ゴ Pro W3" w:cstheme="minorHAnsi"/>
        </w:rPr>
        <w:t>é</w:t>
      </w:r>
      <w:r w:rsidR="00DF7B5B">
        <w:rPr>
          <w:rFonts w:eastAsia="ヒラギノ角ゴ Pro W3" w:cstheme="minorHAnsi"/>
        </w:rPr>
        <w:t>s publiques</w:t>
      </w:r>
      <w:r w:rsidRPr="00D44420">
        <w:rPr>
          <w:rFonts w:eastAsia="ヒラギノ角ゴ Pro W3" w:cstheme="minorHAnsi"/>
        </w:rPr>
        <w:t xml:space="preserve">, du Secrétariat d’État chargé du Développement Durable, etc. Les consultations avec les parties prenantes </w:t>
      </w:r>
      <w:r w:rsidR="00D44420">
        <w:rPr>
          <w:rFonts w:eastAsia="ヒラギノ角ゴ Pro W3" w:cstheme="minorHAnsi"/>
        </w:rPr>
        <w:t>dériveront</w:t>
      </w:r>
      <w:r w:rsidRPr="00D44420">
        <w:rPr>
          <w:rFonts w:eastAsia="ヒラギノ角ゴ Pro W3" w:cstheme="minorHAnsi"/>
        </w:rPr>
        <w:t xml:space="preserve"> </w:t>
      </w:r>
      <w:r w:rsidR="00D44420">
        <w:rPr>
          <w:rFonts w:eastAsia="ヒラギノ角ゴ Pro W3" w:cstheme="minorHAnsi"/>
        </w:rPr>
        <w:t>l</w:t>
      </w:r>
      <w:r w:rsidRPr="00D44420">
        <w:rPr>
          <w:rFonts w:eastAsia="ヒラギノ角ゴ Pro W3" w:cstheme="minorHAnsi"/>
        </w:rPr>
        <w:t xml:space="preserve">es préoccupations majeures. Les observations de l’atelier </w:t>
      </w:r>
      <w:r w:rsidR="00D44420">
        <w:rPr>
          <w:rFonts w:eastAsia="ヒラギノ角ゴ Pro W3" w:cstheme="minorHAnsi"/>
        </w:rPr>
        <w:t>ser</w:t>
      </w:r>
      <w:r w:rsidRPr="00D44420">
        <w:rPr>
          <w:rFonts w:eastAsia="ヒラギノ角ゴ Pro W3" w:cstheme="minorHAnsi"/>
        </w:rPr>
        <w:t>ont</w:t>
      </w:r>
      <w:r w:rsidR="00D44420">
        <w:rPr>
          <w:rFonts w:eastAsia="ヒラギノ角ゴ Pro W3" w:cstheme="minorHAnsi"/>
        </w:rPr>
        <w:t xml:space="preserve"> </w:t>
      </w:r>
      <w:r w:rsidRPr="00D44420">
        <w:rPr>
          <w:rFonts w:eastAsia="ヒラギノ角ゴ Pro W3" w:cstheme="minorHAnsi"/>
        </w:rPr>
        <w:t>incorporées dans le rapport de l’ESES et la liste des participants ainsi que le compte-rendu de la consultation seront présentés en annexe.</w:t>
      </w:r>
      <w:r w:rsidRPr="00046E7D">
        <w:rPr>
          <w:rFonts w:eastAsia="ヒラギノ角ゴ Pro W3" w:cstheme="minorHAnsi"/>
        </w:rPr>
        <w:t xml:space="preserve">  D’autre part, les commentaires du </w:t>
      </w:r>
      <w:r w:rsidR="00DF7B5B">
        <w:rPr>
          <w:rFonts w:eastAsia="ヒラギノ角ゴ Pro W3" w:cstheme="minorHAnsi"/>
        </w:rPr>
        <w:t>MEFRA</w:t>
      </w:r>
      <w:r w:rsidRPr="00046E7D">
        <w:rPr>
          <w:rFonts w:eastAsia="ヒラギノ角ゴ Pro W3" w:cstheme="minorHAnsi"/>
        </w:rPr>
        <w:t xml:space="preserve"> sur le projet de rapport de l’ESES seront pris en compte dans la version finale de l’ESES.</w:t>
      </w:r>
    </w:p>
    <w:p w14:paraId="0F0518F1" w14:textId="437E56BE" w:rsidR="00610DC6" w:rsidRPr="00046E7D" w:rsidRDefault="00610DC6" w:rsidP="00610DC6">
      <w:pPr>
        <w:widowControl w:val="0"/>
        <w:numPr>
          <w:ilvl w:val="0"/>
          <w:numId w:val="3"/>
        </w:numPr>
        <w:adjustRightInd w:val="0"/>
        <w:spacing w:before="60" w:after="60" w:line="360" w:lineRule="atLeast"/>
        <w:jc w:val="both"/>
        <w:textAlignment w:val="baseline"/>
        <w:rPr>
          <w:rFonts w:eastAsia="ヒラギノ角ゴ Pro W3" w:cstheme="minorHAnsi"/>
        </w:rPr>
      </w:pPr>
      <w:r w:rsidRPr="00046E7D">
        <w:rPr>
          <w:rFonts w:eastAsia="ヒラギノ角ゴ Pro W3" w:cstheme="minorHAnsi"/>
          <w:bCs/>
          <w:iCs/>
        </w:rPr>
        <w:t xml:space="preserve">Le rapport de l’ESES sera diffusé publiquement à travers le site internet de la Banque mondiale et également le site </w:t>
      </w:r>
      <w:r w:rsidR="003D609F" w:rsidRPr="00046E7D">
        <w:rPr>
          <w:rFonts w:eastAsia="ヒラギノ角ゴ Pro W3" w:cstheme="minorHAnsi"/>
          <w:bCs/>
          <w:iCs/>
        </w:rPr>
        <w:t xml:space="preserve">internet </w:t>
      </w:r>
      <w:r w:rsidRPr="00046E7D">
        <w:rPr>
          <w:rFonts w:eastAsia="ヒラギノ角ゴ Pro W3" w:cstheme="minorHAnsi"/>
          <w:bCs/>
          <w:iCs/>
        </w:rPr>
        <w:t xml:space="preserve">du </w:t>
      </w:r>
      <w:r w:rsidR="00DF7B5B">
        <w:rPr>
          <w:rFonts w:eastAsia="ヒラギノ角ゴ Pro W3" w:cstheme="minorHAnsi"/>
          <w:bCs/>
          <w:iCs/>
        </w:rPr>
        <w:t>MEFRA</w:t>
      </w:r>
      <w:r w:rsidRPr="00046E7D">
        <w:rPr>
          <w:rFonts w:eastAsia="ヒラギノ角ゴ Pro W3" w:cstheme="minorHAnsi"/>
          <w:bCs/>
          <w:iCs/>
        </w:rPr>
        <w:t>. Les commentaires du public seront sollicités pendant la période définie</w:t>
      </w:r>
      <w:r w:rsidR="00CE7E27" w:rsidRPr="00046E7D">
        <w:rPr>
          <w:rFonts w:eastAsia="ヒラギノ角ゴ Pro W3" w:cstheme="minorHAnsi"/>
          <w:bCs/>
          <w:iCs/>
        </w:rPr>
        <w:t>.</w:t>
      </w:r>
    </w:p>
    <w:p w14:paraId="519A8F3F" w14:textId="77777777" w:rsidR="00610DC6" w:rsidRPr="003A404D" w:rsidRDefault="00610DC6" w:rsidP="00610DC6">
      <w:pPr>
        <w:rPr>
          <w:rFonts w:eastAsia="ヒラギノ角ゴ Pro W3"/>
        </w:rPr>
      </w:pPr>
      <w:r w:rsidRPr="003A404D">
        <w:rPr>
          <w:rFonts w:eastAsia="ヒラギノ角ゴ Pro W3"/>
        </w:rPr>
        <w:br w:type="page"/>
      </w:r>
    </w:p>
    <w:p w14:paraId="3176387B" w14:textId="466AB8F9" w:rsidR="0099191E" w:rsidRPr="00046E7D" w:rsidRDefault="0099191E" w:rsidP="0099191E">
      <w:pPr>
        <w:pStyle w:val="Heading1"/>
        <w:rPr>
          <w:rFonts w:ascii="Candara" w:hAnsi="Candara"/>
          <w:sz w:val="28"/>
          <w:szCs w:val="28"/>
          <w:lang w:val="fr-FR"/>
        </w:rPr>
      </w:pPr>
      <w:bookmarkStart w:id="25" w:name="_Toc392690471"/>
      <w:bookmarkStart w:id="26" w:name="_Toc496827305"/>
      <w:bookmarkStart w:id="27" w:name="_Toc74241374"/>
      <w:r w:rsidRPr="00046E7D">
        <w:rPr>
          <w:rFonts w:ascii="Candara" w:hAnsi="Candara"/>
          <w:sz w:val="28"/>
          <w:szCs w:val="28"/>
          <w:lang w:val="fr-FR"/>
        </w:rPr>
        <w:lastRenderedPageBreak/>
        <w:t>2.  Description du Programme et de ses risques environnementaux et sociaux potentiels</w:t>
      </w:r>
      <w:bookmarkEnd w:id="25"/>
      <w:bookmarkEnd w:id="26"/>
      <w:bookmarkEnd w:id="27"/>
    </w:p>
    <w:p w14:paraId="4FEC2FEE" w14:textId="77777777" w:rsidR="00001962" w:rsidRDefault="00001962" w:rsidP="00001962">
      <w:pPr>
        <w:spacing w:line="240" w:lineRule="auto"/>
        <w:ind w:left="1134" w:right="686"/>
        <w:jc w:val="both"/>
        <w:rPr>
          <w:rFonts w:ascii="Candara" w:hAnsi="Candara"/>
          <w:i/>
          <w:iCs/>
          <w:sz w:val="20"/>
          <w:szCs w:val="20"/>
        </w:rPr>
      </w:pPr>
    </w:p>
    <w:p w14:paraId="1F61A34C" w14:textId="2547D612" w:rsidR="0099191E" w:rsidRPr="00046E7D" w:rsidRDefault="0099191E" w:rsidP="00046E7D">
      <w:pPr>
        <w:spacing w:line="240" w:lineRule="auto"/>
        <w:ind w:left="1134" w:right="686"/>
        <w:jc w:val="both"/>
        <w:rPr>
          <w:rFonts w:ascii="Candara" w:hAnsi="Candara"/>
          <w:i/>
          <w:iCs/>
          <w:sz w:val="20"/>
          <w:szCs w:val="20"/>
        </w:rPr>
      </w:pPr>
      <w:r w:rsidRPr="00046E7D">
        <w:rPr>
          <w:rFonts w:ascii="Candara" w:hAnsi="Candara"/>
          <w:i/>
          <w:iCs/>
          <w:sz w:val="20"/>
          <w:szCs w:val="20"/>
        </w:rPr>
        <w:t>Cette deuxième section décrit la nature et les caractéristiques du PPR proposé, en présentant successivement : (i) les objectifs de développement et les composantes envisagées, y compris les principaux investissements physiques qui seront faits pendant la durée du programme ; (ii) les zones géographiques où le programme interviendra ; et (iii) la liste des principales institutions aux niveaux national qui seront impliquées dans la préparation et la mise en œuvre du Programme.</w:t>
      </w:r>
    </w:p>
    <w:p w14:paraId="5F25D20A" w14:textId="77777777" w:rsidR="0099191E" w:rsidRPr="00046E7D" w:rsidRDefault="0099191E" w:rsidP="00046E7D">
      <w:pPr>
        <w:spacing w:line="240" w:lineRule="auto"/>
        <w:ind w:left="1134" w:right="686"/>
        <w:jc w:val="both"/>
        <w:rPr>
          <w:rFonts w:ascii="Candara" w:hAnsi="Candara"/>
          <w:i/>
          <w:iCs/>
          <w:sz w:val="20"/>
          <w:szCs w:val="20"/>
        </w:rPr>
      </w:pPr>
      <w:r w:rsidRPr="00046E7D">
        <w:rPr>
          <w:rFonts w:ascii="Candara" w:hAnsi="Candara"/>
          <w:i/>
          <w:iCs/>
          <w:sz w:val="20"/>
          <w:szCs w:val="20"/>
        </w:rPr>
        <w:t>Par la suite, la section analyse en détail les principaux effets environnementaux et sociaux anticipés, en distinguant d’une part, les avantages et, d’autre part, les risques négatifs, qui seront associés au Programme. Des mesures spécifiques pour atténuer l’impact des différents risques sont aussi identifiées.</w:t>
      </w:r>
    </w:p>
    <w:p w14:paraId="48F7A5DF" w14:textId="77777777" w:rsidR="0099191E" w:rsidRPr="003A404D" w:rsidRDefault="0099191E" w:rsidP="0099191E"/>
    <w:p w14:paraId="5FA3267D" w14:textId="37BB6187" w:rsidR="0099191E" w:rsidRPr="00046E7D" w:rsidRDefault="0099191E" w:rsidP="0099191E">
      <w:pPr>
        <w:pStyle w:val="Heading2"/>
        <w:rPr>
          <w:rFonts w:ascii="Candara" w:hAnsi="Candara"/>
          <w:color w:val="auto"/>
          <w:lang w:val="fr-FR"/>
        </w:rPr>
      </w:pPr>
      <w:bookmarkStart w:id="28" w:name="_Toc496827306"/>
      <w:bookmarkStart w:id="29" w:name="_Toc74241375"/>
      <w:r w:rsidRPr="00046E7D">
        <w:rPr>
          <w:rFonts w:ascii="Candara" w:hAnsi="Candara"/>
          <w:color w:val="auto"/>
          <w:lang w:val="fr-FR"/>
        </w:rPr>
        <w:t xml:space="preserve">2.1 </w:t>
      </w:r>
      <w:bookmarkStart w:id="30" w:name="_Toc392690472"/>
      <w:r w:rsidRPr="00046E7D">
        <w:rPr>
          <w:rFonts w:ascii="Candara" w:hAnsi="Candara"/>
          <w:color w:val="auto"/>
          <w:lang w:val="fr-FR"/>
        </w:rPr>
        <w:t>Éléments clés pour le cadrage et la mise en œuvre du Programme</w:t>
      </w:r>
      <w:bookmarkEnd w:id="28"/>
      <w:bookmarkEnd w:id="29"/>
      <w:bookmarkEnd w:id="30"/>
      <w:r w:rsidRPr="00046E7D">
        <w:rPr>
          <w:rFonts w:ascii="Candara" w:hAnsi="Candara"/>
          <w:color w:val="auto"/>
          <w:lang w:val="fr-FR"/>
        </w:rPr>
        <w:t xml:space="preserve">  </w:t>
      </w:r>
    </w:p>
    <w:p w14:paraId="11087862" w14:textId="3A66ACC2" w:rsidR="0099191E" w:rsidRDefault="00DF7B5B" w:rsidP="0099191E">
      <w:pPr>
        <w:pStyle w:val="Paranumbering"/>
        <w:numPr>
          <w:ilvl w:val="0"/>
          <w:numId w:val="0"/>
        </w:numPr>
        <w:rPr>
          <w:rFonts w:asciiTheme="minorHAnsi" w:hAnsiTheme="minorHAnsi" w:cstheme="minorHAnsi"/>
          <w:color w:val="auto"/>
          <w:u w:val="single"/>
          <w:lang w:val="fr-FR"/>
        </w:rPr>
      </w:pPr>
      <w:bookmarkStart w:id="31" w:name="_Toc381105885"/>
      <w:bookmarkStart w:id="32" w:name="_Toc381105996"/>
      <w:r w:rsidRPr="00DF7B5B">
        <w:rPr>
          <w:rFonts w:asciiTheme="minorHAnsi" w:hAnsiTheme="minorHAnsi" w:cstheme="minorHAnsi"/>
          <w:color w:val="auto"/>
          <w:u w:val="single"/>
          <w:lang w:val="fr-FR"/>
        </w:rPr>
        <w:t>Viabilité budgétaire</w:t>
      </w:r>
    </w:p>
    <w:p w14:paraId="26545F5E" w14:textId="3E2991FD" w:rsidR="009C5F73" w:rsidRDefault="00DF7B5B" w:rsidP="001C6D8C">
      <w:pPr>
        <w:numPr>
          <w:ilvl w:val="0"/>
          <w:numId w:val="11"/>
        </w:numPr>
        <w:autoSpaceDE w:val="0"/>
        <w:autoSpaceDN w:val="0"/>
        <w:adjustRightInd w:val="0"/>
        <w:spacing w:before="120" w:after="0" w:line="360" w:lineRule="auto"/>
        <w:contextualSpacing/>
        <w:jc w:val="both"/>
        <w:rPr>
          <w:rFonts w:cstheme="minorHAnsi"/>
        </w:rPr>
      </w:pPr>
      <w:r w:rsidRPr="009C5F73">
        <w:rPr>
          <w:rFonts w:cstheme="minorHAnsi"/>
        </w:rPr>
        <w:t>En 2013, en réponse aux chocs extérieurs auxquels le pays était confronté, le Maroc a lancé un processus d'assainissement budgétaire et de développement des recettes qui lui a permis de réduire son déficit budgétaire de 6,8 % du PIB en 2012 à 3,7 % en 2018. Grâce aux progrès réalisés en matière de consolidation budgétaire, le ratio de la dette au PIB s'est stabilisé à environ 65 % du PIB en 2016. Ce processus d'assainissement comprenait la libéralisation des prix des carburants, l'amélioration du recouvrement des impôts et la limitation de la masse salariale. Toutefois, le déficit budgétaire a recommencé à se creuser en 2019, atteignant 4,1 % du PIB, les recettes de l'impôt sur les sociétés ayant été plus faibles que prévu</w:t>
      </w:r>
      <w:r w:rsidR="00276DC3">
        <w:rPr>
          <w:rFonts w:cstheme="minorHAnsi"/>
        </w:rPr>
        <w:t>es</w:t>
      </w:r>
      <w:r w:rsidRPr="009C5F73">
        <w:rPr>
          <w:rFonts w:cstheme="minorHAnsi"/>
        </w:rPr>
        <w:t xml:space="preserve">. </w:t>
      </w:r>
      <w:r w:rsidR="009C5F73" w:rsidRPr="009C5F73">
        <w:rPr>
          <w:rFonts w:cstheme="minorHAnsi"/>
        </w:rPr>
        <w:t>Le Maroc a entrepris une réforme majeure de son cadre de gestion budgétaire. Cette réforme a été inscrite dans une nouvelle loi organique des finances (LOF), adoptée en 2015.</w:t>
      </w:r>
      <w:r w:rsidR="009C5F73" w:rsidRPr="009C5F73">
        <w:t xml:space="preserve"> </w:t>
      </w:r>
      <w:r w:rsidR="009C5F73" w:rsidRPr="009C5F73">
        <w:rPr>
          <w:rFonts w:cstheme="minorHAnsi"/>
        </w:rPr>
        <w:t>Les mesures prises jusqu'à présent ont mis en route un processus de réforme structurelle qui vise non seulement à transformer les procédures budgétaires, mais aussi à moderniser en profondeur les méthodes de gestion de l'administration publique. Ainsi, à partir de 2018, les ministères ont adopté la gestion axée sur la performance instituée par la LOF</w:t>
      </w:r>
      <w:r w:rsidR="009C5F73">
        <w:rPr>
          <w:rFonts w:cstheme="minorHAnsi"/>
        </w:rPr>
        <w:t>.</w:t>
      </w:r>
    </w:p>
    <w:p w14:paraId="43946FE6" w14:textId="77A8EB36" w:rsidR="00D70CCF" w:rsidRPr="009C5F73" w:rsidRDefault="00D70CCF" w:rsidP="00C91554">
      <w:pPr>
        <w:pStyle w:val="Paranumbering"/>
        <w:numPr>
          <w:ilvl w:val="0"/>
          <w:numId w:val="0"/>
        </w:numPr>
        <w:ind w:left="360" w:right="-23" w:hanging="360"/>
        <w:rPr>
          <w:rFonts w:asciiTheme="minorHAnsi" w:hAnsiTheme="minorHAnsi" w:cstheme="minorHAnsi"/>
          <w:color w:val="auto"/>
          <w:szCs w:val="24"/>
          <w:u w:val="single"/>
          <w:lang w:val="fr-FR"/>
        </w:rPr>
      </w:pPr>
      <w:r w:rsidRPr="009C5F73">
        <w:rPr>
          <w:rFonts w:asciiTheme="minorHAnsi" w:hAnsiTheme="minorHAnsi" w:cstheme="minorHAnsi"/>
          <w:color w:val="auto"/>
          <w:szCs w:val="24"/>
          <w:u w:val="single"/>
          <w:lang w:val="fr-FR"/>
        </w:rPr>
        <w:t>Réforme du secteur public</w:t>
      </w:r>
    </w:p>
    <w:p w14:paraId="6ACD0EA5" w14:textId="1D881530" w:rsidR="00D9367B" w:rsidRDefault="00D70CCF" w:rsidP="00D85E9B">
      <w:pPr>
        <w:numPr>
          <w:ilvl w:val="0"/>
          <w:numId w:val="11"/>
        </w:numPr>
        <w:autoSpaceDE w:val="0"/>
        <w:autoSpaceDN w:val="0"/>
        <w:adjustRightInd w:val="0"/>
        <w:spacing w:before="120" w:after="0" w:line="360" w:lineRule="auto"/>
        <w:contextualSpacing/>
        <w:jc w:val="both"/>
        <w:rPr>
          <w:rFonts w:cstheme="minorHAnsi"/>
        </w:rPr>
      </w:pPr>
      <w:r w:rsidRPr="00D70CCF">
        <w:rPr>
          <w:rFonts w:cstheme="minorHAnsi"/>
        </w:rPr>
        <w:t xml:space="preserve">Le gouvernement a ancré ses nouvelles réformes du secteur public dans une série de stratégies nationales et sectorielles, ainsi que dans l'adaptation continue du cadre législatif. Sous la direction du département de la réforme administrative du ministère des finances, le Plan national de la réforme de l'administration (PNRA) 2018-2021 incarne les tentatives du gouvernement de transformer son administration depuis 2018. Le PNRA comprend quatre priorités structurelles de "transformation" réparties en 24 projets : organisationnel, managérial, numérique et éthique. Ce </w:t>
      </w:r>
      <w:r w:rsidRPr="00D70CCF">
        <w:rPr>
          <w:rFonts w:cstheme="minorHAnsi"/>
        </w:rPr>
        <w:lastRenderedPageBreak/>
        <w:t>plan national transversal a été complété par des stratégies sectorielles visant à favoriser une gestion saine des finances publiques, à améliorer l'efficacité des dépenses publiques et la mobilisation des recettes intérieures et à renforcer le programme de gouvernement numérique. En ce qui concerne l'efficacité des dépenses publiques, le Plan national de dématérialisation de la commande publique (PDCP) vise à moderniser les marchés publics, notamment en stimulant l'adoption de la plateforme d'achats électroniques. En ce qui concerne la mobilisation des recettes intérieures, le plan d'action stratégique de la DGI pour 2017-2021 vise à accroître les recettes publiques en investissant dans les outils numériques et en tirant parti de la collecte et de l'analyse des données. En matière de gestion des finances publiques, la feuille de route pour la mise en œuvre du LOF 2015 a donné des résultats significatifs. Le programme ENNAJAA s'appuiera sur ses réalisations pour pousser à sa pleine opérationnalisation. Enfin, en ce qui concerne la réforme de l'administration numérique, la note d'orientation générale (NOG) pour 2025, récemment adoptée, comporte une forte composante d'administration électronique, qui sera mise en œuvre au cours des cinq prochaines années.  Ces réformes, dont beaucoup expireront au cours de l'année prochaine, sont soutenues par une révision complète de la législation. Il s'agit notamment de la prochaine loi-cadre sur la fiscalité ainsi que des lois sur la simplification des procédures administratives et l'administration numérique.</w:t>
      </w:r>
    </w:p>
    <w:p w14:paraId="08A18CCF" w14:textId="14B38081" w:rsidR="002815E2" w:rsidRPr="006B3B8A" w:rsidRDefault="002815E2" w:rsidP="002815E2">
      <w:pPr>
        <w:pStyle w:val="Paranumbering"/>
        <w:numPr>
          <w:ilvl w:val="0"/>
          <w:numId w:val="0"/>
        </w:numPr>
        <w:ind w:left="360" w:right="-23" w:hanging="360"/>
        <w:rPr>
          <w:rFonts w:asciiTheme="minorHAnsi" w:hAnsiTheme="minorHAnsi" w:cstheme="minorHAnsi"/>
          <w:color w:val="auto"/>
          <w:szCs w:val="24"/>
          <w:u w:val="single"/>
          <w:lang w:val="fr-FR"/>
        </w:rPr>
      </w:pPr>
      <w:r w:rsidRPr="006B3B8A">
        <w:rPr>
          <w:rFonts w:asciiTheme="minorHAnsi" w:hAnsiTheme="minorHAnsi" w:cstheme="minorHAnsi"/>
          <w:color w:val="auto"/>
          <w:szCs w:val="24"/>
          <w:u w:val="single"/>
          <w:lang w:val="fr-FR"/>
        </w:rPr>
        <w:t>Impacts de la crise Covid-19</w:t>
      </w:r>
    </w:p>
    <w:p w14:paraId="3648CF87" w14:textId="13940451" w:rsidR="002815E2" w:rsidRPr="002815E2" w:rsidRDefault="002815E2" w:rsidP="00D85E9B">
      <w:pPr>
        <w:numPr>
          <w:ilvl w:val="0"/>
          <w:numId w:val="11"/>
        </w:numPr>
        <w:autoSpaceDE w:val="0"/>
        <w:autoSpaceDN w:val="0"/>
        <w:adjustRightInd w:val="0"/>
        <w:spacing w:before="120" w:after="0" w:line="360" w:lineRule="auto"/>
        <w:contextualSpacing/>
        <w:jc w:val="both"/>
        <w:rPr>
          <w:rFonts w:cstheme="minorHAnsi"/>
        </w:rPr>
      </w:pPr>
      <w:bookmarkStart w:id="33" w:name="_Hlk38619317"/>
      <w:r w:rsidRPr="002815E2">
        <w:rPr>
          <w:rFonts w:cstheme="minorHAnsi"/>
        </w:rPr>
        <w:t xml:space="preserve">La crise de Covid-19 a eu un impact négatif sur l'économie du Royaume. Elle a mis un frein à la croissance économique qui dure depuis des décennies et compromet la capacité du pays à suivre son ambitieux programme de réformes. En 2020, on estime que le PIB réel a diminué de 6,3 %. Dans le même temps, on estime que le déficit public a augmenté à 7,8 % et que la dette publique a atteint 76 %. Cela limite la capacité du gouvernement à utiliser la dette publique comme un levier financier pour faire face aux défis socio-économiques croissants et compenser la perte de recettes publiques. Dans le même temps, les conditions climatiques sévères de 2020 ont eu un impact négatif sur la production agricole. Dans l'ensemble, la crise du Covid-19 a été un coup dur pour le secteur privé marocain et a entravé sa capacité à créer des emplois : 6,1 % des entreprises du secteur formel auraient cessé leurs activités en 2020. Cet affaiblissement des performances du secteur privé incite de plus en plus les citoyens à se tourner vers le secteur public pour trouver des solutions. </w:t>
      </w:r>
    </w:p>
    <w:p w14:paraId="40B81706" w14:textId="307D64AA" w:rsidR="00A2079A" w:rsidRPr="00046E7D" w:rsidRDefault="002815E2" w:rsidP="00D85E9B">
      <w:pPr>
        <w:numPr>
          <w:ilvl w:val="0"/>
          <w:numId w:val="11"/>
        </w:numPr>
        <w:autoSpaceDE w:val="0"/>
        <w:autoSpaceDN w:val="0"/>
        <w:adjustRightInd w:val="0"/>
        <w:spacing w:before="120" w:after="0" w:line="360" w:lineRule="auto"/>
        <w:contextualSpacing/>
        <w:jc w:val="both"/>
        <w:rPr>
          <w:rFonts w:cstheme="minorHAnsi"/>
        </w:rPr>
      </w:pPr>
      <w:r w:rsidRPr="002815E2">
        <w:rPr>
          <w:rFonts w:cstheme="minorHAnsi"/>
        </w:rPr>
        <w:t xml:space="preserve">La situation économique tendue a également poussé le gouvernement à accroître ses efforts pour moderniser son administration publique. La pandémie a conduit à une réévaluation du rôle des institutions du secteur public dans la gestion et l'atténuation de l'impact social et économique de la pandémie. Au plus fort de la crise, les autorités nationales et locales ont pu assurer la continuité </w:t>
      </w:r>
      <w:r w:rsidRPr="002815E2">
        <w:rPr>
          <w:rFonts w:cstheme="minorHAnsi"/>
        </w:rPr>
        <w:lastRenderedPageBreak/>
        <w:t xml:space="preserve">du service public aux populations les plus vulnérables. Bien qu'elles aient également été durement touchées par la pandémie, elles ont fait preuve d'une plus grande résilience et ont été à l'avant-garde de la réponse du gouvernement au Covid-19. Néanmoins, la baisse considérable des recettes publiques combinée à l'augmentation substantielle des dépenses publiques pour financer le plan de relance et le nouveau fonds d'investissement stratégique ont exacerbé la nécessité de poursuivre la réforme de l'administration publique marocaine. En août 2020, le chef du gouvernement a défini les principales orientations devant guider la loi de finances 2021 et a identifié la rationalisation de la gestion du secteur public et la numérisation des services publics comme des réformes clés à poursuivre. Comme indiqué dans la note de présentation de la loi de finances 2021, l'amélioration des performances du secteur public et la création d'une culture d'excellence dans les institutions de l'État constituent l'un des quatre piliers du plan d'action du gouvernement pour l'exercice 2021 et au-delà.  </w:t>
      </w:r>
    </w:p>
    <w:p w14:paraId="71582894" w14:textId="6E730C82" w:rsidR="00515019" w:rsidRPr="00046E7D" w:rsidRDefault="00515019" w:rsidP="00515019">
      <w:pPr>
        <w:pStyle w:val="Paranumbering"/>
        <w:numPr>
          <w:ilvl w:val="0"/>
          <w:numId w:val="0"/>
        </w:numPr>
        <w:rPr>
          <w:rFonts w:asciiTheme="minorHAnsi" w:hAnsiTheme="minorHAnsi" w:cstheme="minorHAnsi"/>
          <w:color w:val="auto"/>
          <w:u w:val="single"/>
          <w:lang w:val="fr-FR"/>
        </w:rPr>
      </w:pPr>
      <w:r w:rsidRPr="00046E7D">
        <w:rPr>
          <w:rFonts w:asciiTheme="minorHAnsi" w:hAnsiTheme="minorHAnsi" w:cstheme="minorHAnsi"/>
          <w:color w:val="auto"/>
          <w:u w:val="single"/>
          <w:lang w:val="fr-FR"/>
        </w:rPr>
        <w:t>Domaine du digital</w:t>
      </w:r>
    </w:p>
    <w:p w14:paraId="5D35D2FA" w14:textId="653A46F2" w:rsidR="006B3B8A" w:rsidRDefault="006B3B8A" w:rsidP="00D85E9B">
      <w:pPr>
        <w:numPr>
          <w:ilvl w:val="0"/>
          <w:numId w:val="11"/>
        </w:numPr>
        <w:autoSpaceDE w:val="0"/>
        <w:autoSpaceDN w:val="0"/>
        <w:adjustRightInd w:val="0"/>
        <w:spacing w:before="120" w:after="0" w:line="360" w:lineRule="auto"/>
        <w:contextualSpacing/>
        <w:jc w:val="both"/>
        <w:rPr>
          <w:rFonts w:cstheme="minorHAnsi"/>
        </w:rPr>
      </w:pPr>
      <w:r w:rsidRPr="006B3B8A">
        <w:rPr>
          <w:rFonts w:cstheme="minorHAnsi"/>
        </w:rPr>
        <w:t xml:space="preserve">Actuellement, les efforts du Maroc pour soutenir la numérisation du secteur public et améliorer la qualité de la prestation de services sont entravés par sa capacité à fournir des services simplifiés et transactionnels. Cela se reflète dans sa position dans l'indice de développement du </w:t>
      </w:r>
      <w:r w:rsidR="00DE6348">
        <w:rPr>
          <w:rFonts w:cstheme="minorHAnsi"/>
        </w:rPr>
        <w:br/>
      </w:r>
      <w:r w:rsidRPr="006B3B8A">
        <w:rPr>
          <w:rFonts w:cstheme="minorHAnsi"/>
        </w:rPr>
        <w:t>E</w:t>
      </w:r>
      <w:r w:rsidR="00DE6348">
        <w:rPr>
          <w:rFonts w:cstheme="minorHAnsi"/>
        </w:rPr>
        <w:t>-</w:t>
      </w:r>
      <w:proofErr w:type="spellStart"/>
      <w:r w:rsidRPr="006B3B8A">
        <w:rPr>
          <w:rFonts w:cstheme="minorHAnsi"/>
        </w:rPr>
        <w:t>Government</w:t>
      </w:r>
      <w:proofErr w:type="spellEnd"/>
      <w:r w:rsidRPr="006B3B8A">
        <w:rPr>
          <w:rFonts w:cstheme="minorHAnsi"/>
        </w:rPr>
        <w:t xml:space="preserve"> (IDEG) des Nations unies, où le Maroc est passé de la 85e place en 2016 à </w:t>
      </w:r>
      <w:r>
        <w:rPr>
          <w:rFonts w:cstheme="minorHAnsi"/>
        </w:rPr>
        <w:t xml:space="preserve">la </w:t>
      </w:r>
      <w:r w:rsidRPr="006B3B8A">
        <w:rPr>
          <w:rFonts w:cstheme="minorHAnsi"/>
        </w:rPr>
        <w:t>110</w:t>
      </w:r>
      <w:r>
        <w:rPr>
          <w:rFonts w:cstheme="minorHAnsi"/>
        </w:rPr>
        <w:t>e</w:t>
      </w:r>
      <w:r w:rsidRPr="006B3B8A">
        <w:rPr>
          <w:rFonts w:cstheme="minorHAnsi"/>
        </w:rPr>
        <w:t xml:space="preserve"> en 2018, s'améliorant légèrement en 2020, </w:t>
      </w:r>
      <w:r w:rsidR="00591AFC">
        <w:rPr>
          <w:rFonts w:cstheme="minorHAnsi"/>
        </w:rPr>
        <w:t xml:space="preserve">où il passe </w:t>
      </w:r>
      <w:r w:rsidRPr="006B3B8A">
        <w:rPr>
          <w:rFonts w:cstheme="minorHAnsi"/>
        </w:rPr>
        <w:t xml:space="preserve">à la 106e place. </w:t>
      </w:r>
      <w:r w:rsidR="00591AFC">
        <w:rPr>
          <w:rFonts w:cstheme="minorHAnsi"/>
        </w:rPr>
        <w:t>C</w:t>
      </w:r>
      <w:r w:rsidRPr="006B3B8A">
        <w:rPr>
          <w:rFonts w:cstheme="minorHAnsi"/>
        </w:rPr>
        <w:t>es résultats sont basés sur la performance du pays dans le sous-indicateur de l'indice des services en ligne.</w:t>
      </w:r>
    </w:p>
    <w:p w14:paraId="0F955B10" w14:textId="3A5B576D" w:rsidR="009C5F73" w:rsidRDefault="009C5F73" w:rsidP="00D85E9B">
      <w:pPr>
        <w:numPr>
          <w:ilvl w:val="0"/>
          <w:numId w:val="11"/>
        </w:numPr>
        <w:autoSpaceDE w:val="0"/>
        <w:autoSpaceDN w:val="0"/>
        <w:adjustRightInd w:val="0"/>
        <w:spacing w:before="120" w:after="0" w:line="360" w:lineRule="auto"/>
        <w:contextualSpacing/>
        <w:jc w:val="both"/>
        <w:rPr>
          <w:rFonts w:cstheme="minorHAnsi"/>
        </w:rPr>
      </w:pPr>
      <w:r w:rsidRPr="009C5F73">
        <w:rPr>
          <w:rFonts w:cstheme="minorHAnsi"/>
        </w:rPr>
        <w:t>Grâce aux plateformes de e-</w:t>
      </w:r>
      <w:proofErr w:type="spellStart"/>
      <w:r w:rsidRPr="009C5F73">
        <w:rPr>
          <w:rFonts w:cstheme="minorHAnsi"/>
        </w:rPr>
        <w:t>filling</w:t>
      </w:r>
      <w:proofErr w:type="spellEnd"/>
      <w:r w:rsidRPr="009C5F73">
        <w:rPr>
          <w:rFonts w:cstheme="minorHAnsi"/>
        </w:rPr>
        <w:t xml:space="preserve"> et de e-paiement, la DGI a augmenté sa base fiscale de 20 % depuis 2015 et ses ressources fiscales de 7 % depuis 2017. De même, la DGI a numérisé une partie de son back-office et a obtenu des résultats significatifs. L'introduction et la généralisation des opérations sans papier ont permis de réduire considérablement le coût et le temps de traitement des dossiers.</w:t>
      </w:r>
    </w:p>
    <w:p w14:paraId="19785316" w14:textId="460A83BC" w:rsidR="00A2079A" w:rsidRPr="009C5F73" w:rsidRDefault="00A2079A" w:rsidP="00D85E9B">
      <w:pPr>
        <w:numPr>
          <w:ilvl w:val="0"/>
          <w:numId w:val="11"/>
        </w:numPr>
        <w:autoSpaceDE w:val="0"/>
        <w:autoSpaceDN w:val="0"/>
        <w:adjustRightInd w:val="0"/>
        <w:spacing w:before="120" w:after="0" w:line="360" w:lineRule="auto"/>
        <w:contextualSpacing/>
        <w:jc w:val="both"/>
        <w:rPr>
          <w:rFonts w:cstheme="minorHAnsi"/>
        </w:rPr>
      </w:pPr>
      <w:r w:rsidRPr="009C5F73">
        <w:rPr>
          <w:rFonts w:cstheme="minorHAnsi"/>
        </w:rPr>
        <w:t xml:space="preserve">Le Plan Maroc Numérique 2020 (PMN) développé par le </w:t>
      </w:r>
      <w:r w:rsidR="000A51F2" w:rsidRPr="000A51F2">
        <w:rPr>
          <w:rFonts w:cstheme="minorHAnsi"/>
        </w:rPr>
        <w:t>Ministère de l'Industrie, du Commerce et de l'Economie Verte et Numérique</w:t>
      </w:r>
      <w:r w:rsidRPr="009C5F73">
        <w:rPr>
          <w:rFonts w:cstheme="minorHAnsi"/>
        </w:rPr>
        <w:t xml:space="preserve"> (MICE</w:t>
      </w:r>
      <w:r w:rsidR="000A51F2">
        <w:rPr>
          <w:rFonts w:cstheme="minorHAnsi"/>
        </w:rPr>
        <w:t>V</w:t>
      </w:r>
      <w:r w:rsidRPr="009C5F73">
        <w:rPr>
          <w:rFonts w:cstheme="minorHAnsi"/>
        </w:rPr>
        <w:t xml:space="preserve">N) constitue la vision pour le développement de l'économie numérique au Maroc. En 2016, l'Agence de développement </w:t>
      </w:r>
      <w:r w:rsidR="000A51F2">
        <w:rPr>
          <w:rFonts w:cstheme="minorHAnsi"/>
        </w:rPr>
        <w:t>du digital</w:t>
      </w:r>
      <w:r w:rsidR="000A51F2" w:rsidRPr="009C5F73">
        <w:rPr>
          <w:rFonts w:cstheme="minorHAnsi"/>
        </w:rPr>
        <w:t xml:space="preserve"> </w:t>
      </w:r>
      <w:r w:rsidRPr="009C5F73">
        <w:rPr>
          <w:rFonts w:cstheme="minorHAnsi"/>
        </w:rPr>
        <w:t>(ADD), a été créée pour entreprendre la mise en œuvre du P</w:t>
      </w:r>
      <w:r w:rsidR="006B3B8A">
        <w:rPr>
          <w:rFonts w:cstheme="minorHAnsi"/>
        </w:rPr>
        <w:t>MN</w:t>
      </w:r>
      <w:r w:rsidRPr="009C5F73">
        <w:rPr>
          <w:rFonts w:cstheme="minorHAnsi"/>
        </w:rPr>
        <w:t xml:space="preserve"> 2020 et soutenir la mise en œuvre et le développement de l'économie numérique, en favorisant la diffusion des outils numériques et en favorisant leur utilisation auprès de la population</w:t>
      </w:r>
    </w:p>
    <w:p w14:paraId="55C442E7" w14:textId="77777777" w:rsidR="00FB772B" w:rsidRPr="00046E7D" w:rsidRDefault="00FB772B" w:rsidP="00FB772B">
      <w:pPr>
        <w:pStyle w:val="Heading2"/>
        <w:rPr>
          <w:rFonts w:ascii="Candara" w:hAnsi="Candara"/>
          <w:color w:val="auto"/>
          <w:lang w:val="fr-FR"/>
        </w:rPr>
      </w:pPr>
      <w:bookmarkStart w:id="34" w:name="_Toc496827307"/>
      <w:bookmarkStart w:id="35" w:name="_Toc74241376"/>
      <w:bookmarkEnd w:id="33"/>
      <w:r w:rsidRPr="00046E7D">
        <w:rPr>
          <w:rFonts w:ascii="Candara" w:hAnsi="Candara"/>
          <w:color w:val="auto"/>
          <w:lang w:val="fr-FR"/>
        </w:rPr>
        <w:t>2.2 Contenu, coûts et échéancier du Programme</w:t>
      </w:r>
      <w:bookmarkEnd w:id="34"/>
      <w:bookmarkEnd w:id="35"/>
      <w:r w:rsidRPr="00046E7D">
        <w:rPr>
          <w:rFonts w:ascii="Candara" w:hAnsi="Candara"/>
          <w:color w:val="auto"/>
          <w:lang w:val="fr-FR"/>
        </w:rPr>
        <w:tab/>
      </w:r>
    </w:p>
    <w:p w14:paraId="65476F0F" w14:textId="77777777" w:rsidR="00FB772B" w:rsidRPr="00046E7D" w:rsidRDefault="00FB772B" w:rsidP="00FB772B">
      <w:pPr>
        <w:pStyle w:val="Heading3"/>
        <w:rPr>
          <w:rFonts w:ascii="Candara" w:hAnsi="Candara"/>
          <w:color w:val="auto"/>
          <w:lang w:val="fr-FR"/>
        </w:rPr>
      </w:pPr>
      <w:bookmarkStart w:id="36" w:name="_Toc496827308"/>
      <w:bookmarkStart w:id="37" w:name="_Toc40218543"/>
      <w:bookmarkStart w:id="38" w:name="_Toc40219581"/>
      <w:bookmarkStart w:id="39" w:name="_Toc74241377"/>
      <w:r w:rsidRPr="00046E7D">
        <w:rPr>
          <w:rFonts w:ascii="Candara" w:hAnsi="Candara"/>
          <w:color w:val="auto"/>
          <w:lang w:val="fr-FR"/>
        </w:rPr>
        <w:t>2.2.1 Contenu du Programme</w:t>
      </w:r>
      <w:bookmarkEnd w:id="36"/>
      <w:bookmarkEnd w:id="37"/>
      <w:bookmarkEnd w:id="38"/>
      <w:bookmarkEnd w:id="39"/>
      <w:r w:rsidRPr="00046E7D">
        <w:rPr>
          <w:rFonts w:ascii="Candara" w:hAnsi="Candara"/>
          <w:color w:val="auto"/>
          <w:lang w:val="fr-FR"/>
        </w:rPr>
        <w:tab/>
      </w:r>
    </w:p>
    <w:p w14:paraId="007C75CF" w14:textId="28997A25" w:rsidR="00FB772B" w:rsidRDefault="00FB772B" w:rsidP="00B33704">
      <w:pPr>
        <w:pStyle w:val="Paranumbering"/>
        <w:numPr>
          <w:ilvl w:val="0"/>
          <w:numId w:val="9"/>
        </w:numPr>
        <w:ind w:left="426" w:right="-23" w:hanging="426"/>
        <w:rPr>
          <w:rFonts w:asciiTheme="minorHAnsi" w:hAnsiTheme="minorHAnsi" w:cstheme="minorHAnsi"/>
          <w:color w:val="auto"/>
          <w:sz w:val="22"/>
          <w:szCs w:val="22"/>
          <w:lang w:val="fr-FR"/>
        </w:rPr>
      </w:pPr>
      <w:bookmarkStart w:id="40" w:name="_Toc381105893"/>
      <w:bookmarkStart w:id="41" w:name="_Toc381106004"/>
      <w:bookmarkEnd w:id="31"/>
      <w:bookmarkEnd w:id="32"/>
      <w:r w:rsidRPr="00046E7D">
        <w:rPr>
          <w:rFonts w:asciiTheme="minorHAnsi" w:hAnsiTheme="minorHAnsi" w:cstheme="minorHAnsi"/>
          <w:color w:val="auto"/>
          <w:sz w:val="22"/>
          <w:szCs w:val="22"/>
          <w:lang w:val="fr-FR"/>
        </w:rPr>
        <w:t xml:space="preserve">Le Programme proposé comprend trois domaines de résultats qui se renforcent mutuellement et </w:t>
      </w:r>
      <w:r w:rsidR="00A029CD" w:rsidRPr="00046E7D">
        <w:rPr>
          <w:rFonts w:asciiTheme="minorHAnsi" w:hAnsiTheme="minorHAnsi" w:cstheme="minorHAnsi"/>
          <w:color w:val="auto"/>
          <w:sz w:val="22"/>
          <w:szCs w:val="22"/>
          <w:lang w:val="fr-FR"/>
        </w:rPr>
        <w:lastRenderedPageBreak/>
        <w:t>se composent</w:t>
      </w:r>
      <w:r w:rsidRPr="00046E7D">
        <w:rPr>
          <w:rFonts w:asciiTheme="minorHAnsi" w:hAnsiTheme="minorHAnsi" w:cstheme="minorHAnsi"/>
          <w:color w:val="auto"/>
          <w:sz w:val="22"/>
          <w:szCs w:val="22"/>
          <w:lang w:val="fr-FR"/>
        </w:rPr>
        <w:t xml:space="preserve"> chacun </w:t>
      </w:r>
      <w:r w:rsidR="00A029CD" w:rsidRPr="00046E7D">
        <w:rPr>
          <w:rFonts w:asciiTheme="minorHAnsi" w:hAnsiTheme="minorHAnsi" w:cstheme="minorHAnsi"/>
          <w:color w:val="auto"/>
          <w:sz w:val="22"/>
          <w:szCs w:val="22"/>
          <w:lang w:val="fr-FR"/>
        </w:rPr>
        <w:t>d’</w:t>
      </w:r>
      <w:r w:rsidRPr="00046E7D">
        <w:rPr>
          <w:rFonts w:asciiTheme="minorHAnsi" w:hAnsiTheme="minorHAnsi" w:cstheme="minorHAnsi"/>
          <w:color w:val="auto"/>
          <w:sz w:val="22"/>
          <w:szCs w:val="22"/>
          <w:lang w:val="fr-FR"/>
        </w:rPr>
        <w:t xml:space="preserve">un ensemble d’activités dont plusieurs contribueraient à plus d'un domaine de résultats : </w:t>
      </w:r>
    </w:p>
    <w:p w14:paraId="5FFBEFCA" w14:textId="24CA54AB" w:rsidR="00FE77F1" w:rsidRPr="00D85E9B" w:rsidRDefault="00FE77F1" w:rsidP="00D85E9B">
      <w:pPr>
        <w:spacing w:after="0" w:line="240" w:lineRule="auto"/>
        <w:rPr>
          <w:b/>
          <w:bCs/>
          <w:color w:val="0070C0"/>
        </w:rPr>
      </w:pPr>
      <w:bookmarkStart w:id="42" w:name="_Toc496827309"/>
      <w:r w:rsidRPr="00D85E9B">
        <w:rPr>
          <w:b/>
          <w:bCs/>
          <w:color w:val="0070C0"/>
          <w:u w:val="single"/>
        </w:rPr>
        <w:t>Domaine de résultats 1</w:t>
      </w:r>
      <w:r w:rsidR="00514DAE" w:rsidRPr="00D85E9B">
        <w:rPr>
          <w:b/>
          <w:bCs/>
          <w:color w:val="0070C0"/>
        </w:rPr>
        <w:t xml:space="preserve"> </w:t>
      </w:r>
      <w:r w:rsidRPr="00D85E9B">
        <w:rPr>
          <w:b/>
          <w:bCs/>
          <w:color w:val="0070C0"/>
        </w:rPr>
        <w:t xml:space="preserve">: </w:t>
      </w:r>
      <w:r w:rsidR="002D1D51" w:rsidRPr="00D85E9B">
        <w:rPr>
          <w:b/>
          <w:bCs/>
          <w:color w:val="0070C0"/>
        </w:rPr>
        <w:t>Améliorer l'efficacité des dépenses publiques</w:t>
      </w:r>
      <w:r w:rsidR="000846EA" w:rsidRPr="00D85E9B">
        <w:rPr>
          <w:b/>
          <w:bCs/>
          <w:color w:val="0070C0"/>
        </w:rPr>
        <w:t>.</w:t>
      </w:r>
    </w:p>
    <w:p w14:paraId="5F2AF48B" w14:textId="77777777" w:rsidR="00FE77F1" w:rsidRPr="003A404D" w:rsidRDefault="00FE77F1" w:rsidP="00FE77F1">
      <w:pPr>
        <w:spacing w:after="0" w:line="240" w:lineRule="auto"/>
        <w:jc w:val="both"/>
      </w:pPr>
    </w:p>
    <w:p w14:paraId="797B4782" w14:textId="135959A6" w:rsidR="00AA2E4C" w:rsidRDefault="00AA2E4C" w:rsidP="00D85E9B">
      <w:pPr>
        <w:numPr>
          <w:ilvl w:val="0"/>
          <w:numId w:val="11"/>
        </w:numPr>
        <w:autoSpaceDE w:val="0"/>
        <w:autoSpaceDN w:val="0"/>
        <w:adjustRightInd w:val="0"/>
        <w:spacing w:before="120" w:after="0" w:line="360" w:lineRule="auto"/>
        <w:contextualSpacing/>
        <w:jc w:val="both"/>
        <w:rPr>
          <w:rFonts w:cstheme="minorHAnsi"/>
        </w:rPr>
      </w:pPr>
      <w:r w:rsidRPr="00AA2E4C">
        <w:rPr>
          <w:rFonts w:cstheme="minorHAnsi"/>
        </w:rPr>
        <w:t xml:space="preserve">Le </w:t>
      </w:r>
      <w:r w:rsidR="00894F92">
        <w:rPr>
          <w:rFonts w:cstheme="minorHAnsi"/>
        </w:rPr>
        <w:t>P</w:t>
      </w:r>
      <w:r w:rsidRPr="00AA2E4C">
        <w:rPr>
          <w:rFonts w:cstheme="minorHAnsi"/>
        </w:rPr>
        <w:t xml:space="preserve">rogramme soutiendra les efforts du gouvernement pour améliorer l'efficacité des dépenses publiques. La réalisation de cet objectif dépend d'un meilleur contrôle des dépenses publiques. A cette fin, </w:t>
      </w:r>
      <w:bookmarkStart w:id="43" w:name="_Hlk72743985"/>
      <w:r w:rsidRPr="00AA2E4C">
        <w:rPr>
          <w:rFonts w:cstheme="minorHAnsi"/>
        </w:rPr>
        <w:t xml:space="preserve">le </w:t>
      </w:r>
      <w:r w:rsidR="00894F92">
        <w:rPr>
          <w:rFonts w:cstheme="minorHAnsi"/>
        </w:rPr>
        <w:t>P</w:t>
      </w:r>
      <w:r w:rsidRPr="00AA2E4C">
        <w:rPr>
          <w:rFonts w:cstheme="minorHAnsi"/>
        </w:rPr>
        <w:t>rogramme concentrera son soutien sur le renforcement de l'approche de la performance induite par l</w:t>
      </w:r>
      <w:r w:rsidR="00C30703">
        <w:rPr>
          <w:rFonts w:cstheme="minorHAnsi"/>
        </w:rPr>
        <w:t>a</w:t>
      </w:r>
      <w:r w:rsidRPr="00AA2E4C">
        <w:rPr>
          <w:rFonts w:cstheme="minorHAnsi"/>
        </w:rPr>
        <w:t xml:space="preserve"> L</w:t>
      </w:r>
      <w:r w:rsidR="00C30703">
        <w:rPr>
          <w:rFonts w:cstheme="minorHAnsi"/>
        </w:rPr>
        <w:t xml:space="preserve">oi de </w:t>
      </w:r>
      <w:r w:rsidRPr="00AA2E4C">
        <w:rPr>
          <w:rFonts w:cstheme="minorHAnsi"/>
        </w:rPr>
        <w:t>F</w:t>
      </w:r>
      <w:r w:rsidR="00C30703">
        <w:rPr>
          <w:rFonts w:cstheme="minorHAnsi"/>
        </w:rPr>
        <w:t>inances (LOF)</w:t>
      </w:r>
      <w:r w:rsidRPr="00AA2E4C">
        <w:rPr>
          <w:rFonts w:cstheme="minorHAnsi"/>
        </w:rPr>
        <w:t xml:space="preserve"> 2015. </w:t>
      </w:r>
      <w:bookmarkEnd w:id="43"/>
      <w:r w:rsidRPr="00AA2E4C">
        <w:rPr>
          <w:rFonts w:cstheme="minorHAnsi"/>
        </w:rPr>
        <w:t xml:space="preserve">Cette LOF a introduit une nouvelle architecture budgétaire basée sur des programmes de politique publique (avec des objectifs et des indicateurs) et a jeté les bases d'une gestion publique axée sur les résultats. Jusqu'à présent, elle n'a pas été utilisée pour soutenir les processus décisionnels des administrations publiques, pour éclairer les choix budgétaires et alimenter les débats sur les lois budgétaires, ou pour faciliter le dialogue de gestion entre les administrations centrales et leurs services décentralisés. En outre, l'approche fondée sur les performances n'intègre que marginalement la notion d'efficacité des dépenses publiques. Le </w:t>
      </w:r>
      <w:r w:rsidR="00894F92">
        <w:rPr>
          <w:rFonts w:cstheme="minorHAnsi"/>
        </w:rPr>
        <w:t>P</w:t>
      </w:r>
      <w:r w:rsidRPr="00AA2E4C">
        <w:rPr>
          <w:rFonts w:cstheme="minorHAnsi"/>
        </w:rPr>
        <w:t>rogramme vise à relever ces défis et à éviter le risque que l'approche de la performance ne devienne un simple exercice de conformité coûteux plutôt qu'un moyen d'améliorer le fonctionnement des administrations publiques. Cet objectif sera atteint grâce à : (a) réviser les P</w:t>
      </w:r>
      <w:r w:rsidR="00894F92">
        <w:rPr>
          <w:rFonts w:cstheme="minorHAnsi"/>
        </w:rPr>
        <w:t xml:space="preserve">rojets de </w:t>
      </w:r>
      <w:r w:rsidRPr="00AA2E4C">
        <w:rPr>
          <w:rFonts w:cstheme="minorHAnsi"/>
        </w:rPr>
        <w:t>P</w:t>
      </w:r>
      <w:r w:rsidR="00894F92">
        <w:rPr>
          <w:rFonts w:cstheme="minorHAnsi"/>
        </w:rPr>
        <w:t>erformance</w:t>
      </w:r>
      <w:r w:rsidRPr="00AA2E4C">
        <w:rPr>
          <w:rFonts w:cstheme="minorHAnsi"/>
        </w:rPr>
        <w:t xml:space="preserve"> pour améliorer leur pertinence et leur cohérence ; (b) assurer une mise en œuvre efficace de l'approche de performance au niveau décentralisé ; et (c) adopter une approche structurée et institutionnalisée pour identifier les inefficacités dans les dépenses publiques.  </w:t>
      </w:r>
    </w:p>
    <w:p w14:paraId="39F76188" w14:textId="46BF352A" w:rsidR="00894F92" w:rsidRPr="00AA2E4C" w:rsidRDefault="00894F92" w:rsidP="00D85E9B">
      <w:pPr>
        <w:numPr>
          <w:ilvl w:val="0"/>
          <w:numId w:val="11"/>
        </w:numPr>
        <w:autoSpaceDE w:val="0"/>
        <w:autoSpaceDN w:val="0"/>
        <w:adjustRightInd w:val="0"/>
        <w:spacing w:before="120" w:after="0" w:line="360" w:lineRule="auto"/>
        <w:contextualSpacing/>
        <w:jc w:val="both"/>
        <w:rPr>
          <w:rFonts w:cstheme="minorHAnsi"/>
        </w:rPr>
      </w:pPr>
      <w:r>
        <w:rPr>
          <w:rFonts w:cstheme="minorHAnsi"/>
        </w:rPr>
        <w:t>En outre</w:t>
      </w:r>
      <w:r w:rsidRPr="00894F92">
        <w:rPr>
          <w:rFonts w:cstheme="minorHAnsi"/>
        </w:rPr>
        <w:t xml:space="preserve">, le </w:t>
      </w:r>
      <w:r>
        <w:rPr>
          <w:rFonts w:cstheme="minorHAnsi"/>
        </w:rPr>
        <w:t>P</w:t>
      </w:r>
      <w:r w:rsidRPr="00894F92">
        <w:rPr>
          <w:rFonts w:cstheme="minorHAnsi"/>
        </w:rPr>
        <w:t>rogramme soutiendra également le processus de réforme, déjà en cours, du cadre des marchés publics. Le gouvernement s'est déjà engagé dans un ambitieux processus de réforme multidimensionnel impliquant un ensemble d'instruments juridiques, institutionnels et numériques. Ce processus de réforme vise à moderniser et à renforcer le système marocain de passation des marchés publics en mettant davantage l'accent sur la mise en place d'un système électronique de passation des marchés afin de garantir une utilisation judicieuse, économique, transparente et efficace des ressources de l'État dans les marchés publics. À cet égard, plusieurs avancées majeures ont été réalisées : le lancement du portail en ligne en 2007 ; le lancement de la base de données des marchés publics en 2009 ; l'introduction des soumissions électroniques et des enchères électroniques inversées en 2015 ; et, plus récemment (2017), le déploiement des appels d'offres électroniques. Toutefois, malgré ces avancées considérables, le système doit encore être amélioré, notamment en ce qui concerne l'aspect important relatif à la production, à l'analyse et à la divulgation des données pertinentes relatives aux marchés publics.</w:t>
      </w:r>
    </w:p>
    <w:p w14:paraId="1E6B2DA7" w14:textId="17DA4A68" w:rsidR="00FE77F1" w:rsidRPr="000550E9" w:rsidRDefault="00FE77F1" w:rsidP="000550E9">
      <w:pPr>
        <w:spacing w:after="0" w:line="240" w:lineRule="auto"/>
        <w:rPr>
          <w:b/>
          <w:bCs/>
          <w:color w:val="0070C0"/>
        </w:rPr>
      </w:pPr>
      <w:r w:rsidRPr="000550E9">
        <w:rPr>
          <w:b/>
          <w:bCs/>
          <w:color w:val="0070C0"/>
          <w:u w:val="single"/>
        </w:rPr>
        <w:t>Domaine de résultat 2</w:t>
      </w:r>
      <w:r w:rsidR="001D09A8" w:rsidRPr="000550E9">
        <w:rPr>
          <w:b/>
          <w:bCs/>
          <w:color w:val="0070C0"/>
        </w:rPr>
        <w:t xml:space="preserve"> </w:t>
      </w:r>
      <w:r w:rsidRPr="000550E9">
        <w:rPr>
          <w:b/>
          <w:bCs/>
          <w:color w:val="0070C0"/>
        </w:rPr>
        <w:t xml:space="preserve">: </w:t>
      </w:r>
      <w:r w:rsidR="00C91554" w:rsidRPr="000550E9">
        <w:rPr>
          <w:b/>
          <w:bCs/>
          <w:color w:val="0070C0"/>
        </w:rPr>
        <w:t xml:space="preserve">Améliorer la </w:t>
      </w:r>
      <w:r w:rsidR="000550E9">
        <w:rPr>
          <w:b/>
          <w:bCs/>
          <w:color w:val="0070C0"/>
        </w:rPr>
        <w:t>gestion</w:t>
      </w:r>
      <w:r w:rsidR="000550E9" w:rsidRPr="000550E9">
        <w:rPr>
          <w:b/>
          <w:bCs/>
          <w:color w:val="0070C0"/>
        </w:rPr>
        <w:t xml:space="preserve"> </w:t>
      </w:r>
      <w:r w:rsidR="00C91554" w:rsidRPr="000550E9">
        <w:rPr>
          <w:b/>
          <w:bCs/>
          <w:color w:val="0070C0"/>
        </w:rPr>
        <w:t xml:space="preserve">des recettes </w:t>
      </w:r>
      <w:r w:rsidR="000550E9">
        <w:rPr>
          <w:b/>
          <w:bCs/>
          <w:color w:val="0070C0"/>
        </w:rPr>
        <w:t>publiques</w:t>
      </w:r>
      <w:r w:rsidR="00C91554" w:rsidRPr="00D85E9B">
        <w:rPr>
          <w:b/>
          <w:bCs/>
          <w:color w:val="0070C0"/>
        </w:rPr>
        <w:t>.</w:t>
      </w:r>
    </w:p>
    <w:p w14:paraId="5ED8F389" w14:textId="77777777" w:rsidR="00C30703" w:rsidRDefault="00C30703" w:rsidP="00C30703">
      <w:pPr>
        <w:spacing w:after="0" w:line="360" w:lineRule="auto"/>
        <w:rPr>
          <w:rFonts w:cstheme="minorHAnsi"/>
        </w:rPr>
      </w:pPr>
    </w:p>
    <w:p w14:paraId="07BAE306" w14:textId="22EFA6A6" w:rsidR="00A73F8B" w:rsidRPr="00A73F8B" w:rsidRDefault="00A73F8B" w:rsidP="000550E9">
      <w:pPr>
        <w:numPr>
          <w:ilvl w:val="0"/>
          <w:numId w:val="11"/>
        </w:numPr>
        <w:autoSpaceDE w:val="0"/>
        <w:autoSpaceDN w:val="0"/>
        <w:adjustRightInd w:val="0"/>
        <w:spacing w:before="120" w:after="0" w:line="360" w:lineRule="auto"/>
        <w:contextualSpacing/>
        <w:jc w:val="both"/>
        <w:rPr>
          <w:rFonts w:cstheme="minorHAnsi"/>
        </w:rPr>
      </w:pPr>
      <w:r w:rsidRPr="00A73F8B">
        <w:rPr>
          <w:rFonts w:cstheme="minorHAnsi"/>
        </w:rPr>
        <w:t xml:space="preserve">Ce domaine de résultats incitera le gouvernement à renforcer la gestion des données, depuis l'acquisition de données de tiers jusqu'à leur application, en passant par leur traitement et leur analyse. </w:t>
      </w:r>
    </w:p>
    <w:p w14:paraId="5D05C45B" w14:textId="408F9C45" w:rsidR="00A73F8B" w:rsidRPr="00A73F8B" w:rsidRDefault="00A73F8B" w:rsidP="000550E9">
      <w:pPr>
        <w:numPr>
          <w:ilvl w:val="0"/>
          <w:numId w:val="11"/>
        </w:numPr>
        <w:autoSpaceDE w:val="0"/>
        <w:autoSpaceDN w:val="0"/>
        <w:adjustRightInd w:val="0"/>
        <w:spacing w:before="120" w:after="0" w:line="360" w:lineRule="auto"/>
        <w:contextualSpacing/>
        <w:jc w:val="both"/>
        <w:rPr>
          <w:rFonts w:cstheme="minorHAnsi"/>
        </w:rPr>
      </w:pPr>
      <w:r w:rsidRPr="00A73F8B">
        <w:rPr>
          <w:rFonts w:cstheme="minorHAnsi"/>
        </w:rPr>
        <w:t xml:space="preserve">Au niveau local, le </w:t>
      </w:r>
      <w:r w:rsidR="000550E9">
        <w:rPr>
          <w:rFonts w:cstheme="minorHAnsi"/>
        </w:rPr>
        <w:t>P</w:t>
      </w:r>
      <w:r w:rsidRPr="00A73F8B">
        <w:rPr>
          <w:rFonts w:cstheme="minorHAnsi"/>
        </w:rPr>
        <w:t xml:space="preserve">rogramme soutiendra les efforts visant à accroître l'efficacité de la collecte des impôts locaux par les dix plus grandes municipalités. Pour ces municipalités, la collecte efficace des recettes qu'elles mobilisent elles-mêmes est d'une importance capitale car elles représentent 80 % de leurs revenus. La collecte des impôts locaux se caractérise </w:t>
      </w:r>
      <w:r w:rsidR="00591AFC">
        <w:rPr>
          <w:rFonts w:cstheme="minorHAnsi"/>
        </w:rPr>
        <w:t xml:space="preserve">actuellement </w:t>
      </w:r>
      <w:r w:rsidRPr="00A73F8B">
        <w:rPr>
          <w:rFonts w:cstheme="minorHAnsi"/>
        </w:rPr>
        <w:t xml:space="preserve">par toute une série d'inefficacités. L'écart considérable entre les impôts locaux et les autres taxes </w:t>
      </w:r>
      <w:r w:rsidR="00591AFC" w:rsidRPr="00A73F8B">
        <w:rPr>
          <w:rFonts w:cstheme="minorHAnsi"/>
        </w:rPr>
        <w:t>à</w:t>
      </w:r>
      <w:r w:rsidRPr="00A73F8B">
        <w:rPr>
          <w:rFonts w:cstheme="minorHAnsi"/>
        </w:rPr>
        <w:t xml:space="preserve"> un impact sur les investissements dans les infrastructures et les services publics. Un doublement des recettes fiscales et parafiscales des dix plus grandes villes multiplierait par plus de six l'épargne brute et offrirait un espace pour les investissements, qui pourrait encore être développé par l'emprunt. Le manque de recettes locales a des répercussions négatives, fiscales et sociales, tant au niveau local que national. Elles comprennent une perception d'iniquité, l'amplification des déséquilibres sociaux, l'exacerbation de la pollution, des dommages à la santé publique et des atteintes au développement de l'économie locale et - parce qu'elles sont le moteur de la croissance du pays - de l'économie nationale. En outre, les fonds de la TVA CAS sont détournés du soutien aux municipalités les plus pauvres pour aider à financer les lacunes en matière d'investissement dans les grandes villes, ce qui </w:t>
      </w:r>
      <w:r w:rsidR="000A51F2">
        <w:rPr>
          <w:rFonts w:cstheme="minorHAnsi"/>
        </w:rPr>
        <w:t>diminue</w:t>
      </w:r>
      <w:r w:rsidR="000A51F2" w:rsidRPr="00A73F8B">
        <w:rPr>
          <w:rFonts w:cstheme="minorHAnsi"/>
        </w:rPr>
        <w:t xml:space="preserve"> </w:t>
      </w:r>
      <w:r w:rsidRPr="00A73F8B">
        <w:rPr>
          <w:rFonts w:cstheme="minorHAnsi"/>
        </w:rPr>
        <w:t xml:space="preserve">la capacité du gouvernement à réduire les différences régionales. L'augmentation des recettes des plus grandes municipalités est donc une priorité nationale. </w:t>
      </w:r>
    </w:p>
    <w:p w14:paraId="6C7F3AEC" w14:textId="1835A877" w:rsidR="00FE77F1" w:rsidRPr="00D85E9B" w:rsidRDefault="00FE77F1" w:rsidP="000550E9">
      <w:pPr>
        <w:spacing w:after="0" w:line="240" w:lineRule="auto"/>
        <w:jc w:val="both"/>
        <w:rPr>
          <w:b/>
          <w:bCs/>
          <w:color w:val="0070C0"/>
        </w:rPr>
      </w:pPr>
      <w:r w:rsidRPr="000550E9">
        <w:rPr>
          <w:b/>
          <w:bCs/>
          <w:color w:val="0070C0"/>
          <w:u w:val="single"/>
        </w:rPr>
        <w:t>Domaine de résultat 3</w:t>
      </w:r>
      <w:r w:rsidR="00C91554" w:rsidRPr="000550E9">
        <w:rPr>
          <w:b/>
          <w:bCs/>
          <w:color w:val="0070C0"/>
        </w:rPr>
        <w:t xml:space="preserve"> </w:t>
      </w:r>
      <w:r w:rsidRPr="000550E9">
        <w:rPr>
          <w:b/>
          <w:bCs/>
          <w:color w:val="0070C0"/>
        </w:rPr>
        <w:t xml:space="preserve">: </w:t>
      </w:r>
      <w:r w:rsidR="000550E9" w:rsidRPr="000550E9">
        <w:rPr>
          <w:b/>
          <w:bCs/>
          <w:color w:val="0070C0"/>
        </w:rPr>
        <w:t>Renforcer les fondements de la transformation numérique par l'interopérabilité et l'open data</w:t>
      </w:r>
      <w:r w:rsidR="000550E9">
        <w:rPr>
          <w:b/>
          <w:bCs/>
          <w:color w:val="0070C0"/>
        </w:rPr>
        <w:t xml:space="preserve"> </w:t>
      </w:r>
      <w:r w:rsidR="00C91554" w:rsidRPr="00D85E9B">
        <w:rPr>
          <w:b/>
          <w:bCs/>
          <w:color w:val="0070C0"/>
        </w:rPr>
        <w:t xml:space="preserve">. </w:t>
      </w:r>
    </w:p>
    <w:p w14:paraId="68046C6A" w14:textId="3967E523" w:rsidR="00FE77F1" w:rsidRDefault="00FE77F1" w:rsidP="00046E7D">
      <w:pPr>
        <w:spacing w:after="0" w:line="240" w:lineRule="auto"/>
        <w:jc w:val="both"/>
        <w:rPr>
          <w:rFonts w:cstheme="minorHAnsi"/>
          <w:b/>
          <w:bCs/>
          <w:sz w:val="16"/>
          <w:szCs w:val="16"/>
        </w:rPr>
      </w:pPr>
    </w:p>
    <w:p w14:paraId="1848F9E9" w14:textId="77777777" w:rsidR="00C80068" w:rsidRPr="00C80068" w:rsidRDefault="00C80068" w:rsidP="000550E9">
      <w:pPr>
        <w:numPr>
          <w:ilvl w:val="0"/>
          <w:numId w:val="11"/>
        </w:numPr>
        <w:autoSpaceDE w:val="0"/>
        <w:autoSpaceDN w:val="0"/>
        <w:adjustRightInd w:val="0"/>
        <w:spacing w:before="120" w:after="0" w:line="360" w:lineRule="auto"/>
        <w:contextualSpacing/>
        <w:jc w:val="both"/>
        <w:rPr>
          <w:rFonts w:cstheme="minorHAnsi"/>
        </w:rPr>
      </w:pPr>
      <w:r w:rsidRPr="00C80068">
        <w:rPr>
          <w:rFonts w:cstheme="minorHAnsi"/>
        </w:rPr>
        <w:t xml:space="preserve">Ce domaine de résultats encouragera la mise en œuvre des principaux éléments techniques, juridiques/réglementaires et organisationnels nécessaires pour soutenir la transformation numérique du gouvernement du Maroc en un secteur public efficace, transparent et responsable, axé sur les données.  Pour atteindre ces objectifs, le DR se concentre sur deux facilitateurs fondamentaux pour l'intégration des services et une meilleure utilisation des données, l'interopérabilité des données et l'ouverture des données.  </w:t>
      </w:r>
    </w:p>
    <w:p w14:paraId="42A82567" w14:textId="77777777" w:rsidR="00C80068" w:rsidRPr="00C80068" w:rsidRDefault="00C80068" w:rsidP="00B51E7E">
      <w:pPr>
        <w:spacing w:after="0" w:line="360" w:lineRule="auto"/>
        <w:jc w:val="both"/>
        <w:rPr>
          <w:rFonts w:cstheme="minorHAnsi"/>
        </w:rPr>
      </w:pPr>
    </w:p>
    <w:p w14:paraId="6B98D030" w14:textId="5E0A37BF" w:rsidR="00C30703" w:rsidRPr="00C30703" w:rsidRDefault="00C30703" w:rsidP="000550E9">
      <w:pPr>
        <w:numPr>
          <w:ilvl w:val="0"/>
          <w:numId w:val="11"/>
        </w:numPr>
        <w:autoSpaceDE w:val="0"/>
        <w:autoSpaceDN w:val="0"/>
        <w:adjustRightInd w:val="0"/>
        <w:spacing w:before="120" w:after="0" w:line="360" w:lineRule="auto"/>
        <w:contextualSpacing/>
        <w:jc w:val="both"/>
        <w:rPr>
          <w:rFonts w:cstheme="minorHAnsi"/>
        </w:rPr>
      </w:pPr>
      <w:r w:rsidRPr="00C30703">
        <w:rPr>
          <w:rFonts w:cstheme="minorHAnsi"/>
        </w:rPr>
        <w:t xml:space="preserve">En outre, le programme renforcera l'ouverture et la transparence du gouvernement et améliorera l'accès aux données qui répondent aux besoins des utilisateurs en publiant des ensembles de données de qualité, actualisés et pertinents sur le portail national de données ouvert amélioré (www.data.gov.ma). Pour soutenir l'utilisation et la réutilisation de ces données, les ensembles de données seront publiés en priorité selon des critères centrés sur l'utilisateur, élaborés de manière participative par le comité directeur intergouvernemental dirigé par </w:t>
      </w:r>
      <w:r w:rsidR="00F37CAC">
        <w:rPr>
          <w:rFonts w:cstheme="minorHAnsi"/>
        </w:rPr>
        <w:t>l’</w:t>
      </w:r>
      <w:r w:rsidRPr="00C30703">
        <w:rPr>
          <w:rFonts w:cstheme="minorHAnsi"/>
        </w:rPr>
        <w:t xml:space="preserve">ADD en coordination avec </w:t>
      </w:r>
      <w:r w:rsidRPr="00C30703">
        <w:rPr>
          <w:rFonts w:cstheme="minorHAnsi"/>
        </w:rPr>
        <w:lastRenderedPageBreak/>
        <w:t xml:space="preserve">un large éventail de parties prenantes au sein et en dehors du gouvernement, conformément aux bonnes pratiques et aux engagements du Maroc en matière d'ouverture et de transparence dans le cadre du partenariat pour un gouvernement ouvert. En outre, les ensembles de données seront publiés gratuitement et dans un format ouvert et réutilisable (fournis avec des métadonnées dans un format non-propriétaire lisible par machine avec la licence appropriée).  </w:t>
      </w:r>
    </w:p>
    <w:p w14:paraId="6077B580" w14:textId="77777777" w:rsidR="00C30703" w:rsidRPr="00C30703" w:rsidRDefault="00C30703" w:rsidP="00B51E7E">
      <w:pPr>
        <w:spacing w:after="0" w:line="360" w:lineRule="auto"/>
        <w:jc w:val="both"/>
        <w:rPr>
          <w:rFonts w:cstheme="minorHAnsi"/>
        </w:rPr>
      </w:pPr>
    </w:p>
    <w:p w14:paraId="6B7AD746" w14:textId="273C5C76" w:rsidR="00C30703" w:rsidRPr="00C30703" w:rsidRDefault="00C30703" w:rsidP="00D85E9B">
      <w:pPr>
        <w:numPr>
          <w:ilvl w:val="0"/>
          <w:numId w:val="11"/>
        </w:numPr>
        <w:autoSpaceDE w:val="0"/>
        <w:autoSpaceDN w:val="0"/>
        <w:adjustRightInd w:val="0"/>
        <w:spacing w:before="120" w:after="0" w:line="360" w:lineRule="auto"/>
        <w:contextualSpacing/>
        <w:jc w:val="both"/>
        <w:rPr>
          <w:rFonts w:cstheme="minorHAnsi"/>
        </w:rPr>
      </w:pPr>
      <w:r w:rsidRPr="00C30703">
        <w:rPr>
          <w:rFonts w:cstheme="minorHAnsi"/>
        </w:rPr>
        <w:t xml:space="preserve">L'élaboration de normes de gestion des données et d'autres activités visant à renforcer la performance d'une culture axée sur les données dans l'administration publique marocaine nécessitent une coordination efficace entre les différents acteurs de l'écosystème des données. Ainsi, les activités de coordination et de gestion du changement seront priorisées pour soutenir leur mise en œuvre. En outre, pour assurer la coordination dans l'élaboration de registres de données de référence et de normes techniques soutenant l'interopérabilité et la réutilisation des données, cette activité devra être alignée sur les activités prévues dans les </w:t>
      </w:r>
      <w:r>
        <w:rPr>
          <w:rFonts w:cstheme="minorHAnsi"/>
        </w:rPr>
        <w:t>DR</w:t>
      </w:r>
      <w:r w:rsidRPr="00C30703">
        <w:rPr>
          <w:rFonts w:cstheme="minorHAnsi"/>
        </w:rPr>
        <w:t xml:space="preserve"> 1 et 2, en particulier l'adoption </w:t>
      </w:r>
      <w:r>
        <w:rPr>
          <w:rFonts w:cstheme="minorHAnsi"/>
        </w:rPr>
        <w:t xml:space="preserve">des </w:t>
      </w:r>
      <w:r w:rsidRPr="00C30703">
        <w:rPr>
          <w:rFonts w:cstheme="minorHAnsi"/>
        </w:rPr>
        <w:t xml:space="preserve">Normes de données sur les contrats ouverts </w:t>
      </w:r>
      <w:r>
        <w:rPr>
          <w:rFonts w:cstheme="minorHAnsi"/>
        </w:rPr>
        <w:t xml:space="preserve">(OCDS) </w:t>
      </w:r>
      <w:r w:rsidRPr="00C30703">
        <w:rPr>
          <w:rFonts w:cstheme="minorHAnsi"/>
        </w:rPr>
        <w:t>par l</w:t>
      </w:r>
      <w:r>
        <w:rPr>
          <w:rFonts w:cstheme="minorHAnsi"/>
        </w:rPr>
        <w:t>a</w:t>
      </w:r>
      <w:r w:rsidRPr="00C30703">
        <w:rPr>
          <w:rFonts w:cstheme="minorHAnsi"/>
        </w:rPr>
        <w:t xml:space="preserve"> </w:t>
      </w:r>
      <w:r>
        <w:rPr>
          <w:rFonts w:cstheme="minorHAnsi"/>
        </w:rPr>
        <w:t>Trésorerie générale du Royaume</w:t>
      </w:r>
      <w:r w:rsidRPr="00C30703">
        <w:rPr>
          <w:rFonts w:cstheme="minorHAnsi"/>
        </w:rPr>
        <w:t xml:space="preserve">. </w:t>
      </w:r>
    </w:p>
    <w:p w14:paraId="18A979DE" w14:textId="002D1B1F" w:rsidR="00FE77F1" w:rsidRDefault="00C91554" w:rsidP="00C91554">
      <w:pPr>
        <w:pStyle w:val="Paranumbering"/>
        <w:numPr>
          <w:ilvl w:val="0"/>
          <w:numId w:val="0"/>
        </w:numPr>
        <w:ind w:left="426" w:right="-23"/>
        <w:rPr>
          <w:rFonts w:asciiTheme="minorHAnsi" w:hAnsiTheme="minorHAnsi" w:cstheme="minorHAnsi"/>
          <w:color w:val="auto"/>
          <w:sz w:val="22"/>
          <w:szCs w:val="22"/>
          <w:lang w:val="fr-FR"/>
        </w:rPr>
      </w:pPr>
      <w:r>
        <w:rPr>
          <w:rFonts w:asciiTheme="minorHAnsi" w:hAnsiTheme="minorHAnsi" w:cstheme="minorHAnsi"/>
          <w:color w:val="auto"/>
          <w:sz w:val="22"/>
          <w:szCs w:val="22"/>
          <w:lang w:val="fr-FR"/>
        </w:rPr>
        <w:t xml:space="preserve">Les activités qui seront </w:t>
      </w:r>
      <w:r w:rsidR="00514DAE">
        <w:rPr>
          <w:rFonts w:asciiTheme="minorHAnsi" w:hAnsiTheme="minorHAnsi" w:cstheme="minorHAnsi"/>
          <w:color w:val="auto"/>
          <w:sz w:val="22"/>
          <w:szCs w:val="22"/>
          <w:lang w:val="fr-FR"/>
        </w:rPr>
        <w:t>financées</w:t>
      </w:r>
      <w:r>
        <w:rPr>
          <w:rFonts w:asciiTheme="minorHAnsi" w:hAnsiTheme="minorHAnsi" w:cstheme="minorHAnsi"/>
          <w:color w:val="auto"/>
          <w:sz w:val="22"/>
          <w:szCs w:val="22"/>
          <w:lang w:val="fr-FR"/>
        </w:rPr>
        <w:t xml:space="preserve"> dans le cadre de ce Programme sont les suivantes :</w:t>
      </w:r>
    </w:p>
    <w:tbl>
      <w:tblPr>
        <w:tblStyle w:val="TableGrid"/>
        <w:tblW w:w="0" w:type="auto"/>
        <w:tblLook w:val="04A0" w:firstRow="1" w:lastRow="0" w:firstColumn="1" w:lastColumn="0" w:noHBand="0" w:noVBand="1"/>
      </w:tblPr>
      <w:tblGrid>
        <w:gridCol w:w="3018"/>
        <w:gridCol w:w="3637"/>
        <w:gridCol w:w="2401"/>
      </w:tblGrid>
      <w:tr w:rsidR="00514DAE" w:rsidRPr="00514DAE" w14:paraId="1F2B12A4" w14:textId="77777777" w:rsidTr="00BA70C5">
        <w:tc>
          <w:tcPr>
            <w:tcW w:w="3018" w:type="dxa"/>
          </w:tcPr>
          <w:p w14:paraId="3B404BA7" w14:textId="5D8C8C6F" w:rsidR="00514DAE" w:rsidRPr="00530059" w:rsidRDefault="00514DAE" w:rsidP="00073577">
            <w:pPr>
              <w:rPr>
                <w:rStyle w:val="normaltextrun"/>
                <w:rFonts w:cs="Calibri"/>
                <w:b/>
                <w:bCs/>
                <w:sz w:val="18"/>
                <w:szCs w:val="18"/>
                <w:shd w:val="clear" w:color="auto" w:fill="FFFFFF"/>
                <w:lang w:val="fr-FR"/>
              </w:rPr>
            </w:pPr>
            <w:r w:rsidRPr="00530059">
              <w:rPr>
                <w:rStyle w:val="normaltextrun"/>
                <w:rFonts w:cs="Calibri"/>
                <w:b/>
                <w:bCs/>
                <w:sz w:val="18"/>
                <w:szCs w:val="18"/>
                <w:shd w:val="clear" w:color="auto" w:fill="FFFFFF"/>
                <w:lang w:val="fr-FR"/>
              </w:rPr>
              <w:t>DR1 </w:t>
            </w:r>
            <w:r w:rsidRPr="00530059">
              <w:rPr>
                <w:rStyle w:val="normaltextrun"/>
                <w:b/>
                <w:bCs/>
                <w:sz w:val="18"/>
                <w:szCs w:val="18"/>
                <w:lang w:val="fr-FR"/>
              </w:rPr>
              <w:t xml:space="preserve">: </w:t>
            </w:r>
            <w:r w:rsidR="000550E9" w:rsidRPr="000550E9">
              <w:rPr>
                <w:rStyle w:val="normaltextrun"/>
                <w:rFonts w:cs="Calibri"/>
                <w:b/>
                <w:bCs/>
                <w:sz w:val="18"/>
                <w:szCs w:val="18"/>
                <w:shd w:val="clear" w:color="auto" w:fill="FFFFFF"/>
                <w:lang w:val="fr-FR"/>
              </w:rPr>
              <w:t>Améliorer l'efficacité des dépenses publiques</w:t>
            </w:r>
            <w:r w:rsidR="000550E9">
              <w:rPr>
                <w:rStyle w:val="normaltextrun"/>
                <w:rFonts w:cs="Calibri"/>
                <w:b/>
                <w:bCs/>
                <w:sz w:val="18"/>
                <w:szCs w:val="18"/>
                <w:shd w:val="clear" w:color="auto" w:fill="FFFFFF"/>
                <w:lang w:val="fr-FR"/>
              </w:rPr>
              <w:t xml:space="preserve"> </w:t>
            </w:r>
          </w:p>
          <w:p w14:paraId="2CA3214F" w14:textId="08429153" w:rsidR="00514DAE" w:rsidRPr="00514DAE" w:rsidRDefault="00514DAE" w:rsidP="00073577">
            <w:pPr>
              <w:rPr>
                <w:rStyle w:val="normaltextrun"/>
                <w:rFonts w:cs="Calibri"/>
                <w:b/>
                <w:bCs/>
                <w:sz w:val="18"/>
                <w:szCs w:val="18"/>
                <w:shd w:val="clear" w:color="auto" w:fill="FFFFFF"/>
                <w:lang w:val="fr-FR"/>
              </w:rPr>
            </w:pPr>
          </w:p>
          <w:p w14:paraId="7CCDD366" w14:textId="77777777" w:rsidR="00514DAE" w:rsidRPr="00514DAE" w:rsidRDefault="00514DAE" w:rsidP="00073577">
            <w:pPr>
              <w:rPr>
                <w:rStyle w:val="normaltextrun"/>
                <w:rFonts w:cs="Calibri"/>
                <w:b/>
                <w:bCs/>
                <w:sz w:val="18"/>
                <w:szCs w:val="18"/>
                <w:shd w:val="clear" w:color="auto" w:fill="FFFFFF"/>
                <w:lang w:val="fr-FR"/>
              </w:rPr>
            </w:pPr>
          </w:p>
          <w:p w14:paraId="09418CCC" w14:textId="55DAFF89" w:rsidR="00514DAE" w:rsidRPr="00514DAE" w:rsidRDefault="00F37CAC" w:rsidP="00073577">
            <w:pPr>
              <w:rPr>
                <w:rStyle w:val="normaltextrun"/>
                <w:rFonts w:cs="Calibri"/>
                <w:b/>
                <w:bCs/>
                <w:sz w:val="18"/>
                <w:szCs w:val="18"/>
                <w:shd w:val="clear" w:color="auto" w:fill="FFFFFF"/>
                <w:lang w:val="fr-FR"/>
              </w:rPr>
            </w:pPr>
            <w:r w:rsidRPr="00514DAE">
              <w:rPr>
                <w:rStyle w:val="normaltextrun"/>
                <w:rFonts w:cs="Calibri"/>
                <w:b/>
                <w:bCs/>
                <w:sz w:val="18"/>
                <w:szCs w:val="18"/>
                <w:shd w:val="clear" w:color="auto" w:fill="FFFFFF"/>
                <w:lang w:val="fr-FR"/>
              </w:rPr>
              <w:t>Responsable</w:t>
            </w:r>
            <w:r w:rsidR="00514DAE" w:rsidRPr="00514DAE">
              <w:rPr>
                <w:rStyle w:val="normaltextrun"/>
                <w:rFonts w:cs="Calibri"/>
                <w:b/>
                <w:bCs/>
                <w:sz w:val="18"/>
                <w:szCs w:val="18"/>
                <w:shd w:val="clear" w:color="auto" w:fill="FFFFFF"/>
                <w:lang w:val="fr-FR"/>
              </w:rPr>
              <w:t xml:space="preserve"> : </w:t>
            </w:r>
            <w:r w:rsidR="00514DAE" w:rsidRPr="00514DAE">
              <w:rPr>
                <w:rStyle w:val="normaltextrun"/>
                <w:rFonts w:cs="Calibri"/>
                <w:sz w:val="18"/>
                <w:szCs w:val="18"/>
                <w:shd w:val="clear" w:color="auto" w:fill="FFFFFF"/>
                <w:lang w:val="fr-FR"/>
              </w:rPr>
              <w:t xml:space="preserve">MEFRA </w:t>
            </w:r>
          </w:p>
        </w:tc>
        <w:tc>
          <w:tcPr>
            <w:tcW w:w="3637" w:type="dxa"/>
          </w:tcPr>
          <w:p w14:paraId="0547EE02" w14:textId="73F468CB" w:rsidR="00514DAE" w:rsidRPr="00530059" w:rsidRDefault="00514DAE" w:rsidP="00073577">
            <w:pPr>
              <w:rPr>
                <w:rStyle w:val="normaltextrun"/>
                <w:rFonts w:cs="Calibri"/>
                <w:b/>
                <w:bCs/>
                <w:sz w:val="18"/>
                <w:szCs w:val="18"/>
                <w:shd w:val="clear" w:color="auto" w:fill="FFFFFF"/>
                <w:lang w:val="fr-FR"/>
              </w:rPr>
            </w:pPr>
            <w:r w:rsidRPr="00530059">
              <w:rPr>
                <w:rStyle w:val="normaltextrun"/>
                <w:rFonts w:cs="Calibri"/>
                <w:b/>
                <w:bCs/>
                <w:sz w:val="18"/>
                <w:szCs w:val="18"/>
                <w:shd w:val="clear" w:color="auto" w:fill="FFFFFF"/>
                <w:lang w:val="fr-FR"/>
              </w:rPr>
              <w:t>DR2 </w:t>
            </w:r>
            <w:r w:rsidRPr="00530059">
              <w:rPr>
                <w:rStyle w:val="normaltextrun"/>
                <w:b/>
                <w:bCs/>
                <w:sz w:val="18"/>
                <w:szCs w:val="18"/>
                <w:lang w:val="fr-FR"/>
              </w:rPr>
              <w:t xml:space="preserve">: </w:t>
            </w:r>
            <w:r w:rsidR="000550E9" w:rsidRPr="000550E9">
              <w:rPr>
                <w:rStyle w:val="normaltextrun"/>
                <w:rFonts w:cs="Calibri"/>
                <w:b/>
                <w:bCs/>
                <w:sz w:val="18"/>
                <w:szCs w:val="18"/>
                <w:shd w:val="clear" w:color="auto" w:fill="FFFFFF"/>
                <w:lang w:val="fr-FR"/>
              </w:rPr>
              <w:t>Améliorer la gestion des recettes publiques</w:t>
            </w:r>
            <w:r w:rsidR="000550E9">
              <w:rPr>
                <w:rStyle w:val="normaltextrun"/>
                <w:rFonts w:cs="Calibri"/>
                <w:b/>
                <w:bCs/>
                <w:sz w:val="18"/>
                <w:szCs w:val="18"/>
                <w:shd w:val="clear" w:color="auto" w:fill="FFFFFF"/>
                <w:lang w:val="fr-FR"/>
              </w:rPr>
              <w:t xml:space="preserve"> </w:t>
            </w:r>
          </w:p>
          <w:p w14:paraId="338286B0" w14:textId="480E5EC1" w:rsidR="00514DAE" w:rsidRPr="00514DAE" w:rsidRDefault="00514DAE" w:rsidP="00073577">
            <w:pPr>
              <w:rPr>
                <w:rStyle w:val="normaltextrun"/>
                <w:rFonts w:cs="Calibri"/>
                <w:b/>
                <w:bCs/>
                <w:sz w:val="18"/>
                <w:szCs w:val="18"/>
                <w:shd w:val="clear" w:color="auto" w:fill="FFFFFF"/>
                <w:lang w:val="fr-FR"/>
              </w:rPr>
            </w:pPr>
          </w:p>
          <w:p w14:paraId="6A55DDDD" w14:textId="7B2D599F" w:rsidR="00514DAE" w:rsidRPr="00514DAE" w:rsidRDefault="00514DAE" w:rsidP="00073577">
            <w:pPr>
              <w:rPr>
                <w:rStyle w:val="normaltextrun"/>
                <w:b/>
                <w:bCs/>
                <w:sz w:val="18"/>
                <w:szCs w:val="18"/>
                <w:lang w:val="fr-FR"/>
              </w:rPr>
            </w:pPr>
          </w:p>
          <w:p w14:paraId="15D43003" w14:textId="77777777" w:rsidR="00514DAE" w:rsidRPr="00514DAE" w:rsidRDefault="00514DAE" w:rsidP="00073577">
            <w:pPr>
              <w:rPr>
                <w:rStyle w:val="normaltextrun"/>
                <w:rFonts w:cs="Calibri"/>
                <w:b/>
                <w:bCs/>
                <w:sz w:val="18"/>
                <w:szCs w:val="18"/>
                <w:shd w:val="clear" w:color="auto" w:fill="FFFFFF"/>
                <w:lang w:val="fr-FR"/>
              </w:rPr>
            </w:pPr>
          </w:p>
          <w:p w14:paraId="3175DE1D" w14:textId="4D89FCD1" w:rsidR="00514DAE" w:rsidRPr="00514DAE" w:rsidRDefault="00F37CAC" w:rsidP="00073577">
            <w:pPr>
              <w:rPr>
                <w:rStyle w:val="normaltextrun"/>
                <w:rFonts w:cs="Calibri"/>
                <w:b/>
                <w:bCs/>
                <w:sz w:val="18"/>
                <w:szCs w:val="18"/>
                <w:shd w:val="clear" w:color="auto" w:fill="FFFFFF"/>
                <w:lang w:val="fr-FR"/>
              </w:rPr>
            </w:pPr>
            <w:r w:rsidRPr="00514DAE">
              <w:rPr>
                <w:rStyle w:val="normaltextrun"/>
                <w:rFonts w:cs="Calibri"/>
                <w:b/>
                <w:bCs/>
                <w:sz w:val="18"/>
                <w:szCs w:val="18"/>
                <w:shd w:val="clear" w:color="auto" w:fill="FFFFFF"/>
                <w:lang w:val="fr-FR"/>
              </w:rPr>
              <w:t>Responsable</w:t>
            </w:r>
            <w:r w:rsidR="00514DAE" w:rsidRPr="00514DAE">
              <w:rPr>
                <w:rStyle w:val="normaltextrun"/>
                <w:rFonts w:cs="Calibri"/>
                <w:b/>
                <w:bCs/>
                <w:sz w:val="18"/>
                <w:szCs w:val="18"/>
                <w:shd w:val="clear" w:color="auto" w:fill="FFFFFF"/>
                <w:lang w:val="fr-FR"/>
              </w:rPr>
              <w:t xml:space="preserve"> : </w:t>
            </w:r>
            <w:r w:rsidR="00514DAE" w:rsidRPr="00514DAE">
              <w:rPr>
                <w:rStyle w:val="normaltextrun"/>
                <w:rFonts w:cs="Calibri"/>
                <w:sz w:val="18"/>
                <w:szCs w:val="18"/>
                <w:shd w:val="clear" w:color="auto" w:fill="FFFFFF"/>
                <w:lang w:val="fr-FR"/>
              </w:rPr>
              <w:t>DGI</w:t>
            </w:r>
            <w:r w:rsidR="00514DAE">
              <w:rPr>
                <w:rStyle w:val="normaltextrun"/>
                <w:rFonts w:cs="Calibri"/>
                <w:sz w:val="18"/>
                <w:szCs w:val="18"/>
                <w:shd w:val="clear" w:color="auto" w:fill="FFFFFF"/>
                <w:lang w:val="fr-FR"/>
              </w:rPr>
              <w:t xml:space="preserve"> et DGCT</w:t>
            </w:r>
          </w:p>
        </w:tc>
        <w:tc>
          <w:tcPr>
            <w:tcW w:w="2401" w:type="dxa"/>
          </w:tcPr>
          <w:p w14:paraId="76831739" w14:textId="002A9B95" w:rsidR="00514DAE" w:rsidRPr="00530059" w:rsidRDefault="00514DAE" w:rsidP="00073577">
            <w:pPr>
              <w:rPr>
                <w:rStyle w:val="normaltextrun"/>
                <w:rFonts w:cs="Calibri"/>
                <w:b/>
                <w:bCs/>
                <w:sz w:val="18"/>
                <w:szCs w:val="18"/>
                <w:shd w:val="clear" w:color="auto" w:fill="FFFFFF"/>
                <w:lang w:val="fr-FR"/>
              </w:rPr>
            </w:pPr>
            <w:r w:rsidRPr="00530059">
              <w:rPr>
                <w:rStyle w:val="normaltextrun"/>
                <w:rFonts w:cs="Calibri"/>
                <w:b/>
                <w:bCs/>
                <w:sz w:val="18"/>
                <w:szCs w:val="18"/>
                <w:shd w:val="clear" w:color="auto" w:fill="FFFFFF"/>
                <w:lang w:val="fr-FR"/>
              </w:rPr>
              <w:t>DR3 </w:t>
            </w:r>
            <w:r w:rsidRPr="00530059">
              <w:rPr>
                <w:rStyle w:val="normaltextrun"/>
                <w:b/>
                <w:bCs/>
                <w:sz w:val="18"/>
                <w:szCs w:val="18"/>
                <w:lang w:val="fr-FR"/>
              </w:rPr>
              <w:t xml:space="preserve">: </w:t>
            </w:r>
            <w:r w:rsidR="000550E9" w:rsidRPr="000550E9">
              <w:rPr>
                <w:rStyle w:val="normaltextrun"/>
                <w:rFonts w:cs="Calibri"/>
                <w:b/>
                <w:bCs/>
                <w:sz w:val="18"/>
                <w:szCs w:val="18"/>
                <w:shd w:val="clear" w:color="auto" w:fill="FFFFFF"/>
                <w:lang w:val="fr-FR"/>
              </w:rPr>
              <w:t>Renforcer les fondements de la transformation numérique par l'interopérabilité et l'open data</w:t>
            </w:r>
            <w:r w:rsidR="000550E9">
              <w:rPr>
                <w:rStyle w:val="normaltextrun"/>
                <w:rFonts w:cs="Calibri"/>
                <w:b/>
                <w:bCs/>
                <w:sz w:val="18"/>
                <w:szCs w:val="18"/>
                <w:shd w:val="clear" w:color="auto" w:fill="FFFFFF"/>
                <w:lang w:val="fr-FR"/>
              </w:rPr>
              <w:t xml:space="preserve"> </w:t>
            </w:r>
          </w:p>
          <w:p w14:paraId="3BEB07E7" w14:textId="77777777" w:rsidR="00514DAE" w:rsidRPr="00514DAE" w:rsidRDefault="00514DAE" w:rsidP="00073577">
            <w:pPr>
              <w:rPr>
                <w:rStyle w:val="normaltextrun"/>
                <w:rFonts w:cs="Calibri"/>
                <w:b/>
                <w:bCs/>
                <w:sz w:val="18"/>
                <w:szCs w:val="18"/>
                <w:shd w:val="clear" w:color="auto" w:fill="FFFFFF"/>
                <w:lang w:val="fr-FR"/>
              </w:rPr>
            </w:pPr>
          </w:p>
          <w:p w14:paraId="1E1ED055" w14:textId="4C6252BB" w:rsidR="00514DAE" w:rsidRPr="00514DAE" w:rsidRDefault="00F37CAC" w:rsidP="00073577">
            <w:pPr>
              <w:rPr>
                <w:rStyle w:val="normaltextrun"/>
                <w:rFonts w:cs="Calibri"/>
                <w:b/>
                <w:bCs/>
                <w:sz w:val="18"/>
                <w:szCs w:val="18"/>
                <w:shd w:val="clear" w:color="auto" w:fill="FFFFFF"/>
                <w:lang w:val="fr-FR"/>
              </w:rPr>
            </w:pPr>
            <w:r w:rsidRPr="00514DAE">
              <w:rPr>
                <w:rStyle w:val="normaltextrun"/>
                <w:rFonts w:cs="Calibri"/>
                <w:b/>
                <w:bCs/>
                <w:sz w:val="18"/>
                <w:szCs w:val="18"/>
                <w:shd w:val="clear" w:color="auto" w:fill="FFFFFF"/>
                <w:lang w:val="fr-FR"/>
              </w:rPr>
              <w:t>Responsable</w:t>
            </w:r>
            <w:r w:rsidR="00514DAE" w:rsidRPr="00514DAE">
              <w:rPr>
                <w:rStyle w:val="normaltextrun"/>
                <w:rFonts w:cs="Calibri"/>
                <w:b/>
                <w:bCs/>
                <w:sz w:val="18"/>
                <w:szCs w:val="18"/>
                <w:shd w:val="clear" w:color="auto" w:fill="FFFFFF"/>
                <w:lang w:val="fr-FR"/>
              </w:rPr>
              <w:t xml:space="preserve"> : </w:t>
            </w:r>
            <w:r w:rsidR="00514DAE" w:rsidRPr="00514DAE">
              <w:rPr>
                <w:rStyle w:val="normaltextrun"/>
                <w:rFonts w:cs="Calibri"/>
                <w:sz w:val="18"/>
                <w:szCs w:val="18"/>
                <w:shd w:val="clear" w:color="auto" w:fill="FFFFFF"/>
                <w:lang w:val="fr-FR"/>
              </w:rPr>
              <w:t xml:space="preserve">MICEVN / Agence de </w:t>
            </w:r>
            <w:r w:rsidRPr="00514DAE">
              <w:rPr>
                <w:rStyle w:val="normaltextrun"/>
                <w:rFonts w:cs="Calibri"/>
                <w:sz w:val="18"/>
                <w:szCs w:val="18"/>
                <w:shd w:val="clear" w:color="auto" w:fill="FFFFFF"/>
                <w:lang w:val="fr-FR"/>
              </w:rPr>
              <w:t>Développement</w:t>
            </w:r>
            <w:r w:rsidR="00514DAE" w:rsidRPr="00514DAE">
              <w:rPr>
                <w:rStyle w:val="normaltextrun"/>
                <w:rFonts w:cs="Calibri"/>
                <w:sz w:val="18"/>
                <w:szCs w:val="18"/>
                <w:shd w:val="clear" w:color="auto" w:fill="FFFFFF"/>
                <w:lang w:val="fr-FR"/>
              </w:rPr>
              <w:t xml:space="preserve"> Digital -ADD</w:t>
            </w:r>
          </w:p>
        </w:tc>
      </w:tr>
      <w:tr w:rsidR="00514DAE" w:rsidRPr="001B0931" w14:paraId="4352000F" w14:textId="77777777" w:rsidTr="00BA70C5">
        <w:trPr>
          <w:trHeight w:val="526"/>
        </w:trPr>
        <w:tc>
          <w:tcPr>
            <w:tcW w:w="3018" w:type="dxa"/>
          </w:tcPr>
          <w:p w14:paraId="5276D52D" w14:textId="77777777" w:rsidR="00514DAE" w:rsidRPr="00514DAE" w:rsidRDefault="00514DAE" w:rsidP="00073577">
            <w:pPr>
              <w:rPr>
                <w:rStyle w:val="normaltextrun"/>
                <w:rFonts w:cs="Calibri"/>
                <w:b/>
                <w:bCs/>
                <w:i/>
                <w:iCs/>
                <w:sz w:val="18"/>
                <w:szCs w:val="18"/>
                <w:shd w:val="clear" w:color="auto" w:fill="FFFFFF"/>
                <w:lang w:val="fr-FR"/>
              </w:rPr>
            </w:pPr>
            <w:r w:rsidRPr="00514DAE">
              <w:rPr>
                <w:rStyle w:val="normaltextrun"/>
                <w:rFonts w:cs="Calibri"/>
                <w:b/>
                <w:bCs/>
                <w:i/>
                <w:iCs/>
                <w:sz w:val="18"/>
                <w:szCs w:val="18"/>
                <w:shd w:val="clear" w:color="auto" w:fill="FFFFFF"/>
                <w:lang w:val="fr-FR"/>
              </w:rPr>
              <w:t>1.1 L'approche de la performance induite par la loi sur la gestion des finances publiques (LOF) a été renforcée</w:t>
            </w:r>
          </w:p>
          <w:p w14:paraId="33DCF0A5" w14:textId="77777777" w:rsidR="00514DAE" w:rsidRPr="00514DAE" w:rsidRDefault="00514DAE" w:rsidP="00073577">
            <w:pPr>
              <w:rPr>
                <w:rStyle w:val="normaltextrun"/>
                <w:rFonts w:cs="Calibri"/>
                <w:b/>
                <w:bCs/>
                <w:sz w:val="18"/>
                <w:szCs w:val="18"/>
                <w:shd w:val="clear" w:color="auto" w:fill="FFFFFF"/>
                <w:lang w:val="fr-FR"/>
              </w:rPr>
            </w:pPr>
          </w:p>
          <w:p w14:paraId="6E19B034" w14:textId="756B47AF" w:rsidR="00E54BEC" w:rsidRPr="00D85E9B" w:rsidRDefault="00E54BEC" w:rsidP="00E54BEC">
            <w:pPr>
              <w:rPr>
                <w:rStyle w:val="normaltextrun"/>
                <w:rFonts w:cs="Calibri"/>
                <w:sz w:val="18"/>
                <w:szCs w:val="18"/>
                <w:shd w:val="clear" w:color="auto" w:fill="FFFFFF"/>
                <w:lang w:val="fr-FR"/>
              </w:rPr>
            </w:pPr>
            <w:r w:rsidRPr="00E54BEC">
              <w:rPr>
                <w:rStyle w:val="normaltextrun"/>
                <w:rFonts w:cs="Calibri"/>
                <w:sz w:val="18"/>
                <w:szCs w:val="18"/>
                <w:shd w:val="clear" w:color="auto" w:fill="FFFFFF"/>
                <w:lang w:val="fr-FR"/>
              </w:rPr>
              <w:t>i)</w:t>
            </w:r>
            <w:r>
              <w:rPr>
                <w:rStyle w:val="normaltextrun"/>
                <w:rFonts w:cs="Calibri"/>
                <w:sz w:val="18"/>
                <w:szCs w:val="18"/>
                <w:shd w:val="clear" w:color="auto" w:fill="FFFFFF"/>
                <w:lang w:val="fr-FR"/>
              </w:rPr>
              <w:t xml:space="preserve"> </w:t>
            </w:r>
            <w:r w:rsidRPr="00E54BEC">
              <w:rPr>
                <w:rStyle w:val="normaltextrun"/>
                <w:rFonts w:cs="Calibri"/>
                <w:sz w:val="18"/>
                <w:szCs w:val="18"/>
                <w:shd w:val="clear" w:color="auto" w:fill="FFFFFF"/>
                <w:lang w:val="fr-FR"/>
              </w:rPr>
              <w:t>une meilleure utilisation des ressources publiques en liant les budgets a</w:t>
            </w:r>
            <w:r w:rsidRPr="00707C89">
              <w:rPr>
                <w:rStyle w:val="normaltextrun"/>
                <w:rFonts w:cs="Calibri"/>
                <w:sz w:val="18"/>
                <w:szCs w:val="18"/>
                <w:shd w:val="clear" w:color="auto" w:fill="FFFFFF"/>
                <w:lang w:val="fr-FR"/>
              </w:rPr>
              <w:t>ux résultats, ii) la publication des Projets de Performance ministériels pour améliorera la transparence et iii) Adopter une approche structurée et institutionnalisée pour identifier l'inefficacité des dé</w:t>
            </w:r>
            <w:r w:rsidRPr="00E055EE">
              <w:rPr>
                <w:rStyle w:val="normaltextrun"/>
                <w:rFonts w:cs="Calibri"/>
                <w:sz w:val="18"/>
                <w:szCs w:val="18"/>
                <w:shd w:val="clear" w:color="auto" w:fill="FFFFFF"/>
                <w:lang w:val="fr-FR"/>
              </w:rPr>
              <w:t>penses publiques appuyée par un décret du MEFRA.</w:t>
            </w:r>
          </w:p>
          <w:p w14:paraId="71C17C06" w14:textId="2862B72B" w:rsidR="00514DAE" w:rsidRPr="00E54BEC" w:rsidRDefault="00E54BEC" w:rsidP="00E54BEC">
            <w:pPr>
              <w:rPr>
                <w:rStyle w:val="normaltextrun"/>
                <w:rFonts w:cs="Calibri"/>
                <w:sz w:val="18"/>
                <w:szCs w:val="18"/>
                <w:shd w:val="clear" w:color="auto" w:fill="FFFFFF"/>
                <w:lang w:val="fr-FR"/>
              </w:rPr>
            </w:pPr>
            <w:r w:rsidRPr="00E54BEC">
              <w:rPr>
                <w:rStyle w:val="normaltextrun"/>
                <w:rFonts w:cs="Calibri"/>
                <w:sz w:val="18"/>
                <w:szCs w:val="18"/>
                <w:shd w:val="clear" w:color="auto" w:fill="FFFFFF"/>
                <w:lang w:val="fr-FR"/>
              </w:rPr>
              <w:t xml:space="preserve"> </w:t>
            </w:r>
          </w:p>
          <w:p w14:paraId="26BFE26D" w14:textId="77777777" w:rsidR="00514DAE" w:rsidRPr="00514DAE" w:rsidRDefault="00514DAE" w:rsidP="00073577">
            <w:pPr>
              <w:rPr>
                <w:rStyle w:val="normaltextrun"/>
                <w:rFonts w:cs="Calibri"/>
                <w:b/>
                <w:bCs/>
                <w:i/>
                <w:iCs/>
                <w:sz w:val="18"/>
                <w:szCs w:val="18"/>
                <w:shd w:val="clear" w:color="auto" w:fill="FFFFFF"/>
                <w:lang w:val="fr-FR"/>
              </w:rPr>
            </w:pPr>
            <w:r w:rsidRPr="00514DAE">
              <w:rPr>
                <w:rStyle w:val="normaltextrun"/>
                <w:rFonts w:cs="Calibri"/>
                <w:b/>
                <w:bCs/>
                <w:i/>
                <w:iCs/>
                <w:sz w:val="18"/>
                <w:szCs w:val="18"/>
                <w:shd w:val="clear" w:color="auto" w:fill="FFFFFF"/>
                <w:lang w:val="fr-FR"/>
              </w:rPr>
              <w:t>1.2 Améliorer l'information sur les marchés publics</w:t>
            </w:r>
          </w:p>
          <w:p w14:paraId="2A5E26F9" w14:textId="77777777" w:rsidR="00514DAE" w:rsidRPr="00514DAE" w:rsidRDefault="00514DAE" w:rsidP="00073577">
            <w:pPr>
              <w:rPr>
                <w:rStyle w:val="normaltextrun"/>
                <w:rFonts w:cs="Calibri"/>
                <w:b/>
                <w:bCs/>
                <w:sz w:val="18"/>
                <w:szCs w:val="18"/>
                <w:shd w:val="clear" w:color="auto" w:fill="FFFFFF"/>
                <w:lang w:val="fr-FR"/>
              </w:rPr>
            </w:pPr>
          </w:p>
          <w:p w14:paraId="7909DAD9" w14:textId="77777777" w:rsidR="00514DAE" w:rsidRPr="00514DAE" w:rsidRDefault="00514DAE" w:rsidP="00073577">
            <w:pPr>
              <w:rPr>
                <w:rStyle w:val="normaltextrun"/>
                <w:rFonts w:cs="Calibri"/>
                <w:b/>
                <w:bCs/>
                <w:sz w:val="18"/>
                <w:szCs w:val="18"/>
                <w:shd w:val="clear" w:color="auto" w:fill="FFFFFF"/>
                <w:lang w:val="fr-CA"/>
              </w:rPr>
            </w:pPr>
            <w:r w:rsidRPr="00514DAE">
              <w:rPr>
                <w:rStyle w:val="normaltextrun"/>
                <w:rFonts w:cs="Calibri"/>
                <w:sz w:val="18"/>
                <w:szCs w:val="18"/>
                <w:shd w:val="clear" w:color="auto" w:fill="FFFFFF"/>
                <w:lang w:val="fr-FR"/>
              </w:rPr>
              <w:t>Mise à niveau du format des données générées par la plateforme des marchés publics au normes internationale en matière de transparence.</w:t>
            </w:r>
          </w:p>
        </w:tc>
        <w:tc>
          <w:tcPr>
            <w:tcW w:w="3637" w:type="dxa"/>
          </w:tcPr>
          <w:p w14:paraId="0A1DA01C" w14:textId="77777777" w:rsidR="00514DAE" w:rsidRPr="00514DAE" w:rsidRDefault="00514DAE" w:rsidP="00073577">
            <w:pPr>
              <w:rPr>
                <w:rStyle w:val="normaltextrun"/>
                <w:rFonts w:cs="Calibri"/>
                <w:b/>
                <w:bCs/>
                <w:i/>
                <w:iCs/>
                <w:sz w:val="18"/>
                <w:szCs w:val="18"/>
                <w:shd w:val="clear" w:color="auto" w:fill="FFFFFF"/>
                <w:lang w:val="fr-FR"/>
              </w:rPr>
            </w:pPr>
            <w:r w:rsidRPr="00514DAE">
              <w:rPr>
                <w:rStyle w:val="normaltextrun"/>
                <w:rFonts w:cs="Calibri"/>
                <w:b/>
                <w:bCs/>
                <w:i/>
                <w:iCs/>
                <w:sz w:val="18"/>
                <w:szCs w:val="18"/>
                <w:shd w:val="clear" w:color="auto" w:fill="FFFFFF"/>
                <w:lang w:val="fr-FR"/>
              </w:rPr>
              <w:t>2.1: Renforcer l'interopérabilité des données</w:t>
            </w:r>
          </w:p>
          <w:p w14:paraId="2D940D97" w14:textId="77777777" w:rsidR="00514DAE" w:rsidRPr="00514DAE" w:rsidRDefault="00514DAE" w:rsidP="00073577">
            <w:pPr>
              <w:rPr>
                <w:rStyle w:val="normaltextrun"/>
                <w:rFonts w:cs="Calibri"/>
                <w:sz w:val="18"/>
                <w:szCs w:val="18"/>
                <w:shd w:val="clear" w:color="auto" w:fill="FFFFFF"/>
                <w:lang w:val="fr-FR"/>
              </w:rPr>
            </w:pPr>
            <w:r w:rsidRPr="00514DAE">
              <w:rPr>
                <w:rStyle w:val="normaltextrun"/>
                <w:rFonts w:cs="Calibri"/>
                <w:sz w:val="18"/>
                <w:szCs w:val="18"/>
                <w:shd w:val="clear" w:color="auto" w:fill="FFFFFF"/>
                <w:lang w:val="fr-FR"/>
              </w:rPr>
              <w:t>Accès à un ensemble plus large de données de parties tierces. Renforcement des capacités à utiliser des ensembles de données de tiers.</w:t>
            </w:r>
          </w:p>
          <w:p w14:paraId="23DA3545" w14:textId="77777777" w:rsidR="00514DAE" w:rsidRPr="00514DAE" w:rsidRDefault="00514DAE" w:rsidP="00073577">
            <w:pPr>
              <w:rPr>
                <w:rStyle w:val="normaltextrun"/>
                <w:rFonts w:cs="Calibri"/>
                <w:b/>
                <w:bCs/>
                <w:sz w:val="18"/>
                <w:szCs w:val="18"/>
                <w:shd w:val="clear" w:color="auto" w:fill="FFFFFF"/>
                <w:lang w:val="fr-FR"/>
              </w:rPr>
            </w:pPr>
          </w:p>
          <w:p w14:paraId="053A62A0" w14:textId="77777777" w:rsidR="00514DAE" w:rsidRPr="00514DAE" w:rsidRDefault="00514DAE" w:rsidP="00073577">
            <w:pPr>
              <w:rPr>
                <w:rStyle w:val="normaltextrun"/>
                <w:rFonts w:cs="Calibri"/>
                <w:b/>
                <w:bCs/>
                <w:sz w:val="18"/>
                <w:szCs w:val="18"/>
                <w:shd w:val="clear" w:color="auto" w:fill="FFFFFF"/>
                <w:lang w:val="fr-FR"/>
              </w:rPr>
            </w:pPr>
          </w:p>
          <w:p w14:paraId="2BE63D56" w14:textId="77777777" w:rsidR="00514DAE" w:rsidRPr="00514DAE" w:rsidRDefault="00514DAE" w:rsidP="00073577">
            <w:pPr>
              <w:rPr>
                <w:rStyle w:val="normaltextrun"/>
                <w:rFonts w:cs="Calibri"/>
                <w:b/>
                <w:bCs/>
                <w:i/>
                <w:iCs/>
                <w:sz w:val="18"/>
                <w:szCs w:val="18"/>
                <w:shd w:val="clear" w:color="auto" w:fill="FFFFFF"/>
                <w:lang w:val="fr-FR"/>
              </w:rPr>
            </w:pPr>
            <w:r w:rsidRPr="00514DAE">
              <w:rPr>
                <w:rStyle w:val="normaltextrun"/>
                <w:rFonts w:cs="Calibri"/>
                <w:b/>
                <w:bCs/>
                <w:i/>
                <w:iCs/>
                <w:sz w:val="18"/>
                <w:szCs w:val="18"/>
                <w:shd w:val="clear" w:color="auto" w:fill="FFFFFF"/>
                <w:lang w:val="fr-FR"/>
              </w:rPr>
              <w:t>2.2 : Améliorer la collecte des impôts locaux dans les dix plus grandes municipalités</w:t>
            </w:r>
          </w:p>
          <w:p w14:paraId="3AB6CBC5" w14:textId="77777777" w:rsidR="00514DAE" w:rsidRPr="00514DAE" w:rsidRDefault="00514DAE" w:rsidP="00073577">
            <w:pPr>
              <w:rPr>
                <w:rStyle w:val="normaltextrun"/>
                <w:rFonts w:cs="Calibri"/>
                <w:b/>
                <w:bCs/>
                <w:sz w:val="18"/>
                <w:szCs w:val="18"/>
                <w:shd w:val="clear" w:color="auto" w:fill="FFFFFF"/>
                <w:lang w:val="fr-FR"/>
              </w:rPr>
            </w:pPr>
          </w:p>
          <w:p w14:paraId="223A2794" w14:textId="2D469D22" w:rsidR="00707C89" w:rsidRPr="00707C89" w:rsidRDefault="00707C89" w:rsidP="00707C89">
            <w:pPr>
              <w:rPr>
                <w:rStyle w:val="normaltextrun"/>
                <w:rFonts w:cs="Calibri"/>
                <w:sz w:val="18"/>
                <w:szCs w:val="18"/>
                <w:shd w:val="clear" w:color="auto" w:fill="FFFFFF"/>
                <w:lang w:val="fr-FR"/>
              </w:rPr>
            </w:pPr>
            <w:r w:rsidRPr="00707C89">
              <w:rPr>
                <w:rStyle w:val="normaltextrun"/>
                <w:rFonts w:cs="Calibri"/>
                <w:sz w:val="18"/>
                <w:szCs w:val="18"/>
                <w:shd w:val="clear" w:color="auto" w:fill="FFFFFF"/>
                <w:lang w:val="fr-FR"/>
              </w:rPr>
              <w:t>i)</w:t>
            </w:r>
            <w:r>
              <w:rPr>
                <w:rStyle w:val="normaltextrun"/>
                <w:rFonts w:cs="Calibri"/>
                <w:sz w:val="18"/>
                <w:szCs w:val="18"/>
                <w:shd w:val="clear" w:color="auto" w:fill="FFFFFF"/>
                <w:lang w:val="fr-FR"/>
              </w:rPr>
              <w:t xml:space="preserve"> </w:t>
            </w:r>
            <w:r w:rsidRPr="00707C89">
              <w:rPr>
                <w:rStyle w:val="normaltextrun"/>
                <w:rFonts w:cs="Calibri"/>
                <w:sz w:val="18"/>
                <w:szCs w:val="18"/>
                <w:shd w:val="clear" w:color="auto" w:fill="FFFFFF"/>
                <w:lang w:val="fr-FR"/>
              </w:rPr>
              <w:t>Réalignement des mandats institutionnels et la simplification des impôts conformément à la loi 07/20</w:t>
            </w:r>
            <w:r w:rsidR="00514DAE" w:rsidRPr="00707C89">
              <w:rPr>
                <w:rStyle w:val="normaltextrun"/>
                <w:rFonts w:cs="Calibri"/>
                <w:sz w:val="18"/>
                <w:szCs w:val="18"/>
                <w:shd w:val="clear" w:color="auto" w:fill="FFFFFF"/>
                <w:lang w:val="fr-FR"/>
              </w:rPr>
              <w:t>.</w:t>
            </w:r>
          </w:p>
          <w:p w14:paraId="4F5BE8A5" w14:textId="0468588A" w:rsidR="00707C89" w:rsidRDefault="00707C89" w:rsidP="00073577">
            <w:pPr>
              <w:rPr>
                <w:rStyle w:val="normaltextrun"/>
                <w:rFonts w:cs="Calibri"/>
                <w:sz w:val="18"/>
                <w:szCs w:val="18"/>
                <w:shd w:val="clear" w:color="auto" w:fill="FFFFFF"/>
                <w:lang w:val="fr-FR"/>
              </w:rPr>
            </w:pPr>
            <w:r>
              <w:rPr>
                <w:rStyle w:val="normaltextrun"/>
                <w:rFonts w:cs="Calibri"/>
                <w:sz w:val="18"/>
                <w:szCs w:val="18"/>
                <w:shd w:val="clear" w:color="auto" w:fill="FFFFFF"/>
                <w:lang w:val="fr-FR"/>
              </w:rPr>
              <w:t>ii)</w:t>
            </w:r>
            <w:r w:rsidR="00514DAE" w:rsidRPr="00514DAE">
              <w:rPr>
                <w:rStyle w:val="normaltextrun"/>
                <w:rFonts w:cs="Calibri"/>
                <w:sz w:val="18"/>
                <w:szCs w:val="18"/>
                <w:shd w:val="clear" w:color="auto" w:fill="FFFFFF"/>
                <w:lang w:val="fr-FR"/>
              </w:rPr>
              <w:t xml:space="preserve"> </w:t>
            </w:r>
            <w:r>
              <w:rPr>
                <w:rStyle w:val="normaltextrun"/>
                <w:rFonts w:cs="Calibri"/>
                <w:sz w:val="18"/>
                <w:szCs w:val="18"/>
                <w:shd w:val="clear" w:color="auto" w:fill="FFFFFF"/>
                <w:lang w:val="fr-FR"/>
              </w:rPr>
              <w:t>M</w:t>
            </w:r>
            <w:r w:rsidRPr="00707C89">
              <w:rPr>
                <w:rStyle w:val="normaltextrun"/>
                <w:rFonts w:cs="Calibri"/>
                <w:sz w:val="18"/>
                <w:szCs w:val="18"/>
                <w:shd w:val="clear" w:color="auto" w:fill="FFFFFF"/>
                <w:lang w:val="fr-FR"/>
              </w:rPr>
              <w:t xml:space="preserve">ise en place et mise à disposition des communes de nouvelles fonctionnalités </w:t>
            </w:r>
            <w:r>
              <w:rPr>
                <w:rStyle w:val="normaltextrun"/>
                <w:rFonts w:cs="Calibri"/>
                <w:sz w:val="18"/>
                <w:szCs w:val="18"/>
                <w:shd w:val="clear" w:color="auto" w:fill="FFFFFF"/>
                <w:lang w:val="fr-FR"/>
              </w:rPr>
              <w:t xml:space="preserve">de </w:t>
            </w:r>
            <w:r w:rsidRPr="00707C89">
              <w:rPr>
                <w:rStyle w:val="normaltextrun"/>
                <w:rFonts w:cs="Calibri"/>
                <w:sz w:val="18"/>
                <w:szCs w:val="18"/>
                <w:shd w:val="clear" w:color="auto" w:fill="FFFFFF"/>
                <w:lang w:val="fr-FR"/>
              </w:rPr>
              <w:t>Gestion Intégrée de la Recette</w:t>
            </w:r>
            <w:r>
              <w:rPr>
                <w:rStyle w:val="normaltextrun"/>
                <w:rFonts w:cs="Calibri"/>
                <w:sz w:val="18"/>
                <w:szCs w:val="18"/>
                <w:shd w:val="clear" w:color="auto" w:fill="FFFFFF"/>
                <w:lang w:val="fr-FR"/>
              </w:rPr>
              <w:t xml:space="preserve"> au niveau des</w:t>
            </w:r>
            <w:r w:rsidRPr="00707C89">
              <w:rPr>
                <w:rStyle w:val="normaltextrun"/>
                <w:rFonts w:cs="Calibri"/>
                <w:sz w:val="18"/>
                <w:szCs w:val="18"/>
                <w:shd w:val="clear" w:color="auto" w:fill="FFFFFF"/>
                <w:lang w:val="fr-FR"/>
              </w:rPr>
              <w:t xml:space="preserve"> Collectivités territoriales relatives aux taxes et redevances gérées par la commune, y compris le paiement électronique et les instruments de déclaration électronique de ces taxes. </w:t>
            </w:r>
          </w:p>
          <w:p w14:paraId="425077DF" w14:textId="767BE43A" w:rsidR="00514DAE" w:rsidRPr="00514DAE" w:rsidRDefault="00707C89" w:rsidP="00073577">
            <w:pPr>
              <w:rPr>
                <w:rStyle w:val="normaltextrun"/>
                <w:rFonts w:cs="Calibri"/>
                <w:b/>
                <w:bCs/>
                <w:sz w:val="18"/>
                <w:szCs w:val="18"/>
                <w:shd w:val="clear" w:color="auto" w:fill="FFFFFF"/>
                <w:lang w:val="fr-FR"/>
              </w:rPr>
            </w:pPr>
            <w:r>
              <w:rPr>
                <w:rStyle w:val="normaltextrun"/>
                <w:rFonts w:cs="Calibri"/>
                <w:sz w:val="18"/>
                <w:szCs w:val="18"/>
                <w:shd w:val="clear" w:color="auto" w:fill="FFFFFF"/>
                <w:lang w:val="fr-FR"/>
              </w:rPr>
              <w:t>iii) M</w:t>
            </w:r>
            <w:r w:rsidRPr="00707C89">
              <w:rPr>
                <w:rStyle w:val="normaltextrun"/>
                <w:rFonts w:cs="Calibri"/>
                <w:sz w:val="18"/>
                <w:szCs w:val="18"/>
                <w:shd w:val="clear" w:color="auto" w:fill="FFFFFF"/>
                <w:lang w:val="fr-FR"/>
              </w:rPr>
              <w:t>ise en place d'instruments de paiement électronique et de déclaration électronique pour les impôts locaux gérés par la TGR et la DGI)</w:t>
            </w:r>
          </w:p>
        </w:tc>
        <w:tc>
          <w:tcPr>
            <w:tcW w:w="2401" w:type="dxa"/>
          </w:tcPr>
          <w:p w14:paraId="24138865" w14:textId="77777777" w:rsidR="00514DAE" w:rsidRPr="00514DAE" w:rsidRDefault="00514DAE" w:rsidP="00073577">
            <w:pPr>
              <w:rPr>
                <w:rStyle w:val="normaltextrun"/>
                <w:rFonts w:cs="Calibri"/>
                <w:sz w:val="18"/>
                <w:szCs w:val="18"/>
                <w:shd w:val="clear" w:color="auto" w:fill="FFFFFF"/>
                <w:lang w:val="fr-FR"/>
              </w:rPr>
            </w:pPr>
            <w:r w:rsidRPr="00514DAE">
              <w:rPr>
                <w:rStyle w:val="normaltextrun"/>
                <w:rFonts w:cs="Calibri"/>
                <w:sz w:val="18"/>
                <w:szCs w:val="18"/>
                <w:shd w:val="clear" w:color="auto" w:fill="FFFFFF"/>
                <w:lang w:val="fr-FR"/>
              </w:rPr>
              <w:t xml:space="preserve">Mise en place d’un processus de coordination inter-gouvernemental ; </w:t>
            </w:r>
          </w:p>
          <w:p w14:paraId="1C645120" w14:textId="77777777" w:rsidR="00514DAE" w:rsidRPr="00514DAE" w:rsidRDefault="00514DAE" w:rsidP="00073577">
            <w:pPr>
              <w:rPr>
                <w:rStyle w:val="normaltextrun"/>
                <w:rFonts w:cs="Calibri"/>
                <w:sz w:val="18"/>
                <w:szCs w:val="18"/>
                <w:shd w:val="clear" w:color="auto" w:fill="FFFFFF"/>
                <w:lang w:val="fr-FR"/>
              </w:rPr>
            </w:pPr>
          </w:p>
          <w:p w14:paraId="4F890893" w14:textId="7ED8230E" w:rsidR="00514DAE" w:rsidRPr="00514DAE" w:rsidRDefault="00514DAE" w:rsidP="00073577">
            <w:pPr>
              <w:rPr>
                <w:rStyle w:val="normaltextrun"/>
                <w:rFonts w:cs="Calibri"/>
                <w:sz w:val="18"/>
                <w:szCs w:val="18"/>
                <w:shd w:val="clear" w:color="auto" w:fill="FFFFFF"/>
                <w:lang w:val="fr-FR"/>
              </w:rPr>
            </w:pPr>
            <w:r w:rsidRPr="00514DAE">
              <w:rPr>
                <w:rStyle w:val="normaltextrun"/>
                <w:rFonts w:cs="Calibri"/>
                <w:sz w:val="18"/>
                <w:szCs w:val="18"/>
                <w:shd w:val="clear" w:color="auto" w:fill="FFFFFF"/>
                <w:lang w:val="fr-FR"/>
              </w:rPr>
              <w:t xml:space="preserve">Mise en place d’une plateforme IT d’interopérabilité </w:t>
            </w:r>
            <w:r w:rsidR="008E082D" w:rsidRPr="008E082D">
              <w:rPr>
                <w:rStyle w:val="normaltextrun"/>
                <w:rFonts w:cs="Calibri"/>
                <w:sz w:val="18"/>
                <w:szCs w:val="18"/>
                <w:shd w:val="clear" w:color="auto" w:fill="FFFFFF"/>
                <w:lang w:val="fr-FR"/>
              </w:rPr>
              <w:t>en élaborant et en publiant un plan directeur pour la transformation numérique du secteur public</w:t>
            </w:r>
            <w:r w:rsidRPr="00514DAE">
              <w:rPr>
                <w:rStyle w:val="normaltextrun"/>
                <w:rFonts w:cs="Calibri"/>
                <w:sz w:val="18"/>
                <w:szCs w:val="18"/>
                <w:shd w:val="clear" w:color="auto" w:fill="FFFFFF"/>
                <w:lang w:val="fr-FR"/>
              </w:rPr>
              <w:t xml:space="preserve"> </w:t>
            </w:r>
          </w:p>
          <w:p w14:paraId="571AC1F9" w14:textId="77777777" w:rsidR="00514DAE" w:rsidRPr="00514DAE" w:rsidRDefault="00514DAE" w:rsidP="00073577">
            <w:pPr>
              <w:rPr>
                <w:rStyle w:val="normaltextrun"/>
                <w:rFonts w:cs="Calibri"/>
                <w:sz w:val="18"/>
                <w:szCs w:val="18"/>
                <w:shd w:val="clear" w:color="auto" w:fill="FFFFFF"/>
                <w:lang w:val="fr-FR"/>
              </w:rPr>
            </w:pPr>
          </w:p>
          <w:p w14:paraId="2EC0CBBA" w14:textId="77777777" w:rsidR="00514DAE" w:rsidRDefault="00514DAE" w:rsidP="00073577">
            <w:pPr>
              <w:rPr>
                <w:rStyle w:val="normaltextrun"/>
                <w:rFonts w:cs="Calibri"/>
                <w:sz w:val="18"/>
                <w:szCs w:val="18"/>
                <w:shd w:val="clear" w:color="auto" w:fill="FFFFFF"/>
                <w:lang w:val="fr-CA"/>
              </w:rPr>
            </w:pPr>
            <w:r w:rsidRPr="00514DAE">
              <w:rPr>
                <w:rStyle w:val="normaltextrun"/>
                <w:rFonts w:cs="Calibri"/>
                <w:sz w:val="18"/>
                <w:szCs w:val="18"/>
                <w:shd w:val="clear" w:color="auto" w:fill="FFFFFF"/>
                <w:lang w:val="fr-CA"/>
              </w:rPr>
              <w:t xml:space="preserve">Introduction de normes et standards sur les données ouvertes. </w:t>
            </w:r>
          </w:p>
          <w:p w14:paraId="0099F3FD" w14:textId="77777777" w:rsidR="008E082D" w:rsidRDefault="008E082D" w:rsidP="00073577">
            <w:pPr>
              <w:rPr>
                <w:rStyle w:val="normaltextrun"/>
                <w:rFonts w:cs="Calibri"/>
                <w:sz w:val="18"/>
                <w:szCs w:val="18"/>
                <w:shd w:val="clear" w:color="auto" w:fill="FFFFFF"/>
                <w:lang w:val="fr-CA"/>
              </w:rPr>
            </w:pPr>
          </w:p>
          <w:p w14:paraId="445671A1" w14:textId="35545DA9" w:rsidR="008E082D" w:rsidRPr="001B0931" w:rsidRDefault="008E082D" w:rsidP="00073577">
            <w:pPr>
              <w:rPr>
                <w:rStyle w:val="normaltextrun"/>
                <w:rFonts w:cs="Calibri"/>
                <w:sz w:val="18"/>
                <w:szCs w:val="18"/>
                <w:shd w:val="clear" w:color="auto" w:fill="FFFFFF"/>
                <w:lang w:val="fr-FR"/>
              </w:rPr>
            </w:pPr>
          </w:p>
        </w:tc>
      </w:tr>
    </w:tbl>
    <w:p w14:paraId="54CC7C92" w14:textId="77777777" w:rsidR="0099191E" w:rsidRPr="00046E7D" w:rsidRDefault="0099191E" w:rsidP="0099191E">
      <w:pPr>
        <w:pStyle w:val="Heading3"/>
        <w:rPr>
          <w:rFonts w:ascii="Candara" w:hAnsi="Candara"/>
          <w:color w:val="auto"/>
          <w:lang w:val="fr-FR"/>
        </w:rPr>
      </w:pPr>
      <w:bookmarkStart w:id="44" w:name="_Toc40218544"/>
      <w:bookmarkStart w:id="45" w:name="_Toc40219582"/>
      <w:bookmarkStart w:id="46" w:name="_Toc74241378"/>
      <w:r w:rsidRPr="00046E7D">
        <w:rPr>
          <w:rFonts w:ascii="Candara" w:hAnsi="Candara"/>
          <w:color w:val="auto"/>
          <w:lang w:val="fr-FR"/>
        </w:rPr>
        <w:lastRenderedPageBreak/>
        <w:t>2.2.2.</w:t>
      </w:r>
      <w:r w:rsidRPr="00046E7D">
        <w:rPr>
          <w:rFonts w:ascii="Candara" w:hAnsi="Candara"/>
          <w:color w:val="auto"/>
          <w:lang w:val="fr-FR"/>
        </w:rPr>
        <w:tab/>
        <w:t>Portée géographique et bénéficiaires du Programme</w:t>
      </w:r>
      <w:bookmarkEnd w:id="42"/>
      <w:bookmarkEnd w:id="44"/>
      <w:bookmarkEnd w:id="45"/>
      <w:bookmarkEnd w:id="46"/>
    </w:p>
    <w:p w14:paraId="704778FF" w14:textId="0C47D8CD" w:rsidR="00AA2E4C" w:rsidRDefault="00B02E33" w:rsidP="00D85E9B">
      <w:pPr>
        <w:numPr>
          <w:ilvl w:val="0"/>
          <w:numId w:val="11"/>
        </w:numPr>
        <w:autoSpaceDE w:val="0"/>
        <w:autoSpaceDN w:val="0"/>
        <w:adjustRightInd w:val="0"/>
        <w:spacing w:before="120" w:after="0" w:line="360" w:lineRule="auto"/>
        <w:contextualSpacing/>
        <w:jc w:val="both"/>
        <w:rPr>
          <w:rFonts w:cstheme="minorHAnsi"/>
        </w:rPr>
      </w:pPr>
      <w:bookmarkStart w:id="47" w:name="_Hlk65700912"/>
      <w:r w:rsidRPr="00046E7D">
        <w:rPr>
          <w:rFonts w:cstheme="minorHAnsi"/>
        </w:rPr>
        <w:t xml:space="preserve">Le programme bénéficiera directement </w:t>
      </w:r>
      <w:r w:rsidR="00AA2E4C">
        <w:rPr>
          <w:rFonts w:cstheme="minorHAnsi"/>
        </w:rPr>
        <w:t>et</w:t>
      </w:r>
      <w:r w:rsidRPr="00046E7D">
        <w:rPr>
          <w:rFonts w:cstheme="minorHAnsi"/>
        </w:rPr>
        <w:t xml:space="preserve"> </w:t>
      </w:r>
      <w:r w:rsidR="00AA2E4C" w:rsidRPr="00AA2E4C">
        <w:rPr>
          <w:rFonts w:cstheme="minorHAnsi"/>
        </w:rPr>
        <w:t xml:space="preserve">essentiellement </w:t>
      </w:r>
      <w:r w:rsidR="00AA2E4C">
        <w:rPr>
          <w:rFonts w:cstheme="minorHAnsi"/>
        </w:rPr>
        <w:t xml:space="preserve">aux </w:t>
      </w:r>
      <w:r w:rsidR="00AA2E4C" w:rsidRPr="00AA2E4C">
        <w:rPr>
          <w:rFonts w:cstheme="minorHAnsi"/>
        </w:rPr>
        <w:t xml:space="preserve">structures centrales de l’administration. Toutefois, pour certains </w:t>
      </w:r>
      <w:r w:rsidR="00C02A16" w:rsidRPr="00C02A16">
        <w:rPr>
          <w:rFonts w:cstheme="minorHAnsi"/>
        </w:rPr>
        <w:t>Indicateurs liés au Décaissement</w:t>
      </w:r>
      <w:r w:rsidR="00C02A16" w:rsidRPr="00AA2E4C">
        <w:rPr>
          <w:rFonts w:cstheme="minorHAnsi"/>
        </w:rPr>
        <w:t xml:space="preserve"> </w:t>
      </w:r>
      <w:r w:rsidR="00C02A16">
        <w:rPr>
          <w:rFonts w:cstheme="minorHAnsi"/>
        </w:rPr>
        <w:t>(</w:t>
      </w:r>
      <w:r w:rsidR="00AA2E4C" w:rsidRPr="00AA2E4C">
        <w:rPr>
          <w:rFonts w:cstheme="minorHAnsi"/>
        </w:rPr>
        <w:t>ILDs</w:t>
      </w:r>
      <w:r w:rsidR="00C02A16">
        <w:rPr>
          <w:rFonts w:cstheme="minorHAnsi"/>
        </w:rPr>
        <w:t>)</w:t>
      </w:r>
      <w:r w:rsidR="00AA2E4C" w:rsidRPr="00AA2E4C">
        <w:rPr>
          <w:rFonts w:cstheme="minorHAnsi"/>
        </w:rPr>
        <w:t xml:space="preserve">, </w:t>
      </w:r>
      <w:r w:rsidR="00AA2E4C">
        <w:rPr>
          <w:rFonts w:cstheme="minorHAnsi"/>
        </w:rPr>
        <w:t xml:space="preserve">les résultats du Programme bénéficieront </w:t>
      </w:r>
      <w:r w:rsidR="00AA2E4C" w:rsidRPr="00AA2E4C">
        <w:rPr>
          <w:rFonts w:cstheme="minorHAnsi"/>
        </w:rPr>
        <w:t xml:space="preserve">également </w:t>
      </w:r>
      <w:r w:rsidR="00AA2E4C">
        <w:rPr>
          <w:rFonts w:cstheme="minorHAnsi"/>
        </w:rPr>
        <w:t xml:space="preserve">aux </w:t>
      </w:r>
      <w:r w:rsidR="00AA2E4C" w:rsidRPr="00AA2E4C">
        <w:rPr>
          <w:rFonts w:cstheme="minorHAnsi"/>
        </w:rPr>
        <w:t>structures déconcentrées</w:t>
      </w:r>
      <w:r w:rsidR="00AA2E4C">
        <w:rPr>
          <w:rFonts w:cstheme="minorHAnsi"/>
        </w:rPr>
        <w:t>. Les bénéficiaires indirects du Programme correspondent à l’ensemble de la population du Royaume.</w:t>
      </w:r>
    </w:p>
    <w:p w14:paraId="2D25A70F" w14:textId="0EB97355" w:rsidR="00B02E33" w:rsidRPr="00046E7D" w:rsidRDefault="005D5B02" w:rsidP="00D85E9B">
      <w:pPr>
        <w:numPr>
          <w:ilvl w:val="0"/>
          <w:numId w:val="11"/>
        </w:numPr>
        <w:autoSpaceDE w:val="0"/>
        <w:autoSpaceDN w:val="0"/>
        <w:adjustRightInd w:val="0"/>
        <w:spacing w:before="120" w:after="0" w:line="360" w:lineRule="auto"/>
        <w:contextualSpacing/>
        <w:jc w:val="both"/>
        <w:rPr>
          <w:rFonts w:cstheme="minorHAnsi"/>
        </w:rPr>
      </w:pPr>
      <w:r w:rsidRPr="00046E7D">
        <w:rPr>
          <w:rFonts w:cstheme="minorHAnsi"/>
        </w:rPr>
        <w:t xml:space="preserve">La </w:t>
      </w:r>
      <w:r w:rsidR="006F69EC" w:rsidRPr="00046E7D">
        <w:rPr>
          <w:rFonts w:cstheme="minorHAnsi"/>
        </w:rPr>
        <w:t>zone géographique du programme comprendrait les régions de Tanger-Tétouan-Al Hoceima, l'Oriental, Fès-Meknès, Rabat-Salé-Kénitra, Béni-Mellal-</w:t>
      </w:r>
      <w:proofErr w:type="spellStart"/>
      <w:r w:rsidR="006F69EC" w:rsidRPr="00046E7D">
        <w:rPr>
          <w:rFonts w:cstheme="minorHAnsi"/>
        </w:rPr>
        <w:t>Khénifra</w:t>
      </w:r>
      <w:proofErr w:type="spellEnd"/>
      <w:r w:rsidR="006F69EC" w:rsidRPr="00046E7D">
        <w:rPr>
          <w:rFonts w:cstheme="minorHAnsi"/>
        </w:rPr>
        <w:t xml:space="preserve">, Casablanca-Settat, Marrakech-Safi, </w:t>
      </w:r>
      <w:proofErr w:type="spellStart"/>
      <w:r w:rsidR="006F69EC" w:rsidRPr="00046E7D">
        <w:rPr>
          <w:rFonts w:cstheme="minorHAnsi"/>
        </w:rPr>
        <w:t>Draâ</w:t>
      </w:r>
      <w:proofErr w:type="spellEnd"/>
      <w:r w:rsidR="006F69EC" w:rsidRPr="00046E7D">
        <w:rPr>
          <w:rFonts w:cstheme="minorHAnsi"/>
        </w:rPr>
        <w:t xml:space="preserve">-Tafilalet, </w:t>
      </w:r>
      <w:r w:rsidR="0088234A">
        <w:rPr>
          <w:rFonts w:cstheme="minorHAnsi"/>
        </w:rPr>
        <w:t xml:space="preserve">et </w:t>
      </w:r>
      <w:r w:rsidR="006F69EC" w:rsidRPr="00046E7D">
        <w:rPr>
          <w:rFonts w:cstheme="minorHAnsi"/>
        </w:rPr>
        <w:t>Souss-Massa.</w:t>
      </w:r>
    </w:p>
    <w:bookmarkEnd w:id="47"/>
    <w:p w14:paraId="1886C3C4" w14:textId="72508548" w:rsidR="00525841" w:rsidRPr="00046E7D" w:rsidRDefault="00525841" w:rsidP="00525841">
      <w:pPr>
        <w:pStyle w:val="Heading3"/>
        <w:rPr>
          <w:rFonts w:ascii="Candara" w:hAnsi="Candara"/>
          <w:color w:val="auto"/>
          <w:lang w:val="fr-FR"/>
        </w:rPr>
      </w:pPr>
      <w:r w:rsidRPr="00046E7D">
        <w:rPr>
          <w:rFonts w:ascii="Candara" w:hAnsi="Candara"/>
          <w:color w:val="auto"/>
          <w:lang w:val="fr-FR"/>
        </w:rPr>
        <w:t xml:space="preserve"> </w:t>
      </w:r>
      <w:bookmarkStart w:id="48" w:name="_Toc496827310"/>
      <w:bookmarkStart w:id="49" w:name="_Toc40218545"/>
      <w:bookmarkStart w:id="50" w:name="_Toc40219583"/>
      <w:bookmarkStart w:id="51" w:name="_Toc74241379"/>
      <w:r w:rsidRPr="00046E7D">
        <w:rPr>
          <w:rFonts w:ascii="Candara" w:hAnsi="Candara"/>
          <w:color w:val="auto"/>
          <w:lang w:val="fr-FR"/>
        </w:rPr>
        <w:t>2.2.3</w:t>
      </w:r>
      <w:r w:rsidR="002156A1">
        <w:rPr>
          <w:rFonts w:ascii="Candara" w:hAnsi="Candara"/>
          <w:color w:val="auto"/>
          <w:lang w:val="fr-FR"/>
        </w:rPr>
        <w:tab/>
      </w:r>
      <w:r w:rsidRPr="00046E7D">
        <w:rPr>
          <w:rFonts w:ascii="Candara" w:hAnsi="Candara"/>
          <w:color w:val="auto"/>
          <w:lang w:val="fr-FR"/>
        </w:rPr>
        <w:t>Durée</w:t>
      </w:r>
      <w:bookmarkEnd w:id="48"/>
      <w:bookmarkEnd w:id="49"/>
      <w:bookmarkEnd w:id="50"/>
      <w:bookmarkEnd w:id="51"/>
      <w:r w:rsidRPr="00046E7D">
        <w:rPr>
          <w:rFonts w:ascii="Candara" w:hAnsi="Candara"/>
          <w:color w:val="auto"/>
          <w:lang w:val="fr-FR"/>
        </w:rPr>
        <w:t> </w:t>
      </w:r>
    </w:p>
    <w:p w14:paraId="0510FD77" w14:textId="7FC5FA36" w:rsidR="00143562" w:rsidRPr="003A404D" w:rsidRDefault="0099191E" w:rsidP="00B33704">
      <w:pPr>
        <w:pStyle w:val="Paranumbering"/>
        <w:numPr>
          <w:ilvl w:val="0"/>
          <w:numId w:val="9"/>
        </w:numPr>
        <w:ind w:left="426" w:right="-23" w:hanging="426"/>
        <w:rPr>
          <w:color w:val="auto"/>
          <w:sz w:val="22"/>
          <w:szCs w:val="22"/>
          <w:lang w:val="fr-FR"/>
        </w:rPr>
      </w:pPr>
      <w:r w:rsidRPr="00046E7D">
        <w:rPr>
          <w:rFonts w:asciiTheme="minorHAnsi" w:hAnsiTheme="minorHAnsi" w:cstheme="minorHAnsi"/>
          <w:color w:val="auto"/>
          <w:sz w:val="22"/>
          <w:szCs w:val="22"/>
          <w:lang w:val="fr-FR"/>
        </w:rPr>
        <w:t xml:space="preserve">Le </w:t>
      </w:r>
      <w:r w:rsidR="00F804E8">
        <w:rPr>
          <w:rFonts w:asciiTheme="minorHAnsi" w:hAnsiTheme="minorHAnsi" w:cstheme="minorHAnsi"/>
          <w:color w:val="auto"/>
          <w:sz w:val="22"/>
          <w:szCs w:val="22"/>
          <w:lang w:val="fr-FR"/>
        </w:rPr>
        <w:t>P</w:t>
      </w:r>
      <w:r w:rsidRPr="00046E7D">
        <w:rPr>
          <w:rFonts w:asciiTheme="minorHAnsi" w:hAnsiTheme="minorHAnsi" w:cstheme="minorHAnsi"/>
          <w:color w:val="auto"/>
          <w:sz w:val="22"/>
          <w:szCs w:val="22"/>
          <w:lang w:val="fr-FR"/>
        </w:rPr>
        <w:t xml:space="preserve">rogramme proposé durera cinq ans </w:t>
      </w:r>
      <w:r w:rsidR="006F69EC" w:rsidRPr="00046E7D">
        <w:rPr>
          <w:rFonts w:asciiTheme="minorHAnsi" w:hAnsiTheme="minorHAnsi" w:cstheme="minorHAnsi"/>
          <w:color w:val="auto"/>
          <w:sz w:val="22"/>
          <w:szCs w:val="22"/>
          <w:lang w:val="fr-FR"/>
        </w:rPr>
        <w:t>(202</w:t>
      </w:r>
      <w:r w:rsidR="00AA2E4C">
        <w:rPr>
          <w:rFonts w:asciiTheme="minorHAnsi" w:hAnsiTheme="minorHAnsi" w:cstheme="minorHAnsi"/>
          <w:color w:val="auto"/>
          <w:sz w:val="22"/>
          <w:szCs w:val="22"/>
          <w:lang w:val="fr-FR"/>
        </w:rPr>
        <w:t>2</w:t>
      </w:r>
      <w:r w:rsidR="006F69EC" w:rsidRPr="00046E7D">
        <w:rPr>
          <w:rFonts w:asciiTheme="minorHAnsi" w:hAnsiTheme="minorHAnsi" w:cstheme="minorHAnsi"/>
          <w:color w:val="auto"/>
          <w:sz w:val="22"/>
          <w:szCs w:val="22"/>
          <w:lang w:val="fr-FR"/>
        </w:rPr>
        <w:t>-202</w:t>
      </w:r>
      <w:r w:rsidR="00AA2E4C">
        <w:rPr>
          <w:rFonts w:asciiTheme="minorHAnsi" w:hAnsiTheme="minorHAnsi" w:cstheme="minorHAnsi"/>
          <w:color w:val="auto"/>
          <w:sz w:val="22"/>
          <w:szCs w:val="22"/>
          <w:lang w:val="fr-FR"/>
        </w:rPr>
        <w:t>6</w:t>
      </w:r>
      <w:r w:rsidR="006F69EC" w:rsidRPr="00046E7D">
        <w:rPr>
          <w:rFonts w:asciiTheme="minorHAnsi" w:hAnsiTheme="minorHAnsi" w:cstheme="minorHAnsi"/>
          <w:color w:val="auto"/>
          <w:sz w:val="22"/>
          <w:szCs w:val="22"/>
          <w:lang w:val="fr-FR"/>
        </w:rPr>
        <w:t>)</w:t>
      </w:r>
      <w:r w:rsidR="00AA2E4C">
        <w:rPr>
          <w:rFonts w:asciiTheme="minorHAnsi" w:hAnsiTheme="minorHAnsi" w:cstheme="minorHAnsi"/>
          <w:color w:val="auto"/>
          <w:sz w:val="22"/>
          <w:szCs w:val="22"/>
          <w:lang w:val="fr-FR"/>
        </w:rPr>
        <w:t>.</w:t>
      </w:r>
    </w:p>
    <w:p w14:paraId="77D867BD" w14:textId="16160C27" w:rsidR="00307691" w:rsidRPr="00046E7D" w:rsidRDefault="00307691" w:rsidP="00307691">
      <w:pPr>
        <w:pStyle w:val="Heading3"/>
        <w:rPr>
          <w:rFonts w:ascii="Candara" w:hAnsi="Candara"/>
          <w:color w:val="auto"/>
          <w:lang w:val="fr-FR"/>
        </w:rPr>
      </w:pPr>
      <w:r w:rsidRPr="00046E7D">
        <w:rPr>
          <w:rFonts w:ascii="Candara" w:hAnsi="Candara"/>
          <w:color w:val="auto"/>
          <w:lang w:val="fr-FR"/>
        </w:rPr>
        <w:t xml:space="preserve"> </w:t>
      </w:r>
      <w:bookmarkStart w:id="52" w:name="_Toc496827311"/>
      <w:bookmarkStart w:id="53" w:name="_Toc40218546"/>
      <w:bookmarkStart w:id="54" w:name="_Toc40219584"/>
      <w:bookmarkStart w:id="55" w:name="_Toc74241380"/>
      <w:r w:rsidRPr="00046E7D">
        <w:rPr>
          <w:rFonts w:ascii="Candara" w:hAnsi="Candara"/>
          <w:color w:val="auto"/>
          <w:lang w:val="fr-FR"/>
        </w:rPr>
        <w:t>2.2.4</w:t>
      </w:r>
      <w:bookmarkStart w:id="56" w:name="_Toc410055341"/>
      <w:bookmarkEnd w:id="52"/>
      <w:bookmarkEnd w:id="56"/>
      <w:r w:rsidR="002156A1">
        <w:rPr>
          <w:rFonts w:ascii="Candara" w:hAnsi="Candara"/>
          <w:color w:val="auto"/>
          <w:lang w:val="fr-FR"/>
        </w:rPr>
        <w:tab/>
      </w:r>
      <w:r w:rsidR="005D5B02" w:rsidRPr="00046E7D">
        <w:rPr>
          <w:rFonts w:ascii="Candara" w:hAnsi="Candara"/>
          <w:color w:val="auto"/>
          <w:lang w:val="fr-FR"/>
        </w:rPr>
        <w:t>Indicateurs liés au décaissement</w:t>
      </w:r>
      <w:bookmarkEnd w:id="53"/>
      <w:bookmarkEnd w:id="54"/>
      <w:bookmarkEnd w:id="55"/>
      <w:r w:rsidRPr="00046E7D">
        <w:rPr>
          <w:rFonts w:ascii="Candara" w:hAnsi="Candara"/>
          <w:color w:val="auto"/>
          <w:lang w:val="fr-FR"/>
        </w:rPr>
        <w:tab/>
      </w:r>
    </w:p>
    <w:p w14:paraId="4410AFA0" w14:textId="7B035D12" w:rsidR="0099191E" w:rsidRDefault="00307691" w:rsidP="00D85E9B">
      <w:pPr>
        <w:numPr>
          <w:ilvl w:val="0"/>
          <w:numId w:val="11"/>
        </w:numPr>
        <w:autoSpaceDE w:val="0"/>
        <w:autoSpaceDN w:val="0"/>
        <w:adjustRightInd w:val="0"/>
        <w:spacing w:before="120" w:after="0" w:line="360" w:lineRule="auto"/>
        <w:contextualSpacing/>
        <w:jc w:val="both"/>
        <w:rPr>
          <w:rFonts w:cstheme="minorHAnsi"/>
        </w:rPr>
      </w:pPr>
      <w:r w:rsidRPr="003A404D">
        <w:t xml:space="preserve"> </w:t>
      </w:r>
      <w:bookmarkStart w:id="57" w:name="_Toc410055340"/>
      <w:bookmarkEnd w:id="40"/>
      <w:bookmarkEnd w:id="41"/>
      <w:bookmarkEnd w:id="57"/>
      <w:r w:rsidR="0099191E" w:rsidRPr="00046E7D">
        <w:rPr>
          <w:rFonts w:cstheme="minorHAnsi"/>
        </w:rPr>
        <w:t xml:space="preserve">Le montant de prêt BIRD est de </w:t>
      </w:r>
      <w:r w:rsidR="00AA2E4C">
        <w:rPr>
          <w:rFonts w:cstheme="minorHAnsi"/>
        </w:rPr>
        <w:t>3</w:t>
      </w:r>
      <w:r w:rsidR="005D5B02" w:rsidRPr="00046E7D">
        <w:rPr>
          <w:rFonts w:cstheme="minorHAnsi"/>
        </w:rPr>
        <w:t>00</w:t>
      </w:r>
      <w:r w:rsidR="0099191E" w:rsidRPr="00046E7D">
        <w:rPr>
          <w:rFonts w:cstheme="minorHAnsi"/>
        </w:rPr>
        <w:t xml:space="preserve"> millions USD. </w:t>
      </w:r>
      <w:r w:rsidRPr="00046E7D">
        <w:rPr>
          <w:rFonts w:cstheme="minorHAnsi"/>
        </w:rPr>
        <w:t>Conformément aux modalités des décaissement convenues en commun accord entre la Banque mondiale et la partie marocaine</w:t>
      </w:r>
      <w:r w:rsidR="00F302AC" w:rsidRPr="00046E7D">
        <w:rPr>
          <w:rFonts w:cstheme="minorHAnsi"/>
        </w:rPr>
        <w:t>,</w:t>
      </w:r>
      <w:r w:rsidRPr="00046E7D">
        <w:rPr>
          <w:rFonts w:cstheme="minorHAnsi"/>
        </w:rPr>
        <w:t xml:space="preserve"> </w:t>
      </w:r>
      <w:r w:rsidR="00F302AC" w:rsidRPr="00046E7D">
        <w:rPr>
          <w:rFonts w:cstheme="minorHAnsi"/>
        </w:rPr>
        <w:t>l</w:t>
      </w:r>
      <w:r w:rsidR="0099191E" w:rsidRPr="00046E7D">
        <w:rPr>
          <w:rFonts w:cstheme="minorHAnsi"/>
        </w:rPr>
        <w:t xml:space="preserve">es décaissements du prêt ne sont pas liés à des dépenses spécifiques mais plutôt </w:t>
      </w:r>
      <w:r w:rsidR="00AA2E4C" w:rsidRPr="00AA2E4C">
        <w:rPr>
          <w:rFonts w:cstheme="minorHAnsi"/>
        </w:rPr>
        <w:t xml:space="preserve">à </w:t>
      </w:r>
      <w:r w:rsidRPr="00046E7D">
        <w:rPr>
          <w:rFonts w:cstheme="minorHAnsi"/>
        </w:rPr>
        <w:t xml:space="preserve">leurs indicateurs. </w:t>
      </w:r>
      <w:r w:rsidR="005D5B02" w:rsidRPr="00046E7D">
        <w:rPr>
          <w:rFonts w:cstheme="minorHAnsi"/>
        </w:rPr>
        <w:t xml:space="preserve">Les décaissements seront effectués en fonction de l’atteinte de résultats définis de manière concertée avec le </w:t>
      </w:r>
      <w:r w:rsidR="00AA2E4C">
        <w:rPr>
          <w:rFonts w:cstheme="minorHAnsi"/>
        </w:rPr>
        <w:t>MEFRA</w:t>
      </w:r>
      <w:r w:rsidR="005D5B02" w:rsidRPr="00046E7D">
        <w:rPr>
          <w:rFonts w:cstheme="minorHAnsi"/>
        </w:rPr>
        <w:t xml:space="preserve"> et ses partenaires et en ligne avec les résultats visés par l</w:t>
      </w:r>
      <w:r w:rsidR="00AA2E4C">
        <w:rPr>
          <w:rFonts w:cstheme="minorHAnsi"/>
        </w:rPr>
        <w:t>es</w:t>
      </w:r>
      <w:r w:rsidR="005D5B02" w:rsidRPr="00046E7D">
        <w:rPr>
          <w:rFonts w:cstheme="minorHAnsi"/>
        </w:rPr>
        <w:t xml:space="preserve"> stratégie</w:t>
      </w:r>
      <w:r w:rsidR="00AA2E4C">
        <w:rPr>
          <w:rFonts w:cstheme="minorHAnsi"/>
        </w:rPr>
        <w:t>s</w:t>
      </w:r>
      <w:r w:rsidR="005D5B02" w:rsidRPr="00046E7D">
        <w:rPr>
          <w:rFonts w:cstheme="minorHAnsi"/>
        </w:rPr>
        <w:t xml:space="preserve"> gouvernementale</w:t>
      </w:r>
      <w:r w:rsidR="00AA2E4C">
        <w:rPr>
          <w:rFonts w:cstheme="minorHAnsi"/>
        </w:rPr>
        <w:t>s</w:t>
      </w:r>
      <w:r w:rsidR="005D5B02" w:rsidRPr="00046E7D">
        <w:rPr>
          <w:rFonts w:cstheme="minorHAnsi"/>
        </w:rPr>
        <w:t>, Ils sont synthétisés dans le tableau ci-dessous :</w:t>
      </w:r>
      <w:r w:rsidR="0099191E" w:rsidRPr="00046E7D">
        <w:rPr>
          <w:rFonts w:cstheme="minorHAnsi"/>
        </w:rPr>
        <w:t xml:space="preserve"> </w:t>
      </w:r>
    </w:p>
    <w:p w14:paraId="059E757D" w14:textId="2B0DE4DF" w:rsidR="004131E4" w:rsidRDefault="004131E4" w:rsidP="004131E4">
      <w:pPr>
        <w:pStyle w:val="Paranumbering"/>
        <w:numPr>
          <w:ilvl w:val="0"/>
          <w:numId w:val="0"/>
        </w:numPr>
        <w:ind w:left="426" w:right="-23"/>
        <w:rPr>
          <w:rFonts w:asciiTheme="minorHAnsi" w:hAnsiTheme="minorHAnsi" w:cstheme="minorHAnsi"/>
          <w:color w:val="auto"/>
          <w:sz w:val="22"/>
          <w:szCs w:val="22"/>
          <w:lang w:val="fr-FR"/>
        </w:rPr>
      </w:pPr>
    </w:p>
    <w:p w14:paraId="46CD6072" w14:textId="35BD079B" w:rsidR="00E0728A" w:rsidRPr="00046E7D" w:rsidRDefault="009A709C" w:rsidP="009A709C">
      <w:pPr>
        <w:spacing w:after="200"/>
        <w:ind w:left="714" w:hanging="357"/>
        <w:jc w:val="center"/>
        <w:rPr>
          <w:rFonts w:cstheme="minorHAnsi"/>
          <w:b/>
          <w:bCs/>
        </w:rPr>
      </w:pPr>
      <w:r w:rsidRPr="00046E7D">
        <w:rPr>
          <w:rFonts w:cstheme="minorHAnsi"/>
          <w:b/>
          <w:bCs/>
        </w:rPr>
        <w:t xml:space="preserve">Tableau 1 : </w:t>
      </w:r>
      <w:r w:rsidR="0099191E" w:rsidRPr="00046E7D">
        <w:rPr>
          <w:rFonts w:cstheme="minorHAnsi"/>
          <w:b/>
          <w:bCs/>
        </w:rPr>
        <w:t>Indicateur</w:t>
      </w:r>
      <w:r w:rsidR="005D5B02" w:rsidRPr="00046E7D">
        <w:rPr>
          <w:rFonts w:cstheme="minorHAnsi"/>
          <w:b/>
          <w:bCs/>
        </w:rPr>
        <w:t>s</w:t>
      </w:r>
      <w:r w:rsidR="0099191E" w:rsidRPr="00046E7D">
        <w:rPr>
          <w:rFonts w:cstheme="minorHAnsi"/>
          <w:b/>
          <w:bCs/>
        </w:rPr>
        <w:t xml:space="preserve"> lié</w:t>
      </w:r>
      <w:r w:rsidR="005D5B02" w:rsidRPr="00046E7D">
        <w:rPr>
          <w:rFonts w:cstheme="minorHAnsi"/>
          <w:b/>
          <w:bCs/>
        </w:rPr>
        <w:t>s</w:t>
      </w:r>
      <w:r w:rsidR="0099191E" w:rsidRPr="00046E7D">
        <w:rPr>
          <w:rFonts w:cstheme="minorHAnsi"/>
          <w:b/>
          <w:bCs/>
        </w:rPr>
        <w:t xml:space="preserve"> au Décaissement (ILD)</w:t>
      </w:r>
    </w:p>
    <w:tbl>
      <w:tblPr>
        <w:tblW w:w="8640" w:type="dxa"/>
        <w:tblInd w:w="262"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3420"/>
        <w:gridCol w:w="5220"/>
      </w:tblGrid>
      <w:tr w:rsidR="005128B9" w:rsidRPr="00530059" w14:paraId="7D0BF1BE" w14:textId="77777777" w:rsidTr="009E502F">
        <w:tc>
          <w:tcPr>
            <w:tcW w:w="342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66032D1" w14:textId="5A92D6D4" w:rsidR="005128B9" w:rsidRPr="00530059" w:rsidRDefault="00E055EE" w:rsidP="005128B9">
            <w:pPr>
              <w:spacing w:after="0" w:line="240" w:lineRule="auto"/>
              <w:jc w:val="center"/>
              <w:textAlignment w:val="baseline"/>
              <w:rPr>
                <w:rFonts w:ascii="Segoe UI" w:eastAsia="Times New Roman" w:hAnsi="Segoe UI" w:cs="Segoe UI"/>
                <w:color w:val="000000"/>
                <w:sz w:val="20"/>
                <w:szCs w:val="20"/>
                <w:lang w:val="en-US"/>
              </w:rPr>
            </w:pPr>
            <w:r>
              <w:rPr>
                <w:rFonts w:ascii="Calibri" w:eastAsia="Times New Roman" w:hAnsi="Calibri" w:cs="Calibri"/>
                <w:b/>
                <w:bCs/>
                <w:sz w:val="20"/>
                <w:szCs w:val="20"/>
                <w:lang w:val="en-US"/>
              </w:rPr>
              <w:t>D</w:t>
            </w:r>
            <w:r>
              <w:rPr>
                <w:rFonts w:ascii="Calibri" w:eastAsia="Times New Roman" w:hAnsi="Calibri"/>
                <w:b/>
                <w:bCs/>
                <w:sz w:val="20"/>
                <w:szCs w:val="20"/>
                <w:lang w:val="en-US"/>
              </w:rPr>
              <w:t xml:space="preserve">omaine de </w:t>
            </w:r>
            <w:proofErr w:type="spellStart"/>
            <w:r>
              <w:rPr>
                <w:rFonts w:ascii="Calibri" w:eastAsia="Times New Roman" w:hAnsi="Calibri"/>
                <w:b/>
                <w:bCs/>
                <w:sz w:val="20"/>
                <w:szCs w:val="20"/>
                <w:lang w:val="en-US"/>
              </w:rPr>
              <w:t>R</w:t>
            </w:r>
            <w:r w:rsidRPr="00E055EE">
              <w:rPr>
                <w:rFonts w:ascii="Calibri" w:eastAsia="Times New Roman" w:hAnsi="Calibri"/>
                <w:b/>
                <w:bCs/>
                <w:sz w:val="20"/>
                <w:szCs w:val="20"/>
                <w:lang w:val="en-US"/>
              </w:rPr>
              <w:t>é</w:t>
            </w:r>
            <w:r>
              <w:rPr>
                <w:rFonts w:ascii="Calibri" w:eastAsia="Times New Roman" w:hAnsi="Calibri"/>
                <w:b/>
                <w:bCs/>
                <w:sz w:val="20"/>
                <w:szCs w:val="20"/>
                <w:lang w:val="en-US"/>
              </w:rPr>
              <w:t>sultats</w:t>
            </w:r>
            <w:proofErr w:type="spellEnd"/>
            <w:r w:rsidRPr="00530059">
              <w:rPr>
                <w:rFonts w:ascii="Calibri" w:eastAsia="Times New Roman" w:hAnsi="Calibri" w:cs="Calibri"/>
                <w:sz w:val="20"/>
                <w:szCs w:val="20"/>
                <w:lang w:val="en-US"/>
              </w:rPr>
              <w:t> </w:t>
            </w:r>
          </w:p>
        </w:tc>
        <w:tc>
          <w:tcPr>
            <w:tcW w:w="5220" w:type="dxa"/>
            <w:tcBorders>
              <w:top w:val="single" w:sz="6" w:space="0" w:color="auto"/>
              <w:left w:val="nil"/>
              <w:bottom w:val="single" w:sz="6" w:space="0" w:color="auto"/>
              <w:right w:val="single" w:sz="6" w:space="0" w:color="auto"/>
            </w:tcBorders>
            <w:shd w:val="clear" w:color="auto" w:fill="FFFFFF" w:themeFill="background1"/>
            <w:hideMark/>
          </w:tcPr>
          <w:p w14:paraId="538A55D7" w14:textId="738E71A8" w:rsidR="005128B9" w:rsidRPr="00530059" w:rsidRDefault="00E055EE" w:rsidP="005128B9">
            <w:pPr>
              <w:spacing w:after="0" w:line="240" w:lineRule="auto"/>
              <w:jc w:val="center"/>
              <w:textAlignment w:val="baseline"/>
              <w:rPr>
                <w:rFonts w:ascii="Segoe UI" w:eastAsia="Times New Roman" w:hAnsi="Segoe UI" w:cs="Segoe UI"/>
                <w:color w:val="000000"/>
                <w:sz w:val="20"/>
                <w:szCs w:val="20"/>
                <w:lang w:val="en-US"/>
              </w:rPr>
            </w:pPr>
            <w:r>
              <w:rPr>
                <w:rFonts w:ascii="Calibri" w:eastAsia="Times New Roman" w:hAnsi="Calibri" w:cs="Calibri"/>
                <w:b/>
                <w:bCs/>
                <w:sz w:val="20"/>
                <w:szCs w:val="20"/>
                <w:lang w:val="en-US"/>
              </w:rPr>
              <w:t>ILD</w:t>
            </w:r>
            <w:r w:rsidRPr="00530059">
              <w:rPr>
                <w:rFonts w:ascii="Calibri" w:eastAsia="Times New Roman" w:hAnsi="Calibri" w:cs="Calibri"/>
                <w:b/>
                <w:bCs/>
                <w:sz w:val="20"/>
                <w:szCs w:val="20"/>
                <w:lang w:val="en-US"/>
              </w:rPr>
              <w:t>s</w:t>
            </w:r>
            <w:r w:rsidRPr="00530059">
              <w:rPr>
                <w:rFonts w:ascii="Calibri" w:eastAsia="Times New Roman" w:hAnsi="Calibri" w:cs="Calibri"/>
                <w:sz w:val="20"/>
                <w:szCs w:val="20"/>
                <w:lang w:val="en-US"/>
              </w:rPr>
              <w:t> </w:t>
            </w:r>
          </w:p>
        </w:tc>
      </w:tr>
      <w:tr w:rsidR="005128B9" w:rsidRPr="00E055EE" w14:paraId="7DECC6D2" w14:textId="77777777" w:rsidTr="009E502F">
        <w:tc>
          <w:tcPr>
            <w:tcW w:w="3420" w:type="dxa"/>
            <w:vMerge w:val="restart"/>
            <w:tcBorders>
              <w:top w:val="nil"/>
              <w:left w:val="single" w:sz="6" w:space="0" w:color="auto"/>
              <w:bottom w:val="single" w:sz="6" w:space="0" w:color="auto"/>
              <w:right w:val="single" w:sz="6" w:space="0" w:color="auto"/>
            </w:tcBorders>
            <w:shd w:val="clear" w:color="auto" w:fill="FFFFFF" w:themeFill="background1"/>
            <w:hideMark/>
          </w:tcPr>
          <w:p w14:paraId="68A8286E" w14:textId="75B65767" w:rsidR="005128B9" w:rsidRPr="00D85E9B" w:rsidRDefault="00E055EE" w:rsidP="005128B9">
            <w:pPr>
              <w:spacing w:after="0" w:line="240" w:lineRule="auto"/>
              <w:textAlignment w:val="baseline"/>
              <w:rPr>
                <w:rFonts w:ascii="Calibri" w:eastAsia="Times New Roman" w:hAnsi="Calibri" w:cs="Calibri"/>
                <w:sz w:val="20"/>
                <w:szCs w:val="20"/>
              </w:rPr>
            </w:pPr>
            <w:r w:rsidRPr="00D85E9B">
              <w:rPr>
                <w:rFonts w:ascii="Calibri" w:eastAsia="Times New Roman" w:hAnsi="Calibri" w:cs="Calibri"/>
                <w:b/>
                <w:bCs/>
                <w:sz w:val="20"/>
                <w:szCs w:val="20"/>
              </w:rPr>
              <w:t xml:space="preserve">DR </w:t>
            </w:r>
            <w:r w:rsidR="005128B9" w:rsidRPr="00D85E9B">
              <w:rPr>
                <w:rFonts w:ascii="Calibri" w:eastAsia="Times New Roman" w:hAnsi="Calibri" w:cs="Calibri"/>
                <w:b/>
                <w:bCs/>
                <w:sz w:val="20"/>
                <w:szCs w:val="20"/>
              </w:rPr>
              <w:t xml:space="preserve">1: </w:t>
            </w:r>
            <w:r w:rsidRPr="00D85E9B">
              <w:rPr>
                <w:rFonts w:ascii="Segoe UI" w:eastAsia="Times New Roman" w:hAnsi="Segoe UI" w:cs="Segoe UI"/>
                <w:b/>
                <w:bCs/>
                <w:color w:val="000000"/>
                <w:sz w:val="20"/>
                <w:szCs w:val="20"/>
              </w:rPr>
              <w:t>Efficacité des dépenses publiques</w:t>
            </w:r>
            <w:r w:rsidRPr="00D85E9B">
              <w:rPr>
                <w:rFonts w:ascii="Calibri" w:eastAsia="Times New Roman" w:hAnsi="Calibri" w:cs="Calibri"/>
                <w:b/>
                <w:bCs/>
                <w:sz w:val="20"/>
                <w:szCs w:val="20"/>
              </w:rPr>
              <w:t xml:space="preserve"> </w:t>
            </w:r>
            <w:r w:rsidR="005128B9" w:rsidRPr="00D85E9B">
              <w:rPr>
                <w:rFonts w:ascii="Calibri" w:eastAsia="Times New Roman" w:hAnsi="Calibri" w:cs="Calibri"/>
                <w:sz w:val="20"/>
                <w:szCs w:val="20"/>
              </w:rPr>
              <w:t> </w:t>
            </w:r>
          </w:p>
          <w:p w14:paraId="4E4601A8" w14:textId="3E712229" w:rsidR="00E055EE" w:rsidRPr="00530059" w:rsidRDefault="00E055EE" w:rsidP="00E055EE">
            <w:pPr>
              <w:spacing w:after="0" w:line="240" w:lineRule="auto"/>
              <w:textAlignment w:val="baseline"/>
              <w:rPr>
                <w:rFonts w:ascii="Segoe UI" w:eastAsia="Times New Roman" w:hAnsi="Segoe UI" w:cs="Segoe UI"/>
                <w:color w:val="000000"/>
                <w:sz w:val="20"/>
                <w:szCs w:val="20"/>
                <w:lang w:val="en-US"/>
              </w:rPr>
            </w:pPr>
          </w:p>
        </w:tc>
        <w:tc>
          <w:tcPr>
            <w:tcW w:w="5220" w:type="dxa"/>
            <w:tcBorders>
              <w:top w:val="nil"/>
              <w:left w:val="nil"/>
              <w:bottom w:val="single" w:sz="6" w:space="0" w:color="auto"/>
              <w:right w:val="single" w:sz="6" w:space="0" w:color="auto"/>
            </w:tcBorders>
            <w:shd w:val="clear" w:color="auto" w:fill="FFFFFF" w:themeFill="background1"/>
            <w:hideMark/>
          </w:tcPr>
          <w:p w14:paraId="6EBA58C7" w14:textId="3FD7B1F7" w:rsidR="005128B9" w:rsidRPr="00D85E9B" w:rsidRDefault="00E055EE" w:rsidP="005128B9">
            <w:pPr>
              <w:spacing w:after="0" w:line="240" w:lineRule="auto"/>
              <w:textAlignment w:val="baseline"/>
              <w:rPr>
                <w:rFonts w:ascii="Segoe UI" w:eastAsia="Times New Roman" w:hAnsi="Segoe UI" w:cs="Segoe UI"/>
                <w:color w:val="000000"/>
                <w:sz w:val="20"/>
                <w:szCs w:val="20"/>
              </w:rPr>
            </w:pPr>
            <w:r w:rsidRPr="00D85E9B">
              <w:rPr>
                <w:rFonts w:ascii="Calibri" w:eastAsia="Times New Roman" w:hAnsi="Calibri" w:cs="Calibri"/>
                <w:b/>
                <w:bCs/>
                <w:sz w:val="20"/>
                <w:szCs w:val="20"/>
              </w:rPr>
              <w:t>ILD</w:t>
            </w:r>
            <w:r w:rsidR="005128B9" w:rsidRPr="00D85E9B">
              <w:rPr>
                <w:rFonts w:ascii="Calibri" w:eastAsia="Times New Roman" w:hAnsi="Calibri" w:cs="Calibri"/>
                <w:b/>
                <w:bCs/>
                <w:sz w:val="20"/>
                <w:szCs w:val="20"/>
              </w:rPr>
              <w:t>#1</w:t>
            </w:r>
            <w:r w:rsidR="005128B9" w:rsidRPr="00D85E9B">
              <w:rPr>
                <w:rFonts w:ascii="Calibri" w:eastAsia="Times New Roman" w:hAnsi="Calibri" w:cs="Calibri"/>
                <w:sz w:val="20"/>
                <w:szCs w:val="20"/>
              </w:rPr>
              <w:t>: </w:t>
            </w:r>
            <w:r w:rsidR="00E404BF" w:rsidRPr="00E404BF">
              <w:rPr>
                <w:rFonts w:ascii="Calibri" w:eastAsia="Times New Roman" w:hAnsi="Calibri" w:cs="Calibri"/>
                <w:sz w:val="20"/>
                <w:szCs w:val="20"/>
              </w:rPr>
              <w:t xml:space="preserve">Renforcement de la démarche de performance induite par </w:t>
            </w:r>
            <w:r w:rsidR="00E404BF">
              <w:rPr>
                <w:rFonts w:ascii="Calibri" w:eastAsia="Times New Roman" w:hAnsi="Calibri" w:cs="Calibri"/>
                <w:sz w:val="20"/>
                <w:szCs w:val="20"/>
              </w:rPr>
              <w:t>la loi de finances</w:t>
            </w:r>
            <w:r w:rsidR="005128B9" w:rsidRPr="00D85E9B">
              <w:rPr>
                <w:rFonts w:ascii="Calibri" w:eastAsia="Times New Roman" w:hAnsi="Calibri" w:cs="Calibri"/>
                <w:sz w:val="20"/>
                <w:szCs w:val="20"/>
              </w:rPr>
              <w:t>. </w:t>
            </w:r>
          </w:p>
        </w:tc>
      </w:tr>
      <w:tr w:rsidR="005128B9" w:rsidRPr="00E055EE" w14:paraId="5FA1C1DF" w14:textId="77777777" w:rsidTr="009E502F">
        <w:tc>
          <w:tcPr>
            <w:tcW w:w="3420" w:type="dxa"/>
            <w:vMerge/>
            <w:tcBorders>
              <w:top w:val="nil"/>
              <w:left w:val="single" w:sz="6" w:space="0" w:color="auto"/>
              <w:bottom w:val="single" w:sz="6" w:space="0" w:color="auto"/>
              <w:right w:val="single" w:sz="6" w:space="0" w:color="auto"/>
            </w:tcBorders>
            <w:shd w:val="clear" w:color="auto" w:fill="FFFFFF" w:themeFill="background1"/>
            <w:vAlign w:val="center"/>
            <w:hideMark/>
          </w:tcPr>
          <w:p w14:paraId="7F94624B" w14:textId="77777777" w:rsidR="005128B9" w:rsidRPr="00D85E9B" w:rsidRDefault="005128B9" w:rsidP="005128B9">
            <w:pPr>
              <w:spacing w:after="0" w:line="240" w:lineRule="auto"/>
              <w:rPr>
                <w:rFonts w:ascii="Segoe UI" w:eastAsia="Times New Roman" w:hAnsi="Segoe UI" w:cs="Segoe UI"/>
                <w:color w:val="000000"/>
                <w:sz w:val="20"/>
                <w:szCs w:val="20"/>
              </w:rPr>
            </w:pPr>
          </w:p>
        </w:tc>
        <w:tc>
          <w:tcPr>
            <w:tcW w:w="5220" w:type="dxa"/>
            <w:tcBorders>
              <w:top w:val="nil"/>
              <w:left w:val="nil"/>
              <w:bottom w:val="single" w:sz="6" w:space="0" w:color="auto"/>
              <w:right w:val="single" w:sz="6" w:space="0" w:color="auto"/>
            </w:tcBorders>
            <w:shd w:val="clear" w:color="auto" w:fill="FFFFFF" w:themeFill="background1"/>
            <w:hideMark/>
          </w:tcPr>
          <w:p w14:paraId="7A8BC8C2" w14:textId="5CA7EA8B" w:rsidR="005128B9" w:rsidRPr="00D85E9B" w:rsidRDefault="00E055EE" w:rsidP="005128B9">
            <w:pPr>
              <w:spacing w:after="0" w:line="240" w:lineRule="auto"/>
              <w:textAlignment w:val="baseline"/>
              <w:rPr>
                <w:rFonts w:ascii="Segoe UI" w:eastAsia="Times New Roman" w:hAnsi="Segoe UI" w:cs="Segoe UI"/>
                <w:color w:val="000000"/>
                <w:sz w:val="20"/>
                <w:szCs w:val="20"/>
              </w:rPr>
            </w:pPr>
            <w:r w:rsidRPr="00D85E9B">
              <w:rPr>
                <w:rFonts w:ascii="Calibri" w:eastAsia="Times New Roman" w:hAnsi="Calibri" w:cs="Calibri"/>
                <w:b/>
                <w:bCs/>
                <w:sz w:val="20"/>
                <w:szCs w:val="20"/>
              </w:rPr>
              <w:t>ILD</w:t>
            </w:r>
            <w:r w:rsidR="005128B9" w:rsidRPr="00D85E9B">
              <w:rPr>
                <w:rFonts w:ascii="Calibri" w:eastAsia="Times New Roman" w:hAnsi="Calibri" w:cs="Calibri"/>
                <w:b/>
                <w:bCs/>
                <w:sz w:val="20"/>
                <w:szCs w:val="20"/>
              </w:rPr>
              <w:t>#2</w:t>
            </w:r>
            <w:r w:rsidR="005128B9" w:rsidRPr="00D85E9B">
              <w:rPr>
                <w:rFonts w:ascii="Calibri" w:eastAsia="Times New Roman" w:hAnsi="Calibri" w:cs="Calibri"/>
                <w:sz w:val="20"/>
                <w:szCs w:val="20"/>
              </w:rPr>
              <w:t>: </w:t>
            </w:r>
            <w:r w:rsidR="00E404BF" w:rsidRPr="00E404BF">
              <w:rPr>
                <w:rFonts w:ascii="Calibri" w:eastAsia="Times New Roman" w:hAnsi="Calibri" w:cs="Calibri"/>
                <w:sz w:val="20"/>
                <w:szCs w:val="20"/>
              </w:rPr>
              <w:t>Améliorer l'efficacité des marchés publics grâce à la production et à l'analyse de données</w:t>
            </w:r>
            <w:r w:rsidR="005128B9" w:rsidRPr="00D85E9B">
              <w:rPr>
                <w:rFonts w:ascii="Calibri" w:eastAsia="Times New Roman" w:hAnsi="Calibri" w:cs="Calibri"/>
                <w:sz w:val="20"/>
                <w:szCs w:val="20"/>
              </w:rPr>
              <w:t>. </w:t>
            </w:r>
          </w:p>
        </w:tc>
      </w:tr>
      <w:tr w:rsidR="005128B9" w:rsidRPr="00E055EE" w14:paraId="3E7C4E5B" w14:textId="77777777" w:rsidTr="009E502F">
        <w:tc>
          <w:tcPr>
            <w:tcW w:w="3420" w:type="dxa"/>
            <w:vMerge w:val="restart"/>
            <w:tcBorders>
              <w:top w:val="nil"/>
              <w:left w:val="single" w:sz="6" w:space="0" w:color="auto"/>
              <w:bottom w:val="single" w:sz="6" w:space="0" w:color="auto"/>
              <w:right w:val="single" w:sz="6" w:space="0" w:color="auto"/>
            </w:tcBorders>
            <w:shd w:val="clear" w:color="auto" w:fill="FFFFFF" w:themeFill="background1"/>
            <w:hideMark/>
          </w:tcPr>
          <w:p w14:paraId="5B976A8B" w14:textId="043A122C" w:rsidR="005128B9" w:rsidRPr="00E055EE" w:rsidRDefault="00E055EE" w:rsidP="005128B9">
            <w:pPr>
              <w:spacing w:after="0" w:line="240" w:lineRule="auto"/>
              <w:textAlignment w:val="baseline"/>
              <w:rPr>
                <w:rFonts w:ascii="Segoe UI" w:eastAsia="Times New Roman" w:hAnsi="Segoe UI" w:cs="Segoe UI"/>
                <w:color w:val="000000"/>
                <w:sz w:val="20"/>
                <w:szCs w:val="20"/>
              </w:rPr>
            </w:pPr>
            <w:r w:rsidRPr="00E055EE">
              <w:rPr>
                <w:rFonts w:ascii="Calibri" w:eastAsia="Times New Roman" w:hAnsi="Calibri" w:cs="Calibri"/>
                <w:b/>
                <w:bCs/>
                <w:sz w:val="20"/>
                <w:szCs w:val="20"/>
              </w:rPr>
              <w:t xml:space="preserve">DR </w:t>
            </w:r>
            <w:r w:rsidR="005128B9" w:rsidRPr="00E055EE">
              <w:rPr>
                <w:rFonts w:ascii="Calibri" w:eastAsia="Times New Roman" w:hAnsi="Calibri" w:cs="Calibri"/>
                <w:b/>
                <w:bCs/>
                <w:sz w:val="20"/>
                <w:szCs w:val="20"/>
              </w:rPr>
              <w:t xml:space="preserve">2: </w:t>
            </w:r>
            <w:r w:rsidRPr="00E055EE">
              <w:rPr>
                <w:rFonts w:ascii="Calibri" w:eastAsia="Times New Roman" w:hAnsi="Calibri" w:cs="Calibri"/>
                <w:b/>
                <w:bCs/>
                <w:sz w:val="20"/>
                <w:szCs w:val="20"/>
              </w:rPr>
              <w:t>Amélioration de la gestion des revenus</w:t>
            </w:r>
          </w:p>
        </w:tc>
        <w:tc>
          <w:tcPr>
            <w:tcW w:w="5220" w:type="dxa"/>
            <w:tcBorders>
              <w:top w:val="nil"/>
              <w:left w:val="nil"/>
              <w:bottom w:val="single" w:sz="6" w:space="0" w:color="auto"/>
              <w:right w:val="single" w:sz="6" w:space="0" w:color="auto"/>
            </w:tcBorders>
            <w:shd w:val="clear" w:color="auto" w:fill="FFFFFF" w:themeFill="background1"/>
            <w:hideMark/>
          </w:tcPr>
          <w:p w14:paraId="5ADF2ADD" w14:textId="4825E6D9" w:rsidR="005128B9" w:rsidRPr="00E055EE" w:rsidRDefault="00E055EE" w:rsidP="005128B9">
            <w:pPr>
              <w:spacing w:after="0" w:line="240" w:lineRule="auto"/>
              <w:textAlignment w:val="baseline"/>
              <w:rPr>
                <w:rFonts w:ascii="Segoe UI" w:eastAsia="Times New Roman" w:hAnsi="Segoe UI" w:cs="Segoe UI"/>
                <w:color w:val="000000"/>
                <w:sz w:val="20"/>
                <w:szCs w:val="20"/>
              </w:rPr>
            </w:pPr>
            <w:r w:rsidRPr="00D85E9B">
              <w:rPr>
                <w:rFonts w:ascii="Calibri" w:eastAsia="Times New Roman" w:hAnsi="Calibri" w:cs="Calibri"/>
                <w:b/>
                <w:bCs/>
                <w:sz w:val="20"/>
                <w:szCs w:val="20"/>
              </w:rPr>
              <w:t>ILD</w:t>
            </w:r>
            <w:r w:rsidR="005128B9" w:rsidRPr="00D85E9B">
              <w:rPr>
                <w:rFonts w:ascii="Calibri" w:eastAsia="Times New Roman" w:hAnsi="Calibri" w:cs="Calibri"/>
                <w:b/>
                <w:bCs/>
                <w:sz w:val="20"/>
                <w:szCs w:val="20"/>
              </w:rPr>
              <w:t>#3</w:t>
            </w:r>
            <w:r w:rsidR="005128B9" w:rsidRPr="00E055EE">
              <w:rPr>
                <w:rFonts w:ascii="Calibri" w:eastAsia="Times New Roman" w:hAnsi="Calibri" w:cs="Calibri"/>
                <w:sz w:val="20"/>
                <w:szCs w:val="20"/>
              </w:rPr>
              <w:t>:</w:t>
            </w:r>
            <w:r w:rsidR="009E502F" w:rsidRPr="00E055EE">
              <w:rPr>
                <w:rFonts w:ascii="Calibri" w:eastAsia="Times New Roman" w:hAnsi="Calibri" w:cs="Calibri"/>
                <w:sz w:val="20"/>
                <w:szCs w:val="20"/>
              </w:rPr>
              <w:t xml:space="preserve"> </w:t>
            </w:r>
            <w:r w:rsidR="00E404BF" w:rsidRPr="00E404BF">
              <w:rPr>
                <w:rFonts w:ascii="Calibri" w:eastAsia="Times New Roman" w:hAnsi="Calibri" w:cs="Calibri"/>
                <w:sz w:val="20"/>
                <w:szCs w:val="20"/>
              </w:rPr>
              <w:t>Améliorer les performances de l'administration fiscale et la conformité fiscale</w:t>
            </w:r>
          </w:p>
        </w:tc>
      </w:tr>
      <w:tr w:rsidR="005128B9" w:rsidRPr="00E055EE" w14:paraId="7EDFF4F8" w14:textId="77777777" w:rsidTr="009E502F">
        <w:tc>
          <w:tcPr>
            <w:tcW w:w="3420" w:type="dxa"/>
            <w:vMerge/>
            <w:tcBorders>
              <w:top w:val="nil"/>
              <w:left w:val="single" w:sz="6" w:space="0" w:color="auto"/>
              <w:bottom w:val="single" w:sz="6" w:space="0" w:color="auto"/>
              <w:right w:val="single" w:sz="6" w:space="0" w:color="auto"/>
            </w:tcBorders>
            <w:shd w:val="clear" w:color="auto" w:fill="FFFFFF" w:themeFill="background1"/>
            <w:vAlign w:val="center"/>
            <w:hideMark/>
          </w:tcPr>
          <w:p w14:paraId="41D6CC61" w14:textId="77777777" w:rsidR="005128B9" w:rsidRPr="00D85E9B" w:rsidRDefault="005128B9" w:rsidP="005128B9">
            <w:pPr>
              <w:spacing w:after="0" w:line="240" w:lineRule="auto"/>
              <w:rPr>
                <w:rFonts w:ascii="Segoe UI" w:eastAsia="Times New Roman" w:hAnsi="Segoe UI" w:cs="Segoe UI"/>
                <w:color w:val="000000"/>
                <w:sz w:val="20"/>
                <w:szCs w:val="20"/>
              </w:rPr>
            </w:pPr>
          </w:p>
        </w:tc>
        <w:tc>
          <w:tcPr>
            <w:tcW w:w="5220" w:type="dxa"/>
            <w:tcBorders>
              <w:top w:val="nil"/>
              <w:left w:val="nil"/>
              <w:bottom w:val="single" w:sz="6" w:space="0" w:color="auto"/>
              <w:right w:val="single" w:sz="6" w:space="0" w:color="auto"/>
            </w:tcBorders>
            <w:shd w:val="clear" w:color="auto" w:fill="FFFFFF" w:themeFill="background1"/>
            <w:hideMark/>
          </w:tcPr>
          <w:p w14:paraId="686B7E7A" w14:textId="62759B35" w:rsidR="005128B9" w:rsidRPr="00D85E9B" w:rsidRDefault="00E055EE" w:rsidP="005128B9">
            <w:pPr>
              <w:spacing w:after="0" w:line="240" w:lineRule="auto"/>
              <w:textAlignment w:val="baseline"/>
              <w:rPr>
                <w:rFonts w:ascii="Segoe UI" w:eastAsia="Times New Roman" w:hAnsi="Segoe UI" w:cs="Segoe UI"/>
                <w:color w:val="000000"/>
                <w:sz w:val="20"/>
                <w:szCs w:val="20"/>
              </w:rPr>
            </w:pPr>
            <w:r w:rsidRPr="00D85E9B">
              <w:rPr>
                <w:rFonts w:ascii="Calibri" w:eastAsia="Times New Roman" w:hAnsi="Calibri" w:cs="Calibri"/>
                <w:b/>
                <w:bCs/>
                <w:sz w:val="20"/>
                <w:szCs w:val="20"/>
              </w:rPr>
              <w:t>ILD</w:t>
            </w:r>
            <w:r w:rsidR="005128B9" w:rsidRPr="00D85E9B">
              <w:rPr>
                <w:rFonts w:ascii="Calibri" w:eastAsia="Times New Roman" w:hAnsi="Calibri" w:cs="Calibri"/>
                <w:b/>
                <w:bCs/>
                <w:sz w:val="20"/>
                <w:szCs w:val="20"/>
              </w:rPr>
              <w:t>#4</w:t>
            </w:r>
            <w:r w:rsidR="005128B9" w:rsidRPr="00D85E9B">
              <w:rPr>
                <w:rFonts w:ascii="Calibri" w:eastAsia="Times New Roman" w:hAnsi="Calibri" w:cs="Calibri"/>
                <w:sz w:val="20"/>
                <w:szCs w:val="20"/>
              </w:rPr>
              <w:t>: </w:t>
            </w:r>
            <w:r w:rsidR="00E404BF" w:rsidRPr="00E404BF">
              <w:rPr>
                <w:rFonts w:ascii="Calibri" w:eastAsia="Times New Roman" w:hAnsi="Calibri" w:cs="Calibri"/>
                <w:sz w:val="20"/>
                <w:szCs w:val="20"/>
              </w:rPr>
              <w:t>Augmentation des revenus des dix plus grandes communes du Royaume</w:t>
            </w:r>
            <w:r>
              <w:rPr>
                <w:rFonts w:ascii="Calibri" w:eastAsia="Times New Roman" w:hAnsi="Calibri" w:cs="Calibri"/>
                <w:sz w:val="20"/>
                <w:szCs w:val="20"/>
              </w:rPr>
              <w:t>.</w:t>
            </w:r>
          </w:p>
        </w:tc>
      </w:tr>
      <w:tr w:rsidR="005128B9" w:rsidRPr="00E055EE" w14:paraId="37B43F05" w14:textId="77777777" w:rsidTr="009E502F">
        <w:tc>
          <w:tcPr>
            <w:tcW w:w="3420" w:type="dxa"/>
            <w:vMerge w:val="restart"/>
            <w:tcBorders>
              <w:top w:val="nil"/>
              <w:left w:val="single" w:sz="6" w:space="0" w:color="auto"/>
              <w:bottom w:val="single" w:sz="6" w:space="0" w:color="auto"/>
              <w:right w:val="single" w:sz="6" w:space="0" w:color="auto"/>
            </w:tcBorders>
            <w:shd w:val="clear" w:color="auto" w:fill="FFFFFF" w:themeFill="background1"/>
            <w:hideMark/>
          </w:tcPr>
          <w:p w14:paraId="70C5C873" w14:textId="6B124A9C" w:rsidR="005128B9" w:rsidRPr="00D85E9B" w:rsidRDefault="00E055EE" w:rsidP="005128B9">
            <w:pPr>
              <w:spacing w:after="0" w:line="240" w:lineRule="auto"/>
              <w:textAlignment w:val="baseline"/>
              <w:rPr>
                <w:rFonts w:ascii="Segoe UI" w:eastAsia="Times New Roman" w:hAnsi="Segoe UI" w:cs="Segoe UI"/>
                <w:color w:val="000000"/>
                <w:sz w:val="20"/>
                <w:szCs w:val="20"/>
              </w:rPr>
            </w:pPr>
            <w:r w:rsidRPr="00D85E9B">
              <w:rPr>
                <w:rFonts w:ascii="Calibri" w:eastAsia="Times New Roman" w:hAnsi="Calibri" w:cs="Calibri"/>
                <w:b/>
                <w:bCs/>
                <w:sz w:val="20"/>
                <w:szCs w:val="20"/>
              </w:rPr>
              <w:t xml:space="preserve">DR </w:t>
            </w:r>
            <w:r w:rsidR="005128B9" w:rsidRPr="00D85E9B">
              <w:rPr>
                <w:rFonts w:ascii="Calibri" w:eastAsia="Times New Roman" w:hAnsi="Calibri" w:cs="Calibri"/>
                <w:b/>
                <w:bCs/>
                <w:sz w:val="20"/>
                <w:szCs w:val="20"/>
              </w:rPr>
              <w:t xml:space="preserve">3: </w:t>
            </w:r>
            <w:r w:rsidRPr="00D85E9B">
              <w:rPr>
                <w:rFonts w:ascii="Calibri" w:eastAsia="Times New Roman" w:hAnsi="Calibri" w:cs="Calibri"/>
                <w:b/>
                <w:bCs/>
                <w:sz w:val="20"/>
                <w:szCs w:val="20"/>
              </w:rPr>
              <w:t>Renforcer les performances de l'administration axée sur les données et l'intégration des services publics grâce à l'interopérabilité et aux données ouvertes</w:t>
            </w:r>
          </w:p>
        </w:tc>
        <w:tc>
          <w:tcPr>
            <w:tcW w:w="5220" w:type="dxa"/>
            <w:tcBorders>
              <w:top w:val="nil"/>
              <w:left w:val="nil"/>
              <w:bottom w:val="single" w:sz="6" w:space="0" w:color="auto"/>
              <w:right w:val="single" w:sz="6" w:space="0" w:color="auto"/>
            </w:tcBorders>
            <w:shd w:val="clear" w:color="auto" w:fill="FFFFFF" w:themeFill="background1"/>
            <w:hideMark/>
          </w:tcPr>
          <w:p w14:paraId="6EA7D571" w14:textId="69F3DBC3" w:rsidR="005128B9" w:rsidRPr="00D85E9B" w:rsidRDefault="00E055EE" w:rsidP="005128B9">
            <w:pPr>
              <w:spacing w:after="0" w:line="240" w:lineRule="auto"/>
              <w:textAlignment w:val="baseline"/>
              <w:rPr>
                <w:rFonts w:ascii="Segoe UI" w:eastAsia="Times New Roman" w:hAnsi="Segoe UI" w:cs="Segoe UI"/>
                <w:color w:val="000000"/>
                <w:sz w:val="20"/>
                <w:szCs w:val="20"/>
              </w:rPr>
            </w:pPr>
            <w:r w:rsidRPr="00D85E9B">
              <w:rPr>
                <w:rFonts w:ascii="Calibri" w:eastAsia="Times New Roman" w:hAnsi="Calibri" w:cs="Calibri"/>
                <w:b/>
                <w:bCs/>
                <w:sz w:val="20"/>
                <w:szCs w:val="20"/>
              </w:rPr>
              <w:t>ILD</w:t>
            </w:r>
            <w:r w:rsidR="005128B9" w:rsidRPr="00D85E9B">
              <w:rPr>
                <w:rFonts w:ascii="Calibri" w:eastAsia="Times New Roman" w:hAnsi="Calibri" w:cs="Calibri"/>
                <w:b/>
                <w:bCs/>
                <w:sz w:val="20"/>
                <w:szCs w:val="20"/>
              </w:rPr>
              <w:t>#5</w:t>
            </w:r>
            <w:r w:rsidR="005128B9" w:rsidRPr="00D85E9B">
              <w:rPr>
                <w:rFonts w:ascii="Calibri" w:eastAsia="Times New Roman" w:hAnsi="Calibri" w:cs="Calibri"/>
                <w:sz w:val="20"/>
                <w:szCs w:val="20"/>
              </w:rPr>
              <w:t>: </w:t>
            </w:r>
            <w:r w:rsidR="00E404BF" w:rsidRPr="00E404BF">
              <w:rPr>
                <w:rFonts w:ascii="Calibri" w:eastAsia="Times New Roman" w:hAnsi="Calibri" w:cs="Calibri"/>
                <w:sz w:val="20"/>
                <w:szCs w:val="20"/>
              </w:rPr>
              <w:t>Améliorer l'échange de données et l'interopérabilité des systèmes d'information</w:t>
            </w:r>
            <w:r w:rsidR="005128B9" w:rsidRPr="00D85E9B">
              <w:rPr>
                <w:rFonts w:ascii="Calibri" w:eastAsia="Times New Roman" w:hAnsi="Calibri" w:cs="Calibri"/>
                <w:sz w:val="20"/>
                <w:szCs w:val="20"/>
              </w:rPr>
              <w:t>.  </w:t>
            </w:r>
          </w:p>
        </w:tc>
      </w:tr>
      <w:tr w:rsidR="005128B9" w:rsidRPr="00E055EE" w14:paraId="74AEF01F" w14:textId="77777777" w:rsidTr="009E502F">
        <w:tc>
          <w:tcPr>
            <w:tcW w:w="3420" w:type="dxa"/>
            <w:vMerge/>
            <w:tcBorders>
              <w:top w:val="nil"/>
              <w:left w:val="single" w:sz="6" w:space="0" w:color="auto"/>
              <w:bottom w:val="single" w:sz="6" w:space="0" w:color="auto"/>
              <w:right w:val="single" w:sz="6" w:space="0" w:color="auto"/>
            </w:tcBorders>
            <w:shd w:val="clear" w:color="auto" w:fill="FFFFFF" w:themeFill="background1"/>
            <w:vAlign w:val="center"/>
            <w:hideMark/>
          </w:tcPr>
          <w:p w14:paraId="18E27D1C" w14:textId="77777777" w:rsidR="005128B9" w:rsidRPr="00D85E9B" w:rsidRDefault="005128B9" w:rsidP="005128B9">
            <w:pPr>
              <w:spacing w:after="0" w:line="240" w:lineRule="auto"/>
              <w:rPr>
                <w:rFonts w:ascii="Segoe UI" w:eastAsia="Times New Roman" w:hAnsi="Segoe UI" w:cs="Segoe UI"/>
                <w:color w:val="000000"/>
                <w:sz w:val="20"/>
                <w:szCs w:val="20"/>
              </w:rPr>
            </w:pPr>
          </w:p>
        </w:tc>
        <w:tc>
          <w:tcPr>
            <w:tcW w:w="5220" w:type="dxa"/>
            <w:tcBorders>
              <w:top w:val="nil"/>
              <w:left w:val="nil"/>
              <w:bottom w:val="single" w:sz="6" w:space="0" w:color="auto"/>
              <w:right w:val="single" w:sz="6" w:space="0" w:color="auto"/>
            </w:tcBorders>
            <w:shd w:val="clear" w:color="auto" w:fill="FFFFFF" w:themeFill="background1"/>
            <w:hideMark/>
          </w:tcPr>
          <w:p w14:paraId="43E649ED" w14:textId="0943527F" w:rsidR="005128B9" w:rsidRPr="00D85E9B" w:rsidRDefault="00E055EE" w:rsidP="005128B9">
            <w:pPr>
              <w:spacing w:after="0" w:line="240" w:lineRule="auto"/>
              <w:textAlignment w:val="baseline"/>
              <w:rPr>
                <w:rFonts w:ascii="Segoe UI" w:eastAsia="Times New Roman" w:hAnsi="Segoe UI" w:cs="Segoe UI"/>
                <w:color w:val="000000"/>
                <w:sz w:val="20"/>
                <w:szCs w:val="20"/>
              </w:rPr>
            </w:pPr>
            <w:r w:rsidRPr="00BA70C5">
              <w:rPr>
                <w:rFonts w:ascii="Calibri" w:eastAsia="Times New Roman" w:hAnsi="Calibri" w:cs="Calibri"/>
                <w:b/>
                <w:bCs/>
                <w:sz w:val="20"/>
                <w:szCs w:val="20"/>
              </w:rPr>
              <w:t>ILD</w:t>
            </w:r>
            <w:r w:rsidR="005128B9" w:rsidRPr="00BA70C5">
              <w:rPr>
                <w:rFonts w:ascii="Calibri" w:eastAsia="Times New Roman" w:hAnsi="Calibri" w:cs="Calibri"/>
                <w:b/>
                <w:bCs/>
                <w:sz w:val="20"/>
                <w:szCs w:val="20"/>
              </w:rPr>
              <w:t>#6</w:t>
            </w:r>
            <w:r w:rsidR="005128B9" w:rsidRPr="00D85E9B">
              <w:rPr>
                <w:rFonts w:ascii="Calibri" w:eastAsia="Times New Roman" w:hAnsi="Calibri" w:cs="Calibri"/>
                <w:sz w:val="20"/>
                <w:szCs w:val="20"/>
              </w:rPr>
              <w:t>: </w:t>
            </w:r>
            <w:r w:rsidR="00E404BF" w:rsidRPr="00E404BF">
              <w:rPr>
                <w:rFonts w:ascii="Calibri" w:eastAsia="Times New Roman" w:hAnsi="Calibri" w:cs="Calibri"/>
                <w:sz w:val="20"/>
                <w:szCs w:val="20"/>
              </w:rPr>
              <w:t>Améliorer la divulgation proactive des données gouvernementales ouvertes</w:t>
            </w:r>
            <w:r w:rsidR="005128B9" w:rsidRPr="00D85E9B">
              <w:rPr>
                <w:rFonts w:ascii="Calibri" w:eastAsia="Times New Roman" w:hAnsi="Calibri" w:cs="Calibri"/>
                <w:sz w:val="20"/>
                <w:szCs w:val="20"/>
              </w:rPr>
              <w:t>. </w:t>
            </w:r>
          </w:p>
        </w:tc>
      </w:tr>
    </w:tbl>
    <w:p w14:paraId="65C238FF" w14:textId="77777777" w:rsidR="00B02E33" w:rsidRPr="00D85E9B" w:rsidRDefault="00B02E33" w:rsidP="00F302AC">
      <w:pPr>
        <w:jc w:val="both"/>
        <w:rPr>
          <w:b/>
        </w:rPr>
      </w:pPr>
    </w:p>
    <w:p w14:paraId="67117F67" w14:textId="7B28DACD" w:rsidR="00F302AC" w:rsidRPr="00046E7D" w:rsidRDefault="00F302AC" w:rsidP="00F302AC">
      <w:pPr>
        <w:pStyle w:val="Heading2"/>
        <w:rPr>
          <w:rFonts w:ascii="Candara" w:hAnsi="Candara"/>
          <w:color w:val="auto"/>
          <w:lang w:val="fr-FR"/>
        </w:rPr>
      </w:pPr>
      <w:bookmarkStart w:id="58" w:name="_Toc496827312"/>
      <w:bookmarkStart w:id="59" w:name="_Toc74241381"/>
      <w:r w:rsidRPr="00046E7D">
        <w:rPr>
          <w:rFonts w:ascii="Candara" w:hAnsi="Candara"/>
          <w:color w:val="auto"/>
          <w:lang w:val="fr-FR"/>
        </w:rPr>
        <w:t>2.3 Principaux partenaires et agences de mise en œuvre du Programme</w:t>
      </w:r>
      <w:bookmarkEnd w:id="58"/>
      <w:bookmarkEnd w:id="59"/>
      <w:r w:rsidRPr="00046E7D">
        <w:rPr>
          <w:rFonts w:ascii="Candara" w:hAnsi="Candara"/>
          <w:color w:val="auto"/>
          <w:lang w:val="fr-FR"/>
        </w:rPr>
        <w:t xml:space="preserve"> </w:t>
      </w:r>
    </w:p>
    <w:p w14:paraId="0841A1EB" w14:textId="0796DC18" w:rsidR="00B277BF" w:rsidRPr="00B277BF" w:rsidRDefault="00B277BF" w:rsidP="00D85E9B">
      <w:pPr>
        <w:numPr>
          <w:ilvl w:val="0"/>
          <w:numId w:val="11"/>
        </w:numPr>
        <w:autoSpaceDE w:val="0"/>
        <w:autoSpaceDN w:val="0"/>
        <w:adjustRightInd w:val="0"/>
        <w:spacing w:before="120" w:after="0" w:line="360" w:lineRule="auto"/>
        <w:contextualSpacing/>
        <w:jc w:val="both"/>
        <w:rPr>
          <w:rFonts w:cstheme="minorHAnsi"/>
        </w:rPr>
      </w:pPr>
      <w:bookmarkStart w:id="60" w:name="_Hlk65701036"/>
      <w:bookmarkStart w:id="61" w:name="_Toc383905084"/>
      <w:r w:rsidRPr="00B277BF">
        <w:rPr>
          <w:rFonts w:cstheme="minorHAnsi"/>
        </w:rPr>
        <w:t xml:space="preserve">Le </w:t>
      </w:r>
      <w:r>
        <w:rPr>
          <w:rFonts w:cstheme="minorHAnsi"/>
        </w:rPr>
        <w:t>P</w:t>
      </w:r>
      <w:r w:rsidRPr="00B277BF">
        <w:rPr>
          <w:rFonts w:cstheme="minorHAnsi"/>
        </w:rPr>
        <w:t>rogramme sera géré par le ministère de l'économie, des finances et de la réforme administrative</w:t>
      </w:r>
      <w:r>
        <w:rPr>
          <w:rFonts w:cstheme="minorHAnsi"/>
        </w:rPr>
        <w:t xml:space="preserve"> (MEFRA)</w:t>
      </w:r>
      <w:r w:rsidRPr="00B277BF">
        <w:rPr>
          <w:rFonts w:cstheme="minorHAnsi"/>
        </w:rPr>
        <w:t xml:space="preserve">. Compte tenu de la nature transversale et multisectorielle du programme, </w:t>
      </w:r>
      <w:r w:rsidRPr="00B277BF">
        <w:rPr>
          <w:rFonts w:cstheme="minorHAnsi"/>
        </w:rPr>
        <w:lastRenderedPageBreak/>
        <w:t xml:space="preserve">le ministère des finances dispose du pouvoir de rassemblement nécessaire pour assurer le succès du programme ENNAJAA et faciliter le dialogue gouvernemental sur la réforme numérique. Le ministère des finances a également été sélectionné en raison de la nature des activités incluses dans le programme sous sa responsabilité : (i) budgétisation basée sur la performance ; (ii) passation de marchés ; (iii) services de l'administration fiscale ; et (iv) administration numérique.  Le ministère de l'intérieur (MI) et le </w:t>
      </w:r>
      <w:r w:rsidR="00D32D3E" w:rsidRPr="00D85E9B">
        <w:rPr>
          <w:rFonts w:cstheme="minorHAnsi"/>
        </w:rPr>
        <w:t>Ministère de l'Industrie, du Commerce et de l'Economie Verte et Numérique</w:t>
      </w:r>
      <w:r w:rsidR="00D32D3E">
        <w:rPr>
          <w:rFonts w:cstheme="minorHAnsi"/>
        </w:rPr>
        <w:t xml:space="preserve"> </w:t>
      </w:r>
      <w:r w:rsidRPr="00B277BF">
        <w:rPr>
          <w:rFonts w:cstheme="minorHAnsi"/>
        </w:rPr>
        <w:t>(MICE</w:t>
      </w:r>
      <w:r w:rsidR="00D32D3E">
        <w:rPr>
          <w:rFonts w:cstheme="minorHAnsi"/>
        </w:rPr>
        <w:t>V</w:t>
      </w:r>
      <w:r w:rsidRPr="00B277BF">
        <w:rPr>
          <w:rFonts w:cstheme="minorHAnsi"/>
        </w:rPr>
        <w:t>N)</w:t>
      </w:r>
      <w:r w:rsidR="00E60682">
        <w:rPr>
          <w:rFonts w:cstheme="minorHAnsi"/>
        </w:rPr>
        <w:t>, à travers l’</w:t>
      </w:r>
      <w:r w:rsidR="00E60682" w:rsidRPr="00B277BF">
        <w:rPr>
          <w:rFonts w:cstheme="minorHAnsi"/>
        </w:rPr>
        <w:t xml:space="preserve">Agence </w:t>
      </w:r>
      <w:r w:rsidR="00E60682">
        <w:rPr>
          <w:rFonts w:cstheme="minorHAnsi"/>
        </w:rPr>
        <w:t>de Développement du Digital</w:t>
      </w:r>
      <w:r w:rsidR="00E60682" w:rsidRPr="00B277BF">
        <w:rPr>
          <w:rFonts w:cstheme="minorHAnsi"/>
        </w:rPr>
        <w:t xml:space="preserve"> (ADD)</w:t>
      </w:r>
      <w:r w:rsidR="00E60682">
        <w:rPr>
          <w:rFonts w:cstheme="minorHAnsi"/>
        </w:rPr>
        <w:t>,</w:t>
      </w:r>
      <w:r w:rsidRPr="00B277BF">
        <w:rPr>
          <w:rFonts w:cstheme="minorHAnsi"/>
        </w:rPr>
        <w:t xml:space="preserve"> travailleront en étroite collaboration avec le ministère des finances pour assurer le succès de la mise en œuvre du programme</w:t>
      </w:r>
      <w:bookmarkEnd w:id="60"/>
      <w:r w:rsidRPr="00B277BF">
        <w:rPr>
          <w:rFonts w:cstheme="minorHAnsi"/>
        </w:rPr>
        <w:t xml:space="preserve">.  </w:t>
      </w:r>
    </w:p>
    <w:p w14:paraId="7B784E0B" w14:textId="77777777" w:rsidR="00B277BF" w:rsidRPr="00B277BF" w:rsidRDefault="00B277BF" w:rsidP="00D85E9B">
      <w:pPr>
        <w:numPr>
          <w:ilvl w:val="0"/>
          <w:numId w:val="11"/>
        </w:numPr>
        <w:autoSpaceDE w:val="0"/>
        <w:autoSpaceDN w:val="0"/>
        <w:adjustRightInd w:val="0"/>
        <w:spacing w:before="120" w:after="0" w:line="360" w:lineRule="auto"/>
        <w:contextualSpacing/>
        <w:jc w:val="both"/>
        <w:rPr>
          <w:rFonts w:cstheme="minorHAnsi"/>
        </w:rPr>
      </w:pPr>
      <w:r w:rsidRPr="00B277BF">
        <w:rPr>
          <w:rFonts w:cstheme="minorHAnsi"/>
        </w:rPr>
        <w:t xml:space="preserve">Le ministère des finances a une longue et fructueuse expérience de travail avec la Banque mondiale et de mobilisation d'un large éventail d'acteurs gouvernementaux en vue de la réalisation d'objectifs communs, notamment en dirigeant l'ancienne série d'OPD HAKAMA. Il connaît également d'autres instruments de la Banque, notamment les PforR, et est expérimenté dans la gestion de projets d'assistance technique. Une unité de gestion de programme (UGP) sera créée sous l'égide du ministère des finances. La direction du Trésor et des finances extérieures centralisera les informations et renforcera la coopération et la collaboration. Le directeur du Trésor supervisera le travail de l'UGP. </w:t>
      </w:r>
    </w:p>
    <w:p w14:paraId="7782422E" w14:textId="2502534D" w:rsidR="00B277BF" w:rsidRPr="00B277BF" w:rsidRDefault="00B277BF" w:rsidP="00D85E9B">
      <w:pPr>
        <w:numPr>
          <w:ilvl w:val="0"/>
          <w:numId w:val="11"/>
        </w:numPr>
        <w:autoSpaceDE w:val="0"/>
        <w:autoSpaceDN w:val="0"/>
        <w:adjustRightInd w:val="0"/>
        <w:spacing w:before="120" w:after="0" w:line="360" w:lineRule="auto"/>
        <w:contextualSpacing/>
        <w:jc w:val="both"/>
        <w:rPr>
          <w:rFonts w:cstheme="minorHAnsi"/>
        </w:rPr>
      </w:pPr>
      <w:r w:rsidRPr="00B277BF">
        <w:rPr>
          <w:rFonts w:cstheme="minorHAnsi"/>
        </w:rPr>
        <w:t>La coordination au niveau technique sera assurée par le Comité technique (CT). Le Comité technique supervisera les activités et la gestion du programme (y compris la gestion et les garanties fiduciaires). Il sera également responsable de la coordination du travail des donateurs. Le Comité technique sera présidé par le directeur du Trésor et des finances extérieures du ministère des finances. Les membres du Comité technique seront des représentants techniques des institutions suivantes</w:t>
      </w:r>
      <w:r>
        <w:rPr>
          <w:rFonts w:cstheme="minorHAnsi"/>
        </w:rPr>
        <w:t xml:space="preserve"> : </w:t>
      </w:r>
      <w:r w:rsidRPr="00B277BF">
        <w:rPr>
          <w:rFonts w:cstheme="minorHAnsi"/>
        </w:rPr>
        <w:t xml:space="preserve">Direction du budget du ministère des finances (DB), Trésor général du Royaume (TGR) ; Commission nationale des marchés publics (CNCP) ; Direction générale des impôts du ministère des finances ; </w:t>
      </w:r>
      <w:r w:rsidR="00E60682">
        <w:rPr>
          <w:rFonts w:cstheme="minorHAnsi"/>
        </w:rPr>
        <w:t>M</w:t>
      </w:r>
      <w:r w:rsidRPr="00B277BF">
        <w:rPr>
          <w:rFonts w:cstheme="minorHAnsi"/>
        </w:rPr>
        <w:t>inistère de l'</w:t>
      </w:r>
      <w:r w:rsidR="006613D5">
        <w:rPr>
          <w:rFonts w:cstheme="minorHAnsi"/>
        </w:rPr>
        <w:t>I</w:t>
      </w:r>
      <w:r w:rsidRPr="00B277BF">
        <w:rPr>
          <w:rFonts w:cstheme="minorHAnsi"/>
        </w:rPr>
        <w:t xml:space="preserve">ntérieur (MI); </w:t>
      </w:r>
      <w:r w:rsidR="00E60682">
        <w:rPr>
          <w:rFonts w:cstheme="minorHAnsi"/>
        </w:rPr>
        <w:t>M</w:t>
      </w:r>
      <w:r w:rsidR="00E60682" w:rsidRPr="00B277BF">
        <w:rPr>
          <w:rFonts w:cstheme="minorHAnsi"/>
        </w:rPr>
        <w:t xml:space="preserve">inistère </w:t>
      </w:r>
      <w:r w:rsidRPr="00B277BF">
        <w:rPr>
          <w:rFonts w:cstheme="minorHAnsi"/>
        </w:rPr>
        <w:t>de l'</w:t>
      </w:r>
      <w:r w:rsidR="006613D5">
        <w:rPr>
          <w:rFonts w:cstheme="minorHAnsi"/>
        </w:rPr>
        <w:t>I</w:t>
      </w:r>
      <w:r w:rsidRPr="00B277BF">
        <w:rPr>
          <w:rFonts w:cstheme="minorHAnsi"/>
        </w:rPr>
        <w:t xml:space="preserve">ndustrie, du </w:t>
      </w:r>
      <w:r w:rsidR="006613D5">
        <w:rPr>
          <w:rFonts w:cstheme="minorHAnsi"/>
        </w:rPr>
        <w:t>C</w:t>
      </w:r>
      <w:r w:rsidRPr="00B277BF">
        <w:rPr>
          <w:rFonts w:cstheme="minorHAnsi"/>
        </w:rPr>
        <w:t>ommerce et de l'</w:t>
      </w:r>
      <w:r w:rsidR="006613D5">
        <w:rPr>
          <w:rFonts w:cstheme="minorHAnsi"/>
        </w:rPr>
        <w:t>E</w:t>
      </w:r>
      <w:r w:rsidRPr="00B277BF">
        <w:rPr>
          <w:rFonts w:cstheme="minorHAnsi"/>
        </w:rPr>
        <w:t>conomie verte et numérique (MICE</w:t>
      </w:r>
      <w:r w:rsidR="006613D5">
        <w:rPr>
          <w:rFonts w:cstheme="minorHAnsi"/>
        </w:rPr>
        <w:t>V</w:t>
      </w:r>
      <w:r w:rsidRPr="00B277BF">
        <w:rPr>
          <w:rFonts w:cstheme="minorHAnsi"/>
        </w:rPr>
        <w:t xml:space="preserve">N) ; Département de la réforme administrative du ministère des finances ; et Agence </w:t>
      </w:r>
      <w:r w:rsidR="00A1443E">
        <w:rPr>
          <w:rFonts w:cstheme="minorHAnsi"/>
        </w:rPr>
        <w:t>de Développement du Digital</w:t>
      </w:r>
      <w:r w:rsidRPr="00B277BF">
        <w:rPr>
          <w:rFonts w:cstheme="minorHAnsi"/>
        </w:rPr>
        <w:t xml:space="preserve"> (ADD).   </w:t>
      </w:r>
    </w:p>
    <w:p w14:paraId="78C12880" w14:textId="4E6C0275" w:rsidR="0099191E" w:rsidRDefault="00B277BF" w:rsidP="00D85E9B">
      <w:pPr>
        <w:numPr>
          <w:ilvl w:val="0"/>
          <w:numId w:val="11"/>
        </w:numPr>
        <w:autoSpaceDE w:val="0"/>
        <w:autoSpaceDN w:val="0"/>
        <w:adjustRightInd w:val="0"/>
        <w:spacing w:before="120" w:after="0" w:line="360" w:lineRule="auto"/>
        <w:contextualSpacing/>
        <w:jc w:val="both"/>
        <w:rPr>
          <w:rFonts w:cstheme="minorHAnsi"/>
        </w:rPr>
      </w:pPr>
      <w:r w:rsidRPr="00B277BF">
        <w:rPr>
          <w:rFonts w:cstheme="minorHAnsi"/>
        </w:rPr>
        <w:t>Un comité de pilotage (</w:t>
      </w:r>
      <w:r>
        <w:rPr>
          <w:rFonts w:cstheme="minorHAnsi"/>
        </w:rPr>
        <w:t>CP</w:t>
      </w:r>
      <w:r w:rsidRPr="00B277BF">
        <w:rPr>
          <w:rFonts w:cstheme="minorHAnsi"/>
        </w:rPr>
        <w:t xml:space="preserve">) sera chargé de la coordination au niveau politique.  Le comité </w:t>
      </w:r>
      <w:r w:rsidR="009E1D11">
        <w:rPr>
          <w:rFonts w:cstheme="minorHAnsi"/>
        </w:rPr>
        <w:t>de pilotage</w:t>
      </w:r>
      <w:r w:rsidR="009E1D11" w:rsidRPr="00B277BF">
        <w:rPr>
          <w:rFonts w:cstheme="minorHAnsi"/>
        </w:rPr>
        <w:t xml:space="preserve"> </w:t>
      </w:r>
      <w:r w:rsidRPr="00B277BF">
        <w:rPr>
          <w:rFonts w:cstheme="minorHAnsi"/>
        </w:rPr>
        <w:t xml:space="preserve">sera présidé par le ministre des finances. Les membres du comité seront des ministres </w:t>
      </w:r>
      <w:r w:rsidR="00933D58" w:rsidRPr="00B277BF">
        <w:rPr>
          <w:rFonts w:cstheme="minorHAnsi"/>
        </w:rPr>
        <w:t xml:space="preserve">des différents ministères soutenant le </w:t>
      </w:r>
      <w:r w:rsidR="00933D58">
        <w:rPr>
          <w:rFonts w:cstheme="minorHAnsi"/>
        </w:rPr>
        <w:t>P</w:t>
      </w:r>
      <w:r w:rsidR="00933D58" w:rsidRPr="00B277BF">
        <w:rPr>
          <w:rFonts w:cstheme="minorHAnsi"/>
        </w:rPr>
        <w:t xml:space="preserve">rogramme </w:t>
      </w:r>
      <w:r w:rsidRPr="00B277BF">
        <w:rPr>
          <w:rFonts w:cstheme="minorHAnsi"/>
        </w:rPr>
        <w:t xml:space="preserve">ou leurs représentants, et seront chargés de donner une orientation stratégique à la mise en œuvre du </w:t>
      </w:r>
      <w:r>
        <w:rPr>
          <w:rFonts w:cstheme="minorHAnsi"/>
        </w:rPr>
        <w:t>P</w:t>
      </w:r>
      <w:r w:rsidRPr="00B277BF">
        <w:rPr>
          <w:rFonts w:cstheme="minorHAnsi"/>
        </w:rPr>
        <w:t>rogramme.</w:t>
      </w:r>
    </w:p>
    <w:p w14:paraId="067840BF" w14:textId="0181C90C" w:rsidR="00E40E49" w:rsidRDefault="00E40E49" w:rsidP="00E40E49">
      <w:pPr>
        <w:pStyle w:val="Paranumbering"/>
        <w:numPr>
          <w:ilvl w:val="0"/>
          <w:numId w:val="0"/>
        </w:numPr>
        <w:ind w:left="360" w:right="-23" w:hanging="360"/>
        <w:rPr>
          <w:rFonts w:asciiTheme="minorHAnsi" w:hAnsiTheme="minorHAnsi" w:cstheme="minorHAnsi"/>
          <w:color w:val="auto"/>
          <w:sz w:val="22"/>
          <w:szCs w:val="22"/>
          <w:lang w:val="fr-FR"/>
        </w:rPr>
      </w:pPr>
    </w:p>
    <w:p w14:paraId="6B0A7ED7" w14:textId="0CB0E1C4" w:rsidR="00E114DC" w:rsidRDefault="00E114DC" w:rsidP="00E40E49">
      <w:pPr>
        <w:pStyle w:val="Paranumbering"/>
        <w:numPr>
          <w:ilvl w:val="0"/>
          <w:numId w:val="0"/>
        </w:numPr>
        <w:ind w:left="360" w:right="-23" w:hanging="360"/>
        <w:rPr>
          <w:rFonts w:asciiTheme="minorHAnsi" w:hAnsiTheme="minorHAnsi" w:cstheme="minorHAnsi"/>
          <w:color w:val="auto"/>
          <w:sz w:val="22"/>
          <w:szCs w:val="22"/>
          <w:lang w:val="fr-FR"/>
        </w:rPr>
      </w:pPr>
    </w:p>
    <w:p w14:paraId="78D1CB2E" w14:textId="236C9FA5" w:rsidR="00E114DC" w:rsidRDefault="00E114DC" w:rsidP="00E40E49">
      <w:pPr>
        <w:pStyle w:val="Paranumbering"/>
        <w:numPr>
          <w:ilvl w:val="0"/>
          <w:numId w:val="0"/>
        </w:numPr>
        <w:ind w:left="360" w:right="-23" w:hanging="360"/>
        <w:rPr>
          <w:rFonts w:asciiTheme="minorHAnsi" w:hAnsiTheme="minorHAnsi" w:cstheme="minorHAnsi"/>
          <w:color w:val="auto"/>
          <w:sz w:val="22"/>
          <w:szCs w:val="22"/>
          <w:lang w:val="fr-FR"/>
        </w:rPr>
      </w:pPr>
    </w:p>
    <w:p w14:paraId="38BBE64D" w14:textId="77777777" w:rsidR="00E40E49" w:rsidRPr="00046E7D" w:rsidRDefault="00E40E49" w:rsidP="00E40E49">
      <w:pPr>
        <w:pStyle w:val="Paranumbering"/>
        <w:numPr>
          <w:ilvl w:val="0"/>
          <w:numId w:val="0"/>
        </w:numPr>
        <w:ind w:left="360" w:right="-23" w:hanging="360"/>
        <w:rPr>
          <w:rFonts w:asciiTheme="minorHAnsi" w:hAnsiTheme="minorHAnsi" w:cstheme="minorHAnsi"/>
          <w:color w:val="auto"/>
          <w:sz w:val="22"/>
          <w:szCs w:val="22"/>
          <w:lang w:val="fr-FR"/>
        </w:rPr>
      </w:pPr>
    </w:p>
    <w:p w14:paraId="253BBB0D" w14:textId="20A71873" w:rsidR="004029F9" w:rsidRPr="003A404D" w:rsidRDefault="004029F9" w:rsidP="004029F9">
      <w:pPr>
        <w:spacing w:after="200"/>
        <w:ind w:left="714" w:hanging="357"/>
        <w:jc w:val="center"/>
      </w:pPr>
      <w:r w:rsidRPr="00046E7D">
        <w:rPr>
          <w:rFonts w:cstheme="minorHAnsi"/>
        </w:rPr>
        <w:t xml:space="preserve"> </w:t>
      </w:r>
      <w:r w:rsidRPr="00046E7D">
        <w:rPr>
          <w:rFonts w:eastAsia="Calibri" w:cstheme="minorHAnsi"/>
          <w:b/>
        </w:rPr>
        <w:t xml:space="preserve">Figure </w:t>
      </w:r>
      <w:r w:rsidRPr="00046E7D">
        <w:rPr>
          <w:rFonts w:eastAsia="Calibri" w:cstheme="minorHAnsi"/>
          <w:b/>
          <w:bCs/>
          <w:sz w:val="18"/>
          <w:szCs w:val="18"/>
        </w:rPr>
        <w:fldChar w:fldCharType="begin"/>
      </w:r>
      <w:r w:rsidRPr="00046E7D">
        <w:rPr>
          <w:rFonts w:eastAsia="Calibri" w:cstheme="minorHAnsi"/>
          <w:b/>
        </w:rPr>
        <w:instrText xml:space="preserve"> SEQ Figure \* ARABIC </w:instrText>
      </w:r>
      <w:r w:rsidRPr="00046E7D">
        <w:rPr>
          <w:rFonts w:eastAsia="Calibri" w:cstheme="minorHAnsi"/>
          <w:b/>
          <w:bCs/>
          <w:sz w:val="18"/>
          <w:szCs w:val="18"/>
        </w:rPr>
        <w:fldChar w:fldCharType="separate"/>
      </w:r>
      <w:r w:rsidR="00212333">
        <w:rPr>
          <w:rFonts w:eastAsia="Calibri" w:cstheme="minorHAnsi"/>
          <w:b/>
          <w:noProof/>
        </w:rPr>
        <w:t>1</w:t>
      </w:r>
      <w:r w:rsidRPr="00046E7D">
        <w:rPr>
          <w:rFonts w:eastAsia="Calibri" w:cstheme="minorHAnsi"/>
          <w:b/>
          <w:bCs/>
          <w:sz w:val="18"/>
          <w:szCs w:val="18"/>
        </w:rPr>
        <w:fldChar w:fldCharType="end"/>
      </w:r>
      <w:r w:rsidRPr="00046E7D">
        <w:rPr>
          <w:rFonts w:eastAsia="Calibri" w:cstheme="minorHAnsi"/>
          <w:b/>
        </w:rPr>
        <w:t xml:space="preserve"> : Schéma du</w:t>
      </w:r>
      <w:r w:rsidRPr="003A404D">
        <w:rPr>
          <w:rFonts w:eastAsia="Calibri"/>
          <w:b/>
        </w:rPr>
        <w:t xml:space="preserve"> montage institutionnel</w:t>
      </w:r>
    </w:p>
    <w:p w14:paraId="7F83A1A2" w14:textId="08D3BC5A" w:rsidR="004029F9" w:rsidRDefault="00BD5323" w:rsidP="004029F9">
      <w:pPr>
        <w:ind w:left="142" w:firstLine="142"/>
      </w:pPr>
      <w:r w:rsidRPr="003A404D">
        <w:rPr>
          <w:noProof/>
          <w:lang w:eastAsia="fr-FR"/>
        </w:rPr>
        <mc:AlternateContent>
          <mc:Choice Requires="wpc">
            <w:drawing>
              <wp:inline distT="0" distB="0" distL="0" distR="0" wp14:anchorId="2C8EDFDD" wp14:editId="6CBD1524">
                <wp:extent cx="5380355" cy="2455209"/>
                <wp:effectExtent l="0" t="0" r="0" b="0"/>
                <wp:docPr id="53"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28575">
                          <a:noFill/>
                        </a:ln>
                      </wpc:whole>
                      <wps:wsp>
                        <wps:cNvPr id="46" name="Content Placeholder 1"/>
                        <wps:cNvSpPr txBox="1">
                          <a:spLocks/>
                        </wps:cNvSpPr>
                        <wps:spPr>
                          <a:xfrm>
                            <a:off x="3142522" y="10317"/>
                            <a:ext cx="2237833" cy="977352"/>
                          </a:xfrm>
                          <a:prstGeom prst="rect">
                            <a:avLst/>
                          </a:prstGeom>
                          <a:noFill/>
                        </wps:spPr>
                        <wps:txbx>
                          <w:txbxContent>
                            <w:p w14:paraId="2E48BF91" w14:textId="77777777" w:rsidR="00066405" w:rsidRPr="00003FFC" w:rsidRDefault="00066405" w:rsidP="00B33704">
                              <w:pPr>
                                <w:pStyle w:val="ListParagraph"/>
                                <w:widowControl/>
                                <w:numPr>
                                  <w:ilvl w:val="0"/>
                                  <w:numId w:val="5"/>
                                </w:numPr>
                                <w:tabs>
                                  <w:tab w:val="clear" w:pos="720"/>
                                </w:tabs>
                                <w:autoSpaceDE/>
                                <w:autoSpaceDN/>
                                <w:adjustRightInd/>
                                <w:spacing w:line="240" w:lineRule="auto"/>
                                <w:ind w:left="283" w:hanging="272"/>
                                <w:rPr>
                                  <w:rFonts w:asciiTheme="minorHAnsi" w:hAnsiTheme="minorHAnsi" w:cstheme="minorHAnsi"/>
                                  <w:color w:val="0070C0"/>
                                  <w:sz w:val="18"/>
                                  <w:szCs w:val="18"/>
                                </w:rPr>
                              </w:pPr>
                              <w:r w:rsidRPr="00003FFC">
                                <w:rPr>
                                  <w:rFonts w:asciiTheme="minorHAnsi" w:hAnsiTheme="minorHAnsi" w:cstheme="minorHAnsi"/>
                                  <w:color w:val="0070C0"/>
                                  <w:sz w:val="18"/>
                                  <w:szCs w:val="18"/>
                                </w:rPr>
                                <w:t>Pouvoir décisionnel</w:t>
                              </w:r>
                            </w:p>
                            <w:p w14:paraId="37E9DC2B" w14:textId="77777777" w:rsidR="00066405" w:rsidRPr="00003FFC" w:rsidRDefault="00066405" w:rsidP="00B33704">
                              <w:pPr>
                                <w:pStyle w:val="ListParagraph"/>
                                <w:widowControl/>
                                <w:numPr>
                                  <w:ilvl w:val="0"/>
                                  <w:numId w:val="5"/>
                                </w:numPr>
                                <w:tabs>
                                  <w:tab w:val="clear" w:pos="720"/>
                                </w:tabs>
                                <w:autoSpaceDE/>
                                <w:autoSpaceDN/>
                                <w:adjustRightInd/>
                                <w:spacing w:line="240" w:lineRule="auto"/>
                                <w:ind w:left="283" w:hanging="272"/>
                                <w:rPr>
                                  <w:rFonts w:asciiTheme="minorHAnsi" w:hAnsiTheme="minorHAnsi" w:cstheme="minorHAnsi"/>
                                  <w:color w:val="0070C0"/>
                                  <w:sz w:val="18"/>
                                  <w:szCs w:val="18"/>
                                </w:rPr>
                              </w:pPr>
                              <w:r w:rsidRPr="00003FFC">
                                <w:rPr>
                                  <w:rFonts w:asciiTheme="minorHAnsi" w:hAnsiTheme="minorHAnsi" w:cstheme="minorHAnsi"/>
                                  <w:color w:val="0070C0"/>
                                  <w:sz w:val="18"/>
                                  <w:szCs w:val="18"/>
                                </w:rPr>
                                <w:t>Fixe les objectifs prioritaires</w:t>
                              </w:r>
                            </w:p>
                            <w:p w14:paraId="21B023D5" w14:textId="77777777" w:rsidR="00066405" w:rsidRPr="00046E7D" w:rsidRDefault="00066405" w:rsidP="00B33704">
                              <w:pPr>
                                <w:pStyle w:val="ListParagraph"/>
                                <w:widowControl/>
                                <w:numPr>
                                  <w:ilvl w:val="0"/>
                                  <w:numId w:val="5"/>
                                </w:numPr>
                                <w:tabs>
                                  <w:tab w:val="clear" w:pos="720"/>
                                </w:tabs>
                                <w:autoSpaceDE/>
                                <w:autoSpaceDN/>
                                <w:adjustRightInd/>
                                <w:spacing w:line="240" w:lineRule="auto"/>
                                <w:ind w:left="283" w:hanging="272"/>
                                <w:rPr>
                                  <w:rFonts w:asciiTheme="minorHAnsi" w:hAnsiTheme="minorHAnsi" w:cstheme="minorHAnsi"/>
                                  <w:color w:val="0070C0"/>
                                  <w:sz w:val="18"/>
                                  <w:szCs w:val="18"/>
                                </w:rPr>
                              </w:pPr>
                              <w:r w:rsidRPr="00046E7D">
                                <w:rPr>
                                  <w:rFonts w:asciiTheme="minorHAnsi" w:hAnsiTheme="minorHAnsi" w:cstheme="minorHAnsi"/>
                                  <w:color w:val="0070C0"/>
                                  <w:sz w:val="18"/>
                                  <w:szCs w:val="18"/>
                                </w:rPr>
                                <w:t>Fédère et assure la coordination des parties prenantes</w:t>
                              </w:r>
                            </w:p>
                            <w:p w14:paraId="7D5B5D6B" w14:textId="77777777" w:rsidR="00066405" w:rsidRPr="00046E7D" w:rsidRDefault="00066405" w:rsidP="00B33704">
                              <w:pPr>
                                <w:pStyle w:val="ListParagraph"/>
                                <w:widowControl/>
                                <w:numPr>
                                  <w:ilvl w:val="0"/>
                                  <w:numId w:val="5"/>
                                </w:numPr>
                                <w:tabs>
                                  <w:tab w:val="clear" w:pos="720"/>
                                </w:tabs>
                                <w:autoSpaceDE/>
                                <w:autoSpaceDN/>
                                <w:adjustRightInd/>
                                <w:spacing w:line="240" w:lineRule="auto"/>
                                <w:ind w:left="283" w:hanging="272"/>
                                <w:rPr>
                                  <w:rFonts w:asciiTheme="minorHAnsi" w:hAnsiTheme="minorHAnsi" w:cstheme="minorHAnsi"/>
                                  <w:color w:val="0070C0"/>
                                  <w:sz w:val="16"/>
                                  <w:szCs w:val="16"/>
                                </w:rPr>
                              </w:pPr>
                              <w:r w:rsidRPr="00046E7D">
                                <w:rPr>
                                  <w:rFonts w:asciiTheme="minorHAnsi" w:hAnsiTheme="minorHAnsi" w:cstheme="minorHAnsi"/>
                                  <w:color w:val="0070C0"/>
                                  <w:sz w:val="18"/>
                                  <w:szCs w:val="18"/>
                                </w:rPr>
                                <w:t>Assure la mise en œuvre opérationnelle des activités du</w:t>
                              </w:r>
                              <w:r w:rsidRPr="00003FFC">
                                <w:rPr>
                                  <w:rFonts w:asciiTheme="minorHAnsi" w:hAnsiTheme="minorHAnsi" w:cstheme="minorHAnsi"/>
                                  <w:color w:val="0070C0"/>
                                  <w:sz w:val="16"/>
                                  <w:szCs w:val="16"/>
                                </w:rPr>
                                <w:t xml:space="preserve"> </w:t>
                              </w:r>
                              <w:r w:rsidRPr="00F033C8">
                                <w:rPr>
                                  <w:rFonts w:asciiTheme="minorHAnsi" w:hAnsiTheme="minorHAnsi" w:cstheme="minorHAnsi"/>
                                  <w:color w:val="0070C0"/>
                                  <w:sz w:val="18"/>
                                  <w:szCs w:val="18"/>
                                </w:rPr>
                                <w:t>Programme</w:t>
                              </w:r>
                              <w:r w:rsidRPr="00003FFC">
                                <w:rPr>
                                  <w:rFonts w:asciiTheme="minorHAnsi" w:hAnsiTheme="minorHAnsi" w:cstheme="minorHAnsi"/>
                                  <w:color w:val="0070C0"/>
                                  <w:sz w:val="16"/>
                                  <w:szCs w:val="16"/>
                                </w:rPr>
                                <w:t xml:space="preserve"> </w:t>
                              </w:r>
                            </w:p>
                          </w:txbxContent>
                        </wps:txbx>
                        <wps:bodyPr vert="horz" lIns="91440" tIns="45720" rIns="91440" bIns="45720" rtlCol="0">
                          <a:normAutofit/>
                        </wps:bodyPr>
                      </wps:wsp>
                      <wps:wsp>
                        <wps:cNvPr id="47" name="Content Placeholder 1"/>
                        <wps:cNvSpPr txBox="1">
                          <a:spLocks/>
                        </wps:cNvSpPr>
                        <wps:spPr>
                          <a:xfrm>
                            <a:off x="1232847" y="17312"/>
                            <a:ext cx="1928056" cy="486069"/>
                          </a:xfrm>
                          <a:prstGeom prst="rect">
                            <a:avLst/>
                          </a:prstGeom>
                          <a:noFill/>
                        </wps:spPr>
                        <wps:txbx>
                          <w:txbxContent>
                            <w:p w14:paraId="351BD72B" w14:textId="77777777" w:rsidR="00066405" w:rsidRPr="00DD3AC9" w:rsidRDefault="00066405" w:rsidP="00046E7D">
                              <w:pPr>
                                <w:pStyle w:val="NormalWeb"/>
                                <w:shd w:val="clear" w:color="auto" w:fill="BDD6EE" w:themeFill="accent5" w:themeFillTint="66"/>
                                <w:spacing w:before="0" w:beforeAutospacing="0" w:after="0" w:afterAutospacing="0" w:line="240" w:lineRule="auto"/>
                                <w:jc w:val="center"/>
                                <w:rPr>
                                  <w:rFonts w:asciiTheme="minorHAnsi" w:hAnsi="Calibri" w:cstheme="minorBidi"/>
                                  <w:b/>
                                  <w:bCs/>
                                  <w:color w:val="000000" w:themeColor="text1"/>
                                  <w:kern w:val="24"/>
                                  <w:sz w:val="18"/>
                                  <w:szCs w:val="18"/>
                                </w:rPr>
                              </w:pPr>
                              <w:r w:rsidRPr="00DD3AC9">
                                <w:rPr>
                                  <w:rFonts w:asciiTheme="minorHAnsi" w:hAnsi="Calibri" w:cstheme="minorBidi"/>
                                  <w:b/>
                                  <w:bCs/>
                                  <w:color w:val="000000" w:themeColor="text1"/>
                                  <w:kern w:val="24"/>
                                  <w:sz w:val="18"/>
                                  <w:szCs w:val="18"/>
                                </w:rPr>
                                <w:t xml:space="preserve">Comité de pilotage : </w:t>
                              </w:r>
                            </w:p>
                            <w:p w14:paraId="081A6BDC" w14:textId="5EAE0E1B" w:rsidR="00066405" w:rsidRPr="00DD3AC9" w:rsidRDefault="00066405" w:rsidP="00046E7D">
                              <w:pPr>
                                <w:pStyle w:val="NormalWeb"/>
                                <w:shd w:val="clear" w:color="auto" w:fill="BDD6EE" w:themeFill="accent5" w:themeFillTint="66"/>
                                <w:spacing w:before="0" w:beforeAutospacing="0" w:after="0" w:afterAutospacing="0" w:line="240" w:lineRule="auto"/>
                                <w:jc w:val="center"/>
                                <w:rPr>
                                  <w:rFonts w:asciiTheme="minorHAnsi" w:hAnsi="Calibri" w:cstheme="minorBidi"/>
                                  <w:b/>
                                  <w:bCs/>
                                  <w:i/>
                                  <w:iCs/>
                                  <w:color w:val="000000" w:themeColor="text1"/>
                                  <w:kern w:val="24"/>
                                  <w:sz w:val="18"/>
                                  <w:szCs w:val="18"/>
                                </w:rPr>
                              </w:pPr>
                              <w:r>
                                <w:rPr>
                                  <w:rFonts w:asciiTheme="minorHAnsi" w:hAnsi="Calibri" w:cstheme="minorBidi"/>
                                  <w:b/>
                                  <w:bCs/>
                                  <w:i/>
                                  <w:iCs/>
                                  <w:color w:val="000000" w:themeColor="text1"/>
                                  <w:kern w:val="24"/>
                                  <w:sz w:val="18"/>
                                  <w:szCs w:val="18"/>
                                </w:rPr>
                                <w:t>MEFRA – MICEVN - MI</w:t>
                              </w:r>
                            </w:p>
                          </w:txbxContent>
                        </wps:txbx>
                        <wps:bodyPr vert="horz" lIns="91440" tIns="45720" rIns="91440" bIns="45720" rtlCol="0">
                          <a:normAutofit fontScale="85000" lnSpcReduction="20000"/>
                        </wps:bodyPr>
                      </wps:wsp>
                      <wps:wsp>
                        <wps:cNvPr id="48" name="Content Placeholder 1"/>
                        <wps:cNvSpPr txBox="1">
                          <a:spLocks/>
                        </wps:cNvSpPr>
                        <wps:spPr>
                          <a:xfrm>
                            <a:off x="3137904" y="1935144"/>
                            <a:ext cx="2219325" cy="433984"/>
                          </a:xfrm>
                          <a:prstGeom prst="rect">
                            <a:avLst/>
                          </a:prstGeom>
                          <a:noFill/>
                        </wps:spPr>
                        <wps:txbx>
                          <w:txbxContent>
                            <w:p w14:paraId="78A88539" w14:textId="7F063D8D" w:rsidR="00066405" w:rsidRPr="00046E7D" w:rsidRDefault="00066405" w:rsidP="00B33704">
                              <w:pPr>
                                <w:pStyle w:val="ListParagraph"/>
                                <w:widowControl/>
                                <w:numPr>
                                  <w:ilvl w:val="0"/>
                                  <w:numId w:val="5"/>
                                </w:numPr>
                                <w:tabs>
                                  <w:tab w:val="clear" w:pos="720"/>
                                </w:tabs>
                                <w:autoSpaceDE/>
                                <w:autoSpaceDN/>
                                <w:adjustRightInd/>
                                <w:spacing w:line="240" w:lineRule="auto"/>
                                <w:ind w:left="283" w:hanging="272"/>
                                <w:rPr>
                                  <w:rFonts w:asciiTheme="minorHAnsi" w:hAnsiTheme="minorHAnsi" w:cstheme="minorHAnsi"/>
                                  <w:color w:val="0070C0"/>
                                  <w:sz w:val="18"/>
                                  <w:szCs w:val="18"/>
                                </w:rPr>
                              </w:pPr>
                              <w:r w:rsidRPr="00046E7D">
                                <w:rPr>
                                  <w:rFonts w:asciiTheme="minorHAnsi" w:hAnsiTheme="minorHAnsi" w:cstheme="minorHAnsi"/>
                                  <w:color w:val="0070C0"/>
                                  <w:sz w:val="18"/>
                                  <w:szCs w:val="18"/>
                                </w:rPr>
                                <w:t>Suivi et évaluation du programme</w:t>
                              </w:r>
                            </w:p>
                            <w:p w14:paraId="740BE5A6" w14:textId="77777777" w:rsidR="00066405" w:rsidRPr="00046E7D" w:rsidRDefault="00066405" w:rsidP="00B33704">
                              <w:pPr>
                                <w:pStyle w:val="ListParagraph"/>
                                <w:widowControl/>
                                <w:numPr>
                                  <w:ilvl w:val="0"/>
                                  <w:numId w:val="5"/>
                                </w:numPr>
                                <w:tabs>
                                  <w:tab w:val="clear" w:pos="720"/>
                                </w:tabs>
                                <w:autoSpaceDE/>
                                <w:autoSpaceDN/>
                                <w:adjustRightInd/>
                                <w:spacing w:line="240" w:lineRule="auto"/>
                                <w:ind w:left="283" w:hanging="272"/>
                                <w:rPr>
                                  <w:rFonts w:asciiTheme="minorHAnsi" w:hAnsiTheme="minorHAnsi" w:cstheme="minorHAnsi"/>
                                  <w:color w:val="0070C0"/>
                                  <w:sz w:val="18"/>
                                  <w:szCs w:val="18"/>
                                </w:rPr>
                              </w:pPr>
                              <w:r w:rsidRPr="00046E7D">
                                <w:rPr>
                                  <w:rFonts w:asciiTheme="minorHAnsi" w:hAnsiTheme="minorHAnsi" w:cstheme="minorHAnsi"/>
                                  <w:color w:val="0070C0"/>
                                  <w:sz w:val="18"/>
                                  <w:szCs w:val="18"/>
                                </w:rPr>
                                <w:t xml:space="preserve">Coordination des parties prenantes </w:t>
                              </w:r>
                            </w:p>
                            <w:p w14:paraId="0775FA95" w14:textId="1A78BED8" w:rsidR="00066405" w:rsidRPr="00046E7D" w:rsidRDefault="00066405" w:rsidP="00DE3799">
                              <w:pPr>
                                <w:pStyle w:val="ListParagraph"/>
                                <w:widowControl/>
                                <w:autoSpaceDE/>
                                <w:autoSpaceDN/>
                                <w:adjustRightInd/>
                                <w:spacing w:line="240" w:lineRule="auto"/>
                                <w:ind w:left="283"/>
                                <w:rPr>
                                  <w:rFonts w:asciiTheme="minorHAnsi" w:hAnsiTheme="minorHAnsi" w:cstheme="minorHAnsi"/>
                                  <w:color w:val="0070C0"/>
                                  <w:sz w:val="18"/>
                                  <w:szCs w:val="18"/>
                                </w:rPr>
                              </w:pPr>
                            </w:p>
                          </w:txbxContent>
                        </wps:txbx>
                        <wps:bodyPr vert="horz" lIns="91440" tIns="45720" rIns="91440" bIns="45720" rtlCol="0">
                          <a:normAutofit/>
                        </wps:bodyPr>
                      </wps:wsp>
                      <wps:wsp>
                        <wps:cNvPr id="49" name="Straight Connector 26"/>
                        <wps:cNvCnPr>
                          <a:cxnSpLocks/>
                          <a:stCxn id="47" idx="2"/>
                        </wps:cNvCnPr>
                        <wps:spPr>
                          <a:xfrm flipH="1">
                            <a:off x="2190395" y="503320"/>
                            <a:ext cx="6480" cy="946253"/>
                          </a:xfrm>
                          <a:prstGeom prst="line">
                            <a:avLst/>
                          </a:prstGeom>
                          <a:noFill/>
                          <a:ln w="19050" cap="flat" cmpd="sng" algn="ctr">
                            <a:solidFill>
                              <a:sysClr val="windowText" lastClr="000000"/>
                            </a:solidFill>
                            <a:prstDash val="solid"/>
                            <a:miter lim="800000"/>
                          </a:ln>
                          <a:effectLst/>
                        </wps:spPr>
                        <wps:bodyPr/>
                      </wps:wsp>
                      <wps:wsp>
                        <wps:cNvPr id="50" name="Content Placeholder 1"/>
                        <wps:cNvSpPr txBox="1">
                          <a:spLocks/>
                        </wps:cNvSpPr>
                        <wps:spPr>
                          <a:xfrm>
                            <a:off x="1238635" y="1833489"/>
                            <a:ext cx="1937704" cy="484838"/>
                          </a:xfrm>
                          <a:prstGeom prst="rect">
                            <a:avLst/>
                          </a:prstGeom>
                          <a:noFill/>
                        </wps:spPr>
                        <wps:txbx>
                          <w:txbxContent>
                            <w:p w14:paraId="541AE18C" w14:textId="77777777" w:rsidR="00066405" w:rsidRDefault="00066405" w:rsidP="00046E7D">
                              <w:pPr>
                                <w:pStyle w:val="NormalWeb"/>
                                <w:shd w:val="clear" w:color="auto" w:fill="BDD6EE" w:themeFill="accent5" w:themeFillTint="66"/>
                                <w:spacing w:before="0" w:beforeAutospacing="0" w:after="0" w:afterAutospacing="0" w:line="240" w:lineRule="auto"/>
                                <w:jc w:val="center"/>
                                <w:rPr>
                                  <w:rFonts w:asciiTheme="minorHAnsi" w:hAnsi="Calibri" w:cstheme="minorBidi"/>
                                  <w:color w:val="000000" w:themeColor="text1"/>
                                  <w:kern w:val="24"/>
                                  <w:sz w:val="18"/>
                                  <w:szCs w:val="18"/>
                                </w:rPr>
                              </w:pPr>
                              <w:r w:rsidRPr="00DD3AC9">
                                <w:rPr>
                                  <w:rFonts w:asciiTheme="minorHAnsi" w:hAnsi="Calibri" w:cstheme="minorBidi"/>
                                  <w:b/>
                                  <w:bCs/>
                                  <w:color w:val="000000" w:themeColor="text1"/>
                                  <w:kern w:val="24"/>
                                  <w:sz w:val="18"/>
                                  <w:szCs w:val="18"/>
                                </w:rPr>
                                <w:t>UGP</w:t>
                              </w:r>
                              <w:r w:rsidRPr="00F7027D">
                                <w:rPr>
                                  <w:rFonts w:asciiTheme="minorHAnsi" w:hAnsi="Calibri" w:cstheme="minorBidi"/>
                                  <w:color w:val="000000" w:themeColor="text1"/>
                                  <w:kern w:val="24"/>
                                  <w:sz w:val="18"/>
                                  <w:szCs w:val="18"/>
                                </w:rPr>
                                <w:t xml:space="preserve"> : </w:t>
                              </w:r>
                            </w:p>
                            <w:p w14:paraId="264B9346" w14:textId="537FDB5A" w:rsidR="00066405" w:rsidRPr="00DD3AC9" w:rsidRDefault="00066405" w:rsidP="00046E7D">
                              <w:pPr>
                                <w:pStyle w:val="NormalWeb"/>
                                <w:shd w:val="clear" w:color="auto" w:fill="BDD6EE" w:themeFill="accent5" w:themeFillTint="66"/>
                                <w:spacing w:before="0" w:beforeAutospacing="0" w:after="0" w:afterAutospacing="0" w:line="240" w:lineRule="auto"/>
                                <w:jc w:val="center"/>
                                <w:rPr>
                                  <w:rFonts w:asciiTheme="minorHAnsi" w:hAnsi="Calibri" w:cstheme="minorBidi"/>
                                  <w:i/>
                                  <w:iCs/>
                                  <w:color w:val="000000" w:themeColor="text1"/>
                                  <w:kern w:val="24"/>
                                  <w:sz w:val="18"/>
                                  <w:szCs w:val="18"/>
                                </w:rPr>
                              </w:pPr>
                              <w:r>
                                <w:rPr>
                                  <w:rFonts w:asciiTheme="minorHAnsi" w:hAnsi="Calibri" w:cstheme="minorBidi"/>
                                  <w:i/>
                                  <w:iCs/>
                                  <w:color w:val="000000" w:themeColor="text1"/>
                                  <w:kern w:val="24"/>
                                  <w:sz w:val="18"/>
                                  <w:szCs w:val="18"/>
                                </w:rPr>
                                <w:t>MEFRA / DTFE</w:t>
                              </w:r>
                            </w:p>
                          </w:txbxContent>
                        </wps:txbx>
                        <wps:bodyPr vert="horz" lIns="91440" tIns="45720" rIns="91440" bIns="45720" rtlCol="0">
                          <a:normAutofit fontScale="77500" lnSpcReduction="20000"/>
                        </wps:bodyPr>
                      </wps:wsp>
                      <wps:wsp>
                        <wps:cNvPr id="51" name="Straight Connector 29"/>
                        <wps:cNvCnPr>
                          <a:cxnSpLocks/>
                        </wps:cNvCnPr>
                        <wps:spPr>
                          <a:xfrm flipH="1">
                            <a:off x="1026915" y="1037369"/>
                            <a:ext cx="1163480" cy="0"/>
                          </a:xfrm>
                          <a:prstGeom prst="line">
                            <a:avLst/>
                          </a:prstGeom>
                          <a:noFill/>
                          <a:ln w="19050" cap="flat" cmpd="sng" algn="ctr">
                            <a:solidFill>
                              <a:sysClr val="windowText" lastClr="000000"/>
                            </a:solidFill>
                            <a:prstDash val="solid"/>
                            <a:miter lim="800000"/>
                          </a:ln>
                          <a:effectLst/>
                        </wps:spPr>
                        <wps:bodyPr/>
                      </wps:wsp>
                      <wps:wsp>
                        <wps:cNvPr id="52" name="Content Placeholder 1"/>
                        <wps:cNvSpPr txBox="1">
                          <a:spLocks/>
                        </wps:cNvSpPr>
                        <wps:spPr>
                          <a:xfrm>
                            <a:off x="34725" y="709417"/>
                            <a:ext cx="1061966" cy="702608"/>
                          </a:xfrm>
                          <a:prstGeom prst="rect">
                            <a:avLst/>
                          </a:prstGeom>
                          <a:noFill/>
                        </wps:spPr>
                        <wps:txbx>
                          <w:txbxContent>
                            <w:p w14:paraId="3C5DAEFC" w14:textId="720B5DE6" w:rsidR="00066405" w:rsidRDefault="00066405" w:rsidP="00046E7D">
                              <w:pPr>
                                <w:pStyle w:val="NormalWeb"/>
                                <w:shd w:val="clear" w:color="auto" w:fill="BDD6EE" w:themeFill="accent5" w:themeFillTint="66"/>
                                <w:spacing w:before="0" w:beforeAutospacing="0" w:after="0" w:afterAutospacing="0" w:line="240" w:lineRule="auto"/>
                                <w:jc w:val="center"/>
                                <w:rPr>
                                  <w:rFonts w:asciiTheme="minorHAnsi" w:hAnsi="Calibri" w:cstheme="minorBidi"/>
                                  <w:color w:val="000000" w:themeColor="text1"/>
                                  <w:kern w:val="24"/>
                                  <w:sz w:val="18"/>
                                  <w:szCs w:val="18"/>
                                </w:rPr>
                              </w:pPr>
                              <w:r w:rsidRPr="006816C2">
                                <w:rPr>
                                  <w:rFonts w:asciiTheme="minorHAnsi" w:hAnsi="Calibri" w:cstheme="minorBidi"/>
                                  <w:i/>
                                  <w:iCs/>
                                  <w:kern w:val="24"/>
                                  <w:sz w:val="18"/>
                                  <w:szCs w:val="18"/>
                                </w:rPr>
                                <w:t>IGA</w:t>
                              </w:r>
                              <w:r>
                                <w:rPr>
                                  <w:rFonts w:asciiTheme="minorHAnsi" w:hAnsi="Calibri" w:cstheme="minorBidi"/>
                                  <w:i/>
                                  <w:iCs/>
                                  <w:kern w:val="24"/>
                                  <w:sz w:val="18"/>
                                  <w:szCs w:val="18"/>
                                </w:rPr>
                                <w:t>T et IGF</w:t>
                              </w:r>
                            </w:p>
                            <w:p w14:paraId="710EC91E" w14:textId="7D7B87D7" w:rsidR="00066405" w:rsidRPr="00624F96" w:rsidRDefault="00066405" w:rsidP="00046E7D">
                              <w:pPr>
                                <w:pStyle w:val="NormalWeb"/>
                                <w:shd w:val="clear" w:color="auto" w:fill="BDD6EE" w:themeFill="accent5" w:themeFillTint="66"/>
                                <w:spacing w:before="0" w:beforeAutospacing="0" w:after="0" w:afterAutospacing="0" w:line="240" w:lineRule="auto"/>
                                <w:jc w:val="center"/>
                                <w:rPr>
                                  <w:rFonts w:asciiTheme="minorHAnsi" w:hAnsi="Calibri" w:cstheme="minorBidi"/>
                                  <w:i/>
                                  <w:iCs/>
                                  <w:color w:val="000000" w:themeColor="text1"/>
                                  <w:kern w:val="24"/>
                                  <w:sz w:val="18"/>
                                  <w:szCs w:val="18"/>
                                </w:rPr>
                              </w:pPr>
                              <w:r w:rsidRPr="00624F96">
                                <w:rPr>
                                  <w:rFonts w:asciiTheme="minorHAnsi" w:hAnsi="Calibri" w:cstheme="minorBidi"/>
                                  <w:i/>
                                  <w:iCs/>
                                  <w:color w:val="000000" w:themeColor="text1"/>
                                  <w:kern w:val="24"/>
                                  <w:sz w:val="18"/>
                                  <w:szCs w:val="18"/>
                                </w:rPr>
                                <w:t>Vérification des IL</w:t>
                              </w:r>
                              <w:r>
                                <w:rPr>
                                  <w:rFonts w:asciiTheme="minorHAnsi" w:hAnsi="Calibri" w:cstheme="minorBidi"/>
                                  <w:i/>
                                  <w:iCs/>
                                  <w:color w:val="000000" w:themeColor="text1"/>
                                  <w:kern w:val="24"/>
                                  <w:sz w:val="18"/>
                                  <w:szCs w:val="18"/>
                                </w:rPr>
                                <w:t>D</w:t>
                              </w:r>
                            </w:p>
                            <w:p w14:paraId="5F46805A" w14:textId="77777777" w:rsidR="00066405" w:rsidRDefault="00066405" w:rsidP="00046E7D">
                              <w:pPr>
                                <w:shd w:val="clear" w:color="auto" w:fill="BDD6EE" w:themeFill="accent5" w:themeFillTint="66"/>
                              </w:pPr>
                            </w:p>
                            <w:p w14:paraId="2EB6F1A9" w14:textId="77777777" w:rsidR="00066405" w:rsidRPr="00DD3AC9" w:rsidRDefault="00066405" w:rsidP="00046E7D">
                              <w:pPr>
                                <w:pStyle w:val="NormalWeb"/>
                                <w:shd w:val="clear" w:color="auto" w:fill="BDD6EE" w:themeFill="accent5" w:themeFillTint="66"/>
                                <w:spacing w:before="0" w:beforeAutospacing="0" w:after="0" w:afterAutospacing="0" w:line="240" w:lineRule="auto"/>
                                <w:jc w:val="center"/>
                                <w:rPr>
                                  <w:rFonts w:asciiTheme="minorHAnsi" w:hAnsi="Calibri" w:cstheme="minorBidi"/>
                                  <w:i/>
                                  <w:iCs/>
                                  <w:color w:val="000000" w:themeColor="text1"/>
                                  <w:kern w:val="24"/>
                                  <w:sz w:val="18"/>
                                  <w:szCs w:val="18"/>
                                </w:rPr>
                              </w:pPr>
                            </w:p>
                          </w:txbxContent>
                        </wps:txbx>
                        <wps:bodyPr vert="horz" lIns="91440" tIns="45720" rIns="91440" bIns="45720" rtlCol="0">
                          <a:normAutofit fontScale="77500" lnSpcReduction="20000"/>
                        </wps:bodyPr>
                      </wps:wsp>
                      <wps:wsp>
                        <wps:cNvPr id="12" name="Content Placeholder 1"/>
                        <wps:cNvSpPr txBox="1">
                          <a:spLocks/>
                        </wps:cNvSpPr>
                        <wps:spPr>
                          <a:xfrm>
                            <a:off x="1214473" y="1311455"/>
                            <a:ext cx="1937385" cy="484505"/>
                          </a:xfrm>
                          <a:prstGeom prst="rect">
                            <a:avLst/>
                          </a:prstGeom>
                          <a:solidFill>
                            <a:schemeClr val="accent5">
                              <a:lumMod val="40000"/>
                              <a:lumOff val="60000"/>
                            </a:schemeClr>
                          </a:solidFill>
                        </wps:spPr>
                        <wps:txbx>
                          <w:txbxContent>
                            <w:p w14:paraId="40A5C8B7" w14:textId="502DC4BB" w:rsidR="00066405" w:rsidRDefault="00066405" w:rsidP="002F0E5B">
                              <w:pPr>
                                <w:spacing w:after="0" w:line="240" w:lineRule="auto"/>
                                <w:jc w:val="center"/>
                                <w:rPr>
                                  <w:rFonts w:ascii="Calibri" w:eastAsia="Times New Roman" w:hAnsi="Calibri" w:cs="Arial"/>
                                  <w:color w:val="000000"/>
                                  <w:kern w:val="24"/>
                                  <w:sz w:val="18"/>
                                  <w:szCs w:val="18"/>
                                </w:rPr>
                              </w:pPr>
                              <w:r>
                                <w:rPr>
                                  <w:rFonts w:ascii="Calibri" w:eastAsia="Times New Roman" w:hAnsi="Calibri" w:cs="Arial"/>
                                  <w:b/>
                                  <w:bCs/>
                                  <w:color w:val="000000"/>
                                  <w:kern w:val="24"/>
                                  <w:sz w:val="18"/>
                                  <w:szCs w:val="18"/>
                                </w:rPr>
                                <w:t>Comité Technique</w:t>
                              </w:r>
                              <w:r>
                                <w:rPr>
                                  <w:rFonts w:ascii="Calibri" w:eastAsia="Times New Roman" w:hAnsi="Calibri" w:cs="Arial"/>
                                  <w:color w:val="000000"/>
                                  <w:kern w:val="24"/>
                                  <w:sz w:val="18"/>
                                  <w:szCs w:val="18"/>
                                </w:rPr>
                                <w:t xml:space="preserve"> : </w:t>
                              </w:r>
                            </w:p>
                            <w:p w14:paraId="3311E99A" w14:textId="2632FFBE" w:rsidR="00066405" w:rsidRDefault="00066405" w:rsidP="002F0E5B">
                              <w:pPr>
                                <w:spacing w:after="0" w:line="240" w:lineRule="auto"/>
                                <w:jc w:val="center"/>
                                <w:rPr>
                                  <w:rFonts w:ascii="Calibri" w:eastAsia="Times New Roman" w:hAnsi="Calibri" w:cs="Arial"/>
                                  <w:i/>
                                  <w:iCs/>
                                  <w:color w:val="008080"/>
                                  <w:kern w:val="24"/>
                                  <w:sz w:val="18"/>
                                  <w:szCs w:val="18"/>
                                  <w:u w:val="single"/>
                                </w:rPr>
                              </w:pPr>
                              <w:r>
                                <w:rPr>
                                  <w:rFonts w:ascii="Calibri" w:eastAsia="Times New Roman" w:hAnsi="Calibri" w:cs="Arial"/>
                                  <w:i/>
                                  <w:iCs/>
                                  <w:color w:val="008080"/>
                                  <w:kern w:val="24"/>
                                  <w:sz w:val="18"/>
                                  <w:szCs w:val="18"/>
                                  <w:u w:val="single"/>
                                </w:rPr>
                                <w:t>MEFRA / DTFE/DB/TGR/CNCP/DGI</w:t>
                              </w:r>
                            </w:p>
                            <w:p w14:paraId="0D89F079" w14:textId="564794AB" w:rsidR="00066405" w:rsidRDefault="00066405" w:rsidP="002F0E5B">
                              <w:pPr>
                                <w:spacing w:after="0" w:line="240" w:lineRule="auto"/>
                                <w:jc w:val="center"/>
                              </w:pPr>
                              <w:r>
                                <w:rPr>
                                  <w:rFonts w:ascii="Calibri" w:eastAsia="Times New Roman" w:hAnsi="Calibri" w:cs="Arial"/>
                                  <w:i/>
                                  <w:iCs/>
                                  <w:color w:val="008080"/>
                                  <w:kern w:val="24"/>
                                  <w:sz w:val="18"/>
                                  <w:szCs w:val="18"/>
                                  <w:u w:val="single"/>
                                </w:rPr>
                                <w:t>MI/MICEVN/ADD</w:t>
                              </w:r>
                            </w:p>
                          </w:txbxContent>
                        </wps:txbx>
                        <wps:bodyPr vert="horz" lIns="91440" tIns="45720" rIns="91440" bIns="45720" rtlCol="0">
                          <a:normAutofit fontScale="77500" lnSpcReduction="20000"/>
                        </wps:bodyPr>
                      </wps:wsp>
                      <wps:wsp>
                        <wps:cNvPr id="13" name="Content Placeholder 1"/>
                        <wps:cNvSpPr txBox="1">
                          <a:spLocks/>
                        </wps:cNvSpPr>
                        <wps:spPr>
                          <a:xfrm>
                            <a:off x="3161030" y="1218497"/>
                            <a:ext cx="2219325" cy="430194"/>
                          </a:xfrm>
                          <a:prstGeom prst="rect">
                            <a:avLst/>
                          </a:prstGeom>
                          <a:noFill/>
                        </wps:spPr>
                        <wps:txbx>
                          <w:txbxContent>
                            <w:p w14:paraId="5A956AFA" w14:textId="31D252BE" w:rsidR="00066405" w:rsidRDefault="00066405" w:rsidP="002F0E5B">
                              <w:pPr>
                                <w:spacing w:after="0" w:line="240" w:lineRule="auto"/>
                                <w:jc w:val="both"/>
                              </w:pPr>
                              <w:r>
                                <w:rPr>
                                  <w:rFonts w:ascii="Calibri" w:eastAsia="Calibri" w:hAnsi="Calibri" w:cs="Calibri"/>
                                  <w:color w:val="0070C0"/>
                                  <w:sz w:val="18"/>
                                  <w:szCs w:val="18"/>
                                </w:rPr>
                                <w:t xml:space="preserve">Supervision des activités et gestion du Programme  </w:t>
                              </w:r>
                            </w:p>
                          </w:txbxContent>
                        </wps:txbx>
                        <wps:bodyPr vert="horz" lIns="91440" tIns="45720" rIns="91440" bIns="45720" rtlCol="0">
                          <a:normAutofit/>
                        </wps:bodyPr>
                      </wps:wsp>
                    </wpc:wpc>
                  </a:graphicData>
                </a:graphic>
              </wp:inline>
            </w:drawing>
          </mc:Choice>
          <mc:Fallback>
            <w:pict>
              <v:group w14:anchorId="2C8EDFDD" id="Canvas 1" o:spid="_x0000_s1026" editas="canvas" style="width:423.65pt;height:193.3pt;mso-position-horizontal-relative:char;mso-position-vertical-relative:line" coordsize="53803,2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803;height:24549;visibility:visible;mso-wrap-style:square" strokeweight="2.25pt">
                  <v:fill o:detectmouseclick="t"/>
                  <v:path o:connecttype="none"/>
                </v:shape>
                <v:shapetype id="_x0000_t202" coordsize="21600,21600" o:spt="202" path="m,l,21600r21600,l21600,xe">
                  <v:stroke joinstyle="miter"/>
                  <v:path gradientshapeok="t" o:connecttype="rect"/>
                </v:shapetype>
                <v:shape id="Content Placeholder 1" o:spid="_x0000_s1028" type="#_x0000_t202" style="position:absolute;left:31425;top:103;width:22378;height:9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2E48BF91" w14:textId="77777777" w:rsidR="00066405" w:rsidRPr="00003FFC" w:rsidRDefault="00066405" w:rsidP="00B33704">
                        <w:pPr>
                          <w:pStyle w:val="ListParagraph"/>
                          <w:widowControl/>
                          <w:numPr>
                            <w:ilvl w:val="0"/>
                            <w:numId w:val="5"/>
                          </w:numPr>
                          <w:tabs>
                            <w:tab w:val="clear" w:pos="720"/>
                          </w:tabs>
                          <w:autoSpaceDE/>
                          <w:autoSpaceDN/>
                          <w:adjustRightInd/>
                          <w:spacing w:line="240" w:lineRule="auto"/>
                          <w:ind w:left="283" w:hanging="272"/>
                          <w:rPr>
                            <w:rFonts w:asciiTheme="minorHAnsi" w:hAnsiTheme="minorHAnsi" w:cstheme="minorHAnsi"/>
                            <w:color w:val="0070C0"/>
                            <w:sz w:val="18"/>
                            <w:szCs w:val="18"/>
                          </w:rPr>
                        </w:pPr>
                        <w:r w:rsidRPr="00003FFC">
                          <w:rPr>
                            <w:rFonts w:asciiTheme="minorHAnsi" w:hAnsiTheme="minorHAnsi" w:cstheme="minorHAnsi"/>
                            <w:color w:val="0070C0"/>
                            <w:sz w:val="18"/>
                            <w:szCs w:val="18"/>
                          </w:rPr>
                          <w:t>Pouvoir décisionnel</w:t>
                        </w:r>
                      </w:p>
                      <w:p w14:paraId="37E9DC2B" w14:textId="77777777" w:rsidR="00066405" w:rsidRPr="00003FFC" w:rsidRDefault="00066405" w:rsidP="00B33704">
                        <w:pPr>
                          <w:pStyle w:val="ListParagraph"/>
                          <w:widowControl/>
                          <w:numPr>
                            <w:ilvl w:val="0"/>
                            <w:numId w:val="5"/>
                          </w:numPr>
                          <w:tabs>
                            <w:tab w:val="clear" w:pos="720"/>
                          </w:tabs>
                          <w:autoSpaceDE/>
                          <w:autoSpaceDN/>
                          <w:adjustRightInd/>
                          <w:spacing w:line="240" w:lineRule="auto"/>
                          <w:ind w:left="283" w:hanging="272"/>
                          <w:rPr>
                            <w:rFonts w:asciiTheme="minorHAnsi" w:hAnsiTheme="minorHAnsi" w:cstheme="minorHAnsi"/>
                            <w:color w:val="0070C0"/>
                            <w:sz w:val="18"/>
                            <w:szCs w:val="18"/>
                          </w:rPr>
                        </w:pPr>
                        <w:r w:rsidRPr="00003FFC">
                          <w:rPr>
                            <w:rFonts w:asciiTheme="minorHAnsi" w:hAnsiTheme="minorHAnsi" w:cstheme="minorHAnsi"/>
                            <w:color w:val="0070C0"/>
                            <w:sz w:val="18"/>
                            <w:szCs w:val="18"/>
                          </w:rPr>
                          <w:t>Fixe les objectifs prioritaires</w:t>
                        </w:r>
                      </w:p>
                      <w:p w14:paraId="21B023D5" w14:textId="77777777" w:rsidR="00066405" w:rsidRPr="00046E7D" w:rsidRDefault="00066405" w:rsidP="00B33704">
                        <w:pPr>
                          <w:pStyle w:val="ListParagraph"/>
                          <w:widowControl/>
                          <w:numPr>
                            <w:ilvl w:val="0"/>
                            <w:numId w:val="5"/>
                          </w:numPr>
                          <w:tabs>
                            <w:tab w:val="clear" w:pos="720"/>
                          </w:tabs>
                          <w:autoSpaceDE/>
                          <w:autoSpaceDN/>
                          <w:adjustRightInd/>
                          <w:spacing w:line="240" w:lineRule="auto"/>
                          <w:ind w:left="283" w:hanging="272"/>
                          <w:rPr>
                            <w:rFonts w:asciiTheme="minorHAnsi" w:hAnsiTheme="minorHAnsi" w:cstheme="minorHAnsi"/>
                            <w:color w:val="0070C0"/>
                            <w:sz w:val="18"/>
                            <w:szCs w:val="18"/>
                          </w:rPr>
                        </w:pPr>
                        <w:r w:rsidRPr="00046E7D">
                          <w:rPr>
                            <w:rFonts w:asciiTheme="minorHAnsi" w:hAnsiTheme="minorHAnsi" w:cstheme="minorHAnsi"/>
                            <w:color w:val="0070C0"/>
                            <w:sz w:val="18"/>
                            <w:szCs w:val="18"/>
                          </w:rPr>
                          <w:t>Fédère et assure la coordination des parties prenantes</w:t>
                        </w:r>
                      </w:p>
                      <w:p w14:paraId="7D5B5D6B" w14:textId="77777777" w:rsidR="00066405" w:rsidRPr="00046E7D" w:rsidRDefault="00066405" w:rsidP="00B33704">
                        <w:pPr>
                          <w:pStyle w:val="ListParagraph"/>
                          <w:widowControl/>
                          <w:numPr>
                            <w:ilvl w:val="0"/>
                            <w:numId w:val="5"/>
                          </w:numPr>
                          <w:tabs>
                            <w:tab w:val="clear" w:pos="720"/>
                          </w:tabs>
                          <w:autoSpaceDE/>
                          <w:autoSpaceDN/>
                          <w:adjustRightInd/>
                          <w:spacing w:line="240" w:lineRule="auto"/>
                          <w:ind w:left="283" w:hanging="272"/>
                          <w:rPr>
                            <w:rFonts w:asciiTheme="minorHAnsi" w:hAnsiTheme="minorHAnsi" w:cstheme="minorHAnsi"/>
                            <w:color w:val="0070C0"/>
                            <w:sz w:val="16"/>
                            <w:szCs w:val="16"/>
                          </w:rPr>
                        </w:pPr>
                        <w:r w:rsidRPr="00046E7D">
                          <w:rPr>
                            <w:rFonts w:asciiTheme="minorHAnsi" w:hAnsiTheme="minorHAnsi" w:cstheme="minorHAnsi"/>
                            <w:color w:val="0070C0"/>
                            <w:sz w:val="18"/>
                            <w:szCs w:val="18"/>
                          </w:rPr>
                          <w:t>Assure la mise en œuvre opérationnelle des activités du</w:t>
                        </w:r>
                        <w:r w:rsidRPr="00003FFC">
                          <w:rPr>
                            <w:rFonts w:asciiTheme="minorHAnsi" w:hAnsiTheme="minorHAnsi" w:cstheme="minorHAnsi"/>
                            <w:color w:val="0070C0"/>
                            <w:sz w:val="16"/>
                            <w:szCs w:val="16"/>
                          </w:rPr>
                          <w:t xml:space="preserve"> </w:t>
                        </w:r>
                        <w:r w:rsidRPr="00F033C8">
                          <w:rPr>
                            <w:rFonts w:asciiTheme="minorHAnsi" w:hAnsiTheme="minorHAnsi" w:cstheme="minorHAnsi"/>
                            <w:color w:val="0070C0"/>
                            <w:sz w:val="18"/>
                            <w:szCs w:val="18"/>
                          </w:rPr>
                          <w:t>Programme</w:t>
                        </w:r>
                        <w:r w:rsidRPr="00003FFC">
                          <w:rPr>
                            <w:rFonts w:asciiTheme="minorHAnsi" w:hAnsiTheme="minorHAnsi" w:cstheme="minorHAnsi"/>
                            <w:color w:val="0070C0"/>
                            <w:sz w:val="16"/>
                            <w:szCs w:val="16"/>
                          </w:rPr>
                          <w:t xml:space="preserve"> </w:t>
                        </w:r>
                      </w:p>
                    </w:txbxContent>
                  </v:textbox>
                </v:shape>
                <v:shape id="Content Placeholder 1" o:spid="_x0000_s1029" type="#_x0000_t202" style="position:absolute;left:12328;top:173;width:19281;height: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351BD72B" w14:textId="77777777" w:rsidR="00066405" w:rsidRPr="00DD3AC9" w:rsidRDefault="00066405" w:rsidP="00046E7D">
                        <w:pPr>
                          <w:pStyle w:val="NormalWeb"/>
                          <w:shd w:val="clear" w:color="auto" w:fill="BDD6EE" w:themeFill="accent5" w:themeFillTint="66"/>
                          <w:spacing w:before="0" w:beforeAutospacing="0" w:after="0" w:afterAutospacing="0" w:line="240" w:lineRule="auto"/>
                          <w:jc w:val="center"/>
                          <w:rPr>
                            <w:rFonts w:asciiTheme="minorHAnsi" w:hAnsi="Calibri" w:cstheme="minorBidi"/>
                            <w:b/>
                            <w:bCs/>
                            <w:color w:val="000000" w:themeColor="text1"/>
                            <w:kern w:val="24"/>
                            <w:sz w:val="18"/>
                            <w:szCs w:val="18"/>
                          </w:rPr>
                        </w:pPr>
                        <w:r w:rsidRPr="00DD3AC9">
                          <w:rPr>
                            <w:rFonts w:asciiTheme="minorHAnsi" w:hAnsi="Calibri" w:cstheme="minorBidi"/>
                            <w:b/>
                            <w:bCs/>
                            <w:color w:val="000000" w:themeColor="text1"/>
                            <w:kern w:val="24"/>
                            <w:sz w:val="18"/>
                            <w:szCs w:val="18"/>
                          </w:rPr>
                          <w:t xml:space="preserve">Comité de pilotage : </w:t>
                        </w:r>
                      </w:p>
                      <w:p w14:paraId="081A6BDC" w14:textId="5EAE0E1B" w:rsidR="00066405" w:rsidRPr="00DD3AC9" w:rsidRDefault="00066405" w:rsidP="00046E7D">
                        <w:pPr>
                          <w:pStyle w:val="NormalWeb"/>
                          <w:shd w:val="clear" w:color="auto" w:fill="BDD6EE" w:themeFill="accent5" w:themeFillTint="66"/>
                          <w:spacing w:before="0" w:beforeAutospacing="0" w:after="0" w:afterAutospacing="0" w:line="240" w:lineRule="auto"/>
                          <w:jc w:val="center"/>
                          <w:rPr>
                            <w:rFonts w:asciiTheme="minorHAnsi" w:hAnsi="Calibri" w:cstheme="minorBidi"/>
                            <w:b/>
                            <w:bCs/>
                            <w:i/>
                            <w:iCs/>
                            <w:color w:val="000000" w:themeColor="text1"/>
                            <w:kern w:val="24"/>
                            <w:sz w:val="18"/>
                            <w:szCs w:val="18"/>
                          </w:rPr>
                        </w:pPr>
                        <w:r>
                          <w:rPr>
                            <w:rFonts w:asciiTheme="minorHAnsi" w:hAnsi="Calibri" w:cstheme="minorBidi"/>
                            <w:b/>
                            <w:bCs/>
                            <w:i/>
                            <w:iCs/>
                            <w:color w:val="000000" w:themeColor="text1"/>
                            <w:kern w:val="24"/>
                            <w:sz w:val="18"/>
                            <w:szCs w:val="18"/>
                          </w:rPr>
                          <w:t>MEFRA – MICEVN - MI</w:t>
                        </w:r>
                      </w:p>
                    </w:txbxContent>
                  </v:textbox>
                </v:shape>
                <v:shape id="Content Placeholder 1" o:spid="_x0000_s1030" type="#_x0000_t202" style="position:absolute;left:31379;top:19351;width:22193;height:4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78A88539" w14:textId="7F063D8D" w:rsidR="00066405" w:rsidRPr="00046E7D" w:rsidRDefault="00066405" w:rsidP="00B33704">
                        <w:pPr>
                          <w:pStyle w:val="ListParagraph"/>
                          <w:widowControl/>
                          <w:numPr>
                            <w:ilvl w:val="0"/>
                            <w:numId w:val="5"/>
                          </w:numPr>
                          <w:tabs>
                            <w:tab w:val="clear" w:pos="720"/>
                          </w:tabs>
                          <w:autoSpaceDE/>
                          <w:autoSpaceDN/>
                          <w:adjustRightInd/>
                          <w:spacing w:line="240" w:lineRule="auto"/>
                          <w:ind w:left="283" w:hanging="272"/>
                          <w:rPr>
                            <w:rFonts w:asciiTheme="minorHAnsi" w:hAnsiTheme="minorHAnsi" w:cstheme="minorHAnsi"/>
                            <w:color w:val="0070C0"/>
                            <w:sz w:val="18"/>
                            <w:szCs w:val="18"/>
                          </w:rPr>
                        </w:pPr>
                        <w:r w:rsidRPr="00046E7D">
                          <w:rPr>
                            <w:rFonts w:asciiTheme="minorHAnsi" w:hAnsiTheme="minorHAnsi" w:cstheme="minorHAnsi"/>
                            <w:color w:val="0070C0"/>
                            <w:sz w:val="18"/>
                            <w:szCs w:val="18"/>
                          </w:rPr>
                          <w:t>Suivi et évaluation du programme</w:t>
                        </w:r>
                      </w:p>
                      <w:p w14:paraId="740BE5A6" w14:textId="77777777" w:rsidR="00066405" w:rsidRPr="00046E7D" w:rsidRDefault="00066405" w:rsidP="00B33704">
                        <w:pPr>
                          <w:pStyle w:val="ListParagraph"/>
                          <w:widowControl/>
                          <w:numPr>
                            <w:ilvl w:val="0"/>
                            <w:numId w:val="5"/>
                          </w:numPr>
                          <w:tabs>
                            <w:tab w:val="clear" w:pos="720"/>
                          </w:tabs>
                          <w:autoSpaceDE/>
                          <w:autoSpaceDN/>
                          <w:adjustRightInd/>
                          <w:spacing w:line="240" w:lineRule="auto"/>
                          <w:ind w:left="283" w:hanging="272"/>
                          <w:rPr>
                            <w:rFonts w:asciiTheme="minorHAnsi" w:hAnsiTheme="minorHAnsi" w:cstheme="minorHAnsi"/>
                            <w:color w:val="0070C0"/>
                            <w:sz w:val="18"/>
                            <w:szCs w:val="18"/>
                          </w:rPr>
                        </w:pPr>
                        <w:r w:rsidRPr="00046E7D">
                          <w:rPr>
                            <w:rFonts w:asciiTheme="minorHAnsi" w:hAnsiTheme="minorHAnsi" w:cstheme="minorHAnsi"/>
                            <w:color w:val="0070C0"/>
                            <w:sz w:val="18"/>
                            <w:szCs w:val="18"/>
                          </w:rPr>
                          <w:t xml:space="preserve">Coordination des parties prenantes </w:t>
                        </w:r>
                      </w:p>
                      <w:p w14:paraId="0775FA95" w14:textId="1A78BED8" w:rsidR="00066405" w:rsidRPr="00046E7D" w:rsidRDefault="00066405" w:rsidP="00DE3799">
                        <w:pPr>
                          <w:pStyle w:val="ListParagraph"/>
                          <w:widowControl/>
                          <w:autoSpaceDE/>
                          <w:autoSpaceDN/>
                          <w:adjustRightInd/>
                          <w:spacing w:line="240" w:lineRule="auto"/>
                          <w:ind w:left="283"/>
                          <w:rPr>
                            <w:rFonts w:asciiTheme="minorHAnsi" w:hAnsiTheme="minorHAnsi" w:cstheme="minorHAnsi"/>
                            <w:color w:val="0070C0"/>
                            <w:sz w:val="18"/>
                            <w:szCs w:val="18"/>
                          </w:rPr>
                        </w:pPr>
                      </w:p>
                    </w:txbxContent>
                  </v:textbox>
                </v:shape>
                <v:line id="Straight Connector 26" o:spid="_x0000_s1031" style="position:absolute;flip:x;visibility:visible;mso-wrap-style:square" from="21903,5033" to="21968,1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" strokecolor="windowText" strokeweight="1.5pt">
                  <v:stroke joinstyle="miter"/>
                  <o:lock v:ext="edit" shapetype="f"/>
                </v:line>
                <v:shape id="Content Placeholder 1" o:spid="_x0000_s1032" type="#_x0000_t202" style="position:absolute;left:12386;top:18334;width:19377;height:4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541AE18C" w14:textId="77777777" w:rsidR="00066405" w:rsidRDefault="00066405" w:rsidP="00046E7D">
                        <w:pPr>
                          <w:pStyle w:val="NormalWeb"/>
                          <w:shd w:val="clear" w:color="auto" w:fill="BDD6EE" w:themeFill="accent5" w:themeFillTint="66"/>
                          <w:spacing w:before="0" w:beforeAutospacing="0" w:after="0" w:afterAutospacing="0" w:line="240" w:lineRule="auto"/>
                          <w:jc w:val="center"/>
                          <w:rPr>
                            <w:rFonts w:asciiTheme="minorHAnsi" w:hAnsi="Calibri" w:cstheme="minorBidi"/>
                            <w:color w:val="000000" w:themeColor="text1"/>
                            <w:kern w:val="24"/>
                            <w:sz w:val="18"/>
                            <w:szCs w:val="18"/>
                          </w:rPr>
                        </w:pPr>
                        <w:r w:rsidRPr="00DD3AC9">
                          <w:rPr>
                            <w:rFonts w:asciiTheme="minorHAnsi" w:hAnsi="Calibri" w:cstheme="minorBidi"/>
                            <w:b/>
                            <w:bCs/>
                            <w:color w:val="000000" w:themeColor="text1"/>
                            <w:kern w:val="24"/>
                            <w:sz w:val="18"/>
                            <w:szCs w:val="18"/>
                          </w:rPr>
                          <w:t>UGP</w:t>
                        </w:r>
                        <w:r w:rsidRPr="00F7027D">
                          <w:rPr>
                            <w:rFonts w:asciiTheme="minorHAnsi" w:hAnsi="Calibri" w:cstheme="minorBidi"/>
                            <w:color w:val="000000" w:themeColor="text1"/>
                            <w:kern w:val="24"/>
                            <w:sz w:val="18"/>
                            <w:szCs w:val="18"/>
                          </w:rPr>
                          <w:t xml:space="preserve"> : </w:t>
                        </w:r>
                      </w:p>
                      <w:p w14:paraId="264B9346" w14:textId="537FDB5A" w:rsidR="00066405" w:rsidRPr="00DD3AC9" w:rsidRDefault="00066405" w:rsidP="00046E7D">
                        <w:pPr>
                          <w:pStyle w:val="NormalWeb"/>
                          <w:shd w:val="clear" w:color="auto" w:fill="BDD6EE" w:themeFill="accent5" w:themeFillTint="66"/>
                          <w:spacing w:before="0" w:beforeAutospacing="0" w:after="0" w:afterAutospacing="0" w:line="240" w:lineRule="auto"/>
                          <w:jc w:val="center"/>
                          <w:rPr>
                            <w:rFonts w:asciiTheme="minorHAnsi" w:hAnsi="Calibri" w:cstheme="minorBidi"/>
                            <w:i/>
                            <w:iCs/>
                            <w:color w:val="000000" w:themeColor="text1"/>
                            <w:kern w:val="24"/>
                            <w:sz w:val="18"/>
                            <w:szCs w:val="18"/>
                          </w:rPr>
                        </w:pPr>
                        <w:r>
                          <w:rPr>
                            <w:rFonts w:asciiTheme="minorHAnsi" w:hAnsi="Calibri" w:cstheme="minorBidi"/>
                            <w:i/>
                            <w:iCs/>
                            <w:color w:val="000000" w:themeColor="text1"/>
                            <w:kern w:val="24"/>
                            <w:sz w:val="18"/>
                            <w:szCs w:val="18"/>
                          </w:rPr>
                          <w:t>MEFRA / DTFE</w:t>
                        </w:r>
                      </w:p>
                    </w:txbxContent>
                  </v:textbox>
                </v:shape>
                <v:line id="Straight Connector 29" o:spid="_x0000_s1033" style="position:absolute;flip:x;visibility:visible;mso-wrap-style:square" from="10269,10373" to="21903,10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" strokecolor="windowText" strokeweight="1.5pt">
                  <v:stroke joinstyle="miter"/>
                  <o:lock v:ext="edit" shapetype="f"/>
                </v:line>
                <v:shape id="Content Placeholder 1" o:spid="_x0000_s1034" type="#_x0000_t202" style="position:absolute;left:347;top:7094;width:10619;height:7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3C5DAEFC" w14:textId="720B5DE6" w:rsidR="00066405" w:rsidRDefault="00066405" w:rsidP="00046E7D">
                        <w:pPr>
                          <w:pStyle w:val="NormalWeb"/>
                          <w:shd w:val="clear" w:color="auto" w:fill="BDD6EE" w:themeFill="accent5" w:themeFillTint="66"/>
                          <w:spacing w:before="0" w:beforeAutospacing="0" w:after="0" w:afterAutospacing="0" w:line="240" w:lineRule="auto"/>
                          <w:jc w:val="center"/>
                          <w:rPr>
                            <w:rFonts w:asciiTheme="minorHAnsi" w:hAnsi="Calibri" w:cstheme="minorBidi"/>
                            <w:color w:val="000000" w:themeColor="text1"/>
                            <w:kern w:val="24"/>
                            <w:sz w:val="18"/>
                            <w:szCs w:val="18"/>
                          </w:rPr>
                        </w:pPr>
                        <w:r w:rsidRPr="006816C2">
                          <w:rPr>
                            <w:rFonts w:asciiTheme="minorHAnsi" w:hAnsi="Calibri" w:cstheme="minorBidi"/>
                            <w:i/>
                            <w:iCs/>
                            <w:kern w:val="24"/>
                            <w:sz w:val="18"/>
                            <w:szCs w:val="18"/>
                          </w:rPr>
                          <w:t>IGA</w:t>
                        </w:r>
                        <w:r>
                          <w:rPr>
                            <w:rFonts w:asciiTheme="minorHAnsi" w:hAnsi="Calibri" w:cstheme="minorBidi"/>
                            <w:i/>
                            <w:iCs/>
                            <w:kern w:val="24"/>
                            <w:sz w:val="18"/>
                            <w:szCs w:val="18"/>
                          </w:rPr>
                          <w:t>T et IGF</w:t>
                        </w:r>
                      </w:p>
                      <w:p w14:paraId="710EC91E" w14:textId="7D7B87D7" w:rsidR="00066405" w:rsidRPr="00624F96" w:rsidRDefault="00066405" w:rsidP="00046E7D">
                        <w:pPr>
                          <w:pStyle w:val="NormalWeb"/>
                          <w:shd w:val="clear" w:color="auto" w:fill="BDD6EE" w:themeFill="accent5" w:themeFillTint="66"/>
                          <w:spacing w:before="0" w:beforeAutospacing="0" w:after="0" w:afterAutospacing="0" w:line="240" w:lineRule="auto"/>
                          <w:jc w:val="center"/>
                          <w:rPr>
                            <w:rFonts w:asciiTheme="minorHAnsi" w:hAnsi="Calibri" w:cstheme="minorBidi"/>
                            <w:i/>
                            <w:iCs/>
                            <w:color w:val="000000" w:themeColor="text1"/>
                            <w:kern w:val="24"/>
                            <w:sz w:val="18"/>
                            <w:szCs w:val="18"/>
                          </w:rPr>
                        </w:pPr>
                        <w:r w:rsidRPr="00624F96">
                          <w:rPr>
                            <w:rFonts w:asciiTheme="minorHAnsi" w:hAnsi="Calibri" w:cstheme="minorBidi"/>
                            <w:i/>
                            <w:iCs/>
                            <w:color w:val="000000" w:themeColor="text1"/>
                            <w:kern w:val="24"/>
                            <w:sz w:val="18"/>
                            <w:szCs w:val="18"/>
                          </w:rPr>
                          <w:t>Vérification des IL</w:t>
                        </w:r>
                        <w:r>
                          <w:rPr>
                            <w:rFonts w:asciiTheme="minorHAnsi" w:hAnsi="Calibri" w:cstheme="minorBidi"/>
                            <w:i/>
                            <w:iCs/>
                            <w:color w:val="000000" w:themeColor="text1"/>
                            <w:kern w:val="24"/>
                            <w:sz w:val="18"/>
                            <w:szCs w:val="18"/>
                          </w:rPr>
                          <w:t>D</w:t>
                        </w:r>
                      </w:p>
                      <w:p w14:paraId="5F46805A" w14:textId="77777777" w:rsidR="00066405" w:rsidRDefault="00066405" w:rsidP="00046E7D">
                        <w:pPr>
                          <w:shd w:val="clear" w:color="auto" w:fill="BDD6EE" w:themeFill="accent5" w:themeFillTint="66"/>
                        </w:pPr>
                      </w:p>
                      <w:p w14:paraId="2EB6F1A9" w14:textId="77777777" w:rsidR="00066405" w:rsidRPr="00DD3AC9" w:rsidRDefault="00066405" w:rsidP="00046E7D">
                        <w:pPr>
                          <w:pStyle w:val="NormalWeb"/>
                          <w:shd w:val="clear" w:color="auto" w:fill="BDD6EE" w:themeFill="accent5" w:themeFillTint="66"/>
                          <w:spacing w:before="0" w:beforeAutospacing="0" w:after="0" w:afterAutospacing="0" w:line="240" w:lineRule="auto"/>
                          <w:jc w:val="center"/>
                          <w:rPr>
                            <w:rFonts w:asciiTheme="minorHAnsi" w:hAnsi="Calibri" w:cstheme="minorBidi"/>
                            <w:i/>
                            <w:iCs/>
                            <w:color w:val="000000" w:themeColor="text1"/>
                            <w:kern w:val="24"/>
                            <w:sz w:val="18"/>
                            <w:szCs w:val="18"/>
                          </w:rPr>
                        </w:pPr>
                      </w:p>
                    </w:txbxContent>
                  </v:textbox>
                </v:shape>
                <v:shape id="Content Placeholder 1" o:spid="_x0000_s1035" type="#_x0000_t202" style="position:absolute;left:12144;top:13114;width:19374;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" fillcolor="#bdd6ee [1304]" stroked="f">
                  <v:textbox>
                    <w:txbxContent>
                      <w:p w14:paraId="40A5C8B7" w14:textId="502DC4BB" w:rsidR="00066405" w:rsidRDefault="00066405" w:rsidP="002F0E5B">
                        <w:pPr>
                          <w:spacing w:after="0" w:line="240" w:lineRule="auto"/>
                          <w:jc w:val="center"/>
                          <w:rPr>
                            <w:rFonts w:ascii="Calibri" w:eastAsia="Times New Roman" w:hAnsi="Calibri" w:cs="Arial"/>
                            <w:color w:val="000000"/>
                            <w:kern w:val="24"/>
                            <w:sz w:val="18"/>
                            <w:szCs w:val="18"/>
                          </w:rPr>
                        </w:pPr>
                        <w:r>
                          <w:rPr>
                            <w:rFonts w:ascii="Calibri" w:eastAsia="Times New Roman" w:hAnsi="Calibri" w:cs="Arial"/>
                            <w:b/>
                            <w:bCs/>
                            <w:color w:val="000000"/>
                            <w:kern w:val="24"/>
                            <w:sz w:val="18"/>
                            <w:szCs w:val="18"/>
                          </w:rPr>
                          <w:t>Comité Technique</w:t>
                        </w:r>
                        <w:r>
                          <w:rPr>
                            <w:rFonts w:ascii="Calibri" w:eastAsia="Times New Roman" w:hAnsi="Calibri" w:cs="Arial"/>
                            <w:color w:val="000000"/>
                            <w:kern w:val="24"/>
                            <w:sz w:val="18"/>
                            <w:szCs w:val="18"/>
                          </w:rPr>
                          <w:t xml:space="preserve"> : </w:t>
                        </w:r>
                      </w:p>
                      <w:p w14:paraId="3311E99A" w14:textId="2632FFBE" w:rsidR="00066405" w:rsidRDefault="00066405" w:rsidP="002F0E5B">
                        <w:pPr>
                          <w:spacing w:after="0" w:line="240" w:lineRule="auto"/>
                          <w:jc w:val="center"/>
                          <w:rPr>
                            <w:rFonts w:ascii="Calibri" w:eastAsia="Times New Roman" w:hAnsi="Calibri" w:cs="Arial"/>
                            <w:i/>
                            <w:iCs/>
                            <w:color w:val="008080"/>
                            <w:kern w:val="24"/>
                            <w:sz w:val="18"/>
                            <w:szCs w:val="18"/>
                            <w:u w:val="single"/>
                          </w:rPr>
                        </w:pPr>
                        <w:r>
                          <w:rPr>
                            <w:rFonts w:ascii="Calibri" w:eastAsia="Times New Roman" w:hAnsi="Calibri" w:cs="Arial"/>
                            <w:i/>
                            <w:iCs/>
                            <w:color w:val="008080"/>
                            <w:kern w:val="24"/>
                            <w:sz w:val="18"/>
                            <w:szCs w:val="18"/>
                            <w:u w:val="single"/>
                          </w:rPr>
                          <w:t>MEFRA / DTFE/DB/TGR/CNCP/DGI</w:t>
                        </w:r>
                      </w:p>
                      <w:p w14:paraId="0D89F079" w14:textId="564794AB" w:rsidR="00066405" w:rsidRDefault="00066405" w:rsidP="002F0E5B">
                        <w:pPr>
                          <w:spacing w:after="0" w:line="240" w:lineRule="auto"/>
                          <w:jc w:val="center"/>
                        </w:pPr>
                        <w:r>
                          <w:rPr>
                            <w:rFonts w:ascii="Calibri" w:eastAsia="Times New Roman" w:hAnsi="Calibri" w:cs="Arial"/>
                            <w:i/>
                            <w:iCs/>
                            <w:color w:val="008080"/>
                            <w:kern w:val="24"/>
                            <w:sz w:val="18"/>
                            <w:szCs w:val="18"/>
                            <w:u w:val="single"/>
                          </w:rPr>
                          <w:t>MI/MICEVN/ADD</w:t>
                        </w:r>
                      </w:p>
                    </w:txbxContent>
                  </v:textbox>
                </v:shape>
                <v:shape id="Content Placeholder 1" o:spid="_x0000_s1036" type="#_x0000_t202" style="position:absolute;left:31610;top:12184;width:22193;height:4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5A956AFA" w14:textId="31D252BE" w:rsidR="00066405" w:rsidRDefault="00066405" w:rsidP="002F0E5B">
                        <w:pPr>
                          <w:spacing w:after="0" w:line="240" w:lineRule="auto"/>
                          <w:jc w:val="both"/>
                        </w:pPr>
                        <w:r>
                          <w:rPr>
                            <w:rFonts w:ascii="Calibri" w:eastAsia="Calibri" w:hAnsi="Calibri" w:cs="Calibri"/>
                            <w:color w:val="0070C0"/>
                            <w:sz w:val="18"/>
                            <w:szCs w:val="18"/>
                          </w:rPr>
                          <w:t xml:space="preserve">Supervision des activités et gestion du Programme  </w:t>
                        </w:r>
                      </w:p>
                    </w:txbxContent>
                  </v:textbox>
                </v:shape>
                <w10:anchorlock/>
              </v:group>
            </w:pict>
          </mc:Fallback>
        </mc:AlternateContent>
      </w:r>
    </w:p>
    <w:p w14:paraId="4E3C04F3" w14:textId="1B21B115" w:rsidR="001C1CF1" w:rsidRPr="001C1CF1" w:rsidRDefault="001C1CF1" w:rsidP="00D85E9B">
      <w:pPr>
        <w:numPr>
          <w:ilvl w:val="0"/>
          <w:numId w:val="11"/>
        </w:numPr>
        <w:autoSpaceDE w:val="0"/>
        <w:autoSpaceDN w:val="0"/>
        <w:adjustRightInd w:val="0"/>
        <w:spacing w:before="120" w:after="0" w:line="360" w:lineRule="auto"/>
        <w:contextualSpacing/>
        <w:jc w:val="both"/>
        <w:rPr>
          <w:rFonts w:cstheme="minorHAnsi"/>
        </w:rPr>
      </w:pPr>
      <w:r w:rsidRPr="001C1CF1">
        <w:rPr>
          <w:rFonts w:cstheme="minorHAnsi"/>
        </w:rPr>
        <w:t xml:space="preserve">Les protocoles de vérification sont résumés comme suit :  </w:t>
      </w:r>
    </w:p>
    <w:p w14:paraId="0635F0A6" w14:textId="32E9D6E1" w:rsidR="001C1CF1" w:rsidRDefault="001C1CF1" w:rsidP="001C1CF1">
      <w:pPr>
        <w:ind w:left="142"/>
        <w:jc w:val="both"/>
      </w:pPr>
      <w:r w:rsidRPr="001C1CF1">
        <w:rPr>
          <w:i/>
          <w:iCs/>
          <w:u w:val="single"/>
        </w:rPr>
        <w:t>Source des données/agences</w:t>
      </w:r>
      <w:r>
        <w:t xml:space="preserve"> : Le MEFRA, le ministère de l'Intérieur et l'Agence pour le développement numérique (ADD) collecteront les données et rendront compte de la réalisation des ILD. </w:t>
      </w:r>
    </w:p>
    <w:p w14:paraId="4ED91991" w14:textId="5E8F1A1E" w:rsidR="001C1CF1" w:rsidRDefault="001C1CF1" w:rsidP="001C1CF1">
      <w:pPr>
        <w:ind w:left="142"/>
        <w:jc w:val="both"/>
      </w:pPr>
      <w:r w:rsidRPr="001C1CF1">
        <w:rPr>
          <w:i/>
          <w:iCs/>
          <w:u w:val="single"/>
        </w:rPr>
        <w:t>Agences de vérification</w:t>
      </w:r>
      <w:r>
        <w:t xml:space="preserve"> : L'Inspection générale de l'administration territoriale (IGAT) et l'Inspection générale des finances (IGF) seront chargées de vérifier chaque ILD et de fournir des preuves. </w:t>
      </w:r>
    </w:p>
    <w:p w14:paraId="72B11AAB" w14:textId="77777777" w:rsidR="001C1CF1" w:rsidRDefault="001C1CF1" w:rsidP="001C1CF1">
      <w:pPr>
        <w:ind w:left="142"/>
        <w:jc w:val="both"/>
      </w:pPr>
      <w:r w:rsidRPr="001C1CF1">
        <w:rPr>
          <w:i/>
          <w:iCs/>
          <w:u w:val="single"/>
        </w:rPr>
        <w:t>Procédures de vérification</w:t>
      </w:r>
      <w:r>
        <w:t xml:space="preserve"> : </w:t>
      </w:r>
      <w:r w:rsidRPr="00D85E9B">
        <w:rPr>
          <w:rFonts w:eastAsia="ヒラギノ角ゴ Pro W3" w:cstheme="minorHAnsi"/>
        </w:rPr>
        <w:t>L'Inspection générale des finances (IGF) sera chargée d'examiner et d'approuver les rapports préparés par les différentes agences ; et de les soumettre au MEFRA, pour présentation à la Banque, accompagnés des preuves.</w:t>
      </w:r>
      <w:r>
        <w:t xml:space="preserve">   </w:t>
      </w:r>
    </w:p>
    <w:p w14:paraId="3DED7042" w14:textId="4561B45E" w:rsidR="001C1CF1" w:rsidRPr="00D85E9B" w:rsidRDefault="001C1CF1">
      <w:pPr>
        <w:ind w:left="142"/>
        <w:jc w:val="both"/>
        <w:rPr>
          <w:rFonts w:ascii="Times New Roman" w:eastAsia="ヒラギノ角ゴ Pro W3" w:hAnsi="Times New Roman" w:cstheme="minorHAnsi"/>
          <w:color w:val="000000"/>
          <w:sz w:val="24"/>
          <w:szCs w:val="20"/>
        </w:rPr>
      </w:pPr>
      <w:r w:rsidRPr="00D85E9B">
        <w:rPr>
          <w:rFonts w:eastAsia="ヒラギノ角ゴ Pro W3" w:cstheme="minorHAnsi"/>
          <w:i/>
          <w:iCs/>
          <w:u w:val="single"/>
        </w:rPr>
        <w:t>Les ILD</w:t>
      </w:r>
      <w:r w:rsidR="00320177" w:rsidRPr="00D85E9B">
        <w:rPr>
          <w:rFonts w:eastAsia="ヒラギノ角ゴ Pro W3" w:cstheme="minorHAnsi"/>
          <w:i/>
          <w:iCs/>
          <w:u w:val="single"/>
        </w:rPr>
        <w:t>s</w:t>
      </w:r>
      <w:r w:rsidRPr="00D85E9B">
        <w:rPr>
          <w:rFonts w:eastAsia="ヒラギノ角ゴ Pro W3" w:cstheme="minorHAnsi"/>
          <w:i/>
          <w:iCs/>
          <w:u w:val="single"/>
        </w:rPr>
        <w:t xml:space="preserve"> seront vérifiés de manière indépendante par les institutions suivantes</w:t>
      </w:r>
      <w:r w:rsidRPr="00D85E9B">
        <w:rPr>
          <w:rFonts w:eastAsia="ヒラギノ角ゴ Pro W3" w:cstheme="minorHAnsi"/>
        </w:rPr>
        <w:t xml:space="preserve"> : (i) l'Inspection générale des finances (IGF) pour les ILD 1.2, 1.2 et 2.1 ; (ii) l'Inspection générale de l'administration territoriale (IGAT) pour l'IDD 2.2 ; et (iii) l'Inspection générale du ministère de l'industrie pour les ILD</w:t>
      </w:r>
      <w:r w:rsidR="00320177" w:rsidRPr="00D85E9B">
        <w:rPr>
          <w:rFonts w:eastAsia="ヒラギノ角ゴ Pro W3" w:cstheme="minorHAnsi"/>
        </w:rPr>
        <w:t>s</w:t>
      </w:r>
      <w:r w:rsidRPr="00D85E9B">
        <w:rPr>
          <w:rFonts w:eastAsia="ヒラギノ角ゴ Pro W3" w:cstheme="minorHAnsi"/>
        </w:rPr>
        <w:t xml:space="preserve"> 3.1 et 3.2. Le MEFRA sera responsable de la collecte de toutes les données et de la documentation nécessaires au suivi, à la vérification et à l'évaluation requis par le Programme. Le MEFRA, département du Trésor, sera responsable du suivi des progrès globaux vers la réalisation des résultats du Programme, ainsi que de la collecte et de la fourniture en temps voulu des données de suivi et des documents de vérification pour la Banque mondiale et le MEFRA, département du Budget. De même, le MEFRA, département du Trésor, est responsable de l'établissement des rapports financiers et du suivi de l'opération.  </w:t>
      </w:r>
    </w:p>
    <w:p w14:paraId="77DCC1BA" w14:textId="77777777" w:rsidR="004029F9" w:rsidRPr="00046E7D" w:rsidRDefault="004029F9" w:rsidP="004029F9">
      <w:pPr>
        <w:pStyle w:val="Heading2"/>
        <w:rPr>
          <w:rFonts w:ascii="Candara" w:hAnsi="Candara"/>
          <w:color w:val="auto"/>
          <w:lang w:val="fr-FR"/>
        </w:rPr>
      </w:pPr>
      <w:bookmarkStart w:id="62" w:name="_Toc74241382"/>
      <w:r w:rsidRPr="00046E7D">
        <w:rPr>
          <w:rFonts w:ascii="Candara" w:hAnsi="Candara"/>
          <w:color w:val="auto"/>
          <w:lang w:val="fr-FR"/>
        </w:rPr>
        <w:t>2.4 Risques environnementaux et sociaux du Programme</w:t>
      </w:r>
      <w:bookmarkEnd w:id="62"/>
      <w:r w:rsidRPr="00046E7D">
        <w:rPr>
          <w:rFonts w:ascii="Candara" w:hAnsi="Candara"/>
          <w:color w:val="auto"/>
          <w:lang w:val="fr-FR"/>
        </w:rPr>
        <w:t xml:space="preserve"> </w:t>
      </w:r>
    </w:p>
    <w:p w14:paraId="6B0102C4" w14:textId="4451C972" w:rsidR="0099191E" w:rsidRPr="00046E7D" w:rsidRDefault="0099191E" w:rsidP="00D85E9B">
      <w:pPr>
        <w:numPr>
          <w:ilvl w:val="0"/>
          <w:numId w:val="11"/>
        </w:numPr>
        <w:autoSpaceDE w:val="0"/>
        <w:autoSpaceDN w:val="0"/>
        <w:adjustRightInd w:val="0"/>
        <w:spacing w:before="120" w:after="0" w:line="360" w:lineRule="auto"/>
        <w:contextualSpacing/>
        <w:jc w:val="both"/>
        <w:rPr>
          <w:rFonts w:cstheme="minorHAnsi"/>
        </w:rPr>
      </w:pPr>
      <w:bookmarkStart w:id="63" w:name="_Hlk65751859"/>
      <w:bookmarkStart w:id="64" w:name="_Toc378278011"/>
      <w:bookmarkStart w:id="65" w:name="_Toc383905027"/>
      <w:bookmarkEnd w:id="61"/>
      <w:r w:rsidRPr="00046E7D">
        <w:rPr>
          <w:rFonts w:cstheme="minorHAnsi"/>
        </w:rPr>
        <w:t xml:space="preserve">Globalement, les activités du Programme auront des </w:t>
      </w:r>
      <w:r w:rsidRPr="00046E7D">
        <w:rPr>
          <w:rFonts w:cstheme="minorHAnsi"/>
          <w:b/>
          <w:bCs/>
        </w:rPr>
        <w:t>retombées sociales et économiques bénéfiques certaines</w:t>
      </w:r>
      <w:r w:rsidRPr="00046E7D">
        <w:rPr>
          <w:rFonts w:cstheme="minorHAnsi"/>
        </w:rPr>
        <w:t xml:space="preserve">. Les impacts environnementaux </w:t>
      </w:r>
      <w:r w:rsidR="00AA4B82">
        <w:rPr>
          <w:rFonts w:cstheme="minorHAnsi"/>
        </w:rPr>
        <w:t xml:space="preserve">et sociaux </w:t>
      </w:r>
      <w:r w:rsidRPr="00046E7D">
        <w:rPr>
          <w:rFonts w:cstheme="minorHAnsi"/>
        </w:rPr>
        <w:t xml:space="preserve">négatifs éventuels des activités du Programme </w:t>
      </w:r>
      <w:r w:rsidR="003B23C6">
        <w:rPr>
          <w:rFonts w:cstheme="minorHAnsi"/>
        </w:rPr>
        <w:t xml:space="preserve">sont caractérisés </w:t>
      </w:r>
      <w:r w:rsidR="001C1CF1">
        <w:rPr>
          <w:rFonts w:cstheme="minorHAnsi"/>
        </w:rPr>
        <w:t xml:space="preserve">de </w:t>
      </w:r>
      <w:r w:rsidR="003B23C6" w:rsidRPr="003B23C6">
        <w:rPr>
          <w:rFonts w:cstheme="minorHAnsi"/>
          <w:b/>
          <w:bCs/>
        </w:rPr>
        <w:t>faibles</w:t>
      </w:r>
      <w:r w:rsidR="000E72BE">
        <w:rPr>
          <w:rFonts w:cstheme="minorHAnsi"/>
        </w:rPr>
        <w:t xml:space="preserve"> car l</w:t>
      </w:r>
      <w:r w:rsidR="003B23C6">
        <w:rPr>
          <w:rFonts w:cstheme="minorHAnsi"/>
        </w:rPr>
        <w:t>a totalité des activités sont non structurelles et correspondent à des renforcements des systèmes.</w:t>
      </w:r>
    </w:p>
    <w:p w14:paraId="7FF72988" w14:textId="5A730C7A" w:rsidR="00E910B0" w:rsidRPr="00046E7D" w:rsidRDefault="004029F9" w:rsidP="00D85E9B">
      <w:pPr>
        <w:numPr>
          <w:ilvl w:val="0"/>
          <w:numId w:val="11"/>
        </w:numPr>
        <w:autoSpaceDE w:val="0"/>
        <w:autoSpaceDN w:val="0"/>
        <w:adjustRightInd w:val="0"/>
        <w:spacing w:before="120" w:after="0" w:line="360" w:lineRule="auto"/>
        <w:contextualSpacing/>
        <w:jc w:val="both"/>
        <w:rPr>
          <w:rFonts w:cstheme="minorHAnsi"/>
        </w:rPr>
      </w:pPr>
      <w:r w:rsidRPr="00046E7D">
        <w:rPr>
          <w:rFonts w:cstheme="minorHAnsi"/>
        </w:rPr>
        <w:lastRenderedPageBreak/>
        <w:t xml:space="preserve">Les </w:t>
      </w:r>
      <w:r w:rsidRPr="00046E7D">
        <w:rPr>
          <w:rFonts w:cstheme="minorHAnsi"/>
          <w:b/>
          <w:bCs/>
        </w:rPr>
        <w:t>activités non-structurelles</w:t>
      </w:r>
      <w:r w:rsidRPr="00046E7D">
        <w:rPr>
          <w:rFonts w:cstheme="minorHAnsi"/>
        </w:rPr>
        <w:t xml:space="preserve"> </w:t>
      </w:r>
      <w:r w:rsidR="006D67D1" w:rsidRPr="00046E7D">
        <w:rPr>
          <w:rFonts w:cstheme="minorHAnsi"/>
        </w:rPr>
        <w:t>se rapportent au</w:t>
      </w:r>
      <w:r w:rsidR="001C1CF1">
        <w:rPr>
          <w:rFonts w:cstheme="minorHAnsi"/>
        </w:rPr>
        <w:t>x 3</w:t>
      </w:r>
      <w:r w:rsidR="006D67D1" w:rsidRPr="00046E7D">
        <w:rPr>
          <w:rFonts w:cstheme="minorHAnsi"/>
        </w:rPr>
        <w:t xml:space="preserve"> </w:t>
      </w:r>
      <w:r w:rsidR="00E910B0" w:rsidRPr="00046E7D">
        <w:rPr>
          <w:rFonts w:cstheme="minorHAnsi"/>
        </w:rPr>
        <w:t>domaine</w:t>
      </w:r>
      <w:r w:rsidR="001C1CF1">
        <w:rPr>
          <w:rFonts w:cstheme="minorHAnsi"/>
        </w:rPr>
        <w:t>s</w:t>
      </w:r>
      <w:r w:rsidR="006D67D1" w:rsidRPr="00046E7D">
        <w:rPr>
          <w:rFonts w:cstheme="minorHAnsi"/>
        </w:rPr>
        <w:t xml:space="preserve"> d</w:t>
      </w:r>
      <w:r w:rsidR="009A709C" w:rsidRPr="00046E7D">
        <w:rPr>
          <w:rFonts w:cstheme="minorHAnsi"/>
        </w:rPr>
        <w:t>e</w:t>
      </w:r>
      <w:r w:rsidR="006D67D1" w:rsidRPr="00046E7D">
        <w:rPr>
          <w:rFonts w:cstheme="minorHAnsi"/>
        </w:rPr>
        <w:t xml:space="preserve"> </w:t>
      </w:r>
      <w:r w:rsidR="00E910B0" w:rsidRPr="00046E7D">
        <w:rPr>
          <w:rFonts w:cstheme="minorHAnsi"/>
        </w:rPr>
        <w:t>résultat</w:t>
      </w:r>
      <w:r w:rsidR="009A709C" w:rsidRPr="00046E7D">
        <w:rPr>
          <w:rFonts w:cstheme="minorHAnsi"/>
        </w:rPr>
        <w:t>s</w:t>
      </w:r>
      <w:r w:rsidR="006D67D1" w:rsidRPr="00046E7D">
        <w:rPr>
          <w:rFonts w:cstheme="minorHAnsi"/>
        </w:rPr>
        <w:t xml:space="preserve"> et </w:t>
      </w:r>
      <w:r w:rsidR="00E910B0" w:rsidRPr="00046E7D">
        <w:rPr>
          <w:rFonts w:cstheme="minorHAnsi"/>
        </w:rPr>
        <w:t>concernent</w:t>
      </w:r>
      <w:r w:rsidR="006D67D1" w:rsidRPr="00046E7D">
        <w:rPr>
          <w:rFonts w:cstheme="minorHAnsi"/>
        </w:rPr>
        <w:t xml:space="preserve"> notamment</w:t>
      </w:r>
      <w:r w:rsidR="00E910B0" w:rsidRPr="00046E7D">
        <w:rPr>
          <w:rFonts w:cstheme="minorHAnsi"/>
        </w:rPr>
        <w:t xml:space="preserve"> : (i) </w:t>
      </w:r>
      <w:r w:rsidR="001C1CF1">
        <w:rPr>
          <w:rFonts w:cstheme="minorHAnsi"/>
        </w:rPr>
        <w:t>l’a</w:t>
      </w:r>
      <w:r w:rsidR="001C1CF1" w:rsidRPr="001C1CF1">
        <w:rPr>
          <w:rFonts w:cstheme="minorHAnsi"/>
        </w:rPr>
        <w:t>doption de textes juridiques et règlementaires par le gouvernement</w:t>
      </w:r>
      <w:r w:rsidR="001C1CF1">
        <w:rPr>
          <w:rFonts w:cstheme="minorHAnsi"/>
        </w:rPr>
        <w:t xml:space="preserve"> en vue de renforcer l</w:t>
      </w:r>
      <w:r w:rsidR="001C1CF1" w:rsidRPr="001C1CF1">
        <w:rPr>
          <w:rFonts w:cstheme="minorHAnsi"/>
        </w:rPr>
        <w:t>'approche de la performance induite par la loi sur la gestion des finances publiques (LOF</w:t>
      </w:r>
      <w:r w:rsidR="001C1CF1">
        <w:rPr>
          <w:rFonts w:cstheme="minorHAnsi"/>
        </w:rPr>
        <w:t>, 2015</w:t>
      </w:r>
      <w:r w:rsidR="001C1CF1" w:rsidRPr="001C1CF1">
        <w:rPr>
          <w:rFonts w:cstheme="minorHAnsi"/>
        </w:rPr>
        <w:t>)</w:t>
      </w:r>
      <w:r w:rsidR="001C1CF1">
        <w:rPr>
          <w:rFonts w:cstheme="minorHAnsi"/>
        </w:rPr>
        <w:t xml:space="preserve"> et de</w:t>
      </w:r>
      <w:r w:rsidR="001C1CF1" w:rsidRPr="001C1CF1">
        <w:t xml:space="preserve"> </w:t>
      </w:r>
      <w:r w:rsidR="001C1CF1" w:rsidRPr="001C1CF1">
        <w:rPr>
          <w:rFonts w:cstheme="minorHAnsi"/>
        </w:rPr>
        <w:t>soutenir la numérisation de l'administration publique</w:t>
      </w:r>
      <w:r w:rsidR="00E910B0" w:rsidRPr="00046E7D">
        <w:rPr>
          <w:rFonts w:cstheme="minorHAnsi"/>
        </w:rPr>
        <w:t xml:space="preserve">, (ii) </w:t>
      </w:r>
      <w:r w:rsidR="001C1CF1">
        <w:rPr>
          <w:rFonts w:cstheme="minorHAnsi"/>
        </w:rPr>
        <w:t>l’i</w:t>
      </w:r>
      <w:r w:rsidR="001C1CF1" w:rsidRPr="001C1CF1">
        <w:rPr>
          <w:rFonts w:cstheme="minorHAnsi"/>
        </w:rPr>
        <w:t>ntroduction de normes et standards sur les données ouvertes</w:t>
      </w:r>
      <w:r w:rsidR="00B9613F">
        <w:rPr>
          <w:rFonts w:cstheme="minorHAnsi"/>
        </w:rPr>
        <w:t>, (iii) la m</w:t>
      </w:r>
      <w:r w:rsidR="00B9613F" w:rsidRPr="00B9613F">
        <w:rPr>
          <w:rFonts w:cstheme="minorHAnsi"/>
        </w:rPr>
        <w:t xml:space="preserve">ise en place d’une plateforme IT d’interopérabilité </w:t>
      </w:r>
      <w:r w:rsidR="00B9613F">
        <w:rPr>
          <w:rFonts w:cstheme="minorHAnsi"/>
        </w:rPr>
        <w:t>et (iv) l’</w:t>
      </w:r>
      <w:r w:rsidR="000A51F2">
        <w:rPr>
          <w:rFonts w:cstheme="minorHAnsi"/>
        </w:rPr>
        <w:t xml:space="preserve">amélioration de la </w:t>
      </w:r>
      <w:r w:rsidR="00B9613F" w:rsidRPr="00B9613F">
        <w:rPr>
          <w:rFonts w:cstheme="minorHAnsi"/>
        </w:rPr>
        <w:t xml:space="preserve">collecte des impôts locaux. </w:t>
      </w:r>
    </w:p>
    <w:p w14:paraId="58B7A936" w14:textId="65427741" w:rsidR="00BC0457" w:rsidRPr="00046E7D" w:rsidRDefault="00BC0457" w:rsidP="00BC0457">
      <w:pPr>
        <w:pStyle w:val="Heading3"/>
        <w:rPr>
          <w:rFonts w:ascii="Candara" w:hAnsi="Candara"/>
          <w:color w:val="auto"/>
          <w:lang w:val="fr-FR"/>
        </w:rPr>
      </w:pPr>
      <w:bookmarkStart w:id="66" w:name="_Toc496827314"/>
      <w:bookmarkStart w:id="67" w:name="_Toc74241383"/>
      <w:r w:rsidRPr="00046E7D">
        <w:rPr>
          <w:rFonts w:ascii="Candara" w:hAnsi="Candara"/>
          <w:color w:val="auto"/>
          <w:lang w:val="fr-FR"/>
        </w:rPr>
        <w:t>2.4.1 Retombées environnementales et sociales bénéfiques</w:t>
      </w:r>
      <w:bookmarkEnd w:id="66"/>
      <w:r w:rsidR="00AA4B82">
        <w:rPr>
          <w:rFonts w:ascii="Candara" w:hAnsi="Candara"/>
          <w:color w:val="auto"/>
          <w:lang w:val="fr-FR"/>
        </w:rPr>
        <w:t xml:space="preserve"> du Programme</w:t>
      </w:r>
      <w:bookmarkEnd w:id="67"/>
    </w:p>
    <w:p w14:paraId="18E35BDB" w14:textId="41E5E0FD" w:rsidR="00BC0457" w:rsidRPr="003770FF" w:rsidRDefault="00BC0457" w:rsidP="00D85E9B">
      <w:pPr>
        <w:pStyle w:val="Paranumbering"/>
        <w:numPr>
          <w:ilvl w:val="0"/>
          <w:numId w:val="0"/>
        </w:numPr>
        <w:ind w:right="-23"/>
        <w:rPr>
          <w:rFonts w:asciiTheme="minorHAnsi" w:hAnsiTheme="minorHAnsi" w:cstheme="minorHAnsi"/>
          <w:color w:val="auto"/>
          <w:sz w:val="22"/>
          <w:szCs w:val="22"/>
          <w:lang w:val="fr-FR"/>
        </w:rPr>
      </w:pPr>
      <w:r w:rsidRPr="00046E7D">
        <w:rPr>
          <w:rFonts w:asciiTheme="minorHAnsi" w:hAnsiTheme="minorHAnsi" w:cstheme="minorHAnsi"/>
          <w:color w:val="auto"/>
          <w:sz w:val="22"/>
          <w:szCs w:val="22"/>
          <w:lang w:val="fr-FR"/>
        </w:rPr>
        <w:t xml:space="preserve">Globalement, les activités du Programme auront des retombées environnementales, sociales et économiques bénéfiques certaines. </w:t>
      </w:r>
    </w:p>
    <w:p w14:paraId="65478EDD" w14:textId="77777777" w:rsidR="00BC0457" w:rsidRPr="00D85E9B" w:rsidRDefault="00BC0457" w:rsidP="00D85E9B">
      <w:pPr>
        <w:spacing w:before="120" w:after="120" w:line="240" w:lineRule="auto"/>
        <w:rPr>
          <w:rFonts w:cstheme="minorHAnsi"/>
          <w:b/>
          <w:bCs/>
          <w:u w:val="single"/>
        </w:rPr>
      </w:pPr>
      <w:r w:rsidRPr="00D85E9B">
        <w:rPr>
          <w:rFonts w:cstheme="minorHAnsi"/>
          <w:b/>
          <w:bCs/>
          <w:u w:val="single"/>
        </w:rPr>
        <w:t>Retombées environnementales bénéfiques</w:t>
      </w:r>
    </w:p>
    <w:p w14:paraId="5C83AD49" w14:textId="77777777" w:rsidR="00E7797E" w:rsidRPr="00263ADB" w:rsidRDefault="00E7797E" w:rsidP="00D85E9B">
      <w:pPr>
        <w:autoSpaceDE w:val="0"/>
        <w:autoSpaceDN w:val="0"/>
        <w:adjustRightInd w:val="0"/>
        <w:spacing w:before="120" w:after="0" w:line="360" w:lineRule="auto"/>
        <w:contextualSpacing/>
        <w:jc w:val="both"/>
        <w:rPr>
          <w:rFonts w:cstheme="minorHAnsi"/>
        </w:rPr>
      </w:pPr>
      <w:r w:rsidRPr="00263ADB">
        <w:rPr>
          <w:rFonts w:cstheme="minorHAnsi"/>
        </w:rPr>
        <w:t>A travers les activités qu’il vise à financer, le Programme, permettra de :</w:t>
      </w:r>
    </w:p>
    <w:p w14:paraId="429BAEBF" w14:textId="77777777" w:rsidR="00E7797E" w:rsidRPr="00046E7D" w:rsidRDefault="00E7797E" w:rsidP="00E7797E">
      <w:pPr>
        <w:pStyle w:val="Style7"/>
        <w:numPr>
          <w:ilvl w:val="0"/>
          <w:numId w:val="0"/>
        </w:numPr>
        <w:spacing w:line="240" w:lineRule="auto"/>
        <w:rPr>
          <w:rFonts w:asciiTheme="minorHAnsi" w:hAnsiTheme="minorHAnsi" w:cstheme="minorHAnsi"/>
        </w:rPr>
      </w:pPr>
    </w:p>
    <w:p w14:paraId="789DB667" w14:textId="318EF9B7" w:rsidR="0029117A" w:rsidRPr="00046E7D" w:rsidRDefault="000E72BE" w:rsidP="00D85E9B">
      <w:pPr>
        <w:numPr>
          <w:ilvl w:val="0"/>
          <w:numId w:val="11"/>
        </w:numPr>
        <w:autoSpaceDE w:val="0"/>
        <w:autoSpaceDN w:val="0"/>
        <w:adjustRightInd w:val="0"/>
        <w:spacing w:before="120" w:after="0" w:line="360" w:lineRule="auto"/>
        <w:contextualSpacing/>
        <w:jc w:val="both"/>
        <w:rPr>
          <w:rFonts w:cstheme="minorHAnsi"/>
        </w:rPr>
      </w:pPr>
      <w:r>
        <w:rPr>
          <w:rFonts w:cstheme="minorHAnsi"/>
        </w:rPr>
        <w:t>S</w:t>
      </w:r>
      <w:r w:rsidRPr="000E72BE">
        <w:rPr>
          <w:rFonts w:cstheme="minorHAnsi"/>
        </w:rPr>
        <w:t>outenir la transformation numérique du gouvernement et son évolution vers un secteur public efficace, équitable et transparent axé sur les données, le programme renforcera l'adoption et la performance des principales infrastructures techniques, des cadres de gouvernance et des dispositions institutionnelles nécessaires pour permettre une meilleure utilisation, réutilisation et partage des données dans l'ensemble de l'administration publiqu</w:t>
      </w:r>
      <w:r>
        <w:rPr>
          <w:rFonts w:cstheme="minorHAnsi"/>
        </w:rPr>
        <w:t>e</w:t>
      </w:r>
      <w:r w:rsidR="00016A1A" w:rsidRPr="00046E7D">
        <w:rPr>
          <w:rFonts w:cstheme="minorHAnsi"/>
        </w:rPr>
        <w:t>;</w:t>
      </w:r>
    </w:p>
    <w:p w14:paraId="73118196" w14:textId="77777777" w:rsidR="0029117A" w:rsidRPr="00046E7D" w:rsidRDefault="0029117A" w:rsidP="00046E7D">
      <w:pPr>
        <w:widowControl w:val="0"/>
        <w:autoSpaceDE w:val="0"/>
        <w:autoSpaceDN w:val="0"/>
        <w:adjustRightInd w:val="0"/>
        <w:spacing w:after="0" w:line="276" w:lineRule="auto"/>
        <w:ind w:left="720"/>
        <w:contextualSpacing/>
        <w:jc w:val="both"/>
        <w:textAlignment w:val="baseline"/>
        <w:rPr>
          <w:rFonts w:cstheme="minorHAnsi"/>
        </w:rPr>
      </w:pPr>
    </w:p>
    <w:p w14:paraId="2A9860C7" w14:textId="77777777" w:rsidR="007701A5" w:rsidRDefault="0029117A" w:rsidP="00D85E9B">
      <w:pPr>
        <w:numPr>
          <w:ilvl w:val="0"/>
          <w:numId w:val="11"/>
        </w:numPr>
        <w:autoSpaceDE w:val="0"/>
        <w:autoSpaceDN w:val="0"/>
        <w:adjustRightInd w:val="0"/>
        <w:spacing w:before="120" w:after="0" w:line="360" w:lineRule="auto"/>
        <w:contextualSpacing/>
        <w:jc w:val="both"/>
        <w:rPr>
          <w:rFonts w:cstheme="minorHAnsi"/>
        </w:rPr>
      </w:pPr>
      <w:r w:rsidRPr="00046E7D">
        <w:rPr>
          <w:rFonts w:cstheme="minorHAnsi"/>
        </w:rPr>
        <w:t xml:space="preserve">L'adoption accrue de ces technologies devrait </w:t>
      </w:r>
      <w:r w:rsidR="000E72BE" w:rsidRPr="000E72BE">
        <w:rPr>
          <w:rFonts w:cstheme="minorHAnsi"/>
        </w:rPr>
        <w:t>entraine</w:t>
      </w:r>
      <w:r w:rsidR="000E72BE">
        <w:rPr>
          <w:rFonts w:cstheme="minorHAnsi"/>
        </w:rPr>
        <w:t>r</w:t>
      </w:r>
      <w:r w:rsidR="000E72BE" w:rsidRPr="000E72BE">
        <w:rPr>
          <w:rFonts w:cstheme="minorHAnsi"/>
        </w:rPr>
        <w:t xml:space="preserve"> la diminution de l’usage du papier (Consommation de papier au Maroc : 20 kg par an et par habitant, </w:t>
      </w:r>
      <w:proofErr w:type="spellStart"/>
      <w:r w:rsidR="000E72BE">
        <w:rPr>
          <w:rFonts w:cstheme="minorHAnsi"/>
        </w:rPr>
        <w:t>M</w:t>
      </w:r>
      <w:r w:rsidR="000E72BE" w:rsidRPr="000E72BE">
        <w:rPr>
          <w:rFonts w:cstheme="minorHAnsi"/>
        </w:rPr>
        <w:t>edPapier</w:t>
      </w:r>
      <w:proofErr w:type="spellEnd"/>
      <w:r w:rsidR="000E72BE" w:rsidRPr="000E72BE">
        <w:rPr>
          <w:rFonts w:cstheme="minorHAnsi"/>
        </w:rPr>
        <w:t xml:space="preserve"> – rapport financier 2019</w:t>
      </w:r>
      <w:r w:rsidR="000E72BE">
        <w:rPr>
          <w:rStyle w:val="FootnoteReference"/>
          <w:rFonts w:cstheme="minorHAnsi"/>
        </w:rPr>
        <w:footnoteReference w:id="3"/>
      </w:r>
      <w:r w:rsidR="000E72BE" w:rsidRPr="000E72BE">
        <w:rPr>
          <w:rFonts w:cstheme="minorHAnsi"/>
        </w:rPr>
        <w:t xml:space="preserve"> ) et donc la diminution de l’empreinte carbone y relative. </w:t>
      </w:r>
    </w:p>
    <w:p w14:paraId="32C57894" w14:textId="77777777" w:rsidR="007701A5" w:rsidRDefault="007701A5" w:rsidP="007701A5">
      <w:pPr>
        <w:pStyle w:val="ListParagraph"/>
        <w:rPr>
          <w:rFonts w:cstheme="minorHAnsi"/>
        </w:rPr>
      </w:pPr>
    </w:p>
    <w:p w14:paraId="7D74A062" w14:textId="0AB28714" w:rsidR="0029117A" w:rsidRPr="00046E7D" w:rsidRDefault="007701A5" w:rsidP="00D85E9B">
      <w:pPr>
        <w:numPr>
          <w:ilvl w:val="0"/>
          <w:numId w:val="11"/>
        </w:numPr>
        <w:autoSpaceDE w:val="0"/>
        <w:autoSpaceDN w:val="0"/>
        <w:adjustRightInd w:val="0"/>
        <w:spacing w:before="120" w:after="0" w:line="360" w:lineRule="auto"/>
        <w:contextualSpacing/>
        <w:jc w:val="both"/>
        <w:rPr>
          <w:rFonts w:cstheme="minorHAnsi"/>
        </w:rPr>
      </w:pPr>
      <w:r>
        <w:rPr>
          <w:rFonts w:cstheme="minorHAnsi"/>
        </w:rPr>
        <w:t>Elle</w:t>
      </w:r>
      <w:r w:rsidR="000E72BE" w:rsidRPr="000E72BE">
        <w:rPr>
          <w:rFonts w:cstheme="minorHAnsi"/>
        </w:rPr>
        <w:t xml:space="preserve"> entraine</w:t>
      </w:r>
      <w:r>
        <w:rPr>
          <w:rFonts w:cstheme="minorHAnsi"/>
        </w:rPr>
        <w:t>ra</w:t>
      </w:r>
      <w:r w:rsidR="000E72BE" w:rsidRPr="000E72BE">
        <w:rPr>
          <w:rFonts w:cstheme="minorHAnsi"/>
        </w:rPr>
        <w:t xml:space="preserve"> également la diminution des déplacements entre les administrations</w:t>
      </w:r>
      <w:r>
        <w:rPr>
          <w:rFonts w:cstheme="minorHAnsi"/>
        </w:rPr>
        <w:t xml:space="preserve"> ainsi que les déplacements des usages vers ces administrations. La consommation énergétique évitée contribuera à l’effort national de réduction des gaz </w:t>
      </w:r>
      <w:r w:rsidR="00320177">
        <w:rPr>
          <w:rFonts w:cstheme="minorHAnsi"/>
        </w:rPr>
        <w:t>à</w:t>
      </w:r>
      <w:r>
        <w:rPr>
          <w:rFonts w:cstheme="minorHAnsi"/>
        </w:rPr>
        <w:t xml:space="preserve"> effet de serre et d’amélioration de la qualité de l’air des centres urbains </w:t>
      </w:r>
      <w:r w:rsidR="00016A1A" w:rsidRPr="00046E7D">
        <w:rPr>
          <w:rFonts w:cstheme="minorHAnsi"/>
        </w:rPr>
        <w:t>;</w:t>
      </w:r>
    </w:p>
    <w:p w14:paraId="624564E3" w14:textId="77777777" w:rsidR="0029117A" w:rsidRPr="00046E7D" w:rsidRDefault="0029117A" w:rsidP="0029117A">
      <w:pPr>
        <w:widowControl w:val="0"/>
        <w:autoSpaceDE w:val="0"/>
        <w:autoSpaceDN w:val="0"/>
        <w:adjustRightInd w:val="0"/>
        <w:spacing w:after="0" w:line="240" w:lineRule="auto"/>
        <w:ind w:left="720"/>
        <w:contextualSpacing/>
        <w:jc w:val="both"/>
        <w:textAlignment w:val="baseline"/>
        <w:rPr>
          <w:rFonts w:cstheme="minorHAnsi"/>
        </w:rPr>
      </w:pPr>
    </w:p>
    <w:p w14:paraId="61C99FB5" w14:textId="2AF524BA" w:rsidR="0029117A" w:rsidRPr="00046E7D" w:rsidRDefault="0029117A" w:rsidP="00D85E9B">
      <w:pPr>
        <w:numPr>
          <w:ilvl w:val="0"/>
          <w:numId w:val="11"/>
        </w:numPr>
        <w:autoSpaceDE w:val="0"/>
        <w:autoSpaceDN w:val="0"/>
        <w:adjustRightInd w:val="0"/>
        <w:spacing w:before="120" w:after="0" w:line="360" w:lineRule="auto"/>
        <w:contextualSpacing/>
        <w:jc w:val="both"/>
        <w:rPr>
          <w:rFonts w:cstheme="minorHAnsi"/>
        </w:rPr>
      </w:pPr>
      <w:r w:rsidRPr="00046E7D">
        <w:rPr>
          <w:rFonts w:cstheme="minorHAnsi"/>
        </w:rPr>
        <w:t xml:space="preserve">Promulguer un nouveau cadre juridique et réglementaire régissant </w:t>
      </w:r>
      <w:r w:rsidR="007701A5" w:rsidRPr="007701A5">
        <w:rPr>
          <w:rFonts w:cstheme="minorHAnsi"/>
        </w:rPr>
        <w:t>la performance d'une administration axée sur les données</w:t>
      </w:r>
      <w:r w:rsidRPr="00046E7D">
        <w:rPr>
          <w:rFonts w:cstheme="minorHAnsi"/>
        </w:rPr>
        <w:t xml:space="preserve"> et tenant compte des engagements nationaux en matière de gestion environnementale et sociale</w:t>
      </w:r>
      <w:r w:rsidR="00320177">
        <w:rPr>
          <w:rFonts w:cstheme="minorHAnsi"/>
        </w:rPr>
        <w:t>.</w:t>
      </w:r>
    </w:p>
    <w:p w14:paraId="481389C9" w14:textId="77777777" w:rsidR="00BC0457" w:rsidRPr="00046E7D" w:rsidRDefault="00BC0457" w:rsidP="00BC0457">
      <w:pPr>
        <w:widowControl w:val="0"/>
        <w:autoSpaceDE w:val="0"/>
        <w:autoSpaceDN w:val="0"/>
        <w:adjustRightInd w:val="0"/>
        <w:spacing w:before="120" w:after="120" w:line="240" w:lineRule="auto"/>
        <w:ind w:left="360"/>
        <w:contextualSpacing/>
        <w:jc w:val="both"/>
        <w:textAlignment w:val="baseline"/>
        <w:rPr>
          <w:rFonts w:cstheme="minorHAnsi"/>
          <w:sz w:val="16"/>
          <w:szCs w:val="16"/>
        </w:rPr>
      </w:pPr>
    </w:p>
    <w:p w14:paraId="3099BC96" w14:textId="77777777" w:rsidR="00BC0457" w:rsidRPr="00D85E9B" w:rsidRDefault="00BC0457" w:rsidP="00D85E9B">
      <w:pPr>
        <w:spacing w:before="120" w:after="120" w:line="240" w:lineRule="auto"/>
        <w:rPr>
          <w:rFonts w:cstheme="minorHAnsi"/>
          <w:b/>
          <w:bCs/>
          <w:u w:val="single"/>
        </w:rPr>
      </w:pPr>
      <w:r w:rsidRPr="00D85E9B">
        <w:rPr>
          <w:rFonts w:cstheme="minorHAnsi"/>
          <w:b/>
          <w:bCs/>
          <w:u w:val="single"/>
        </w:rPr>
        <w:t>Retombées sociales bénéfiques</w:t>
      </w:r>
    </w:p>
    <w:p w14:paraId="59BD5C92" w14:textId="77777777" w:rsidR="00237651" w:rsidRPr="00D85E9B" w:rsidRDefault="00237651" w:rsidP="00D85E9B">
      <w:pPr>
        <w:numPr>
          <w:ilvl w:val="0"/>
          <w:numId w:val="11"/>
        </w:numPr>
        <w:autoSpaceDE w:val="0"/>
        <w:autoSpaceDN w:val="0"/>
        <w:adjustRightInd w:val="0"/>
        <w:spacing w:before="120" w:after="0" w:line="360" w:lineRule="auto"/>
        <w:contextualSpacing/>
        <w:jc w:val="both"/>
        <w:rPr>
          <w:rFonts w:cstheme="minorHAnsi"/>
        </w:rPr>
      </w:pPr>
      <w:r w:rsidRPr="00D85E9B">
        <w:rPr>
          <w:rFonts w:cstheme="minorHAnsi"/>
        </w:rPr>
        <w:lastRenderedPageBreak/>
        <w:t>La transformation digitale</w:t>
      </w:r>
      <w:r w:rsidRPr="00D85E9B">
        <w:t xml:space="preserve"> des services publics de l’administration est</w:t>
      </w:r>
      <w:r w:rsidRPr="00D85E9B">
        <w:rPr>
          <w:rFonts w:cstheme="minorHAnsi"/>
        </w:rPr>
        <w:t xml:space="preserve"> devenue plus qu’une nécessité, dans la mesure où elle répond non seulement aux attentes des citoyens usagers des services publics, mais c’est aussi une solution crédible pour réduire les dépenses et améliorer l’organisation et la gestion de l’administration publique</w:t>
      </w:r>
    </w:p>
    <w:p w14:paraId="5095345D" w14:textId="77777777" w:rsidR="00237651" w:rsidRPr="00D85E9B" w:rsidRDefault="00237651" w:rsidP="00D85E9B">
      <w:pPr>
        <w:numPr>
          <w:ilvl w:val="0"/>
          <w:numId w:val="11"/>
        </w:numPr>
        <w:autoSpaceDE w:val="0"/>
        <w:autoSpaceDN w:val="0"/>
        <w:adjustRightInd w:val="0"/>
        <w:spacing w:before="120" w:after="0" w:line="360" w:lineRule="auto"/>
        <w:contextualSpacing/>
        <w:jc w:val="both"/>
        <w:rPr>
          <w:rFonts w:cstheme="minorHAnsi"/>
        </w:rPr>
      </w:pPr>
      <w:r w:rsidRPr="00D85E9B">
        <w:rPr>
          <w:rFonts w:cstheme="minorHAnsi"/>
        </w:rPr>
        <w:t>Le processus de digitalisation de l’administration au Maroc s’est accéléré ces dernières années et notamment avec le confinement dû à la pandémie COVID 19. Plusieurs prestations du service public sont d’ores et déjà effectuées par les usagers en ligne sans qu’ils ressentent le besoin de se déplacer. Tel est le cas par exemple des démarches concernant</w:t>
      </w:r>
      <w:r w:rsidRPr="00D85E9B">
        <w:t xml:space="preserve"> l’état civil et le paiement de certains impôts.</w:t>
      </w:r>
    </w:p>
    <w:p w14:paraId="7E4CF1BF" w14:textId="29A7F6FB" w:rsidR="00D3722A" w:rsidRPr="00E114DC" w:rsidRDefault="00237651" w:rsidP="00D85E9B">
      <w:pPr>
        <w:numPr>
          <w:ilvl w:val="0"/>
          <w:numId w:val="11"/>
        </w:numPr>
        <w:autoSpaceDE w:val="0"/>
        <w:autoSpaceDN w:val="0"/>
        <w:adjustRightInd w:val="0"/>
        <w:spacing w:before="120" w:after="0" w:line="360" w:lineRule="auto"/>
        <w:contextualSpacing/>
        <w:jc w:val="both"/>
        <w:rPr>
          <w:rFonts w:cstheme="minorHAnsi"/>
        </w:rPr>
      </w:pPr>
      <w:r w:rsidRPr="00D85E9B">
        <w:rPr>
          <w:rFonts w:cstheme="minorHAnsi"/>
        </w:rPr>
        <w:t xml:space="preserve">Le </w:t>
      </w:r>
      <w:r w:rsidR="000D3348" w:rsidRPr="00D85E9B">
        <w:rPr>
          <w:rFonts w:cstheme="minorHAnsi"/>
        </w:rPr>
        <w:t xml:space="preserve">Programme </w:t>
      </w:r>
      <w:r w:rsidR="00B459D5" w:rsidRPr="00D85E9B">
        <w:rPr>
          <w:rFonts w:cstheme="minorHAnsi"/>
        </w:rPr>
        <w:t xml:space="preserve">aura, à moyen terme, des retombées sociales bénéfiques pour l’ensemble de la population du Royaume. </w:t>
      </w:r>
      <w:r w:rsidR="00D3722A" w:rsidRPr="00D85E9B">
        <w:rPr>
          <w:rFonts w:cstheme="minorHAnsi"/>
        </w:rPr>
        <w:t xml:space="preserve">En effet, </w:t>
      </w:r>
      <w:r w:rsidR="00D3722A" w:rsidRPr="00E114DC">
        <w:rPr>
          <w:rFonts w:cstheme="minorHAnsi"/>
        </w:rPr>
        <w:t xml:space="preserve">en appuyant les efforts du gouvernement pour améliorer l'efficacité des dépenses publiques (Domaine de résultats 1), le Programme améliorera la performance budgétaire et l’efficacité de l’utilisation des deniers publics ce qui aura des retombées sur les investissements publics. </w:t>
      </w:r>
    </w:p>
    <w:p w14:paraId="4F7B8672" w14:textId="198EACBE" w:rsidR="00C036A1" w:rsidRPr="00E114DC" w:rsidRDefault="00D3722A" w:rsidP="00D85E9B">
      <w:pPr>
        <w:numPr>
          <w:ilvl w:val="0"/>
          <w:numId w:val="11"/>
        </w:numPr>
        <w:autoSpaceDE w:val="0"/>
        <w:autoSpaceDN w:val="0"/>
        <w:adjustRightInd w:val="0"/>
        <w:spacing w:before="120" w:after="0" w:line="360" w:lineRule="auto"/>
        <w:contextualSpacing/>
        <w:jc w:val="both"/>
        <w:rPr>
          <w:rFonts w:cstheme="minorHAnsi"/>
        </w:rPr>
      </w:pPr>
      <w:r w:rsidRPr="00E114DC">
        <w:rPr>
          <w:rFonts w:cstheme="minorHAnsi"/>
        </w:rPr>
        <w:t>L’amélioration de l’efficacité de la collecte des impôts locaux et l’augmentation des recettes des municipalités (Domaine de résultat 2) aura pour effet de permettre des investissements plus équitables et plus équilibrés en faveur de toutes les couches de la population urbaine</w:t>
      </w:r>
      <w:r w:rsidR="00A5684E" w:rsidRPr="00E114DC">
        <w:rPr>
          <w:rFonts w:cstheme="minorHAnsi"/>
        </w:rPr>
        <w:t xml:space="preserve"> et rurale</w:t>
      </w:r>
      <w:r w:rsidRPr="00E114DC">
        <w:rPr>
          <w:rFonts w:cstheme="minorHAnsi"/>
        </w:rPr>
        <w:t xml:space="preserve">. </w:t>
      </w:r>
    </w:p>
    <w:p w14:paraId="12AD9AF9" w14:textId="1185BF35" w:rsidR="00CC643A" w:rsidRPr="00D85E9B" w:rsidRDefault="00D3722A" w:rsidP="00D85E9B">
      <w:pPr>
        <w:numPr>
          <w:ilvl w:val="0"/>
          <w:numId w:val="11"/>
        </w:numPr>
        <w:autoSpaceDE w:val="0"/>
        <w:autoSpaceDN w:val="0"/>
        <w:adjustRightInd w:val="0"/>
        <w:spacing w:before="120" w:after="0" w:line="360" w:lineRule="auto"/>
        <w:contextualSpacing/>
        <w:jc w:val="both"/>
      </w:pPr>
      <w:bookmarkStart w:id="68" w:name="_Toc72772001"/>
      <w:r w:rsidRPr="00D85E9B">
        <w:rPr>
          <w:rFonts w:eastAsia="ヒラギノ角ゴ Pro W3" w:cstheme="minorHAnsi"/>
        </w:rPr>
        <w:t xml:space="preserve">En </w:t>
      </w:r>
      <w:r w:rsidRPr="00D85E9B">
        <w:rPr>
          <w:rFonts w:cstheme="minorHAnsi"/>
        </w:rPr>
        <w:t>appuyant</w:t>
      </w:r>
      <w:r w:rsidRPr="00D85E9B">
        <w:rPr>
          <w:rFonts w:eastAsia="ヒラギノ角ゴ Pro W3" w:cstheme="minorHAnsi"/>
        </w:rPr>
        <w:t xml:space="preserve"> la </w:t>
      </w:r>
      <w:r w:rsidRPr="00D85E9B">
        <w:rPr>
          <w:rFonts w:cstheme="minorHAnsi"/>
        </w:rPr>
        <w:t>numérisation</w:t>
      </w:r>
      <w:r w:rsidRPr="00D85E9B">
        <w:rPr>
          <w:rFonts w:eastAsia="ヒラギノ角ゴ Pro W3" w:cstheme="minorHAnsi"/>
        </w:rPr>
        <w:t xml:space="preserve"> de l’administration publique et le gouvernement axé sur les données (Domaine de résultats 3), le Programme contribuera à améliorer les services administratifs en faveur des usagers de l’administration, </w:t>
      </w:r>
      <w:r w:rsidR="008A7974" w:rsidRPr="00D85E9B">
        <w:rPr>
          <w:rFonts w:eastAsia="ヒラギノ角ゴ Pro W3" w:cstheme="minorHAnsi"/>
        </w:rPr>
        <w:t xml:space="preserve">en termes de durée, </w:t>
      </w:r>
      <w:r w:rsidR="00CC643A" w:rsidRPr="00D85E9B">
        <w:rPr>
          <w:rFonts w:eastAsia="ヒラギノ角ゴ Pro W3" w:cstheme="minorHAnsi"/>
        </w:rPr>
        <w:t xml:space="preserve">d’accessibilité, </w:t>
      </w:r>
      <w:r w:rsidR="008A7974" w:rsidRPr="00D85E9B">
        <w:rPr>
          <w:rFonts w:eastAsia="ヒラギノ角ゴ Pro W3" w:cstheme="minorHAnsi"/>
        </w:rPr>
        <w:t>d’efficacité et de qualité. De même qu’il r</w:t>
      </w:r>
      <w:r w:rsidRPr="00D85E9B">
        <w:rPr>
          <w:rFonts w:eastAsia="ヒラギノ角ゴ Pro W3" w:cstheme="minorHAnsi"/>
        </w:rPr>
        <w:t>enforcera l’ouverture et la transparence du gouvernement, améliorera l’accès des citoyens et des acteurs économiques et soci</w:t>
      </w:r>
      <w:r w:rsidR="008A7974" w:rsidRPr="00D85E9B">
        <w:rPr>
          <w:rFonts w:eastAsia="ヒラギノ角ゴ Pro W3" w:cstheme="minorHAnsi"/>
        </w:rPr>
        <w:t xml:space="preserve">aux aux données et améliorera l’image de l’administration </w:t>
      </w:r>
      <w:r w:rsidR="00A5684E" w:rsidRPr="00D85E9B">
        <w:rPr>
          <w:rFonts w:eastAsia="ヒラギノ角ゴ Pro W3" w:cstheme="minorHAnsi"/>
        </w:rPr>
        <w:t xml:space="preserve">et la confiance </w:t>
      </w:r>
      <w:r w:rsidR="008A7974" w:rsidRPr="00D85E9B">
        <w:rPr>
          <w:rFonts w:eastAsia="ヒラギノ角ゴ Pro W3" w:cstheme="minorHAnsi"/>
        </w:rPr>
        <w:t>chez les</w:t>
      </w:r>
      <w:r w:rsidRPr="00D85E9B">
        <w:rPr>
          <w:rFonts w:eastAsia="ヒラギノ角ゴ Pro W3" w:cstheme="minorHAnsi"/>
        </w:rPr>
        <w:t xml:space="preserve"> c</w:t>
      </w:r>
      <w:r w:rsidR="008A7974" w:rsidRPr="00D85E9B">
        <w:rPr>
          <w:rFonts w:eastAsia="ヒラギノ角ゴ Pro W3" w:cstheme="minorHAnsi"/>
        </w:rPr>
        <w:t>itoyens.</w:t>
      </w:r>
      <w:bookmarkEnd w:id="68"/>
      <w:r w:rsidR="008A7974" w:rsidRPr="00D85E9B">
        <w:rPr>
          <w:rFonts w:eastAsia="ヒラギノ角ゴ Pro W3" w:cstheme="minorHAnsi"/>
        </w:rPr>
        <w:t xml:space="preserve"> </w:t>
      </w:r>
    </w:p>
    <w:p w14:paraId="202D0278" w14:textId="402AA90E" w:rsidR="00FA18EF" w:rsidRDefault="00FA18EF" w:rsidP="00FA18EF">
      <w:pPr>
        <w:pStyle w:val="Heading3"/>
        <w:rPr>
          <w:rFonts w:ascii="Candara" w:hAnsi="Candara"/>
          <w:color w:val="auto"/>
          <w:lang w:val="fr-FR"/>
        </w:rPr>
      </w:pPr>
      <w:bookmarkStart w:id="69" w:name="_Toc74241384"/>
      <w:r w:rsidRPr="00046E7D">
        <w:rPr>
          <w:rFonts w:ascii="Candara" w:hAnsi="Candara"/>
          <w:color w:val="auto"/>
          <w:lang w:val="fr-FR"/>
        </w:rPr>
        <w:t>2.4.2 Principaux risques environnementaux et sociaux du Programme et mesures d’atténuation</w:t>
      </w:r>
      <w:bookmarkEnd w:id="69"/>
    </w:p>
    <w:p w14:paraId="3FA4566D" w14:textId="1E94735C" w:rsidR="00812D15" w:rsidRDefault="00812D15" w:rsidP="00812D15"/>
    <w:p w14:paraId="4B74D72C" w14:textId="339DA79A" w:rsidR="00812D15" w:rsidRPr="00237809" w:rsidRDefault="00812D15" w:rsidP="00812D15">
      <w:pPr>
        <w:spacing w:line="276" w:lineRule="auto"/>
        <w:jc w:val="both"/>
        <w:rPr>
          <w:rFonts w:eastAsia="ヒラギノ角ゴ Pro W3" w:cstheme="minorHAnsi"/>
          <w:b/>
          <w:bCs/>
          <w:u w:val="single"/>
        </w:rPr>
      </w:pPr>
      <w:r w:rsidRPr="00237809">
        <w:rPr>
          <w:rFonts w:eastAsia="ヒラギノ角ゴ Pro W3" w:cstheme="minorHAnsi"/>
          <w:b/>
          <w:bCs/>
          <w:u w:val="single"/>
        </w:rPr>
        <w:t xml:space="preserve">Risques </w:t>
      </w:r>
      <w:r>
        <w:rPr>
          <w:rFonts w:eastAsia="ヒラギノ角ゴ Pro W3" w:cstheme="minorHAnsi"/>
          <w:b/>
          <w:bCs/>
          <w:u w:val="single"/>
        </w:rPr>
        <w:t>environnementaux</w:t>
      </w:r>
      <w:r w:rsidRPr="00237809">
        <w:rPr>
          <w:rFonts w:eastAsia="ヒラギノ角ゴ Pro W3" w:cstheme="minorHAnsi"/>
          <w:b/>
          <w:bCs/>
          <w:u w:val="single"/>
        </w:rPr>
        <w:t> :</w:t>
      </w:r>
    </w:p>
    <w:p w14:paraId="5BDBD86A" w14:textId="6C5D1BCB" w:rsidR="000573D5" w:rsidRPr="00CA797B" w:rsidRDefault="00247D9C" w:rsidP="00D85E9B">
      <w:pPr>
        <w:numPr>
          <w:ilvl w:val="0"/>
          <w:numId w:val="11"/>
        </w:numPr>
        <w:autoSpaceDE w:val="0"/>
        <w:autoSpaceDN w:val="0"/>
        <w:adjustRightInd w:val="0"/>
        <w:spacing w:before="120" w:after="0" w:line="360" w:lineRule="auto"/>
        <w:contextualSpacing/>
        <w:jc w:val="both"/>
        <w:rPr>
          <w:rFonts w:cstheme="minorHAnsi"/>
        </w:rPr>
      </w:pPr>
      <w:r w:rsidRPr="00CA797B">
        <w:rPr>
          <w:rFonts w:cstheme="minorHAnsi"/>
        </w:rPr>
        <w:t xml:space="preserve">Comme indiqué </w:t>
      </w:r>
      <w:r w:rsidRPr="00C036A1">
        <w:rPr>
          <w:rFonts w:eastAsia="ヒラギノ角ゴ Pro W3" w:cstheme="minorHAnsi"/>
        </w:rPr>
        <w:t>précédemment</w:t>
      </w:r>
      <w:r w:rsidRPr="00CA797B">
        <w:rPr>
          <w:rFonts w:cstheme="minorHAnsi"/>
        </w:rPr>
        <w:t>, l</w:t>
      </w:r>
      <w:r w:rsidR="00FA18EF" w:rsidRPr="00CA797B">
        <w:rPr>
          <w:rFonts w:cstheme="minorHAnsi"/>
        </w:rPr>
        <w:t>es activités financées dans le cadre de ce Programme</w:t>
      </w:r>
      <w:r w:rsidR="000573D5" w:rsidRPr="00CA797B">
        <w:rPr>
          <w:rFonts w:cstheme="minorHAnsi"/>
        </w:rPr>
        <w:t xml:space="preserve"> sont des activités non structurelles </w:t>
      </w:r>
      <w:r w:rsidR="00347D69">
        <w:rPr>
          <w:rFonts w:cstheme="minorHAnsi"/>
        </w:rPr>
        <w:t>(pas de</w:t>
      </w:r>
      <w:r w:rsidR="00E96FF5">
        <w:rPr>
          <w:rFonts w:cstheme="minorHAnsi"/>
        </w:rPr>
        <w:t xml:space="preserve"> travaux relatifs à de</w:t>
      </w:r>
      <w:r w:rsidR="00347D69">
        <w:rPr>
          <w:rFonts w:cstheme="minorHAnsi"/>
        </w:rPr>
        <w:t xml:space="preserve"> </w:t>
      </w:r>
      <w:r w:rsidR="00E96FF5">
        <w:rPr>
          <w:rFonts w:cstheme="minorHAnsi"/>
        </w:rPr>
        <w:t xml:space="preserve">nouvelles </w:t>
      </w:r>
      <w:r w:rsidR="00347D69">
        <w:rPr>
          <w:rFonts w:cstheme="minorHAnsi"/>
        </w:rPr>
        <w:t>construction</w:t>
      </w:r>
      <w:r w:rsidR="00E96FF5">
        <w:rPr>
          <w:rFonts w:cstheme="minorHAnsi"/>
        </w:rPr>
        <w:t>s</w:t>
      </w:r>
      <w:r w:rsidR="00347D69">
        <w:rPr>
          <w:rFonts w:cstheme="minorHAnsi"/>
        </w:rPr>
        <w:t xml:space="preserve"> ni </w:t>
      </w:r>
      <w:r w:rsidR="00E96FF5">
        <w:rPr>
          <w:rFonts w:cstheme="minorHAnsi"/>
        </w:rPr>
        <w:t>à</w:t>
      </w:r>
      <w:r w:rsidR="00347D69">
        <w:rPr>
          <w:rFonts w:cstheme="minorHAnsi"/>
        </w:rPr>
        <w:t xml:space="preserve"> </w:t>
      </w:r>
      <w:r w:rsidR="00E96FF5">
        <w:rPr>
          <w:rFonts w:cstheme="minorHAnsi"/>
        </w:rPr>
        <w:t xml:space="preserve">la </w:t>
      </w:r>
      <w:r w:rsidR="00347D69">
        <w:rPr>
          <w:rFonts w:cstheme="minorHAnsi"/>
        </w:rPr>
        <w:t>réhabilitation</w:t>
      </w:r>
      <w:r w:rsidR="00E96FF5">
        <w:rPr>
          <w:rFonts w:cstheme="minorHAnsi"/>
        </w:rPr>
        <w:t xml:space="preserve"> de constructions existantes</w:t>
      </w:r>
      <w:r w:rsidR="00347D69">
        <w:rPr>
          <w:rFonts w:cstheme="minorHAnsi"/>
        </w:rPr>
        <w:t xml:space="preserve">) </w:t>
      </w:r>
      <w:r w:rsidR="000573D5" w:rsidRPr="00CA797B">
        <w:rPr>
          <w:rFonts w:cstheme="minorHAnsi"/>
        </w:rPr>
        <w:t>et de ce fait ne</w:t>
      </w:r>
      <w:r w:rsidR="00FA18EF" w:rsidRPr="00CA797B">
        <w:rPr>
          <w:rFonts w:cstheme="minorHAnsi"/>
        </w:rPr>
        <w:t xml:space="preserve"> présentent </w:t>
      </w:r>
      <w:r w:rsidR="000573D5" w:rsidRPr="00CA797B">
        <w:rPr>
          <w:rFonts w:cstheme="minorHAnsi"/>
        </w:rPr>
        <w:t xml:space="preserve">pas de </w:t>
      </w:r>
      <w:r w:rsidR="00FA18EF" w:rsidRPr="00CA797B">
        <w:rPr>
          <w:rFonts w:cstheme="minorHAnsi"/>
        </w:rPr>
        <w:t>potentiel de génération de risques environnementaux</w:t>
      </w:r>
      <w:r w:rsidR="00CA797B" w:rsidRPr="00CA797B">
        <w:rPr>
          <w:rFonts w:cstheme="minorHAnsi"/>
        </w:rPr>
        <w:t>.</w:t>
      </w:r>
    </w:p>
    <w:bookmarkEnd w:id="63"/>
    <w:p w14:paraId="25FEA520" w14:textId="77777777" w:rsidR="00CF6C0E" w:rsidRDefault="00CF6C0E" w:rsidP="00046E7D">
      <w:pPr>
        <w:spacing w:line="276" w:lineRule="auto"/>
        <w:jc w:val="both"/>
        <w:rPr>
          <w:rFonts w:eastAsia="ヒラギノ角ゴ Pro W3" w:cstheme="minorHAnsi"/>
        </w:rPr>
      </w:pPr>
    </w:p>
    <w:p w14:paraId="351173D9" w14:textId="43583A3F" w:rsidR="00CF6C0E" w:rsidRPr="00D85E9B" w:rsidRDefault="00CF6C0E" w:rsidP="00046E7D">
      <w:pPr>
        <w:spacing w:line="276" w:lineRule="auto"/>
        <w:jc w:val="both"/>
        <w:rPr>
          <w:rFonts w:eastAsia="ヒラギノ角ゴ Pro W3" w:cstheme="minorHAnsi"/>
          <w:b/>
          <w:bCs/>
          <w:u w:val="single"/>
        </w:rPr>
      </w:pPr>
      <w:r w:rsidRPr="00D85E9B">
        <w:rPr>
          <w:rFonts w:eastAsia="ヒラギノ角ゴ Pro W3" w:cstheme="minorHAnsi"/>
          <w:b/>
          <w:bCs/>
          <w:u w:val="single"/>
        </w:rPr>
        <w:t>Risques sociaux :</w:t>
      </w:r>
    </w:p>
    <w:p w14:paraId="74246EA5" w14:textId="4B002585" w:rsidR="00812D15" w:rsidRPr="00E114DC" w:rsidRDefault="00812D15" w:rsidP="00D85E9B">
      <w:pPr>
        <w:numPr>
          <w:ilvl w:val="0"/>
          <w:numId w:val="11"/>
        </w:numPr>
        <w:autoSpaceDE w:val="0"/>
        <w:autoSpaceDN w:val="0"/>
        <w:adjustRightInd w:val="0"/>
        <w:spacing w:before="120" w:after="0" w:line="360" w:lineRule="auto"/>
        <w:contextualSpacing/>
        <w:jc w:val="both"/>
        <w:rPr>
          <w:rFonts w:cstheme="minorHAnsi"/>
        </w:rPr>
      </w:pPr>
      <w:r w:rsidRPr="00E114DC">
        <w:rPr>
          <w:rFonts w:cstheme="minorHAnsi"/>
        </w:rPr>
        <w:lastRenderedPageBreak/>
        <w:t xml:space="preserve">Étant </w:t>
      </w:r>
      <w:r w:rsidRPr="00D85E9B">
        <w:rPr>
          <w:rFonts w:eastAsia="ヒラギノ角ゴ Pro W3" w:cstheme="minorHAnsi"/>
        </w:rPr>
        <w:t>donné</w:t>
      </w:r>
      <w:r w:rsidR="00E96FF5" w:rsidRPr="00D85E9B">
        <w:rPr>
          <w:rFonts w:eastAsia="ヒラギノ角ゴ Pro W3" w:cstheme="minorHAnsi"/>
        </w:rPr>
        <w:t>e</w:t>
      </w:r>
      <w:r w:rsidRPr="00E114DC">
        <w:rPr>
          <w:rFonts w:cstheme="minorHAnsi"/>
        </w:rPr>
        <w:t xml:space="preserve"> la nature des activités du Programme qui sont destinées </w:t>
      </w:r>
      <w:r w:rsidRPr="00E114DC">
        <w:rPr>
          <w:rFonts w:eastAsia="Calibri" w:cstheme="minorHAnsi"/>
          <w:color w:val="000000"/>
        </w:rPr>
        <w:t>à améliorer l'efficacité, l'équité et la transparence du secteur public en faisant progresser la transformation numérique des services prioritaires qui permettra d'accroître la conformité fiscale et de réduire les dépenses récurrentes</w:t>
      </w:r>
      <w:r w:rsidRPr="00E114DC">
        <w:rPr>
          <w:rFonts w:cstheme="minorHAnsi"/>
        </w:rPr>
        <w:t xml:space="preserve">, </w:t>
      </w:r>
      <w:r w:rsidRPr="00D85E9B">
        <w:rPr>
          <w:rFonts w:cstheme="minorHAnsi"/>
          <w:b/>
          <w:bCs/>
        </w:rPr>
        <w:t>les risques sociaux sont globalement minimes</w:t>
      </w:r>
      <w:r w:rsidRPr="00E114DC">
        <w:rPr>
          <w:rFonts w:cstheme="minorHAnsi"/>
        </w:rPr>
        <w:t xml:space="preserve"> ;  </w:t>
      </w:r>
    </w:p>
    <w:p w14:paraId="34B59851" w14:textId="77777777" w:rsidR="00812D15" w:rsidRPr="00E114DC" w:rsidRDefault="00812D15" w:rsidP="00812D15">
      <w:pPr>
        <w:pStyle w:val="Normal141"/>
        <w:autoSpaceDE w:val="0"/>
        <w:autoSpaceDN w:val="0"/>
        <w:adjustRightInd w:val="0"/>
        <w:spacing w:after="0" w:line="240" w:lineRule="auto"/>
        <w:jc w:val="both"/>
        <w:rPr>
          <w:rFonts w:eastAsia="Calibri" w:cstheme="minorHAnsi"/>
          <w:color w:val="000000"/>
          <w:lang w:val="fr-FR"/>
        </w:rPr>
      </w:pPr>
    </w:p>
    <w:p w14:paraId="35A13651" w14:textId="77777777" w:rsidR="00812D15" w:rsidRPr="00E114DC" w:rsidRDefault="00812D15" w:rsidP="00D85E9B">
      <w:pPr>
        <w:numPr>
          <w:ilvl w:val="0"/>
          <w:numId w:val="11"/>
        </w:numPr>
        <w:autoSpaceDE w:val="0"/>
        <w:autoSpaceDN w:val="0"/>
        <w:adjustRightInd w:val="0"/>
        <w:spacing w:before="120" w:after="0" w:line="360" w:lineRule="auto"/>
        <w:contextualSpacing/>
        <w:jc w:val="both"/>
        <w:rPr>
          <w:rFonts w:eastAsia="Calibri" w:cstheme="minorHAnsi"/>
          <w:color w:val="000000"/>
        </w:rPr>
      </w:pPr>
      <w:r w:rsidRPr="00E114DC">
        <w:rPr>
          <w:rFonts w:eastAsia="Calibri" w:cstheme="minorHAnsi"/>
          <w:color w:val="000000"/>
        </w:rPr>
        <w:t xml:space="preserve">Il n’y a pas de risques sociaux associés aux acquisitions foncières, Le Programme ne finançant pas de travaux de réhabilitation ou de construction de quelque nature que ce soit, et donc n’entraînant pas de déplacement physique et/ou </w:t>
      </w:r>
      <w:r w:rsidRPr="00E114DC">
        <w:rPr>
          <w:rFonts w:eastAsia="Calibri" w:cstheme="minorHAnsi"/>
          <w:color w:val="000000"/>
        </w:rPr>
        <w:t>économique de population ;</w:t>
      </w:r>
    </w:p>
    <w:p w14:paraId="04AD8191" w14:textId="77777777" w:rsidR="00812D15" w:rsidRPr="00D85E9B" w:rsidRDefault="00812D15" w:rsidP="00812D15">
      <w:pPr>
        <w:pStyle w:val="ListParagraph"/>
        <w:rPr>
          <w:rFonts w:asciiTheme="minorHAnsi" w:eastAsia="Calibri" w:hAnsiTheme="minorHAnsi" w:cstheme="minorHAnsi"/>
          <w:sz w:val="22"/>
          <w:szCs w:val="22"/>
        </w:rPr>
      </w:pPr>
    </w:p>
    <w:p w14:paraId="0F505DBD" w14:textId="29D4B629" w:rsidR="00812D15" w:rsidRDefault="00812D15" w:rsidP="00D85E9B">
      <w:pPr>
        <w:numPr>
          <w:ilvl w:val="0"/>
          <w:numId w:val="11"/>
        </w:numPr>
        <w:autoSpaceDE w:val="0"/>
        <w:autoSpaceDN w:val="0"/>
        <w:adjustRightInd w:val="0"/>
        <w:spacing w:before="120" w:after="0" w:line="360" w:lineRule="auto"/>
        <w:contextualSpacing/>
        <w:jc w:val="both"/>
        <w:rPr>
          <w:rFonts w:eastAsia="Calibri" w:cstheme="minorHAnsi"/>
          <w:color w:val="000000"/>
        </w:rPr>
      </w:pPr>
      <w:r w:rsidRPr="00E114DC">
        <w:rPr>
          <w:rFonts w:eastAsia="Calibri" w:cstheme="minorHAnsi"/>
          <w:color w:val="000000"/>
        </w:rPr>
        <w:t xml:space="preserve">La </w:t>
      </w:r>
      <w:r w:rsidRPr="00D85E9B">
        <w:rPr>
          <w:rFonts w:eastAsia="ヒラギノ角ゴ Pro W3" w:cstheme="minorHAnsi"/>
        </w:rPr>
        <w:t>nature</w:t>
      </w:r>
      <w:r w:rsidRPr="00E114DC">
        <w:rPr>
          <w:rFonts w:eastAsia="Calibri" w:cstheme="minorHAnsi"/>
          <w:color w:val="000000"/>
        </w:rPr>
        <w:t xml:space="preserve"> des activités envisagées ne laisse pas présager que des groupes vulnérables, spécifiques pourraient subir des préjudices, bien au contraire les activités prévues vont contribuer à l’amélioration de l’accessibilité en dématérialisant certaines démarches administratives qui nécessitent le déplacement des usagers.</w:t>
      </w:r>
    </w:p>
    <w:p w14:paraId="68BDDF44" w14:textId="77777777" w:rsidR="00196B3F" w:rsidRDefault="00196B3F" w:rsidP="00996D44">
      <w:pPr>
        <w:pStyle w:val="ListParagraph"/>
        <w:rPr>
          <w:rFonts w:eastAsia="Calibri" w:cstheme="minorHAnsi"/>
        </w:rPr>
      </w:pPr>
    </w:p>
    <w:p w14:paraId="0BA805BC" w14:textId="3170C648" w:rsidR="00342060" w:rsidRPr="00996D44" w:rsidRDefault="00196B3F" w:rsidP="00996D44">
      <w:pPr>
        <w:numPr>
          <w:ilvl w:val="0"/>
          <w:numId w:val="11"/>
        </w:numPr>
        <w:autoSpaceDE w:val="0"/>
        <w:autoSpaceDN w:val="0"/>
        <w:adjustRightInd w:val="0"/>
        <w:spacing w:before="120" w:after="0" w:line="360" w:lineRule="auto"/>
        <w:contextualSpacing/>
        <w:jc w:val="both"/>
        <w:rPr>
          <w:rFonts w:eastAsia="ヒラギノ角ゴ Pro W3" w:cstheme="minorHAnsi"/>
        </w:rPr>
      </w:pPr>
      <w:r w:rsidRPr="00996D44">
        <w:rPr>
          <w:rFonts w:eastAsia="ヒラギノ角ゴ Pro W3" w:cstheme="minorHAnsi"/>
        </w:rPr>
        <w:t>Pour la protection des données personnelles, le Maroc s’est dot</w:t>
      </w:r>
      <w:r w:rsidR="00342060" w:rsidRPr="00996D44">
        <w:rPr>
          <w:rFonts w:eastAsia="ヒラギノ角ゴ Pro W3" w:cstheme="minorHAnsi"/>
        </w:rPr>
        <w:t xml:space="preserve">é de la loi 09-08 relative à la protection des données des personnes physiques à l’égard du traitement des données à caractère personnel. Le consentement libre et éclairé de la personne physique concernée sans préjudice à l’exercice de ses droits d’accès, d’opposition et de rectification, assorti d’une collecte de données sécurisée et confidentielle, compatible et proportionnelle à la finalité du traitement sont des règles </w:t>
      </w:r>
      <w:r w:rsidR="00342060">
        <w:rPr>
          <w:rFonts w:eastAsia="ヒラギノ角ゴ Pro W3" w:cstheme="minorHAnsi"/>
        </w:rPr>
        <w:t>obligatoires</w:t>
      </w:r>
      <w:r w:rsidR="00342060" w:rsidRPr="00996D44">
        <w:rPr>
          <w:rFonts w:eastAsia="ヒラギノ角ゴ Pro W3" w:cstheme="minorHAnsi"/>
        </w:rPr>
        <w:t xml:space="preserve"> à observer par le responsable du traitement des données à caractère personnel.</w:t>
      </w:r>
      <w:r w:rsidR="00342060">
        <w:rPr>
          <w:rFonts w:eastAsia="ヒラギノ角ゴ Pro W3" w:cstheme="minorHAnsi"/>
        </w:rPr>
        <w:t xml:space="preserve"> </w:t>
      </w:r>
      <w:r w:rsidR="00342060" w:rsidRPr="00996D44">
        <w:rPr>
          <w:rFonts w:eastAsia="ヒラギノ角ゴ Pro W3" w:cstheme="minorHAnsi"/>
        </w:rPr>
        <w:t>En plus de peines privatives de liberté et d’amendes à l’encontre de ses dirigeants auteurs de l’infraction, une personne morale en infraction à la loi No. 09-08 peut faire l’objet d’une confiscation de ses biens, d’une fermeture de l’établissement où l’infraction a été commise, voire d’une fermeture de tous ses établissements. En cas de récidive, les sanctions sont portées au double</w:t>
      </w:r>
      <w:r w:rsidR="00342060" w:rsidRPr="00996D44">
        <w:rPr>
          <w:rFonts w:eastAsia="Calibri" w:cstheme="minorHAnsi"/>
          <w:color w:val="000000"/>
        </w:rPr>
        <w:t>.</w:t>
      </w:r>
    </w:p>
    <w:p w14:paraId="605D1C48" w14:textId="47F0B498" w:rsidR="00196B3F" w:rsidRPr="00E114DC" w:rsidRDefault="00196B3F" w:rsidP="00996D44">
      <w:pPr>
        <w:autoSpaceDE w:val="0"/>
        <w:autoSpaceDN w:val="0"/>
        <w:adjustRightInd w:val="0"/>
        <w:spacing w:before="120" w:after="0" w:line="360" w:lineRule="auto"/>
        <w:contextualSpacing/>
        <w:jc w:val="both"/>
        <w:rPr>
          <w:rFonts w:eastAsia="Calibri" w:cstheme="minorHAnsi"/>
          <w:color w:val="000000"/>
        </w:rPr>
      </w:pPr>
    </w:p>
    <w:bookmarkEnd w:id="64"/>
    <w:bookmarkEnd w:id="65"/>
    <w:p w14:paraId="4DB2EE7B" w14:textId="57BD1DD2" w:rsidR="008B2DEC" w:rsidRPr="003A404D" w:rsidRDefault="008B2DEC" w:rsidP="0099191E">
      <w:pPr>
        <w:pStyle w:val="Paranumbering"/>
        <w:numPr>
          <w:ilvl w:val="0"/>
          <w:numId w:val="0"/>
        </w:numPr>
        <w:ind w:left="360"/>
        <w:rPr>
          <w:color w:val="auto"/>
          <w:sz w:val="22"/>
          <w:szCs w:val="22"/>
          <w:lang w:val="fr-FR"/>
        </w:rPr>
      </w:pPr>
    </w:p>
    <w:p w14:paraId="6473B142" w14:textId="7BB8EB8F" w:rsidR="0099191E" w:rsidRPr="00046E7D" w:rsidRDefault="0099191E" w:rsidP="0099191E">
      <w:pPr>
        <w:pStyle w:val="Heading2"/>
        <w:rPr>
          <w:rFonts w:ascii="Candara" w:hAnsi="Candara"/>
          <w:color w:val="auto"/>
          <w:lang w:val="fr-FR"/>
        </w:rPr>
      </w:pPr>
      <w:bookmarkStart w:id="70" w:name="_Toc496827316"/>
      <w:bookmarkStart w:id="71" w:name="_Toc74241385"/>
      <w:r w:rsidRPr="00046E7D">
        <w:rPr>
          <w:rFonts w:ascii="Candara" w:hAnsi="Candara"/>
          <w:color w:val="auto"/>
          <w:lang w:val="fr-FR"/>
        </w:rPr>
        <w:t>2.5</w:t>
      </w:r>
      <w:bookmarkEnd w:id="70"/>
      <w:r w:rsidR="00E141DD">
        <w:rPr>
          <w:rFonts w:ascii="Candara" w:hAnsi="Candara"/>
          <w:color w:val="auto"/>
          <w:lang w:val="fr-FR"/>
        </w:rPr>
        <w:t xml:space="preserve"> </w:t>
      </w:r>
      <w:r w:rsidR="00E141DD" w:rsidRPr="00046E7D">
        <w:rPr>
          <w:rFonts w:ascii="Candara" w:hAnsi="Candara"/>
          <w:color w:val="auto"/>
          <w:lang w:val="fr-FR"/>
        </w:rPr>
        <w:t>Bilan global des risques du Programme selon des principes de base de la PO s’appliquant à un PPR</w:t>
      </w:r>
      <w:bookmarkEnd w:id="71"/>
    </w:p>
    <w:p w14:paraId="765E9D12" w14:textId="077194CA" w:rsidR="00E141DD" w:rsidRPr="00E141DD" w:rsidRDefault="00CA797B" w:rsidP="00D85E9B">
      <w:pPr>
        <w:numPr>
          <w:ilvl w:val="0"/>
          <w:numId w:val="11"/>
        </w:numPr>
        <w:autoSpaceDE w:val="0"/>
        <w:autoSpaceDN w:val="0"/>
        <w:adjustRightInd w:val="0"/>
        <w:spacing w:before="120" w:after="0" w:line="360" w:lineRule="auto"/>
        <w:contextualSpacing/>
        <w:jc w:val="both"/>
        <w:rPr>
          <w:rStyle w:val="hps"/>
          <w:rFonts w:ascii="Cambria" w:hAnsi="Cambria" w:cstheme="minorHAnsi"/>
          <w:b/>
          <w:bCs/>
          <w:color w:val="4F81BD"/>
          <w:sz w:val="26"/>
          <w:szCs w:val="26"/>
        </w:rPr>
      </w:pPr>
      <w:bookmarkStart w:id="72" w:name="_Toc496827317"/>
      <w:r w:rsidRPr="00CA797B">
        <w:rPr>
          <w:rStyle w:val="hps"/>
          <w:rFonts w:cstheme="minorHAnsi"/>
        </w:rPr>
        <w:t xml:space="preserve">Le </w:t>
      </w:r>
      <w:r w:rsidRPr="00D85E9B">
        <w:t>Programme</w:t>
      </w:r>
      <w:r w:rsidRPr="00CA797B">
        <w:rPr>
          <w:rStyle w:val="hps"/>
          <w:rFonts w:cstheme="minorHAnsi"/>
        </w:rPr>
        <w:t xml:space="preserve"> n’inclut aucun investissement comportant des risques environnementaux et</w:t>
      </w:r>
      <w:r w:rsidR="00E141DD" w:rsidRPr="00E141DD">
        <w:rPr>
          <w:rStyle w:val="hps"/>
          <w:rFonts w:cstheme="minorHAnsi"/>
        </w:rPr>
        <w:t xml:space="preserve"> </w:t>
      </w:r>
      <w:r w:rsidRPr="00CA797B">
        <w:rPr>
          <w:rStyle w:val="hps"/>
          <w:rFonts w:cstheme="minorHAnsi"/>
        </w:rPr>
        <w:t>sociaux importants ou substantiels et ce conf</w:t>
      </w:r>
      <w:r w:rsidRPr="00CA797B">
        <w:rPr>
          <w:rStyle w:val="hps"/>
          <w:rFonts w:cstheme="minorHAnsi"/>
        </w:rPr>
        <w:t>ormément aux exigences de la conformité avec</w:t>
      </w:r>
      <w:r w:rsidR="00E141DD" w:rsidRPr="00E141DD">
        <w:rPr>
          <w:rStyle w:val="hps"/>
          <w:rFonts w:cstheme="minorHAnsi"/>
        </w:rPr>
        <w:t xml:space="preserve"> </w:t>
      </w:r>
      <w:r w:rsidRPr="00CA797B">
        <w:rPr>
          <w:rStyle w:val="hps"/>
          <w:rFonts w:cstheme="minorHAnsi"/>
        </w:rPr>
        <w:t>Politique de la Banque mondiale sur le PPR.</w:t>
      </w:r>
      <w:r w:rsidR="00E141DD">
        <w:rPr>
          <w:rStyle w:val="hps"/>
          <w:rFonts w:cstheme="minorHAnsi"/>
        </w:rPr>
        <w:t xml:space="preserve"> </w:t>
      </w:r>
      <w:r w:rsidRPr="00E141DD">
        <w:rPr>
          <w:rStyle w:val="hps"/>
          <w:rFonts w:cstheme="minorHAnsi"/>
        </w:rPr>
        <w:t>Globalement les risques environnementaux et sociaux du Programme seront minimes, vu la</w:t>
      </w:r>
      <w:r w:rsidR="00E141DD" w:rsidRPr="00E141DD">
        <w:rPr>
          <w:rStyle w:val="hps"/>
          <w:rFonts w:cstheme="minorHAnsi"/>
        </w:rPr>
        <w:t xml:space="preserve"> </w:t>
      </w:r>
      <w:r w:rsidRPr="00E141DD">
        <w:rPr>
          <w:rStyle w:val="hps"/>
          <w:rFonts w:cstheme="minorHAnsi"/>
        </w:rPr>
        <w:t>nature des activités financées par le Programme.</w:t>
      </w:r>
    </w:p>
    <w:bookmarkEnd w:id="72"/>
    <w:p w14:paraId="1F06E709" w14:textId="77777777" w:rsidR="00E114DC" w:rsidRDefault="00E114DC" w:rsidP="00165E37">
      <w:pPr>
        <w:spacing w:before="60" w:after="120"/>
        <w:rPr>
          <w:rFonts w:eastAsia="Calibri"/>
          <w:b/>
          <w:i/>
        </w:rPr>
      </w:pPr>
    </w:p>
    <w:p w14:paraId="72B66653" w14:textId="6594F84F" w:rsidR="00165E37" w:rsidRPr="003A404D" w:rsidRDefault="00165E37" w:rsidP="00165E37">
      <w:pPr>
        <w:spacing w:before="60" w:after="120"/>
        <w:rPr>
          <w:rFonts w:eastAsia="Calibri"/>
          <w:b/>
          <w:i/>
        </w:rPr>
      </w:pPr>
      <w:r w:rsidRPr="003A404D">
        <w:rPr>
          <w:rFonts w:eastAsia="Calibri"/>
          <w:b/>
          <w:i/>
        </w:rPr>
        <w:t xml:space="preserve">Bilan global des risques environnementaux et sociaux </w:t>
      </w:r>
    </w:p>
    <w:p w14:paraId="30A499C4" w14:textId="77777777" w:rsidR="007C3FF9" w:rsidRDefault="007C3FF9" w:rsidP="007C3FF9">
      <w:pPr>
        <w:pStyle w:val="Paranumbering"/>
        <w:numPr>
          <w:ilvl w:val="0"/>
          <w:numId w:val="0"/>
        </w:numPr>
        <w:rPr>
          <w:rStyle w:val="hps"/>
          <w:rFonts w:asciiTheme="minorHAnsi" w:hAnsiTheme="minorHAnsi" w:cstheme="minorHAnsi"/>
          <w:color w:val="auto"/>
          <w:sz w:val="22"/>
          <w:szCs w:val="22"/>
          <w:u w:val="single"/>
          <w:lang w:val="fr-FR"/>
        </w:rPr>
      </w:pPr>
      <w:r w:rsidRPr="007C3FF9">
        <w:rPr>
          <w:rStyle w:val="hps"/>
          <w:rFonts w:asciiTheme="minorHAnsi" w:hAnsiTheme="minorHAnsi" w:cstheme="minorHAnsi"/>
          <w:color w:val="auto"/>
          <w:sz w:val="22"/>
          <w:szCs w:val="22"/>
          <w:u w:val="single"/>
          <w:lang w:val="fr-FR"/>
        </w:rPr>
        <w:t>Risques sociaux</w:t>
      </w:r>
    </w:p>
    <w:p w14:paraId="1E81DB97" w14:textId="6D11206E" w:rsidR="000D1C04" w:rsidRPr="00D85E9B" w:rsidRDefault="000D1C04" w:rsidP="00D85E9B">
      <w:pPr>
        <w:numPr>
          <w:ilvl w:val="0"/>
          <w:numId w:val="11"/>
        </w:numPr>
        <w:autoSpaceDE w:val="0"/>
        <w:autoSpaceDN w:val="0"/>
        <w:adjustRightInd w:val="0"/>
        <w:spacing w:before="120" w:after="0" w:line="360" w:lineRule="auto"/>
        <w:contextualSpacing/>
        <w:jc w:val="both"/>
        <w:rPr>
          <w:rStyle w:val="hps"/>
          <w:rFonts w:cstheme="minorHAnsi"/>
        </w:rPr>
      </w:pPr>
      <w:r w:rsidRPr="00D85E9B">
        <w:rPr>
          <w:rStyle w:val="hps"/>
          <w:rFonts w:cstheme="minorHAnsi"/>
        </w:rPr>
        <w:t xml:space="preserve">Etant </w:t>
      </w:r>
      <w:r w:rsidRPr="00D85E9B">
        <w:rPr>
          <w:rFonts w:eastAsia="ヒラギノ角ゴ Pro W3"/>
        </w:rPr>
        <w:t>donné</w:t>
      </w:r>
      <w:r w:rsidRPr="00D85E9B">
        <w:rPr>
          <w:rStyle w:val="hps"/>
          <w:rFonts w:cstheme="minorHAnsi"/>
        </w:rPr>
        <w:t xml:space="preserve"> la nature des activités financées par le Programme, elles ne sont susceptibles d’engendrer aucun risque social. </w:t>
      </w:r>
    </w:p>
    <w:p w14:paraId="73026C70" w14:textId="77777777" w:rsidR="007C3FF9" w:rsidRPr="007C3FF9" w:rsidRDefault="007C3FF9" w:rsidP="007C3FF9">
      <w:pPr>
        <w:pStyle w:val="Paranumbering"/>
        <w:numPr>
          <w:ilvl w:val="0"/>
          <w:numId w:val="0"/>
        </w:numPr>
        <w:rPr>
          <w:rStyle w:val="hps"/>
          <w:rFonts w:asciiTheme="minorHAnsi" w:hAnsiTheme="minorHAnsi" w:cstheme="minorHAnsi"/>
          <w:color w:val="auto"/>
          <w:sz w:val="22"/>
          <w:szCs w:val="22"/>
          <w:u w:val="single"/>
          <w:lang w:val="fr-FR"/>
        </w:rPr>
      </w:pPr>
      <w:r w:rsidRPr="007C3FF9">
        <w:rPr>
          <w:rStyle w:val="hps"/>
          <w:rFonts w:asciiTheme="minorHAnsi" w:hAnsiTheme="minorHAnsi" w:cstheme="minorHAnsi"/>
          <w:color w:val="auto"/>
          <w:sz w:val="22"/>
          <w:szCs w:val="22"/>
          <w:u w:val="single"/>
          <w:lang w:val="fr-FR"/>
        </w:rPr>
        <w:t>Risques environnementaux</w:t>
      </w:r>
    </w:p>
    <w:p w14:paraId="0B285272" w14:textId="0973E2CB" w:rsidR="007C3FF9" w:rsidRPr="007C3FF9" w:rsidRDefault="00347D69" w:rsidP="00D85E9B">
      <w:pPr>
        <w:numPr>
          <w:ilvl w:val="0"/>
          <w:numId w:val="11"/>
        </w:numPr>
        <w:autoSpaceDE w:val="0"/>
        <w:autoSpaceDN w:val="0"/>
        <w:adjustRightInd w:val="0"/>
        <w:spacing w:before="120" w:after="0" w:line="360" w:lineRule="auto"/>
        <w:contextualSpacing/>
        <w:jc w:val="both"/>
        <w:rPr>
          <w:rStyle w:val="hps"/>
          <w:rFonts w:cstheme="minorHAnsi"/>
        </w:rPr>
      </w:pPr>
      <w:r>
        <w:rPr>
          <w:rStyle w:val="hps"/>
          <w:rFonts w:cstheme="minorHAnsi"/>
        </w:rPr>
        <w:t xml:space="preserve">Les activités </w:t>
      </w:r>
      <w:r w:rsidRPr="00D85E9B">
        <w:t>financées</w:t>
      </w:r>
      <w:r>
        <w:rPr>
          <w:rStyle w:val="hps"/>
          <w:rFonts w:cstheme="minorHAnsi"/>
        </w:rPr>
        <w:t xml:space="preserve"> dans le cadre de ce Programme ne présentent aucun potentiel de génération de risques et d’impacts environnementaux</w:t>
      </w:r>
      <w:r w:rsidR="007C3FF9" w:rsidRPr="007C3FF9">
        <w:rPr>
          <w:rStyle w:val="hps"/>
          <w:rFonts w:cstheme="minorHAnsi"/>
        </w:rPr>
        <w:t>.</w:t>
      </w:r>
    </w:p>
    <w:p w14:paraId="64AFF79D" w14:textId="24EF8388" w:rsidR="000F1DEF" w:rsidRPr="00046E7D" w:rsidRDefault="007C3FF9" w:rsidP="00D85E9B">
      <w:pPr>
        <w:numPr>
          <w:ilvl w:val="0"/>
          <w:numId w:val="11"/>
        </w:numPr>
        <w:autoSpaceDE w:val="0"/>
        <w:autoSpaceDN w:val="0"/>
        <w:adjustRightInd w:val="0"/>
        <w:spacing w:before="120" w:after="0" w:line="360" w:lineRule="auto"/>
        <w:contextualSpacing/>
        <w:jc w:val="both"/>
        <w:rPr>
          <w:rStyle w:val="hps"/>
          <w:rFonts w:cstheme="minorHAnsi"/>
        </w:rPr>
      </w:pPr>
      <w:r w:rsidRPr="007C3FF9">
        <w:rPr>
          <w:rStyle w:val="hps"/>
          <w:rFonts w:cstheme="minorHAnsi"/>
        </w:rPr>
        <w:t xml:space="preserve">Les 2 tableaux ci-dessous </w:t>
      </w:r>
      <w:r w:rsidRPr="00D85E9B">
        <w:t>synthétisent</w:t>
      </w:r>
      <w:r w:rsidRPr="007C3FF9">
        <w:rPr>
          <w:rStyle w:val="hps"/>
          <w:rFonts w:cstheme="minorHAnsi"/>
        </w:rPr>
        <w:t xml:space="preserve"> les principaux risques sociaux et environnementaux ainsi que leurs mesures d’atténuation :</w:t>
      </w:r>
    </w:p>
    <w:p w14:paraId="156B48C5" w14:textId="6E09BC8E" w:rsidR="00816AC3" w:rsidRDefault="00816AC3" w:rsidP="00895C1C">
      <w:pPr>
        <w:pStyle w:val="Paranumbering"/>
        <w:numPr>
          <w:ilvl w:val="0"/>
          <w:numId w:val="0"/>
        </w:numPr>
        <w:spacing w:line="240" w:lineRule="auto"/>
        <w:ind w:left="360"/>
        <w:rPr>
          <w:color w:val="auto"/>
          <w:sz w:val="22"/>
          <w:szCs w:val="22"/>
          <w:lang w:val="fr-FR"/>
        </w:rPr>
      </w:pPr>
    </w:p>
    <w:p w14:paraId="06938794" w14:textId="67C89CCD" w:rsidR="00E5584D" w:rsidRPr="00D85E9B" w:rsidRDefault="00E5584D" w:rsidP="00895C1C">
      <w:pPr>
        <w:pStyle w:val="Paranumbering"/>
        <w:numPr>
          <w:ilvl w:val="0"/>
          <w:numId w:val="0"/>
        </w:numPr>
        <w:spacing w:line="240" w:lineRule="auto"/>
        <w:ind w:left="360"/>
        <w:rPr>
          <w:rFonts w:asciiTheme="minorHAnsi" w:hAnsiTheme="minorHAnsi" w:cstheme="minorHAnsi"/>
          <w:color w:val="auto"/>
          <w:sz w:val="20"/>
          <w:lang w:val="fr-FR"/>
        </w:rPr>
      </w:pPr>
      <w:r w:rsidRPr="00D85E9B">
        <w:rPr>
          <w:rFonts w:asciiTheme="minorHAnsi" w:hAnsiTheme="minorHAnsi" w:cstheme="minorHAnsi"/>
          <w:color w:val="auto"/>
          <w:sz w:val="20"/>
          <w:lang w:val="fr-FR"/>
        </w:rPr>
        <w:t>Tableau  : Principaux risques sociaux du Programme et mesures d’atténuation</w:t>
      </w:r>
    </w:p>
    <w:tbl>
      <w:tblPr>
        <w:tblStyle w:val="GridTable4-Accent5"/>
        <w:tblW w:w="9281" w:type="dxa"/>
        <w:tblLook w:val="04A0" w:firstRow="1" w:lastRow="0" w:firstColumn="1" w:lastColumn="0" w:noHBand="0" w:noVBand="1"/>
      </w:tblPr>
      <w:tblGrid>
        <w:gridCol w:w="1588"/>
        <w:gridCol w:w="4158"/>
        <w:gridCol w:w="1929"/>
        <w:gridCol w:w="1606"/>
      </w:tblGrid>
      <w:tr w:rsidR="00E5584D" w:rsidRPr="00347D69" w14:paraId="18E1F8FE" w14:textId="7C2218C8" w:rsidTr="00D85E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545F237" w14:textId="584479E6" w:rsidR="007C3FF9" w:rsidRPr="00D85E9B" w:rsidRDefault="007C3FF9" w:rsidP="00D85E9B">
            <w:pPr>
              <w:pStyle w:val="Paranumbering"/>
              <w:numPr>
                <w:ilvl w:val="0"/>
                <w:numId w:val="0"/>
              </w:numPr>
              <w:spacing w:line="240" w:lineRule="auto"/>
              <w:jc w:val="center"/>
              <w:rPr>
                <w:rFonts w:asciiTheme="minorHAnsi" w:hAnsiTheme="minorHAnsi" w:cstheme="minorHAnsi"/>
                <w:color w:val="auto"/>
                <w:sz w:val="18"/>
                <w:szCs w:val="18"/>
                <w:lang w:val="fr-FR"/>
              </w:rPr>
            </w:pPr>
            <w:bookmarkStart w:id="73" w:name="_Hlk65613398"/>
            <w:r w:rsidRPr="00D85E9B">
              <w:rPr>
                <w:rFonts w:asciiTheme="minorHAnsi" w:hAnsiTheme="minorHAnsi" w:cstheme="minorHAnsi"/>
                <w:color w:val="auto"/>
                <w:sz w:val="18"/>
                <w:szCs w:val="18"/>
                <w:lang w:val="fr-FR"/>
              </w:rPr>
              <w:t>Type</w:t>
            </w:r>
          </w:p>
        </w:tc>
        <w:tc>
          <w:tcPr>
            <w:tcW w:w="3348" w:type="dxa"/>
          </w:tcPr>
          <w:p w14:paraId="176A1767" w14:textId="606C053B" w:rsidR="007C3FF9" w:rsidRPr="00D85E9B" w:rsidRDefault="007C3FF9" w:rsidP="00D85E9B">
            <w:pPr>
              <w:pStyle w:val="Paranumbering"/>
              <w:numPr>
                <w:ilvl w:val="0"/>
                <w:numId w:val="0"/>
              </w:numPr>
              <w:spacing w:line="240" w:lineRule="auto"/>
              <w:ind w:left="5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fr-FR"/>
              </w:rPr>
            </w:pPr>
            <w:r w:rsidRPr="00D85E9B">
              <w:rPr>
                <w:rFonts w:asciiTheme="minorHAnsi" w:hAnsiTheme="minorHAnsi" w:cstheme="minorHAnsi"/>
                <w:color w:val="auto"/>
                <w:sz w:val="18"/>
                <w:szCs w:val="18"/>
                <w:lang w:val="fr-FR"/>
              </w:rPr>
              <w:t>Evaluation</w:t>
            </w:r>
          </w:p>
        </w:tc>
        <w:tc>
          <w:tcPr>
            <w:tcW w:w="1553" w:type="dxa"/>
          </w:tcPr>
          <w:p w14:paraId="5C1081CA" w14:textId="415AAE2E" w:rsidR="007C3FF9" w:rsidRPr="00D85E9B" w:rsidRDefault="007C3FF9" w:rsidP="00D85E9B">
            <w:pPr>
              <w:pStyle w:val="Paranumbering"/>
              <w:numPr>
                <w:ilvl w:val="0"/>
                <w:numId w:val="0"/>
              </w:num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fr-FR"/>
              </w:rPr>
            </w:pPr>
            <w:proofErr w:type="spellStart"/>
            <w:r w:rsidRPr="00D85E9B">
              <w:rPr>
                <w:rFonts w:asciiTheme="minorHAnsi" w:hAnsiTheme="minorHAnsi" w:cstheme="minorHAnsi"/>
                <w:sz w:val="18"/>
                <w:szCs w:val="18"/>
              </w:rPr>
              <w:t>Niveau</w:t>
            </w:r>
            <w:proofErr w:type="spellEnd"/>
            <w:r w:rsidRPr="00D85E9B">
              <w:rPr>
                <w:rFonts w:asciiTheme="minorHAnsi" w:hAnsiTheme="minorHAnsi" w:cstheme="minorHAnsi"/>
                <w:sz w:val="18"/>
                <w:szCs w:val="18"/>
              </w:rPr>
              <w:t xml:space="preserve"> de</w:t>
            </w:r>
            <w:r w:rsidR="00E5584D" w:rsidRPr="00D85E9B">
              <w:rPr>
                <w:rFonts w:asciiTheme="minorHAnsi" w:hAnsiTheme="minorHAnsi" w:cstheme="minorHAnsi"/>
                <w:sz w:val="18"/>
                <w:szCs w:val="18"/>
              </w:rPr>
              <w:t xml:space="preserve"> </w:t>
            </w:r>
            <w:proofErr w:type="spellStart"/>
            <w:r w:rsidRPr="00D85E9B">
              <w:rPr>
                <w:rFonts w:asciiTheme="minorHAnsi" w:hAnsiTheme="minorHAnsi" w:cstheme="minorHAnsi"/>
                <w:sz w:val="18"/>
                <w:szCs w:val="18"/>
              </w:rPr>
              <w:t>risque</w:t>
            </w:r>
            <w:proofErr w:type="spellEnd"/>
          </w:p>
        </w:tc>
        <w:tc>
          <w:tcPr>
            <w:tcW w:w="0" w:type="dxa"/>
          </w:tcPr>
          <w:p w14:paraId="00500524" w14:textId="327F2EB2" w:rsidR="007C3FF9" w:rsidRPr="00D85E9B" w:rsidRDefault="007C3FF9" w:rsidP="00D85E9B">
            <w:pPr>
              <w:pStyle w:val="Paranumbering"/>
              <w:numPr>
                <w:ilvl w:val="0"/>
                <w:numId w:val="0"/>
              </w:numPr>
              <w:spacing w:line="240" w:lineRule="auto"/>
              <w:ind w:left="4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fr-FR"/>
              </w:rPr>
            </w:pPr>
            <w:r w:rsidRPr="00D85E9B">
              <w:rPr>
                <w:rFonts w:asciiTheme="minorHAnsi" w:hAnsiTheme="minorHAnsi" w:cstheme="minorHAnsi"/>
                <w:color w:val="auto"/>
                <w:sz w:val="18"/>
                <w:szCs w:val="18"/>
                <w:lang w:val="fr-FR"/>
              </w:rPr>
              <w:t>Mesures d’atténuation</w:t>
            </w:r>
          </w:p>
        </w:tc>
      </w:tr>
      <w:bookmarkEnd w:id="73"/>
      <w:tr w:rsidR="00E5584D" w:rsidRPr="00347D69" w14:paraId="50D0D96A" w14:textId="77777777" w:rsidTr="00D85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019E39F" w14:textId="05DC0DBE" w:rsidR="007C3FF9" w:rsidRPr="00D85E9B" w:rsidRDefault="007C3FF9" w:rsidP="00D85E9B">
            <w:pPr>
              <w:pStyle w:val="Paranumbering"/>
              <w:numPr>
                <w:ilvl w:val="0"/>
                <w:numId w:val="0"/>
              </w:numPr>
              <w:spacing w:line="240" w:lineRule="auto"/>
              <w:ind w:left="67"/>
              <w:jc w:val="left"/>
              <w:rPr>
                <w:rFonts w:asciiTheme="minorHAnsi" w:hAnsiTheme="minorHAnsi" w:cstheme="minorHAnsi"/>
                <w:color w:val="auto"/>
                <w:sz w:val="18"/>
                <w:szCs w:val="18"/>
                <w:lang w:val="fr-FR"/>
              </w:rPr>
            </w:pPr>
            <w:r w:rsidRPr="00D85E9B">
              <w:rPr>
                <w:rFonts w:asciiTheme="minorHAnsi" w:hAnsiTheme="minorHAnsi" w:cstheme="minorHAnsi"/>
                <w:color w:val="auto"/>
                <w:sz w:val="18"/>
                <w:szCs w:val="18"/>
                <w:lang w:val="fr-FR"/>
              </w:rPr>
              <w:t>Déplacement</w:t>
            </w:r>
            <w:r w:rsidR="00E5584D" w:rsidRPr="00D85E9B">
              <w:rPr>
                <w:rFonts w:asciiTheme="minorHAnsi" w:hAnsiTheme="minorHAnsi" w:cstheme="minorHAnsi"/>
                <w:color w:val="auto"/>
                <w:sz w:val="18"/>
                <w:szCs w:val="18"/>
                <w:lang w:val="fr-FR"/>
              </w:rPr>
              <w:t xml:space="preserve"> </w:t>
            </w:r>
            <w:r w:rsidRPr="00D85E9B">
              <w:rPr>
                <w:rFonts w:asciiTheme="minorHAnsi" w:hAnsiTheme="minorHAnsi" w:cstheme="minorHAnsi"/>
                <w:color w:val="auto"/>
                <w:sz w:val="18"/>
                <w:szCs w:val="18"/>
                <w:lang w:val="fr-FR"/>
              </w:rPr>
              <w:t>involontaire de</w:t>
            </w:r>
            <w:r w:rsidR="00E5584D" w:rsidRPr="00D85E9B">
              <w:rPr>
                <w:rFonts w:asciiTheme="minorHAnsi" w:hAnsiTheme="minorHAnsi" w:cstheme="minorHAnsi"/>
                <w:color w:val="auto"/>
                <w:sz w:val="18"/>
                <w:szCs w:val="18"/>
                <w:lang w:val="fr-FR"/>
              </w:rPr>
              <w:t xml:space="preserve"> </w:t>
            </w:r>
            <w:r w:rsidRPr="00D85E9B">
              <w:rPr>
                <w:rFonts w:asciiTheme="minorHAnsi" w:hAnsiTheme="minorHAnsi" w:cstheme="minorHAnsi"/>
                <w:color w:val="auto"/>
                <w:sz w:val="18"/>
                <w:szCs w:val="18"/>
                <w:lang w:val="fr-FR"/>
              </w:rPr>
              <w:t>personnes</w:t>
            </w:r>
          </w:p>
        </w:tc>
        <w:tc>
          <w:tcPr>
            <w:tcW w:w="3348" w:type="dxa"/>
          </w:tcPr>
          <w:p w14:paraId="6C3E0735" w14:textId="0E1AA42C" w:rsidR="007C3FF9" w:rsidRPr="00D85E9B" w:rsidRDefault="0063209E" w:rsidP="00D85E9B">
            <w:pPr>
              <w:pStyle w:val="Paranumbering"/>
              <w:numPr>
                <w:ilvl w:val="0"/>
                <w:numId w:val="0"/>
              </w:numPr>
              <w:spacing w:line="240" w:lineRule="auto"/>
              <w:ind w:left="5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fr-FR"/>
              </w:rPr>
            </w:pPr>
            <w:r w:rsidRPr="00D85E9B">
              <w:rPr>
                <w:rFonts w:asciiTheme="minorHAnsi" w:hAnsiTheme="minorHAnsi" w:cstheme="minorHAnsi"/>
                <w:color w:val="auto"/>
                <w:sz w:val="18"/>
                <w:szCs w:val="18"/>
                <w:lang w:val="fr-FR"/>
              </w:rPr>
              <w:t>Aucune intervention structurelle n’est financée par le programme. Aucune acquisition foncière et aucun déplacement involontaire</w:t>
            </w:r>
          </w:p>
        </w:tc>
        <w:tc>
          <w:tcPr>
            <w:tcW w:w="1553" w:type="dxa"/>
          </w:tcPr>
          <w:p w14:paraId="22A7745E" w14:textId="6BA2BC9C" w:rsidR="007C3FF9" w:rsidRPr="00D85E9B" w:rsidRDefault="0063209E">
            <w:pPr>
              <w:pStyle w:val="Paranumbering"/>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fr-FR"/>
              </w:rPr>
            </w:pPr>
            <w:r w:rsidRPr="00D85E9B">
              <w:rPr>
                <w:rFonts w:asciiTheme="minorHAnsi" w:hAnsiTheme="minorHAnsi" w:cstheme="minorHAnsi"/>
                <w:color w:val="auto"/>
                <w:sz w:val="18"/>
                <w:szCs w:val="18"/>
                <w:lang w:val="fr-FR"/>
              </w:rPr>
              <w:t>Inexistant</w:t>
            </w:r>
          </w:p>
        </w:tc>
        <w:tc>
          <w:tcPr>
            <w:tcW w:w="0" w:type="dxa"/>
          </w:tcPr>
          <w:p w14:paraId="0D27F439" w14:textId="473A1616" w:rsidR="007C3FF9" w:rsidRPr="00D85E9B" w:rsidRDefault="0063209E" w:rsidP="00D85E9B">
            <w:pPr>
              <w:pStyle w:val="Paranumbering"/>
              <w:numPr>
                <w:ilvl w:val="0"/>
                <w:numId w:val="0"/>
              </w:numPr>
              <w:spacing w:line="240" w:lineRule="auto"/>
              <w:ind w:left="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fr-FR"/>
              </w:rPr>
            </w:pPr>
            <w:r w:rsidRPr="00D85E9B">
              <w:rPr>
                <w:rFonts w:asciiTheme="minorHAnsi" w:hAnsiTheme="minorHAnsi" w:cstheme="minorHAnsi"/>
                <w:color w:val="auto"/>
                <w:sz w:val="18"/>
                <w:szCs w:val="18"/>
                <w:lang w:val="fr-FR"/>
              </w:rPr>
              <w:t>Non applicable</w:t>
            </w:r>
          </w:p>
        </w:tc>
      </w:tr>
      <w:tr w:rsidR="00E5584D" w:rsidRPr="00347D69" w14:paraId="290D4A77" w14:textId="77777777" w:rsidTr="00D85E9B">
        <w:tc>
          <w:tcPr>
            <w:cnfStyle w:val="001000000000" w:firstRow="0" w:lastRow="0" w:firstColumn="1" w:lastColumn="0" w:oddVBand="0" w:evenVBand="0" w:oddHBand="0" w:evenHBand="0" w:firstRowFirstColumn="0" w:firstRowLastColumn="0" w:lastRowFirstColumn="0" w:lastRowLastColumn="0"/>
            <w:tcW w:w="0" w:type="dxa"/>
          </w:tcPr>
          <w:p w14:paraId="7731A5E0" w14:textId="608FF04B" w:rsidR="007C3FF9" w:rsidRPr="00D85E9B" w:rsidRDefault="00E5584D" w:rsidP="00D85E9B">
            <w:pPr>
              <w:pStyle w:val="Paranumbering"/>
              <w:numPr>
                <w:ilvl w:val="0"/>
                <w:numId w:val="0"/>
              </w:numPr>
              <w:spacing w:line="240" w:lineRule="auto"/>
              <w:ind w:left="67"/>
              <w:rPr>
                <w:rFonts w:asciiTheme="minorHAnsi" w:hAnsiTheme="minorHAnsi" w:cstheme="minorHAnsi"/>
                <w:color w:val="auto"/>
                <w:sz w:val="18"/>
                <w:szCs w:val="18"/>
                <w:lang w:val="fr-FR"/>
              </w:rPr>
            </w:pPr>
            <w:r w:rsidRPr="00D85E9B">
              <w:rPr>
                <w:rFonts w:asciiTheme="minorHAnsi" w:hAnsiTheme="minorHAnsi" w:cstheme="minorHAnsi"/>
                <w:color w:val="auto"/>
                <w:sz w:val="18"/>
                <w:szCs w:val="18"/>
                <w:lang w:val="fr-FR"/>
              </w:rPr>
              <w:t>Équité, Inclusion sociale</w:t>
            </w:r>
          </w:p>
        </w:tc>
        <w:tc>
          <w:tcPr>
            <w:tcW w:w="3348" w:type="dxa"/>
          </w:tcPr>
          <w:p w14:paraId="46B57192" w14:textId="4FE891BE" w:rsidR="007C3FF9" w:rsidRPr="00D85E9B" w:rsidRDefault="00A42E7D" w:rsidP="00D85E9B">
            <w:pPr>
              <w:pStyle w:val="Paranumbering"/>
              <w:numPr>
                <w:ilvl w:val="0"/>
                <w:numId w:val="0"/>
              </w:numPr>
              <w:spacing w:line="240" w:lineRule="auto"/>
              <w:ind w:left="5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fr-FR"/>
              </w:rPr>
            </w:pPr>
            <w:r w:rsidRPr="00D85E9B">
              <w:rPr>
                <w:rFonts w:asciiTheme="minorHAnsi" w:hAnsiTheme="minorHAnsi" w:cstheme="minorHAnsi"/>
                <w:color w:val="auto"/>
                <w:sz w:val="18"/>
                <w:szCs w:val="18"/>
                <w:lang w:val="fr-FR"/>
              </w:rPr>
              <w:t xml:space="preserve">Le programme ciblant des administrations, non des populations, il n’est susceptible de générer aucun risque d’iniquité ou d’exclusion sociale </w:t>
            </w:r>
          </w:p>
        </w:tc>
        <w:tc>
          <w:tcPr>
            <w:tcW w:w="1553" w:type="dxa"/>
          </w:tcPr>
          <w:p w14:paraId="39D2B6CC" w14:textId="1D512161" w:rsidR="007C3FF9" w:rsidRPr="00D85E9B" w:rsidRDefault="00A42E7D">
            <w:pPr>
              <w:pStyle w:val="Paranumbering"/>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fr-FR"/>
              </w:rPr>
            </w:pPr>
            <w:r w:rsidRPr="00D85E9B">
              <w:rPr>
                <w:rFonts w:asciiTheme="minorHAnsi" w:hAnsiTheme="minorHAnsi" w:cstheme="minorHAnsi"/>
                <w:color w:val="auto"/>
                <w:sz w:val="18"/>
                <w:szCs w:val="18"/>
                <w:lang w:val="fr-FR"/>
              </w:rPr>
              <w:t xml:space="preserve">Inexistant </w:t>
            </w:r>
          </w:p>
        </w:tc>
        <w:tc>
          <w:tcPr>
            <w:tcW w:w="0" w:type="dxa"/>
          </w:tcPr>
          <w:p w14:paraId="63BB71E5" w14:textId="47245910" w:rsidR="007C3FF9" w:rsidRPr="00D85E9B" w:rsidRDefault="00A42E7D" w:rsidP="00D85E9B">
            <w:pPr>
              <w:pStyle w:val="Paranumbering"/>
              <w:numPr>
                <w:ilvl w:val="0"/>
                <w:numId w:val="0"/>
              </w:numPr>
              <w:spacing w:line="240" w:lineRule="auto"/>
              <w:ind w:left="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fr-FR"/>
              </w:rPr>
            </w:pPr>
            <w:r w:rsidRPr="00D85E9B">
              <w:rPr>
                <w:rFonts w:asciiTheme="minorHAnsi" w:hAnsiTheme="minorHAnsi" w:cstheme="minorHAnsi"/>
                <w:color w:val="auto"/>
                <w:sz w:val="18"/>
                <w:szCs w:val="18"/>
                <w:lang w:val="fr-FR"/>
              </w:rPr>
              <w:t>Non applicable</w:t>
            </w:r>
          </w:p>
        </w:tc>
      </w:tr>
      <w:tr w:rsidR="00E5584D" w:rsidRPr="00347D69" w14:paraId="31B9694A" w14:textId="77777777" w:rsidTr="00D85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DEE7CC3" w14:textId="3F2089FB" w:rsidR="007C3FF9" w:rsidRPr="00D85E9B" w:rsidRDefault="00E5584D" w:rsidP="00D85E9B">
            <w:pPr>
              <w:pStyle w:val="Paranumbering"/>
              <w:numPr>
                <w:ilvl w:val="0"/>
                <w:numId w:val="0"/>
              </w:numPr>
              <w:spacing w:line="240" w:lineRule="auto"/>
              <w:ind w:left="67"/>
              <w:rPr>
                <w:rFonts w:asciiTheme="minorHAnsi" w:hAnsiTheme="minorHAnsi" w:cstheme="minorHAnsi"/>
                <w:color w:val="auto"/>
                <w:sz w:val="18"/>
                <w:szCs w:val="18"/>
                <w:lang w:val="fr-FR"/>
              </w:rPr>
            </w:pPr>
            <w:r w:rsidRPr="00D85E9B">
              <w:rPr>
                <w:rFonts w:asciiTheme="minorHAnsi" w:hAnsiTheme="minorHAnsi" w:cstheme="minorHAnsi"/>
                <w:color w:val="auto"/>
                <w:sz w:val="18"/>
                <w:szCs w:val="18"/>
                <w:lang w:val="fr-FR"/>
              </w:rPr>
              <w:t>Conflits sociaux</w:t>
            </w:r>
          </w:p>
        </w:tc>
        <w:tc>
          <w:tcPr>
            <w:tcW w:w="3348" w:type="dxa"/>
          </w:tcPr>
          <w:p w14:paraId="41353442" w14:textId="03DE287C" w:rsidR="007C3FF9" w:rsidRPr="00D85E9B" w:rsidRDefault="000D3348" w:rsidP="00D85E9B">
            <w:pPr>
              <w:pStyle w:val="Paranumbering"/>
              <w:numPr>
                <w:ilvl w:val="0"/>
                <w:numId w:val="0"/>
              </w:numPr>
              <w:spacing w:line="240" w:lineRule="auto"/>
              <w:ind w:left="5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fr-FR"/>
              </w:rPr>
            </w:pPr>
            <w:r w:rsidRPr="00D85E9B">
              <w:rPr>
                <w:rFonts w:asciiTheme="minorHAnsi" w:hAnsiTheme="minorHAnsi" w:cstheme="minorHAnsi"/>
                <w:color w:val="auto"/>
                <w:sz w:val="18"/>
                <w:szCs w:val="18"/>
                <w:lang w:val="fr-FR"/>
              </w:rPr>
              <w:t>Le programme ciblant des entités administratives et n’affectant les populations qu’indirectement, il n’est susceptible de présenter aucun risque de conflits sociaux</w:t>
            </w:r>
          </w:p>
        </w:tc>
        <w:tc>
          <w:tcPr>
            <w:tcW w:w="1553" w:type="dxa"/>
          </w:tcPr>
          <w:p w14:paraId="3122A5B7" w14:textId="7FAD7024" w:rsidR="007C3FF9" w:rsidRPr="00D85E9B" w:rsidRDefault="000D3348">
            <w:pPr>
              <w:pStyle w:val="Paranumbering"/>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fr-FR"/>
              </w:rPr>
            </w:pPr>
            <w:r w:rsidRPr="00D85E9B">
              <w:rPr>
                <w:rFonts w:asciiTheme="minorHAnsi" w:hAnsiTheme="minorHAnsi" w:cstheme="minorHAnsi"/>
                <w:color w:val="auto"/>
                <w:sz w:val="18"/>
                <w:szCs w:val="18"/>
                <w:lang w:val="fr-FR"/>
              </w:rPr>
              <w:t>Inexistant</w:t>
            </w:r>
          </w:p>
        </w:tc>
        <w:tc>
          <w:tcPr>
            <w:tcW w:w="0" w:type="dxa"/>
          </w:tcPr>
          <w:p w14:paraId="193C19E0" w14:textId="4D50E4EE" w:rsidR="007C3FF9" w:rsidRPr="00D85E9B" w:rsidRDefault="00A42E7D" w:rsidP="00D85E9B">
            <w:pPr>
              <w:pStyle w:val="Paranumbering"/>
              <w:numPr>
                <w:ilvl w:val="0"/>
                <w:numId w:val="0"/>
              </w:numPr>
              <w:spacing w:line="240" w:lineRule="auto"/>
              <w:ind w:left="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fr-FR"/>
              </w:rPr>
            </w:pPr>
            <w:r w:rsidRPr="00D85E9B">
              <w:rPr>
                <w:rFonts w:asciiTheme="minorHAnsi" w:hAnsiTheme="minorHAnsi" w:cstheme="minorHAnsi"/>
                <w:color w:val="auto"/>
                <w:sz w:val="18"/>
                <w:szCs w:val="18"/>
                <w:lang w:val="fr-FR"/>
              </w:rPr>
              <w:t>Non applicable</w:t>
            </w:r>
          </w:p>
        </w:tc>
      </w:tr>
    </w:tbl>
    <w:p w14:paraId="07BBFB7A" w14:textId="7E310C29" w:rsidR="007C3FF9" w:rsidRDefault="007C3FF9" w:rsidP="00895C1C">
      <w:pPr>
        <w:pStyle w:val="Paranumbering"/>
        <w:numPr>
          <w:ilvl w:val="0"/>
          <w:numId w:val="0"/>
        </w:numPr>
        <w:spacing w:line="240" w:lineRule="auto"/>
        <w:ind w:left="360"/>
        <w:rPr>
          <w:color w:val="auto"/>
          <w:sz w:val="22"/>
          <w:szCs w:val="22"/>
          <w:lang w:val="fr-FR"/>
        </w:rPr>
      </w:pPr>
    </w:p>
    <w:p w14:paraId="3AAC8119" w14:textId="6607E3C6" w:rsidR="00E5584D" w:rsidRPr="00D85E9B" w:rsidRDefault="00E5584D" w:rsidP="00895C1C">
      <w:pPr>
        <w:pStyle w:val="Paranumbering"/>
        <w:numPr>
          <w:ilvl w:val="0"/>
          <w:numId w:val="0"/>
        </w:numPr>
        <w:spacing w:line="240" w:lineRule="auto"/>
        <w:ind w:left="360"/>
        <w:rPr>
          <w:rFonts w:asciiTheme="minorHAnsi" w:hAnsiTheme="minorHAnsi" w:cstheme="minorHAnsi"/>
          <w:color w:val="auto"/>
          <w:sz w:val="20"/>
          <w:lang w:val="fr-FR"/>
        </w:rPr>
      </w:pPr>
      <w:r w:rsidRPr="00D85E9B">
        <w:rPr>
          <w:rFonts w:asciiTheme="minorHAnsi" w:hAnsiTheme="minorHAnsi" w:cstheme="minorHAnsi"/>
          <w:color w:val="auto"/>
          <w:sz w:val="20"/>
          <w:lang w:val="fr-FR"/>
        </w:rPr>
        <w:t>Tableau: Principaux risques environnementaux du Programme et mesures d’atténuation</w:t>
      </w:r>
    </w:p>
    <w:tbl>
      <w:tblPr>
        <w:tblStyle w:val="GridTable4-Accent5"/>
        <w:tblW w:w="9296" w:type="dxa"/>
        <w:tblLook w:val="04A0" w:firstRow="1" w:lastRow="0" w:firstColumn="1" w:lastColumn="0" w:noHBand="0" w:noVBand="1"/>
      </w:tblPr>
      <w:tblGrid>
        <w:gridCol w:w="1155"/>
        <w:gridCol w:w="4217"/>
        <w:gridCol w:w="2286"/>
        <w:gridCol w:w="1638"/>
      </w:tblGrid>
      <w:tr w:rsidR="00E5584D" w:rsidRPr="00347D69" w14:paraId="046A7221" w14:textId="77777777" w:rsidTr="00D85E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6CF8DD7" w14:textId="7F257A1B" w:rsidR="00E5584D" w:rsidRPr="00D85E9B" w:rsidRDefault="00E5584D" w:rsidP="00D85E9B">
            <w:pPr>
              <w:pStyle w:val="Paranumbering"/>
              <w:numPr>
                <w:ilvl w:val="0"/>
                <w:numId w:val="0"/>
              </w:numPr>
              <w:spacing w:line="240" w:lineRule="auto"/>
              <w:jc w:val="center"/>
              <w:rPr>
                <w:rFonts w:asciiTheme="minorHAnsi" w:hAnsiTheme="minorHAnsi" w:cstheme="minorHAnsi"/>
                <w:color w:val="auto"/>
                <w:sz w:val="18"/>
                <w:szCs w:val="18"/>
                <w:lang w:val="fr-FR"/>
              </w:rPr>
            </w:pPr>
            <w:r w:rsidRPr="00D85E9B">
              <w:rPr>
                <w:rFonts w:asciiTheme="minorHAnsi" w:hAnsiTheme="minorHAnsi" w:cstheme="minorHAnsi"/>
                <w:color w:val="auto"/>
                <w:sz w:val="18"/>
                <w:szCs w:val="18"/>
                <w:lang w:val="fr-FR"/>
              </w:rPr>
              <w:t>Type</w:t>
            </w:r>
          </w:p>
        </w:tc>
        <w:tc>
          <w:tcPr>
            <w:tcW w:w="3208" w:type="dxa"/>
          </w:tcPr>
          <w:p w14:paraId="03814AE0" w14:textId="2898A982" w:rsidR="00E5584D" w:rsidRPr="00D85E9B" w:rsidRDefault="00E5584D" w:rsidP="00D85E9B">
            <w:pPr>
              <w:pStyle w:val="Paranumbering"/>
              <w:numPr>
                <w:ilvl w:val="0"/>
                <w:numId w:val="0"/>
              </w:num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fr-FR"/>
              </w:rPr>
            </w:pPr>
            <w:r w:rsidRPr="00D85E9B">
              <w:rPr>
                <w:rFonts w:asciiTheme="minorHAnsi" w:hAnsiTheme="minorHAnsi" w:cstheme="minorHAnsi"/>
                <w:color w:val="auto"/>
                <w:sz w:val="18"/>
                <w:szCs w:val="18"/>
                <w:lang w:val="fr-FR"/>
              </w:rPr>
              <w:t>Evaluation</w:t>
            </w:r>
          </w:p>
        </w:tc>
        <w:tc>
          <w:tcPr>
            <w:tcW w:w="1739" w:type="dxa"/>
          </w:tcPr>
          <w:p w14:paraId="13188CDF" w14:textId="77777777" w:rsidR="00E5584D" w:rsidRPr="00D85E9B" w:rsidRDefault="00E5584D" w:rsidP="00D85E9B">
            <w:pPr>
              <w:pStyle w:val="Paranumbering"/>
              <w:numPr>
                <w:ilvl w:val="0"/>
                <w:numId w:val="0"/>
              </w:numPr>
              <w:spacing w:line="24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fr-FR"/>
              </w:rPr>
            </w:pPr>
            <w:r w:rsidRPr="00D85E9B">
              <w:rPr>
                <w:rFonts w:asciiTheme="minorHAnsi" w:hAnsiTheme="minorHAnsi" w:cstheme="minorHAnsi"/>
                <w:color w:val="auto"/>
                <w:sz w:val="18"/>
                <w:szCs w:val="18"/>
                <w:lang w:val="fr-FR"/>
              </w:rPr>
              <w:t>Niveau de risque</w:t>
            </w:r>
          </w:p>
          <w:p w14:paraId="122217B8" w14:textId="77777777" w:rsidR="00E5584D" w:rsidRPr="00D85E9B" w:rsidRDefault="00E5584D" w:rsidP="00D85E9B">
            <w:pPr>
              <w:pStyle w:val="Paranumbering"/>
              <w:numPr>
                <w:ilvl w:val="0"/>
                <w:numId w:val="0"/>
              </w:num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fr-FR"/>
              </w:rPr>
            </w:pPr>
          </w:p>
        </w:tc>
        <w:tc>
          <w:tcPr>
            <w:tcW w:w="0" w:type="dxa"/>
          </w:tcPr>
          <w:p w14:paraId="40F4A4FE" w14:textId="4E8CAB15" w:rsidR="00E5584D" w:rsidRPr="00D85E9B" w:rsidRDefault="00E5584D" w:rsidP="00D85E9B">
            <w:pPr>
              <w:pStyle w:val="Paranumbering"/>
              <w:numPr>
                <w:ilvl w:val="0"/>
                <w:numId w:val="0"/>
              </w:num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fr-FR"/>
              </w:rPr>
            </w:pPr>
            <w:r w:rsidRPr="00D85E9B">
              <w:rPr>
                <w:rFonts w:asciiTheme="minorHAnsi" w:hAnsiTheme="minorHAnsi" w:cstheme="minorHAnsi"/>
                <w:color w:val="auto"/>
                <w:sz w:val="18"/>
                <w:szCs w:val="18"/>
                <w:lang w:val="fr-FR"/>
              </w:rPr>
              <w:t>Mesures d’atténuation</w:t>
            </w:r>
          </w:p>
        </w:tc>
      </w:tr>
      <w:tr w:rsidR="00E5584D" w:rsidRPr="00347D69" w14:paraId="00CEA91F" w14:textId="77777777" w:rsidTr="00D85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2A904E7" w14:textId="042D00BB" w:rsidR="00E5584D" w:rsidRPr="00D85E9B" w:rsidRDefault="00E5584D" w:rsidP="00D85E9B">
            <w:pPr>
              <w:pStyle w:val="Paranumbering"/>
              <w:numPr>
                <w:ilvl w:val="0"/>
                <w:numId w:val="0"/>
              </w:numPr>
              <w:spacing w:line="240" w:lineRule="auto"/>
              <w:rPr>
                <w:rFonts w:asciiTheme="minorHAnsi" w:hAnsiTheme="minorHAnsi" w:cstheme="minorHAnsi"/>
                <w:color w:val="auto"/>
                <w:sz w:val="18"/>
                <w:szCs w:val="18"/>
                <w:lang w:val="fr-FR"/>
              </w:rPr>
            </w:pPr>
            <w:r w:rsidRPr="00D85E9B">
              <w:rPr>
                <w:rFonts w:asciiTheme="minorHAnsi" w:hAnsiTheme="minorHAnsi" w:cstheme="minorHAnsi"/>
                <w:color w:val="auto"/>
                <w:sz w:val="18"/>
                <w:szCs w:val="18"/>
                <w:lang w:val="fr-FR"/>
              </w:rPr>
              <w:t>HSE liés aux travaux de génie civil</w:t>
            </w:r>
          </w:p>
        </w:tc>
        <w:tc>
          <w:tcPr>
            <w:tcW w:w="3208" w:type="dxa"/>
          </w:tcPr>
          <w:p w14:paraId="292DCC24" w14:textId="73F372D2" w:rsidR="00E5584D" w:rsidRPr="00D85E9B" w:rsidRDefault="00E5584D" w:rsidP="00E5584D">
            <w:pPr>
              <w:pStyle w:val="Paranumbering"/>
              <w:spacing w:line="240" w:lineRule="auto"/>
              <w:ind w:left="5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fr-FR"/>
              </w:rPr>
            </w:pPr>
            <w:r w:rsidRPr="00D85E9B">
              <w:rPr>
                <w:rFonts w:asciiTheme="minorHAnsi" w:hAnsiTheme="minorHAnsi" w:cstheme="minorHAnsi"/>
                <w:color w:val="auto"/>
                <w:sz w:val="18"/>
                <w:szCs w:val="18"/>
                <w:lang w:val="fr-FR"/>
              </w:rPr>
              <w:t>Aucune intervention structurelle n’est financée par le Programme et par suite absence de tout impact ou gêne liés aux travaux d’aménagement, de démolition ou de réhabilitation</w:t>
            </w:r>
          </w:p>
        </w:tc>
        <w:tc>
          <w:tcPr>
            <w:tcW w:w="1739" w:type="dxa"/>
          </w:tcPr>
          <w:p w14:paraId="5CFD39BA" w14:textId="1FC886FD" w:rsidR="00E5584D" w:rsidRPr="00D85E9B" w:rsidRDefault="00E5584D" w:rsidP="00E5584D">
            <w:pPr>
              <w:pStyle w:val="Paranumbering"/>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fr-FR"/>
              </w:rPr>
            </w:pPr>
            <w:r w:rsidRPr="00D85E9B">
              <w:rPr>
                <w:rFonts w:asciiTheme="minorHAnsi" w:hAnsiTheme="minorHAnsi" w:cstheme="minorHAnsi"/>
                <w:color w:val="auto"/>
                <w:sz w:val="18"/>
                <w:szCs w:val="18"/>
                <w:lang w:val="fr-FR"/>
              </w:rPr>
              <w:t>Inexistant</w:t>
            </w:r>
          </w:p>
        </w:tc>
        <w:tc>
          <w:tcPr>
            <w:tcW w:w="0" w:type="dxa"/>
          </w:tcPr>
          <w:p w14:paraId="799C6B56" w14:textId="5F15583D" w:rsidR="00E5584D" w:rsidRPr="00D85E9B" w:rsidRDefault="00E5584D" w:rsidP="00E5584D">
            <w:pPr>
              <w:pStyle w:val="Paranumbering"/>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fr-FR"/>
              </w:rPr>
            </w:pPr>
            <w:r w:rsidRPr="00D85E9B">
              <w:rPr>
                <w:rFonts w:asciiTheme="minorHAnsi" w:hAnsiTheme="minorHAnsi" w:cstheme="minorHAnsi"/>
                <w:color w:val="auto"/>
                <w:sz w:val="18"/>
                <w:szCs w:val="18"/>
                <w:lang w:val="fr-FR"/>
              </w:rPr>
              <w:t>Aucune</w:t>
            </w:r>
          </w:p>
        </w:tc>
      </w:tr>
      <w:tr w:rsidR="00E5584D" w:rsidRPr="00347D69" w14:paraId="1DE41FB1" w14:textId="77777777" w:rsidTr="00D85E9B">
        <w:tc>
          <w:tcPr>
            <w:cnfStyle w:val="001000000000" w:firstRow="0" w:lastRow="0" w:firstColumn="1" w:lastColumn="0" w:oddVBand="0" w:evenVBand="0" w:oddHBand="0" w:evenHBand="0" w:firstRowFirstColumn="0" w:firstRowLastColumn="0" w:lastRowFirstColumn="0" w:lastRowLastColumn="0"/>
            <w:tcW w:w="0" w:type="dxa"/>
          </w:tcPr>
          <w:p w14:paraId="133ACCE0" w14:textId="401BC799" w:rsidR="00E5584D" w:rsidRPr="00D85E9B" w:rsidRDefault="00E5584D" w:rsidP="00D85E9B">
            <w:pPr>
              <w:pStyle w:val="Paranumbering"/>
              <w:numPr>
                <w:ilvl w:val="0"/>
                <w:numId w:val="0"/>
              </w:numPr>
              <w:spacing w:line="240" w:lineRule="auto"/>
              <w:rPr>
                <w:rFonts w:asciiTheme="minorHAnsi" w:hAnsiTheme="minorHAnsi" w:cstheme="minorHAnsi"/>
                <w:color w:val="auto"/>
                <w:sz w:val="18"/>
                <w:szCs w:val="18"/>
                <w:lang w:val="fr-FR"/>
              </w:rPr>
            </w:pPr>
            <w:r w:rsidRPr="00D85E9B">
              <w:rPr>
                <w:rFonts w:asciiTheme="minorHAnsi" w:hAnsiTheme="minorHAnsi" w:cstheme="minorHAnsi"/>
                <w:color w:val="auto"/>
                <w:sz w:val="18"/>
                <w:szCs w:val="18"/>
                <w:lang w:val="fr-FR"/>
              </w:rPr>
              <w:t>Hygiène publique</w:t>
            </w:r>
          </w:p>
        </w:tc>
        <w:tc>
          <w:tcPr>
            <w:tcW w:w="3208" w:type="dxa"/>
          </w:tcPr>
          <w:p w14:paraId="51D27335" w14:textId="3BA29AE4" w:rsidR="00E5584D" w:rsidRPr="00D85E9B" w:rsidRDefault="00E5584D" w:rsidP="0082051C">
            <w:pPr>
              <w:pStyle w:val="Paranumbering"/>
              <w:spacing w:line="240" w:lineRule="auto"/>
              <w:ind w:left="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fr-FR"/>
              </w:rPr>
            </w:pPr>
            <w:r w:rsidRPr="00D85E9B">
              <w:rPr>
                <w:rFonts w:asciiTheme="minorHAnsi" w:hAnsiTheme="minorHAnsi" w:cstheme="minorHAnsi"/>
                <w:color w:val="auto"/>
                <w:sz w:val="18"/>
                <w:szCs w:val="18"/>
                <w:lang w:val="fr-FR"/>
              </w:rPr>
              <w:t>Aucune activité liée à la mise à disposition des commodités n’est financée</w:t>
            </w:r>
            <w:r w:rsidR="0082051C" w:rsidRPr="00D85E9B">
              <w:rPr>
                <w:rFonts w:asciiTheme="minorHAnsi" w:hAnsiTheme="minorHAnsi" w:cstheme="minorHAnsi"/>
                <w:color w:val="auto"/>
                <w:sz w:val="18"/>
                <w:szCs w:val="18"/>
                <w:lang w:val="fr-FR"/>
              </w:rPr>
              <w:t xml:space="preserve"> </w:t>
            </w:r>
            <w:r w:rsidRPr="00D85E9B">
              <w:rPr>
                <w:rFonts w:asciiTheme="minorHAnsi" w:hAnsiTheme="minorHAnsi" w:cstheme="minorHAnsi"/>
                <w:color w:val="auto"/>
                <w:sz w:val="18"/>
                <w:szCs w:val="18"/>
                <w:lang w:val="fr-FR"/>
              </w:rPr>
              <w:t>par le Programme</w:t>
            </w:r>
          </w:p>
        </w:tc>
        <w:tc>
          <w:tcPr>
            <w:tcW w:w="1739" w:type="dxa"/>
          </w:tcPr>
          <w:p w14:paraId="119AA8B0" w14:textId="4BD41BD0" w:rsidR="00E5584D" w:rsidRPr="00D85E9B" w:rsidRDefault="0082051C" w:rsidP="00E5584D">
            <w:pPr>
              <w:pStyle w:val="Paranumbering"/>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fr-FR"/>
              </w:rPr>
            </w:pPr>
            <w:r w:rsidRPr="00D85E9B">
              <w:rPr>
                <w:rFonts w:asciiTheme="minorHAnsi" w:hAnsiTheme="minorHAnsi" w:cstheme="minorHAnsi"/>
                <w:color w:val="auto"/>
                <w:sz w:val="18"/>
                <w:szCs w:val="18"/>
                <w:lang w:val="fr-FR"/>
              </w:rPr>
              <w:t>Inexistant</w:t>
            </w:r>
          </w:p>
        </w:tc>
        <w:tc>
          <w:tcPr>
            <w:tcW w:w="0" w:type="dxa"/>
          </w:tcPr>
          <w:p w14:paraId="75461D6F" w14:textId="7F717ECC" w:rsidR="00E5584D" w:rsidRPr="00D85E9B" w:rsidRDefault="0082051C" w:rsidP="00E5584D">
            <w:pPr>
              <w:pStyle w:val="Paranumbering"/>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fr-FR"/>
              </w:rPr>
            </w:pPr>
            <w:r w:rsidRPr="00D85E9B">
              <w:rPr>
                <w:rFonts w:asciiTheme="minorHAnsi" w:hAnsiTheme="minorHAnsi" w:cstheme="minorHAnsi"/>
                <w:color w:val="auto"/>
                <w:sz w:val="18"/>
                <w:szCs w:val="18"/>
                <w:lang w:val="fr-FR"/>
              </w:rPr>
              <w:t>Aucune</w:t>
            </w:r>
          </w:p>
        </w:tc>
      </w:tr>
    </w:tbl>
    <w:p w14:paraId="113F3E60" w14:textId="4248B2FB" w:rsidR="00E5584D" w:rsidRDefault="00E5584D" w:rsidP="00895C1C">
      <w:pPr>
        <w:pStyle w:val="Paranumbering"/>
        <w:numPr>
          <w:ilvl w:val="0"/>
          <w:numId w:val="0"/>
        </w:numPr>
        <w:spacing w:line="240" w:lineRule="auto"/>
        <w:ind w:left="360"/>
        <w:rPr>
          <w:color w:val="auto"/>
          <w:sz w:val="22"/>
          <w:szCs w:val="22"/>
          <w:lang w:val="fr-FR"/>
        </w:rPr>
      </w:pPr>
    </w:p>
    <w:p w14:paraId="0B79844A" w14:textId="57BA1425" w:rsidR="00816AC3" w:rsidRDefault="00816AC3" w:rsidP="00D85E9B">
      <w:pPr>
        <w:pStyle w:val="Heading2"/>
        <w:numPr>
          <w:ilvl w:val="1"/>
          <w:numId w:val="65"/>
        </w:numPr>
        <w:rPr>
          <w:rFonts w:ascii="Candara" w:hAnsi="Candara"/>
          <w:color w:val="auto"/>
          <w:lang w:val="fr-FR"/>
        </w:rPr>
      </w:pPr>
      <w:bookmarkStart w:id="74" w:name="_Toc496827319"/>
      <w:bookmarkStart w:id="75" w:name="_Toc74241386"/>
      <w:r w:rsidRPr="00046E7D">
        <w:rPr>
          <w:rFonts w:ascii="Candara" w:hAnsi="Candara"/>
          <w:color w:val="auto"/>
          <w:lang w:val="fr-FR"/>
        </w:rPr>
        <w:t>Expériences antérieures des institutions impliquées dans le Programme</w:t>
      </w:r>
      <w:bookmarkEnd w:id="74"/>
      <w:bookmarkEnd w:id="75"/>
      <w:r w:rsidRPr="00046E7D">
        <w:rPr>
          <w:rFonts w:ascii="Candara" w:hAnsi="Candara"/>
          <w:color w:val="auto"/>
          <w:lang w:val="fr-FR"/>
        </w:rPr>
        <w:t xml:space="preserve"> </w:t>
      </w:r>
    </w:p>
    <w:p w14:paraId="5F19F6C1" w14:textId="77777777" w:rsidR="00CB6D54" w:rsidRPr="00D85E9B" w:rsidRDefault="00CB6D54" w:rsidP="00D85E9B"/>
    <w:p w14:paraId="12AEF037" w14:textId="01440ED5" w:rsidR="00C036A1" w:rsidRPr="00046E7D" w:rsidRDefault="00ED185F" w:rsidP="00D85E9B">
      <w:pPr>
        <w:numPr>
          <w:ilvl w:val="0"/>
          <w:numId w:val="11"/>
        </w:numPr>
        <w:autoSpaceDE w:val="0"/>
        <w:autoSpaceDN w:val="0"/>
        <w:adjustRightInd w:val="0"/>
        <w:spacing w:before="120" w:after="0" w:line="360" w:lineRule="auto"/>
        <w:contextualSpacing/>
        <w:jc w:val="both"/>
        <w:rPr>
          <w:rStyle w:val="hps"/>
          <w:rFonts w:cstheme="minorHAnsi"/>
        </w:rPr>
      </w:pPr>
      <w:r>
        <w:rPr>
          <w:rStyle w:val="hps"/>
          <w:rFonts w:cstheme="minorHAnsi"/>
        </w:rPr>
        <w:lastRenderedPageBreak/>
        <w:t xml:space="preserve">Mise à part </w:t>
      </w:r>
      <w:r w:rsidRPr="00D85E9B">
        <w:rPr>
          <w:rFonts w:eastAsia="ヒラギノ角ゴ Pro W3"/>
        </w:rPr>
        <w:t>l’Agence</w:t>
      </w:r>
      <w:r>
        <w:rPr>
          <w:rStyle w:val="hps"/>
          <w:rFonts w:cstheme="minorHAnsi"/>
        </w:rPr>
        <w:t xml:space="preserve"> de </w:t>
      </w:r>
      <w:r w:rsidR="00660C12">
        <w:rPr>
          <w:rStyle w:val="hps"/>
          <w:rFonts w:cstheme="minorHAnsi"/>
        </w:rPr>
        <w:t>D</w:t>
      </w:r>
      <w:r>
        <w:rPr>
          <w:rStyle w:val="hps"/>
          <w:rFonts w:cstheme="minorHAnsi"/>
        </w:rPr>
        <w:t>éveloppement du Digital (ADD)</w:t>
      </w:r>
      <w:r w:rsidR="00660C12">
        <w:rPr>
          <w:rStyle w:val="hps"/>
          <w:rFonts w:cstheme="minorHAnsi"/>
        </w:rPr>
        <w:t xml:space="preserve"> et qui était récemment créée</w:t>
      </w:r>
      <w:r>
        <w:rPr>
          <w:rStyle w:val="hps"/>
          <w:rFonts w:cstheme="minorHAnsi"/>
        </w:rPr>
        <w:t>, l</w:t>
      </w:r>
      <w:r w:rsidR="00816AC3" w:rsidRPr="00046E7D">
        <w:rPr>
          <w:rStyle w:val="hps"/>
          <w:rFonts w:cstheme="minorHAnsi"/>
        </w:rPr>
        <w:t xml:space="preserve">es institutions impliquées dans le Programme ont une longue histoire de collaboration avec la Banque mondiale dans le cadre des précédents Projets et Programme de Développement menés au Maroc au cours des deux dernières décennies. </w:t>
      </w:r>
    </w:p>
    <w:p w14:paraId="1A95FE19" w14:textId="2AF9A100" w:rsidR="00233DA1" w:rsidRPr="00D85E9B" w:rsidRDefault="00816AC3" w:rsidP="00D85E9B">
      <w:pPr>
        <w:numPr>
          <w:ilvl w:val="0"/>
          <w:numId w:val="11"/>
        </w:numPr>
        <w:autoSpaceDE w:val="0"/>
        <w:autoSpaceDN w:val="0"/>
        <w:adjustRightInd w:val="0"/>
        <w:spacing w:before="120" w:after="0" w:line="360" w:lineRule="auto"/>
        <w:contextualSpacing/>
        <w:jc w:val="both"/>
        <w:rPr>
          <w:rStyle w:val="hps"/>
          <w:rFonts w:ascii="Times New Roman" w:hAnsi="Times New Roman" w:cs="Times New Roman"/>
          <w:sz w:val="24"/>
          <w:szCs w:val="20"/>
        </w:rPr>
      </w:pPr>
      <w:r w:rsidRPr="001F6031">
        <w:rPr>
          <w:rStyle w:val="hps"/>
          <w:rFonts w:cstheme="minorHAnsi"/>
        </w:rPr>
        <w:t>Le Ministère des Finances est impliqué dans pratiquement tous ces projets, et notamment dans le PPR dans le cadre de la phase 2 de l’INDH, le PPR pour l’appui au secteur de la Santé, le PPR pour l’appui au secteur du Transport urbain et le PPR sur</w:t>
      </w:r>
      <w:r w:rsidRPr="001C6D8C">
        <w:rPr>
          <w:rStyle w:val="hps"/>
          <w:rFonts w:cstheme="minorHAnsi"/>
        </w:rPr>
        <w:t xml:space="preserve"> la gestion intégrée des risques et catastrophes naturelles</w:t>
      </w:r>
      <w:r w:rsidR="004D63BB" w:rsidRPr="001C6D8C">
        <w:rPr>
          <w:rStyle w:val="hps"/>
          <w:rFonts w:cstheme="minorHAnsi"/>
        </w:rPr>
        <w:t>, le PPR pour le renforcement des chaines de valeur agroalimentaires</w:t>
      </w:r>
      <w:r w:rsidR="00ED185F" w:rsidRPr="001C6D8C">
        <w:rPr>
          <w:rStyle w:val="hps"/>
          <w:rFonts w:cstheme="minorHAnsi"/>
        </w:rPr>
        <w:t>, le PPR d’appui à la génération g</w:t>
      </w:r>
      <w:r w:rsidR="00ED185F" w:rsidRPr="00D85E9B">
        <w:rPr>
          <w:rStyle w:val="hps"/>
          <w:rFonts w:cstheme="minorHAnsi"/>
        </w:rPr>
        <w:t xml:space="preserve">reen, le PPR de la gestion risques liés aux catastrophes naturelles, le PPR d’appui au secteur de </w:t>
      </w:r>
      <w:r w:rsidR="00660C12" w:rsidRPr="00D85E9B">
        <w:rPr>
          <w:rStyle w:val="hps"/>
          <w:rFonts w:cstheme="minorHAnsi"/>
        </w:rPr>
        <w:t>l’Education</w:t>
      </w:r>
      <w:r w:rsidR="004D63BB" w:rsidRPr="00D85E9B">
        <w:rPr>
          <w:rStyle w:val="hps"/>
          <w:rFonts w:cstheme="minorHAnsi"/>
        </w:rPr>
        <w:t>.</w:t>
      </w:r>
      <w:r w:rsidR="00CC46F5" w:rsidRPr="00D85E9B">
        <w:rPr>
          <w:rStyle w:val="hps"/>
          <w:rFonts w:cstheme="minorHAnsi"/>
        </w:rPr>
        <w:t xml:space="preserve"> </w:t>
      </w:r>
      <w:r w:rsidRPr="00D85E9B">
        <w:rPr>
          <w:rStyle w:val="hps"/>
          <w:rFonts w:eastAsia="ヒラギノ角ゴ Pro W3" w:cstheme="minorHAnsi"/>
          <w:color w:val="000000"/>
        </w:rPr>
        <w:t>La Banque mondiale est un partenaire de longue date du Ministère de l’</w:t>
      </w:r>
      <w:r w:rsidR="00ED185F" w:rsidRPr="00D85E9B">
        <w:rPr>
          <w:rStyle w:val="hps"/>
          <w:rFonts w:eastAsia="ヒラギノ角ゴ Pro W3" w:cstheme="minorHAnsi"/>
          <w:color w:val="000000"/>
        </w:rPr>
        <w:t>intérieur</w:t>
      </w:r>
      <w:r w:rsidRPr="00D85E9B">
        <w:rPr>
          <w:rStyle w:val="hps"/>
          <w:rFonts w:eastAsia="ヒラギノ角ゴ Pro W3" w:cstheme="minorHAnsi"/>
          <w:color w:val="000000"/>
        </w:rPr>
        <w:t xml:space="preserve">. La Banque accompagne </w:t>
      </w:r>
      <w:r w:rsidR="00ED185F" w:rsidRPr="00D85E9B">
        <w:rPr>
          <w:rStyle w:val="hps"/>
          <w:rFonts w:eastAsia="ヒラギノ角ゴ Pro W3" w:cstheme="minorHAnsi"/>
          <w:color w:val="000000"/>
        </w:rPr>
        <w:t xml:space="preserve">la Direction des collectivités territoriales dans l’amélioration des performances municipales </w:t>
      </w:r>
      <w:r w:rsidR="001E7F7D" w:rsidRPr="00D85E9B">
        <w:rPr>
          <w:rStyle w:val="hps"/>
          <w:rFonts w:eastAsia="ヒラギノ角ゴ Pro W3" w:cstheme="minorHAnsi"/>
          <w:color w:val="000000"/>
        </w:rPr>
        <w:t>à</w:t>
      </w:r>
      <w:r w:rsidR="00ED185F" w:rsidRPr="00D85E9B">
        <w:rPr>
          <w:rStyle w:val="hps"/>
          <w:rFonts w:eastAsia="ヒラギノ角ゴ Pro W3" w:cstheme="minorHAnsi"/>
          <w:color w:val="000000"/>
        </w:rPr>
        <w:t xml:space="preserve"> travers un PPR qui a démarré en 2018</w:t>
      </w:r>
      <w:r w:rsidRPr="00D85E9B">
        <w:rPr>
          <w:rStyle w:val="hps"/>
          <w:rFonts w:eastAsia="ヒラギノ角ゴ Pro W3" w:cstheme="minorHAnsi"/>
          <w:color w:val="000000"/>
        </w:rPr>
        <w:t>.</w:t>
      </w:r>
      <w:r w:rsidR="00660C12" w:rsidRPr="00D85E9B">
        <w:rPr>
          <w:rStyle w:val="hps"/>
          <w:rFonts w:eastAsia="ヒラギノ角ゴ Pro W3" w:cstheme="minorHAnsi"/>
          <w:color w:val="000000"/>
        </w:rPr>
        <w:t xml:space="preserve"> Cette direction est aussi le partenaire clé de la banque pour le PPR pour l’appui au secteur du Transport urbain et de son Financement additionnel</w:t>
      </w:r>
      <w:r w:rsidR="00233DA1">
        <w:rPr>
          <w:rStyle w:val="hps"/>
          <w:rFonts w:cstheme="minorHAnsi"/>
        </w:rPr>
        <w:t>.</w:t>
      </w:r>
    </w:p>
    <w:p w14:paraId="46267541" w14:textId="0741CC0B" w:rsidR="002476A5" w:rsidRPr="00D85E9B" w:rsidRDefault="002476A5" w:rsidP="00D85E9B">
      <w:pPr>
        <w:pStyle w:val="Paranumbering"/>
        <w:numPr>
          <w:ilvl w:val="0"/>
          <w:numId w:val="0"/>
        </w:numPr>
        <w:ind w:right="-23"/>
        <w:rPr>
          <w:lang w:val="fr-FR"/>
        </w:rPr>
      </w:pPr>
      <w:r w:rsidRPr="00D85E9B">
        <w:rPr>
          <w:rFonts w:asciiTheme="minorHAnsi" w:hAnsiTheme="minorHAnsi"/>
          <w:sz w:val="22"/>
          <w:szCs w:val="22"/>
          <w:lang w:val="fr-FR"/>
        </w:rPr>
        <w:br w:type="page"/>
      </w:r>
    </w:p>
    <w:p w14:paraId="7C277686" w14:textId="076A32A8" w:rsidR="00CE17F8" w:rsidRPr="00046E7D" w:rsidRDefault="00CE17F8" w:rsidP="00046E7D">
      <w:pPr>
        <w:pStyle w:val="Heading1"/>
        <w:rPr>
          <w:rFonts w:ascii="Candara" w:hAnsi="Candara"/>
          <w:sz w:val="28"/>
          <w:szCs w:val="28"/>
          <w:lang w:val="fr-FR"/>
        </w:rPr>
      </w:pPr>
      <w:bookmarkStart w:id="76" w:name="_Toc496827320"/>
      <w:bookmarkStart w:id="77" w:name="_Toc74241387"/>
      <w:r w:rsidRPr="00046E7D">
        <w:rPr>
          <w:rFonts w:ascii="Candara" w:hAnsi="Candara"/>
          <w:sz w:val="28"/>
          <w:szCs w:val="28"/>
          <w:lang w:val="fr-FR"/>
        </w:rPr>
        <w:lastRenderedPageBreak/>
        <w:t>3. Description des systèmes nationaux</w:t>
      </w:r>
      <w:bookmarkEnd w:id="76"/>
      <w:bookmarkEnd w:id="77"/>
      <w:r w:rsidRPr="00046E7D">
        <w:rPr>
          <w:rFonts w:ascii="Candara" w:hAnsi="Candara"/>
          <w:sz w:val="28"/>
          <w:szCs w:val="28"/>
          <w:lang w:val="fr-FR"/>
        </w:rPr>
        <w:t xml:space="preserve"> </w:t>
      </w:r>
    </w:p>
    <w:p w14:paraId="7870FC8C" w14:textId="77777777" w:rsidR="00E64883" w:rsidRDefault="00E64883" w:rsidP="00CE17F8">
      <w:pPr>
        <w:autoSpaceDE w:val="0"/>
        <w:autoSpaceDN w:val="0"/>
        <w:spacing w:line="240" w:lineRule="auto"/>
        <w:ind w:left="1418" w:right="709"/>
        <w:jc w:val="both"/>
        <w:rPr>
          <w:iCs/>
          <w:sz w:val="18"/>
          <w:szCs w:val="18"/>
        </w:rPr>
      </w:pPr>
    </w:p>
    <w:p w14:paraId="10FAFC7A" w14:textId="219589E9" w:rsidR="00CE17F8" w:rsidRDefault="00CE17F8" w:rsidP="00046E7D">
      <w:pPr>
        <w:spacing w:line="240" w:lineRule="auto"/>
        <w:ind w:left="1134" w:right="686"/>
        <w:jc w:val="both"/>
        <w:rPr>
          <w:iCs/>
          <w:sz w:val="18"/>
          <w:szCs w:val="18"/>
        </w:rPr>
      </w:pPr>
      <w:r w:rsidRPr="00046E7D">
        <w:rPr>
          <w:rFonts w:ascii="Candara" w:hAnsi="Candara"/>
          <w:i/>
          <w:iCs/>
          <w:sz w:val="20"/>
          <w:szCs w:val="20"/>
        </w:rPr>
        <w:t>Après un bref rappel des stratégies de développement durable au Maroc, la présente section décrit le cadre réglementaire et législatif général de la gestion environnementale et sociale au Maroc, y compris par rapport aux procédures et dispositifs concernant les études d’impact environnemental. A cet égard, le pays dispose d’un arsenal législatif important traitant des manières de minimiser les impacts négatifs éventuels de programmes et projets, par le bais à la fois de procédures précises et d’une architecture institutionnelle adéquate</w:t>
      </w:r>
      <w:r w:rsidRPr="003A404D">
        <w:rPr>
          <w:iCs/>
          <w:sz w:val="18"/>
          <w:szCs w:val="18"/>
        </w:rPr>
        <w:t xml:space="preserve">. </w:t>
      </w:r>
    </w:p>
    <w:p w14:paraId="00D87DA6" w14:textId="77777777" w:rsidR="00E64883" w:rsidRPr="003A404D" w:rsidRDefault="00E64883" w:rsidP="00CE17F8">
      <w:pPr>
        <w:autoSpaceDE w:val="0"/>
        <w:autoSpaceDN w:val="0"/>
        <w:spacing w:line="240" w:lineRule="auto"/>
        <w:ind w:left="1418" w:right="709"/>
        <w:jc w:val="both"/>
        <w:rPr>
          <w:iCs/>
          <w:sz w:val="18"/>
          <w:szCs w:val="18"/>
        </w:rPr>
      </w:pPr>
    </w:p>
    <w:p w14:paraId="5E9FE927" w14:textId="77777777" w:rsidR="007B16C4" w:rsidRPr="00D85E9B" w:rsidRDefault="007B16C4" w:rsidP="00B33704">
      <w:pPr>
        <w:keepNext/>
        <w:numPr>
          <w:ilvl w:val="1"/>
          <w:numId w:val="13"/>
        </w:numPr>
        <w:spacing w:before="120" w:after="0" w:line="240" w:lineRule="auto"/>
        <w:ind w:left="426"/>
        <w:jc w:val="both"/>
        <w:outlineLvl w:val="1"/>
        <w:rPr>
          <w:rFonts w:ascii="Candara" w:eastAsia="Times New Roman" w:hAnsi="Candara" w:cs="Times New Roman"/>
          <w:b/>
          <w:bCs/>
          <w:sz w:val="26"/>
          <w:szCs w:val="26"/>
        </w:rPr>
      </w:pPr>
      <w:bookmarkStart w:id="78" w:name="_Toc65446741"/>
      <w:bookmarkStart w:id="79" w:name="_Toc74241388"/>
      <w:bookmarkStart w:id="80" w:name="_Toc496827326"/>
      <w:r w:rsidRPr="00D85E9B">
        <w:rPr>
          <w:rFonts w:ascii="Candara" w:eastAsia="Times New Roman" w:hAnsi="Candara" w:cs="Times New Roman"/>
          <w:b/>
          <w:bCs/>
          <w:sz w:val="26"/>
          <w:szCs w:val="26"/>
        </w:rPr>
        <w:t>Evaluation du système de gestion environnementale applicable au</w:t>
      </w:r>
      <w:r w:rsidRPr="007B16C4">
        <w:rPr>
          <w:rFonts w:ascii="Calibri" w:eastAsia="Times New Roman" w:hAnsi="Calibri" w:cs="Calibri"/>
          <w:b/>
          <w:bCs/>
          <w:iCs/>
          <w:caps/>
          <w:color w:val="002060"/>
          <w:sz w:val="26"/>
          <w:szCs w:val="26"/>
          <w:lang w:eastAsia="fr-FR"/>
        </w:rPr>
        <w:t xml:space="preserve"> </w:t>
      </w:r>
      <w:r w:rsidRPr="00D85E9B">
        <w:rPr>
          <w:rFonts w:ascii="Candara" w:eastAsia="Times New Roman" w:hAnsi="Candara" w:cs="Times New Roman"/>
          <w:b/>
          <w:bCs/>
          <w:sz w:val="26"/>
          <w:szCs w:val="26"/>
        </w:rPr>
        <w:t>Programme</w:t>
      </w:r>
      <w:bookmarkEnd w:id="78"/>
      <w:bookmarkEnd w:id="79"/>
    </w:p>
    <w:p w14:paraId="37C06698" w14:textId="77777777" w:rsidR="007B16C4" w:rsidRPr="007B16C4" w:rsidRDefault="007B16C4" w:rsidP="007B16C4">
      <w:pPr>
        <w:spacing w:after="0" w:line="240" w:lineRule="auto"/>
        <w:ind w:left="425"/>
        <w:jc w:val="both"/>
        <w:rPr>
          <w:rFonts w:ascii="Calibri" w:eastAsia="Calibri" w:hAnsi="Calibri" w:cs="Calibri"/>
          <w:sz w:val="24"/>
          <w:szCs w:val="24"/>
          <w:lang w:eastAsia="fr-FR"/>
        </w:rPr>
      </w:pPr>
      <w:r w:rsidRPr="007B16C4">
        <w:rPr>
          <w:rFonts w:ascii="Calibri" w:eastAsia="Calibri" w:hAnsi="Calibri" w:cs="Calibri"/>
          <w:sz w:val="24"/>
          <w:szCs w:val="24"/>
          <w:lang w:eastAsia="fr-FR"/>
        </w:rPr>
        <w:t xml:space="preserve"> </w:t>
      </w:r>
    </w:p>
    <w:p w14:paraId="6B2C9E7F" w14:textId="3F8394ED" w:rsidR="007B16C4" w:rsidRPr="00D85E9B" w:rsidRDefault="00233DA1" w:rsidP="00D85E9B">
      <w:pPr>
        <w:pStyle w:val="Heading3"/>
        <w:rPr>
          <w:rFonts w:ascii="Candara" w:hAnsi="Candara"/>
          <w:b w:val="0"/>
          <w:bCs w:val="0"/>
          <w:color w:val="auto"/>
          <w:lang w:val="fr-FR"/>
        </w:rPr>
      </w:pPr>
      <w:bookmarkStart w:id="81" w:name="_Toc65446742"/>
      <w:bookmarkStart w:id="82" w:name="_Toc74241389"/>
      <w:r>
        <w:rPr>
          <w:rFonts w:ascii="Candara" w:hAnsi="Candara"/>
          <w:color w:val="auto"/>
          <w:lang w:val="fr-FR"/>
        </w:rPr>
        <w:t xml:space="preserve">3.1.1 </w:t>
      </w:r>
      <w:r w:rsidRPr="00D85E9B">
        <w:rPr>
          <w:rFonts w:ascii="Candara" w:hAnsi="Candara"/>
          <w:color w:val="auto"/>
          <w:lang w:val="fr-FR"/>
        </w:rPr>
        <w:t>Politique</w:t>
      </w:r>
      <w:r w:rsidR="007B16C4" w:rsidRPr="00D85E9B">
        <w:rPr>
          <w:rFonts w:ascii="Candara" w:hAnsi="Candara"/>
          <w:color w:val="auto"/>
          <w:lang w:val="fr-FR"/>
        </w:rPr>
        <w:t xml:space="preserve"> de gestion et de protection de l’environnement</w:t>
      </w:r>
      <w:bookmarkEnd w:id="81"/>
      <w:bookmarkEnd w:id="82"/>
    </w:p>
    <w:p w14:paraId="29C960B4" w14:textId="77777777" w:rsidR="007B16C4" w:rsidRPr="007B16C4" w:rsidRDefault="007B16C4" w:rsidP="007B16C4">
      <w:pPr>
        <w:spacing w:after="0" w:line="240" w:lineRule="auto"/>
        <w:jc w:val="both"/>
        <w:rPr>
          <w:rFonts w:ascii="Calibri" w:eastAsia="Calibri" w:hAnsi="Calibri" w:cs="Calibri"/>
          <w:b/>
          <w:i/>
          <w:color w:val="000000"/>
          <w:szCs w:val="24"/>
        </w:rPr>
      </w:pPr>
    </w:p>
    <w:p w14:paraId="2D8FA8E4" w14:textId="77777777" w:rsidR="007B16C4" w:rsidRPr="007B16C4" w:rsidRDefault="007B16C4" w:rsidP="007B16C4">
      <w:pPr>
        <w:spacing w:after="0" w:line="240" w:lineRule="auto"/>
        <w:jc w:val="both"/>
        <w:rPr>
          <w:rFonts w:ascii="Calibri" w:eastAsia="Calibri" w:hAnsi="Calibri" w:cs="Calibri"/>
          <w:iCs/>
          <w:color w:val="984806"/>
          <w:szCs w:val="24"/>
          <w:u w:val="single"/>
        </w:rPr>
      </w:pPr>
      <w:r w:rsidRPr="007B16C4">
        <w:rPr>
          <w:rFonts w:ascii="Calibri" w:eastAsia="Calibri" w:hAnsi="Calibri" w:cs="Calibri"/>
          <w:iCs/>
          <w:color w:val="984806"/>
          <w:szCs w:val="24"/>
          <w:u w:val="single"/>
        </w:rPr>
        <w:t>Politique de gestion et protection de l’environnement</w:t>
      </w:r>
    </w:p>
    <w:p w14:paraId="7B4F01F3" w14:textId="77777777" w:rsidR="007B16C4" w:rsidRPr="007B16C4" w:rsidRDefault="007B16C4" w:rsidP="007B16C4">
      <w:pPr>
        <w:spacing w:after="0" w:line="240" w:lineRule="auto"/>
        <w:jc w:val="both"/>
        <w:rPr>
          <w:rFonts w:ascii="Calibri" w:eastAsia="Calibri" w:hAnsi="Calibri" w:cs="Calibri"/>
          <w:i/>
          <w:szCs w:val="24"/>
        </w:rPr>
      </w:pPr>
    </w:p>
    <w:p w14:paraId="210AC04A" w14:textId="77777777" w:rsidR="007B16C4" w:rsidRPr="007B16C4" w:rsidRDefault="007B16C4" w:rsidP="00D85E9B">
      <w:pPr>
        <w:numPr>
          <w:ilvl w:val="0"/>
          <w:numId w:val="11"/>
        </w:numPr>
        <w:autoSpaceDE w:val="0"/>
        <w:autoSpaceDN w:val="0"/>
        <w:adjustRightInd w:val="0"/>
        <w:spacing w:before="120" w:after="0" w:line="360" w:lineRule="auto"/>
        <w:contextualSpacing/>
        <w:jc w:val="both"/>
        <w:rPr>
          <w:rFonts w:ascii="Calibri" w:eastAsia="Times New Roman" w:hAnsi="Calibri" w:cs="Calibri"/>
          <w:color w:val="000000"/>
        </w:rPr>
      </w:pPr>
      <w:r w:rsidRPr="007B16C4">
        <w:rPr>
          <w:rFonts w:ascii="Calibri" w:eastAsia="Times New Roman" w:hAnsi="Calibri" w:cs="Calibri"/>
          <w:szCs w:val="24"/>
          <w:lang w:val="fr-CA"/>
        </w:rPr>
        <w:t>En matière de protection de l’environnement, le Maroc dispose d’un arsenal juridique clair et complet. Depuis la fin des années 1980, de nombreuses lois et dispositifs administratifs ont été promulgués par les autorités administratives compétentes sur des sujets très variés portant sur la protection et la mise en valeur de l’environnement, l’assainissement, la classification et la gestion des déchets solides et leur élimination, la protection des aires protégées ou la conservation des monuments historiques et des sites, des Inscriptions, des objets d’art et antiquité.</w:t>
      </w:r>
    </w:p>
    <w:p w14:paraId="347F97D9" w14:textId="77777777" w:rsidR="007B16C4" w:rsidRPr="007B16C4" w:rsidRDefault="007B16C4" w:rsidP="007B16C4">
      <w:pPr>
        <w:autoSpaceDE w:val="0"/>
        <w:autoSpaceDN w:val="0"/>
        <w:adjustRightInd w:val="0"/>
        <w:spacing w:after="0" w:line="240" w:lineRule="auto"/>
        <w:jc w:val="both"/>
        <w:rPr>
          <w:rFonts w:ascii="Calibri" w:eastAsia="Calibri" w:hAnsi="Calibri" w:cs="Calibri"/>
          <w:color w:val="000000"/>
        </w:rPr>
      </w:pPr>
    </w:p>
    <w:p w14:paraId="1DF125D1" w14:textId="77777777" w:rsidR="007B16C4" w:rsidRPr="007B16C4" w:rsidRDefault="007B16C4" w:rsidP="00B33704">
      <w:pPr>
        <w:numPr>
          <w:ilvl w:val="0"/>
          <w:numId w:val="11"/>
        </w:numPr>
        <w:autoSpaceDE w:val="0"/>
        <w:autoSpaceDN w:val="0"/>
        <w:adjustRightInd w:val="0"/>
        <w:spacing w:before="120" w:after="0" w:line="240" w:lineRule="auto"/>
        <w:contextualSpacing/>
        <w:jc w:val="both"/>
        <w:rPr>
          <w:rFonts w:ascii="Calibri" w:eastAsia="Times New Roman" w:hAnsi="Calibri" w:cs="Calibri"/>
          <w:color w:val="000000"/>
        </w:rPr>
      </w:pPr>
      <w:r w:rsidRPr="007B16C4">
        <w:rPr>
          <w:rFonts w:ascii="Calibri" w:eastAsia="Times New Roman" w:hAnsi="Calibri" w:cs="Calibri"/>
          <w:szCs w:val="24"/>
          <w:lang w:val="fr-CA"/>
        </w:rPr>
        <w:t>Les principaux textes et règlements du cadre juridique général de protection de l'environnement au Maroc sont présentés dans le tableau suivant :</w:t>
      </w:r>
    </w:p>
    <w:p w14:paraId="47448F6D" w14:textId="5BA98103" w:rsidR="007B16C4" w:rsidRPr="007B16C4" w:rsidRDefault="007B16C4" w:rsidP="007B16C4">
      <w:pPr>
        <w:spacing w:before="120" w:after="60" w:line="240" w:lineRule="auto"/>
        <w:jc w:val="center"/>
        <w:rPr>
          <w:rFonts w:ascii="Calibri" w:eastAsia="ヒラギノ角ゴ Pro W3" w:hAnsi="Calibri" w:cs="Calibri"/>
          <w:b/>
          <w:color w:val="000000"/>
          <w:sz w:val="20"/>
          <w:szCs w:val="20"/>
        </w:rPr>
      </w:pPr>
      <w:bookmarkStart w:id="83" w:name="_Toc65447198"/>
      <w:r w:rsidRPr="007B16C4">
        <w:rPr>
          <w:rFonts w:ascii="Calibri" w:eastAsia="ヒラギノ角ゴ Pro W3" w:hAnsi="Calibri" w:cs="Calibri"/>
          <w:b/>
          <w:color w:val="000000"/>
          <w:sz w:val="20"/>
          <w:szCs w:val="20"/>
        </w:rPr>
        <w:t xml:space="preserve">Tableau </w:t>
      </w:r>
      <w:r w:rsidRPr="007B16C4">
        <w:rPr>
          <w:rFonts w:ascii="Calibri" w:eastAsia="ヒラギノ角ゴ Pro W3" w:hAnsi="Calibri" w:cs="Calibri"/>
          <w:b/>
          <w:color w:val="000000"/>
          <w:sz w:val="20"/>
          <w:szCs w:val="20"/>
        </w:rPr>
        <w:fldChar w:fldCharType="begin"/>
      </w:r>
      <w:r w:rsidRPr="007B16C4">
        <w:rPr>
          <w:rFonts w:ascii="Calibri" w:eastAsia="ヒラギノ角ゴ Pro W3" w:hAnsi="Calibri" w:cs="Calibri"/>
          <w:b/>
          <w:color w:val="000000"/>
          <w:sz w:val="20"/>
          <w:szCs w:val="20"/>
        </w:rPr>
        <w:instrText xml:space="preserve"> SEQ Tableau \* ARABIC </w:instrText>
      </w:r>
      <w:r w:rsidRPr="007B16C4">
        <w:rPr>
          <w:rFonts w:ascii="Calibri" w:eastAsia="ヒラギノ角ゴ Pro W3" w:hAnsi="Calibri" w:cs="Calibri"/>
          <w:b/>
          <w:color w:val="000000"/>
          <w:sz w:val="20"/>
          <w:szCs w:val="20"/>
        </w:rPr>
        <w:fldChar w:fldCharType="separate"/>
      </w:r>
      <w:r w:rsidR="00212333">
        <w:rPr>
          <w:rFonts w:ascii="Calibri" w:eastAsia="ヒラギノ角ゴ Pro W3" w:hAnsi="Calibri" w:cs="Calibri"/>
          <w:b/>
          <w:noProof/>
          <w:color w:val="000000"/>
          <w:sz w:val="20"/>
          <w:szCs w:val="20"/>
        </w:rPr>
        <w:t>1</w:t>
      </w:r>
      <w:r w:rsidRPr="007B16C4">
        <w:rPr>
          <w:rFonts w:ascii="Calibri" w:eastAsia="ヒラギノ角ゴ Pro W3" w:hAnsi="Calibri" w:cs="Calibri"/>
          <w:b/>
          <w:color w:val="000000"/>
          <w:sz w:val="20"/>
          <w:szCs w:val="20"/>
        </w:rPr>
        <w:fldChar w:fldCharType="end"/>
      </w:r>
      <w:r w:rsidRPr="007B16C4">
        <w:rPr>
          <w:rFonts w:ascii="Calibri" w:eastAsia="ヒラギノ角ゴ Pro W3" w:hAnsi="Calibri" w:cs="Calibri"/>
          <w:b/>
          <w:color w:val="000000"/>
          <w:sz w:val="20"/>
          <w:szCs w:val="20"/>
        </w:rPr>
        <w:t xml:space="preserve"> : Principaux textes et règlements sur la protection de l'environnement au Maroc</w:t>
      </w:r>
      <w:bookmarkEnd w:id="83"/>
    </w:p>
    <w:tbl>
      <w:tblPr>
        <w:tblW w:w="893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1"/>
        <w:gridCol w:w="1771"/>
        <w:gridCol w:w="5139"/>
      </w:tblGrid>
      <w:tr w:rsidR="007B16C4" w:rsidRPr="007B16C4" w14:paraId="29156709" w14:textId="77777777" w:rsidTr="00073577">
        <w:trPr>
          <w:trHeight w:val="284"/>
        </w:trPr>
        <w:tc>
          <w:tcPr>
            <w:tcW w:w="2021" w:type="dxa"/>
            <w:shd w:val="clear" w:color="auto" w:fill="DAEEF3"/>
            <w:vAlign w:val="center"/>
            <w:hideMark/>
          </w:tcPr>
          <w:p w14:paraId="2C3F33E6" w14:textId="77777777" w:rsidR="007B16C4" w:rsidRPr="007B16C4" w:rsidRDefault="007B16C4" w:rsidP="007B16C4">
            <w:pPr>
              <w:autoSpaceDE w:val="0"/>
              <w:autoSpaceDN w:val="0"/>
              <w:adjustRightInd w:val="0"/>
              <w:spacing w:after="0" w:line="240" w:lineRule="auto"/>
              <w:jc w:val="center"/>
              <w:rPr>
                <w:rFonts w:ascii="Times New Roman" w:eastAsia="Calibri" w:hAnsi="Times New Roman" w:cs="Times New Roman"/>
                <w:b/>
                <w:sz w:val="18"/>
                <w:szCs w:val="18"/>
              </w:rPr>
            </w:pPr>
            <w:r w:rsidRPr="007B16C4">
              <w:rPr>
                <w:rFonts w:ascii="Times New Roman" w:eastAsia="Calibri" w:hAnsi="Times New Roman" w:cs="Times New Roman"/>
                <w:b/>
                <w:sz w:val="18"/>
                <w:szCs w:val="18"/>
              </w:rPr>
              <w:t>Instrument</w:t>
            </w:r>
          </w:p>
        </w:tc>
        <w:tc>
          <w:tcPr>
            <w:tcW w:w="1771" w:type="dxa"/>
            <w:shd w:val="clear" w:color="auto" w:fill="DAEEF3"/>
            <w:vAlign w:val="center"/>
            <w:hideMark/>
          </w:tcPr>
          <w:p w14:paraId="0FB6B63B" w14:textId="77777777" w:rsidR="007B16C4" w:rsidRPr="007B16C4" w:rsidRDefault="007B16C4" w:rsidP="007B16C4">
            <w:pPr>
              <w:autoSpaceDE w:val="0"/>
              <w:autoSpaceDN w:val="0"/>
              <w:adjustRightInd w:val="0"/>
              <w:spacing w:after="0" w:line="240" w:lineRule="auto"/>
              <w:jc w:val="center"/>
              <w:rPr>
                <w:rFonts w:ascii="Times New Roman" w:eastAsia="Calibri" w:hAnsi="Times New Roman" w:cs="Times New Roman"/>
                <w:b/>
                <w:sz w:val="18"/>
                <w:szCs w:val="18"/>
              </w:rPr>
            </w:pPr>
            <w:r w:rsidRPr="007B16C4">
              <w:rPr>
                <w:rFonts w:ascii="Times New Roman" w:eastAsia="Calibri" w:hAnsi="Times New Roman" w:cs="Times New Roman"/>
                <w:b/>
                <w:sz w:val="18"/>
                <w:szCs w:val="18"/>
              </w:rPr>
              <w:t>Date</w:t>
            </w:r>
          </w:p>
        </w:tc>
        <w:tc>
          <w:tcPr>
            <w:tcW w:w="5139" w:type="dxa"/>
            <w:shd w:val="clear" w:color="auto" w:fill="DAEEF3"/>
            <w:vAlign w:val="center"/>
            <w:hideMark/>
          </w:tcPr>
          <w:p w14:paraId="6F79A755" w14:textId="77777777" w:rsidR="007B16C4" w:rsidRPr="007B16C4" w:rsidRDefault="007B16C4" w:rsidP="007B16C4">
            <w:pPr>
              <w:autoSpaceDE w:val="0"/>
              <w:autoSpaceDN w:val="0"/>
              <w:adjustRightInd w:val="0"/>
              <w:spacing w:after="0" w:line="240" w:lineRule="auto"/>
              <w:jc w:val="center"/>
              <w:rPr>
                <w:rFonts w:ascii="Times New Roman" w:eastAsia="Calibri" w:hAnsi="Times New Roman" w:cs="Times New Roman"/>
                <w:b/>
                <w:sz w:val="18"/>
                <w:szCs w:val="18"/>
              </w:rPr>
            </w:pPr>
            <w:r w:rsidRPr="007B16C4">
              <w:rPr>
                <w:rFonts w:ascii="Times New Roman" w:eastAsia="Calibri" w:hAnsi="Times New Roman" w:cs="Times New Roman"/>
                <w:b/>
                <w:sz w:val="18"/>
                <w:szCs w:val="18"/>
              </w:rPr>
              <w:t>Titre</w:t>
            </w:r>
          </w:p>
        </w:tc>
      </w:tr>
      <w:tr w:rsidR="007B16C4" w:rsidRPr="007B16C4" w14:paraId="734F43F4" w14:textId="77777777" w:rsidTr="00073577">
        <w:trPr>
          <w:trHeight w:val="284"/>
        </w:trPr>
        <w:tc>
          <w:tcPr>
            <w:tcW w:w="2021" w:type="dxa"/>
            <w:vAlign w:val="center"/>
            <w:hideMark/>
          </w:tcPr>
          <w:p w14:paraId="351E8130"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Loi N° 11-03</w:t>
            </w:r>
          </w:p>
        </w:tc>
        <w:tc>
          <w:tcPr>
            <w:tcW w:w="1771" w:type="dxa"/>
            <w:vAlign w:val="center"/>
            <w:hideMark/>
          </w:tcPr>
          <w:p w14:paraId="6E4EDBC3"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12-05-2003</w:t>
            </w:r>
          </w:p>
        </w:tc>
        <w:tc>
          <w:tcPr>
            <w:tcW w:w="5139" w:type="dxa"/>
            <w:vAlign w:val="center"/>
            <w:hideMark/>
          </w:tcPr>
          <w:p w14:paraId="6251B30F"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 xml:space="preserve">Loi relative à la protection et la mise en valeur de l’environnement </w:t>
            </w:r>
          </w:p>
        </w:tc>
      </w:tr>
      <w:tr w:rsidR="007B16C4" w:rsidRPr="007B16C4" w14:paraId="67C8B888" w14:textId="77777777" w:rsidTr="00073577">
        <w:trPr>
          <w:trHeight w:val="284"/>
        </w:trPr>
        <w:tc>
          <w:tcPr>
            <w:tcW w:w="2021" w:type="dxa"/>
            <w:vAlign w:val="center"/>
            <w:hideMark/>
          </w:tcPr>
          <w:p w14:paraId="42EECAFF"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Loi N° 36-15</w:t>
            </w:r>
          </w:p>
        </w:tc>
        <w:tc>
          <w:tcPr>
            <w:tcW w:w="1771" w:type="dxa"/>
            <w:vAlign w:val="center"/>
            <w:hideMark/>
          </w:tcPr>
          <w:p w14:paraId="5DEE6D14"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06-10-2016</w:t>
            </w:r>
          </w:p>
        </w:tc>
        <w:tc>
          <w:tcPr>
            <w:tcW w:w="5139" w:type="dxa"/>
            <w:vAlign w:val="center"/>
            <w:hideMark/>
          </w:tcPr>
          <w:p w14:paraId="1EDB8D4E"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Loi relative à la gestion de l’eau et ses textes d’application</w:t>
            </w:r>
          </w:p>
        </w:tc>
      </w:tr>
      <w:tr w:rsidR="007B16C4" w:rsidRPr="007B16C4" w14:paraId="28AB4B0A" w14:textId="77777777" w:rsidTr="00073577">
        <w:trPr>
          <w:trHeight w:val="284"/>
        </w:trPr>
        <w:tc>
          <w:tcPr>
            <w:tcW w:w="2021" w:type="dxa"/>
            <w:vAlign w:val="center"/>
          </w:tcPr>
          <w:p w14:paraId="1A5C3963"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Loi 49-17</w:t>
            </w:r>
          </w:p>
        </w:tc>
        <w:tc>
          <w:tcPr>
            <w:tcW w:w="1771" w:type="dxa"/>
            <w:vAlign w:val="center"/>
          </w:tcPr>
          <w:p w14:paraId="5F1247BB"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08 Août 2020</w:t>
            </w:r>
          </w:p>
        </w:tc>
        <w:tc>
          <w:tcPr>
            <w:tcW w:w="5139" w:type="dxa"/>
            <w:vAlign w:val="center"/>
          </w:tcPr>
          <w:p w14:paraId="5B56B6AF"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Loi relative à l’évaluation environnementale</w:t>
            </w:r>
          </w:p>
        </w:tc>
      </w:tr>
      <w:tr w:rsidR="007B16C4" w:rsidRPr="007B16C4" w14:paraId="6219046F" w14:textId="77777777" w:rsidTr="00073577">
        <w:trPr>
          <w:trHeight w:val="284"/>
        </w:trPr>
        <w:tc>
          <w:tcPr>
            <w:tcW w:w="2021" w:type="dxa"/>
            <w:vAlign w:val="center"/>
            <w:hideMark/>
          </w:tcPr>
          <w:p w14:paraId="4E6A94F3"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 xml:space="preserve">Décret N°2-04-553 (de la loi N°10-95)  </w:t>
            </w:r>
          </w:p>
        </w:tc>
        <w:tc>
          <w:tcPr>
            <w:tcW w:w="1771" w:type="dxa"/>
            <w:vAlign w:val="center"/>
            <w:hideMark/>
          </w:tcPr>
          <w:p w14:paraId="69E111B4"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24-01-2005</w:t>
            </w:r>
          </w:p>
        </w:tc>
        <w:tc>
          <w:tcPr>
            <w:tcW w:w="5139" w:type="dxa"/>
            <w:vAlign w:val="center"/>
            <w:hideMark/>
          </w:tcPr>
          <w:p w14:paraId="7A712803"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Décret relatif aux déversements, écoulements, rejets, dépôts directs ou indirects dans les eaux superficielles ou souterraines</w:t>
            </w:r>
          </w:p>
        </w:tc>
      </w:tr>
      <w:tr w:rsidR="007B16C4" w:rsidRPr="007B16C4" w14:paraId="06A79727" w14:textId="77777777" w:rsidTr="00073577">
        <w:trPr>
          <w:trHeight w:val="284"/>
        </w:trPr>
        <w:tc>
          <w:tcPr>
            <w:tcW w:w="2021" w:type="dxa"/>
            <w:vAlign w:val="center"/>
          </w:tcPr>
          <w:p w14:paraId="74CBEE36"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Décret n° 2-05-1533</w:t>
            </w:r>
          </w:p>
        </w:tc>
        <w:tc>
          <w:tcPr>
            <w:tcW w:w="1771" w:type="dxa"/>
            <w:vAlign w:val="center"/>
          </w:tcPr>
          <w:p w14:paraId="4E7E904B"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 xml:space="preserve">16 mars 2006 </w:t>
            </w:r>
          </w:p>
        </w:tc>
        <w:tc>
          <w:tcPr>
            <w:tcW w:w="5139" w:type="dxa"/>
            <w:vAlign w:val="center"/>
          </w:tcPr>
          <w:p w14:paraId="68725EB1"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Décret relatif à l'assainissement autonome.</w:t>
            </w:r>
          </w:p>
        </w:tc>
      </w:tr>
      <w:tr w:rsidR="007B16C4" w:rsidRPr="007B16C4" w14:paraId="0D3046DB" w14:textId="77777777" w:rsidTr="00073577">
        <w:trPr>
          <w:trHeight w:val="284"/>
        </w:trPr>
        <w:tc>
          <w:tcPr>
            <w:tcW w:w="2021" w:type="dxa"/>
            <w:vAlign w:val="center"/>
            <w:hideMark/>
          </w:tcPr>
          <w:p w14:paraId="665E6764"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Loi N°28-00</w:t>
            </w:r>
          </w:p>
        </w:tc>
        <w:tc>
          <w:tcPr>
            <w:tcW w:w="1771" w:type="dxa"/>
            <w:vAlign w:val="center"/>
            <w:hideMark/>
          </w:tcPr>
          <w:p w14:paraId="4EB15852"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22 novembre 2006</w:t>
            </w:r>
          </w:p>
        </w:tc>
        <w:tc>
          <w:tcPr>
            <w:tcW w:w="5139" w:type="dxa"/>
            <w:vAlign w:val="center"/>
            <w:hideMark/>
          </w:tcPr>
          <w:p w14:paraId="04961856"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Loi relative à la gestion des déchets solides et à leur élimination et ses textes d’application</w:t>
            </w:r>
          </w:p>
        </w:tc>
      </w:tr>
      <w:tr w:rsidR="007B16C4" w:rsidRPr="007B16C4" w14:paraId="0F784540" w14:textId="77777777" w:rsidTr="00073577">
        <w:trPr>
          <w:trHeight w:val="284"/>
        </w:trPr>
        <w:tc>
          <w:tcPr>
            <w:tcW w:w="2021" w:type="dxa"/>
            <w:vAlign w:val="center"/>
          </w:tcPr>
          <w:p w14:paraId="101AE819"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Décret n° 2-07-253</w:t>
            </w:r>
          </w:p>
        </w:tc>
        <w:tc>
          <w:tcPr>
            <w:tcW w:w="1771" w:type="dxa"/>
            <w:vAlign w:val="center"/>
          </w:tcPr>
          <w:p w14:paraId="7346C4D2"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18 juillet 2008</w:t>
            </w:r>
          </w:p>
        </w:tc>
        <w:tc>
          <w:tcPr>
            <w:tcW w:w="5139" w:type="dxa"/>
            <w:vAlign w:val="center"/>
          </w:tcPr>
          <w:p w14:paraId="7CF99FE6"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Décret portant classification des déchets et fixant la liste des déchets dangereux</w:t>
            </w:r>
          </w:p>
        </w:tc>
      </w:tr>
      <w:tr w:rsidR="007B16C4" w:rsidRPr="007B16C4" w14:paraId="2DA26CF2" w14:textId="77777777" w:rsidTr="00073577">
        <w:trPr>
          <w:trHeight w:val="284"/>
        </w:trPr>
        <w:tc>
          <w:tcPr>
            <w:tcW w:w="2021" w:type="dxa"/>
            <w:vAlign w:val="center"/>
          </w:tcPr>
          <w:p w14:paraId="1405641F"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 xml:space="preserve">Dahir n° 1-03-194 (loi 65-99) </w:t>
            </w:r>
          </w:p>
        </w:tc>
        <w:tc>
          <w:tcPr>
            <w:tcW w:w="1771" w:type="dxa"/>
            <w:vAlign w:val="center"/>
          </w:tcPr>
          <w:p w14:paraId="2DDEB1C2"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11 septembre 2003</w:t>
            </w:r>
          </w:p>
        </w:tc>
        <w:tc>
          <w:tcPr>
            <w:tcW w:w="5139" w:type="dxa"/>
            <w:vAlign w:val="center"/>
          </w:tcPr>
          <w:p w14:paraId="535637AB"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Loi relative au code de travail</w:t>
            </w:r>
          </w:p>
        </w:tc>
      </w:tr>
      <w:tr w:rsidR="007B16C4" w:rsidRPr="007B16C4" w14:paraId="238AC10E" w14:textId="77777777" w:rsidTr="00073577">
        <w:trPr>
          <w:trHeight w:val="284"/>
        </w:trPr>
        <w:tc>
          <w:tcPr>
            <w:tcW w:w="2021" w:type="dxa"/>
            <w:vAlign w:val="center"/>
          </w:tcPr>
          <w:p w14:paraId="4B3A40E0"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Dahir n° 1-15-85 (loi n°113-14)</w:t>
            </w:r>
          </w:p>
        </w:tc>
        <w:tc>
          <w:tcPr>
            <w:tcW w:w="1771" w:type="dxa"/>
            <w:vAlign w:val="center"/>
          </w:tcPr>
          <w:p w14:paraId="14D7BDB9"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7 juillet 2015</w:t>
            </w:r>
          </w:p>
        </w:tc>
        <w:tc>
          <w:tcPr>
            <w:tcW w:w="5139" w:type="dxa"/>
            <w:vAlign w:val="center"/>
          </w:tcPr>
          <w:p w14:paraId="33962EB6"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Times New Roman"/>
                <w:sz w:val="18"/>
                <w:szCs w:val="18"/>
              </w:rPr>
            </w:pPr>
            <w:r w:rsidRPr="007B16C4">
              <w:rPr>
                <w:rFonts w:ascii="Times New Roman" w:eastAsia="Calibri" w:hAnsi="Times New Roman" w:cs="Times New Roman"/>
                <w:sz w:val="18"/>
                <w:szCs w:val="18"/>
              </w:rPr>
              <w:t>Dahir portant promulgation de la loi organique relative aux communes</w:t>
            </w:r>
          </w:p>
        </w:tc>
      </w:tr>
    </w:tbl>
    <w:p w14:paraId="1D1CEDC3" w14:textId="77777777" w:rsidR="007B16C4" w:rsidRPr="007B16C4" w:rsidRDefault="007B16C4" w:rsidP="007B16C4">
      <w:pPr>
        <w:spacing w:before="120" w:after="0" w:line="240" w:lineRule="auto"/>
        <w:jc w:val="both"/>
        <w:rPr>
          <w:rFonts w:ascii="Calibri" w:eastAsia="Calibri" w:hAnsi="Calibri" w:cs="Calibri"/>
        </w:rPr>
      </w:pPr>
    </w:p>
    <w:p w14:paraId="79DA03BD" w14:textId="77777777" w:rsidR="007B16C4" w:rsidRPr="007B16C4" w:rsidRDefault="007B16C4" w:rsidP="00B33704">
      <w:pPr>
        <w:numPr>
          <w:ilvl w:val="0"/>
          <w:numId w:val="11"/>
        </w:numPr>
        <w:autoSpaceDE w:val="0"/>
        <w:autoSpaceDN w:val="0"/>
        <w:adjustRightInd w:val="0"/>
        <w:spacing w:before="120" w:after="0" w:line="240" w:lineRule="auto"/>
        <w:ind w:hanging="357"/>
        <w:contextualSpacing/>
        <w:jc w:val="both"/>
        <w:rPr>
          <w:rFonts w:ascii="Calibri" w:eastAsia="Times New Roman" w:hAnsi="Calibri" w:cs="Calibri"/>
          <w:color w:val="000000"/>
        </w:rPr>
      </w:pPr>
      <w:r w:rsidRPr="007B16C4">
        <w:rPr>
          <w:rFonts w:ascii="Calibri" w:eastAsia="Times New Roman" w:hAnsi="Calibri" w:cs="Calibri"/>
          <w:szCs w:val="24"/>
          <w:lang w:val="fr-CA"/>
        </w:rPr>
        <w:t>Cette section présente également un résumé de ces textes juridiques et réglementaires :</w:t>
      </w:r>
    </w:p>
    <w:p w14:paraId="3BCE68D0" w14:textId="77777777" w:rsidR="007B16C4" w:rsidRPr="007B16C4" w:rsidRDefault="007B16C4" w:rsidP="00B33704">
      <w:pPr>
        <w:numPr>
          <w:ilvl w:val="0"/>
          <w:numId w:val="14"/>
        </w:numPr>
        <w:spacing w:before="120" w:after="0" w:line="240" w:lineRule="auto"/>
        <w:ind w:hanging="357"/>
        <w:jc w:val="both"/>
        <w:rPr>
          <w:rFonts w:ascii="Calibri" w:eastAsia="ヒラギノ角ゴ Pro W3" w:hAnsi="Calibri" w:cs="Calibri"/>
          <w:color w:val="000000"/>
          <w:szCs w:val="24"/>
        </w:rPr>
      </w:pPr>
      <w:r w:rsidRPr="007B16C4">
        <w:rPr>
          <w:rFonts w:ascii="Calibri" w:eastAsia="ヒラギノ角ゴ Pro W3" w:hAnsi="Calibri" w:cs="Calibri"/>
          <w:b/>
          <w:i/>
          <w:color w:val="000000"/>
          <w:szCs w:val="24"/>
        </w:rPr>
        <w:t>Loi 11-03</w:t>
      </w:r>
      <w:r w:rsidRPr="007B16C4">
        <w:rPr>
          <w:rFonts w:ascii="Calibri" w:eastAsia="ヒラギノ角ゴ Pro W3" w:hAnsi="Calibri" w:cs="Calibri"/>
          <w:color w:val="000000"/>
          <w:szCs w:val="24"/>
        </w:rPr>
        <w:t xml:space="preserve"> relative à la protection et la mise en valeur de l’environnement : édicte les règles de base et les principes généraux de la politique nationale dans le domaine de la protection l’environnement contre toutes les formes de dégradation et de nuisances et qui instaure le </w:t>
      </w:r>
      <w:r w:rsidRPr="007B16C4">
        <w:rPr>
          <w:rFonts w:ascii="Calibri" w:eastAsia="ヒラギノ角ゴ Pro W3" w:hAnsi="Calibri" w:cs="Calibri"/>
          <w:color w:val="000000"/>
          <w:szCs w:val="24"/>
        </w:rPr>
        <w:lastRenderedPageBreak/>
        <w:t xml:space="preserve">principe du « pollueur payeur ». Cette loi impose (article 7) aux administrations concernées de prendre toutes les mesures nécessaires pour </w:t>
      </w:r>
      <w:r w:rsidRPr="007B16C4">
        <w:rPr>
          <w:rFonts w:ascii="Calibri" w:eastAsia="ヒラギノ角ゴ Pro W3" w:hAnsi="Calibri" w:cs="Calibri"/>
          <w:i/>
          <w:color w:val="000000"/>
          <w:szCs w:val="24"/>
        </w:rPr>
        <w:t>“la protection des établissements humains des effets préjudiciables résultant de toute forme de pollution et de nuisance</w:t>
      </w:r>
      <w:r w:rsidRPr="007B16C4">
        <w:rPr>
          <w:rFonts w:ascii="Calibri" w:eastAsia="ヒラギノ角ゴ Pro W3" w:hAnsi="Calibri" w:cs="Calibri"/>
          <w:color w:val="000000"/>
          <w:szCs w:val="24"/>
        </w:rPr>
        <w:t>’’.</w:t>
      </w:r>
    </w:p>
    <w:p w14:paraId="7897D6D7" w14:textId="77777777" w:rsidR="007B16C4" w:rsidRPr="007B16C4" w:rsidRDefault="007B16C4" w:rsidP="00B33704">
      <w:pPr>
        <w:numPr>
          <w:ilvl w:val="0"/>
          <w:numId w:val="14"/>
        </w:numPr>
        <w:spacing w:before="120" w:after="0" w:line="240" w:lineRule="auto"/>
        <w:ind w:hanging="357"/>
        <w:jc w:val="both"/>
        <w:rPr>
          <w:rFonts w:ascii="Calibri" w:eastAsia="ヒラギノ角ゴ Pro W3" w:hAnsi="Calibri" w:cs="Calibri"/>
          <w:bCs/>
          <w:iCs/>
          <w:color w:val="000000"/>
          <w:szCs w:val="24"/>
        </w:rPr>
      </w:pPr>
      <w:r w:rsidRPr="007B16C4">
        <w:rPr>
          <w:rFonts w:ascii="Calibri" w:eastAsia="ヒラギノ角ゴ Pro W3" w:hAnsi="Calibri" w:cs="Calibri"/>
          <w:b/>
          <w:iCs/>
          <w:color w:val="000000"/>
          <w:szCs w:val="24"/>
        </w:rPr>
        <w:t>Loi n° 36-15</w:t>
      </w:r>
      <w:r w:rsidRPr="007B16C4">
        <w:rPr>
          <w:rFonts w:ascii="Calibri" w:eastAsia="ヒラギノ角ゴ Pro W3" w:hAnsi="Calibri" w:cs="Calibri"/>
          <w:bCs/>
          <w:iCs/>
          <w:color w:val="000000"/>
          <w:szCs w:val="24"/>
        </w:rPr>
        <w:t xml:space="preserve"> relative à l’eau loi fixe les règles d'une gestion intégrée, décentralisée et participative des ressources en eau pour garantir le droit des citoyennes et des citoyens à accès à l’eau et en vue d'une utilisation rationnelle et durable et une meilleure valorisation quantitative et qualitative de l’eau, des milieux aquatiques et du domaine public hydraulique en général, ainsi que les règles de prévention des risques liés à l’eau pour assurer la protection et la sécurité des personnes, des biens et de l’environnement. </w:t>
      </w:r>
      <w:r w:rsidRPr="007B16C4">
        <w:rPr>
          <w:rFonts w:ascii="Calibri" w:eastAsia="ヒラギノ角ゴ Pro W3" w:hAnsi="Calibri" w:cs="Calibri"/>
          <w:color w:val="000000"/>
          <w:szCs w:val="24"/>
        </w:rPr>
        <w:t xml:space="preserve">Parmi ses principaux décrets :  le </w:t>
      </w:r>
      <w:r w:rsidRPr="007B16C4">
        <w:rPr>
          <w:rFonts w:ascii="Calibri" w:eastAsia="ヒラギノ角ゴ Pro W3" w:hAnsi="Calibri" w:cs="Calibri"/>
          <w:color w:val="000000"/>
          <w:szCs w:val="24"/>
          <w:u w:val="single"/>
        </w:rPr>
        <w:t>Décret d’application N° 2-04-553</w:t>
      </w:r>
      <w:r w:rsidRPr="007B16C4">
        <w:rPr>
          <w:rFonts w:ascii="Calibri" w:eastAsia="ヒラギノ角ゴ Pro W3" w:hAnsi="Calibri" w:cs="Calibri"/>
          <w:color w:val="000000"/>
          <w:szCs w:val="24"/>
        </w:rPr>
        <w:t xml:space="preserve"> relatif aux déversements, écoulement, rejets, dépôts directs ou indirects dans les eaux superficielles ou souterraines et le </w:t>
      </w:r>
      <w:r w:rsidRPr="007B16C4">
        <w:rPr>
          <w:rFonts w:ascii="Calibri" w:eastAsia="ヒラギノ角ゴ Pro W3" w:hAnsi="Calibri" w:cs="Calibri"/>
          <w:color w:val="000000"/>
          <w:szCs w:val="24"/>
          <w:u w:val="single"/>
        </w:rPr>
        <w:t xml:space="preserve">Décret n° 2-05-1533 </w:t>
      </w:r>
      <w:r w:rsidRPr="007B16C4">
        <w:rPr>
          <w:rFonts w:ascii="Calibri" w:eastAsia="ヒラギノ角ゴ Pro W3" w:hAnsi="Calibri" w:cs="Calibri"/>
          <w:color w:val="000000"/>
          <w:szCs w:val="24"/>
        </w:rPr>
        <w:t>relatif à l'assainissement autonome</w:t>
      </w:r>
    </w:p>
    <w:p w14:paraId="7419E9CB" w14:textId="35F52D7A" w:rsidR="007B16C4" w:rsidRPr="007B16C4" w:rsidRDefault="007B16C4" w:rsidP="00B33704">
      <w:pPr>
        <w:numPr>
          <w:ilvl w:val="0"/>
          <w:numId w:val="14"/>
        </w:numPr>
        <w:spacing w:before="120" w:after="0" w:line="240" w:lineRule="auto"/>
        <w:ind w:hanging="357"/>
        <w:jc w:val="both"/>
        <w:rPr>
          <w:rFonts w:ascii="Calibri" w:eastAsia="ヒラギノ角ゴ Pro W3" w:hAnsi="Calibri" w:cs="Calibri"/>
          <w:color w:val="000000"/>
          <w:szCs w:val="24"/>
        </w:rPr>
      </w:pPr>
      <w:r w:rsidRPr="007B16C4">
        <w:rPr>
          <w:rFonts w:ascii="Calibri" w:eastAsia="ヒラギノ角ゴ Pro W3" w:hAnsi="Calibri" w:cs="Calibri"/>
          <w:b/>
          <w:i/>
          <w:color w:val="000000"/>
          <w:szCs w:val="24"/>
        </w:rPr>
        <w:t xml:space="preserve">Loi 49-17 </w:t>
      </w:r>
      <w:r w:rsidRPr="007B16C4">
        <w:rPr>
          <w:rFonts w:ascii="Calibri" w:eastAsia="ヒラギノ角ゴ Pro W3" w:hAnsi="Calibri" w:cs="Calibri"/>
          <w:bCs/>
          <w:iCs/>
          <w:color w:val="000000"/>
          <w:szCs w:val="24"/>
        </w:rPr>
        <w:t xml:space="preserve">relative à l’évaluation environnementale vient combler les lacunes de l’ancienne loi 12-03 sur les EIE et qui correspondent, entre autres, </w:t>
      </w:r>
      <w:bookmarkStart w:id="84" w:name="_Hlk63954027"/>
      <w:r w:rsidRPr="007B16C4">
        <w:rPr>
          <w:rFonts w:ascii="Calibri" w:eastAsia="ヒラギノ角ゴ Pro W3" w:hAnsi="Calibri" w:cs="Calibri"/>
          <w:bCs/>
          <w:iCs/>
          <w:color w:val="000000"/>
          <w:szCs w:val="24"/>
        </w:rPr>
        <w:t xml:space="preserve">à </w:t>
      </w:r>
      <w:bookmarkEnd w:id="84"/>
      <w:r w:rsidRPr="007B16C4">
        <w:rPr>
          <w:rFonts w:ascii="Calibri" w:eastAsia="ヒラギノ角ゴ Pro W3" w:hAnsi="Calibri" w:cs="Calibri"/>
          <w:bCs/>
          <w:iCs/>
          <w:color w:val="000000"/>
          <w:szCs w:val="24"/>
        </w:rPr>
        <w:t>la non-soumission de nombreux projets polluants a l’EIE et la non-conformité du système de contrôle avec l’évolution qu’a connu la police de l’environnement. Cette nouvelle loi institutionnalise l’audit environnemental ainsi que l’évaluation stratégique et actualise la liste des projets soumis à l’EIE. En outre, elle instaure la procédure de la notice d’impact pour les projets qui présentent un potentiel d’impacts moyen à faible.</w:t>
      </w:r>
      <w:r w:rsidR="00F95397">
        <w:rPr>
          <w:rFonts w:ascii="Calibri" w:eastAsia="ヒラギノ角ゴ Pro W3" w:hAnsi="Calibri" w:cs="Calibri"/>
          <w:bCs/>
          <w:iCs/>
          <w:color w:val="000000"/>
          <w:szCs w:val="24"/>
        </w:rPr>
        <w:t xml:space="preserve"> Malgré sa parution au bulletin officiel, cette nouvelle loi n’entrera en vigueur que lorsque ses textes d’application seront adoptés. </w:t>
      </w:r>
    </w:p>
    <w:p w14:paraId="212AFBF8" w14:textId="77777777" w:rsidR="007B16C4" w:rsidRPr="007B16C4" w:rsidRDefault="007B16C4" w:rsidP="00B33704">
      <w:pPr>
        <w:numPr>
          <w:ilvl w:val="0"/>
          <w:numId w:val="14"/>
        </w:numPr>
        <w:spacing w:before="120" w:after="0" w:line="240" w:lineRule="auto"/>
        <w:ind w:hanging="357"/>
        <w:jc w:val="both"/>
        <w:rPr>
          <w:rFonts w:ascii="Calibri" w:eastAsia="ヒラギノ角ゴ Pro W3" w:hAnsi="Calibri" w:cs="Calibri"/>
          <w:color w:val="000000"/>
          <w:szCs w:val="24"/>
        </w:rPr>
      </w:pPr>
      <w:r w:rsidRPr="007B16C4">
        <w:rPr>
          <w:rFonts w:ascii="Calibri" w:eastAsia="ヒラギノ角ゴ Pro W3" w:hAnsi="Calibri" w:cs="Calibri"/>
          <w:b/>
          <w:i/>
          <w:color w:val="000000"/>
          <w:szCs w:val="24"/>
        </w:rPr>
        <w:t>Loi N° 28-00</w:t>
      </w:r>
      <w:r w:rsidRPr="007B16C4">
        <w:rPr>
          <w:rFonts w:ascii="Calibri" w:eastAsia="ヒラギノ角ゴ Pro W3" w:hAnsi="Calibri" w:cs="Calibri"/>
          <w:color w:val="000000"/>
          <w:szCs w:val="24"/>
        </w:rPr>
        <w:t xml:space="preserve"> relative à la gestion des déchets et à leur élimination, prévoit une planification de l’élimination des déchets, Interdit la mise en décharge des déchets non ultimes, et leur incinération en plein air est désormais interdite. Elle stipule aussi que les déchets dangereux doivent être traités dans les structures dédiées et que leur collecte, transport, traitement et élimination sont réglementés.</w:t>
      </w:r>
    </w:p>
    <w:p w14:paraId="0911303D" w14:textId="77777777" w:rsidR="007B16C4" w:rsidRPr="007B16C4" w:rsidRDefault="007B16C4" w:rsidP="00B33704">
      <w:pPr>
        <w:numPr>
          <w:ilvl w:val="0"/>
          <w:numId w:val="14"/>
        </w:numPr>
        <w:spacing w:before="120" w:after="0" w:line="240" w:lineRule="auto"/>
        <w:ind w:hanging="357"/>
        <w:jc w:val="both"/>
        <w:rPr>
          <w:rFonts w:ascii="Calibri" w:eastAsia="ヒラギノ角ゴ Pro W3" w:hAnsi="Calibri" w:cs="Calibri"/>
          <w:color w:val="000000"/>
          <w:szCs w:val="24"/>
        </w:rPr>
      </w:pPr>
      <w:r w:rsidRPr="007B16C4">
        <w:rPr>
          <w:rFonts w:ascii="Calibri" w:eastAsia="ヒラギノ角ゴ Pro W3" w:hAnsi="Calibri" w:cs="Calibri"/>
          <w:b/>
          <w:i/>
          <w:color w:val="000000"/>
          <w:szCs w:val="24"/>
        </w:rPr>
        <w:t>Décret N° 2-07-253</w:t>
      </w:r>
      <w:r w:rsidRPr="007B16C4">
        <w:rPr>
          <w:rFonts w:ascii="Calibri" w:eastAsia="ヒラギノ角ゴ Pro W3" w:hAnsi="Calibri" w:cs="Calibri"/>
          <w:color w:val="000000"/>
          <w:szCs w:val="24"/>
        </w:rPr>
        <w:t xml:space="preserve"> portant classification des déchets et fixant la liste des déchets dangereux. </w:t>
      </w:r>
    </w:p>
    <w:p w14:paraId="73745126" w14:textId="77777777" w:rsidR="007B16C4" w:rsidRPr="007B16C4" w:rsidRDefault="007B16C4" w:rsidP="00B33704">
      <w:pPr>
        <w:numPr>
          <w:ilvl w:val="0"/>
          <w:numId w:val="14"/>
        </w:numPr>
        <w:spacing w:before="120" w:after="0" w:line="240" w:lineRule="auto"/>
        <w:ind w:hanging="357"/>
        <w:jc w:val="both"/>
        <w:rPr>
          <w:rFonts w:ascii="Calibri" w:eastAsia="ヒラギノ角ゴ Pro W3" w:hAnsi="Calibri" w:cs="Calibri"/>
          <w:color w:val="000000"/>
          <w:szCs w:val="24"/>
        </w:rPr>
      </w:pPr>
      <w:r w:rsidRPr="007B16C4">
        <w:rPr>
          <w:rFonts w:ascii="Calibri" w:eastAsia="ヒラギノ角ゴ Pro W3" w:hAnsi="Calibri" w:cs="Calibri"/>
          <w:b/>
          <w:i/>
          <w:color w:val="000000"/>
          <w:szCs w:val="24"/>
        </w:rPr>
        <w:t>La loi 65-99</w:t>
      </w:r>
      <w:r w:rsidRPr="007B16C4">
        <w:rPr>
          <w:rFonts w:ascii="Calibri" w:eastAsia="ヒラギノ角ゴ Pro W3" w:hAnsi="Calibri" w:cs="Calibri"/>
          <w:color w:val="000000"/>
          <w:szCs w:val="24"/>
        </w:rPr>
        <w:t xml:space="preserve"> relative au code de travail, notamment les articles de 281 à 344 et ses textes d’application (21 textes : 11 décrets et 10 arrêtés) qui ont été élaborés et publiés. Ces textes d’application concernent, entre autres, les indications sur les membres du conseil de médecine de travail et de prévention des risques professionnels, les mesures d’application générales et particulières relatives aux principes énoncés par les articles de 281 à 291 du code du travail sur l’hygiène et la sécurité au travail, etc. Ils comprennent également des dispositions spécifiques relatives à la protection contre les dangers de certaines matières et agents dangereux et à la sécurité dans certains secteurs d’activité (BTP, secteur minier, pêche maritime, tourisme, secteur d’énergie, transport des matières dangereuses). </w:t>
      </w:r>
    </w:p>
    <w:p w14:paraId="505A1976" w14:textId="77777777" w:rsidR="007B16C4" w:rsidRPr="007B16C4" w:rsidRDefault="007B16C4" w:rsidP="00B33704">
      <w:pPr>
        <w:numPr>
          <w:ilvl w:val="0"/>
          <w:numId w:val="14"/>
        </w:numPr>
        <w:spacing w:before="120" w:after="0" w:line="240" w:lineRule="auto"/>
        <w:ind w:hanging="357"/>
        <w:jc w:val="both"/>
        <w:rPr>
          <w:rFonts w:ascii="Calibri" w:eastAsia="ヒラギノ角ゴ Pro W3" w:hAnsi="Calibri" w:cs="Calibri"/>
          <w:color w:val="000000"/>
          <w:szCs w:val="24"/>
        </w:rPr>
      </w:pPr>
      <w:r w:rsidRPr="007B16C4">
        <w:rPr>
          <w:rFonts w:ascii="Calibri" w:eastAsia="Calibri" w:hAnsi="Calibri" w:cs="Calibri"/>
          <w:b/>
          <w:i/>
          <w:szCs w:val="24"/>
        </w:rPr>
        <w:t xml:space="preserve">Dahir n° 1-15-85 du 07 juillet 2015 portant promulgation de la loi organique n°113-14 relative aux communes : </w:t>
      </w:r>
      <w:r w:rsidRPr="007B16C4">
        <w:rPr>
          <w:rFonts w:ascii="Calibri" w:eastAsia="Calibri" w:hAnsi="Calibri" w:cs="Calibri"/>
          <w:szCs w:val="24"/>
        </w:rPr>
        <w:t>cette loi abroge la Charte communale (loi 78-00), elle constitue le texte législatif qui édicte l'ensemble des règles relatives à l'organisation de la commune. Elle précise la composition du conseil communal et fixe ses compétences, ainsi que celle de son président.</w:t>
      </w:r>
    </w:p>
    <w:p w14:paraId="2B8FAB0C" w14:textId="77777777" w:rsidR="007B16C4" w:rsidRPr="007B16C4" w:rsidRDefault="007B16C4" w:rsidP="007B16C4">
      <w:pPr>
        <w:spacing w:after="0" w:line="240" w:lineRule="auto"/>
        <w:jc w:val="both"/>
        <w:rPr>
          <w:rFonts w:ascii="Calibri" w:eastAsia="ヒラギノ角ゴ Pro W3" w:hAnsi="Calibri" w:cs="Calibri"/>
          <w:color w:val="000000"/>
          <w:szCs w:val="24"/>
        </w:rPr>
      </w:pPr>
    </w:p>
    <w:p w14:paraId="41A1A368" w14:textId="77777777" w:rsidR="007B16C4" w:rsidRPr="007B16C4" w:rsidRDefault="007B16C4" w:rsidP="00B33704">
      <w:pPr>
        <w:numPr>
          <w:ilvl w:val="0"/>
          <w:numId w:val="11"/>
        </w:numPr>
        <w:autoSpaceDE w:val="0"/>
        <w:autoSpaceDN w:val="0"/>
        <w:adjustRightInd w:val="0"/>
        <w:spacing w:before="120" w:after="0" w:line="240" w:lineRule="auto"/>
        <w:contextualSpacing/>
        <w:jc w:val="both"/>
        <w:rPr>
          <w:rFonts w:ascii="Calibri" w:eastAsia="Times New Roman" w:hAnsi="Calibri" w:cs="Calibri"/>
          <w:color w:val="000000"/>
        </w:rPr>
      </w:pPr>
      <w:r w:rsidRPr="007B16C4">
        <w:rPr>
          <w:rFonts w:ascii="Calibri" w:eastAsia="Times New Roman" w:hAnsi="Calibri" w:cs="Calibri"/>
          <w:szCs w:val="24"/>
          <w:lang w:val="fr-CA"/>
        </w:rPr>
        <w:t xml:space="preserve">Par ailleurs, la dynamique nationale de protection de l’environnement a été inscrite dans la nouvelle Constitution de 2011, dont l’article 31 stipule que : « </w:t>
      </w:r>
      <w:r w:rsidRPr="007B16C4">
        <w:rPr>
          <w:rFonts w:ascii="Calibri" w:eastAsia="Times New Roman" w:hAnsi="Calibri" w:cs="Calibri"/>
          <w:i/>
          <w:iCs/>
          <w:szCs w:val="24"/>
          <w:lang w:val="fr-CA"/>
        </w:rPr>
        <w:t>l’État, les établissements publics et les collectivités territoriales doivent œuvrer à la mobilisation de tous les moyens en leur possession pour faciliter l’accès des citoyens aux conditions leur permettant de jouir de leurs droits, notamment le droit d’accès à l’eau, à un environnement sain et au développement durable</w:t>
      </w:r>
      <w:r w:rsidRPr="007B16C4">
        <w:rPr>
          <w:rFonts w:ascii="Calibri" w:eastAsia="Times New Roman" w:hAnsi="Calibri" w:cs="Calibri"/>
          <w:szCs w:val="24"/>
          <w:lang w:val="fr-CA"/>
        </w:rPr>
        <w:t xml:space="preserve"> ».  </w:t>
      </w:r>
    </w:p>
    <w:p w14:paraId="7106A186" w14:textId="77777777" w:rsidR="007B16C4" w:rsidRPr="007B16C4" w:rsidRDefault="007B16C4" w:rsidP="007B16C4">
      <w:pPr>
        <w:spacing w:before="120" w:after="0" w:line="240" w:lineRule="auto"/>
        <w:jc w:val="both"/>
        <w:rPr>
          <w:rFonts w:ascii="Calibri" w:eastAsia="Calibri" w:hAnsi="Calibri" w:cs="Calibri"/>
          <w:bCs/>
        </w:rPr>
      </w:pPr>
    </w:p>
    <w:p w14:paraId="266F7C3B" w14:textId="77777777" w:rsidR="007B16C4" w:rsidRPr="007B16C4" w:rsidRDefault="007B16C4" w:rsidP="007B16C4">
      <w:pPr>
        <w:spacing w:after="0" w:line="240" w:lineRule="auto"/>
        <w:jc w:val="both"/>
        <w:rPr>
          <w:rFonts w:ascii="Calibri" w:eastAsia="Calibri" w:hAnsi="Calibri" w:cs="Calibri"/>
          <w:iCs/>
          <w:color w:val="984806"/>
          <w:szCs w:val="24"/>
          <w:u w:val="single"/>
        </w:rPr>
      </w:pPr>
      <w:r w:rsidRPr="007B16C4">
        <w:rPr>
          <w:rFonts w:ascii="Calibri" w:eastAsia="Calibri" w:hAnsi="Calibri" w:cs="Calibri"/>
          <w:iCs/>
          <w:color w:val="984806"/>
          <w:szCs w:val="24"/>
          <w:u w:val="single"/>
        </w:rPr>
        <w:t xml:space="preserve">Politique de développement durable </w:t>
      </w:r>
    </w:p>
    <w:p w14:paraId="1DFDA24D" w14:textId="77777777" w:rsidR="007B16C4" w:rsidRPr="007B16C4" w:rsidRDefault="007B16C4" w:rsidP="007B16C4">
      <w:pPr>
        <w:spacing w:after="0" w:line="240" w:lineRule="auto"/>
        <w:jc w:val="both"/>
        <w:rPr>
          <w:rFonts w:ascii="Calibri" w:eastAsia="Calibri" w:hAnsi="Calibri" w:cs="Calibri"/>
          <w:iCs/>
          <w:color w:val="984806"/>
          <w:szCs w:val="24"/>
          <w:u w:val="single"/>
        </w:rPr>
      </w:pPr>
    </w:p>
    <w:p w14:paraId="264826A9" w14:textId="77777777" w:rsidR="007B16C4" w:rsidRPr="007B16C4" w:rsidRDefault="007B16C4" w:rsidP="00B33704">
      <w:pPr>
        <w:numPr>
          <w:ilvl w:val="0"/>
          <w:numId w:val="11"/>
        </w:numPr>
        <w:autoSpaceDE w:val="0"/>
        <w:autoSpaceDN w:val="0"/>
        <w:adjustRightInd w:val="0"/>
        <w:spacing w:before="120" w:after="0" w:line="240" w:lineRule="auto"/>
        <w:contextualSpacing/>
        <w:jc w:val="both"/>
        <w:rPr>
          <w:rFonts w:ascii="Calibri" w:eastAsia="Times New Roman" w:hAnsi="Calibri" w:cs="Calibri"/>
          <w:szCs w:val="24"/>
          <w:lang w:val="fr-CA"/>
        </w:rPr>
      </w:pPr>
      <w:r w:rsidRPr="007B16C4">
        <w:rPr>
          <w:rFonts w:ascii="Calibri" w:eastAsia="Times New Roman" w:hAnsi="Calibri" w:cs="Calibri"/>
          <w:color w:val="000000"/>
        </w:rPr>
        <w:lastRenderedPageBreak/>
        <w:t xml:space="preserve"> </w:t>
      </w:r>
      <w:r w:rsidRPr="007B16C4">
        <w:rPr>
          <w:rFonts w:ascii="Calibri" w:eastAsia="Times New Roman" w:hAnsi="Calibri" w:cs="Calibri"/>
          <w:szCs w:val="24"/>
          <w:lang w:val="fr-CA"/>
        </w:rPr>
        <w:t xml:space="preserve">Le Maroc a adopté dans sa stratégie de développement le concept de développement durable, qui favorise l'équilibre entre les dimensions environnementales, économiques et sociales, avec pour objectifs l'amélioration du cadre de vie des citoyens, le renforcement de la gestion durable des ressources naturelles et la promotion d’activités économiques respectueuses de l'environnement. Conformément à ses engagements au niveau international dans le cadre des Sommets de la Terre de Rio de Janeiro (1992) et de Johannesburg (2002) et des conventions pertinentes, le Maroc a mis en place les fondements visant à instaurer le développement durable dans l’ensemble du pays à travers plusieurs réformes politiques, institutionnelles, juridiques et socio-économiques. </w:t>
      </w:r>
    </w:p>
    <w:p w14:paraId="38FFEE32" w14:textId="77777777" w:rsidR="007B16C4" w:rsidRPr="007B16C4" w:rsidRDefault="007B16C4" w:rsidP="007B16C4">
      <w:pPr>
        <w:autoSpaceDE w:val="0"/>
        <w:autoSpaceDN w:val="0"/>
        <w:adjustRightInd w:val="0"/>
        <w:spacing w:after="0" w:line="240" w:lineRule="auto"/>
        <w:jc w:val="both"/>
        <w:rPr>
          <w:rFonts w:ascii="Calibri" w:eastAsia="Calibri" w:hAnsi="Calibri" w:cs="Calibri"/>
          <w:szCs w:val="24"/>
          <w:lang w:val="fr-CA"/>
        </w:rPr>
      </w:pPr>
      <w:r w:rsidRPr="007B16C4">
        <w:rPr>
          <w:rFonts w:ascii="Calibri" w:eastAsia="Calibri" w:hAnsi="Calibri" w:cs="Calibri"/>
          <w:szCs w:val="24"/>
          <w:lang w:val="fr-CA"/>
        </w:rPr>
        <w:t xml:space="preserve"> </w:t>
      </w:r>
    </w:p>
    <w:p w14:paraId="4D61D4F9" w14:textId="77777777" w:rsidR="007B16C4" w:rsidRPr="007B16C4" w:rsidRDefault="007B16C4" w:rsidP="00B33704">
      <w:pPr>
        <w:numPr>
          <w:ilvl w:val="0"/>
          <w:numId w:val="11"/>
        </w:numPr>
        <w:autoSpaceDE w:val="0"/>
        <w:autoSpaceDN w:val="0"/>
        <w:adjustRightInd w:val="0"/>
        <w:spacing w:before="120" w:after="0" w:line="240" w:lineRule="auto"/>
        <w:contextualSpacing/>
        <w:jc w:val="both"/>
        <w:rPr>
          <w:rFonts w:ascii="Calibri" w:eastAsia="Times New Roman" w:hAnsi="Calibri" w:cs="Calibri"/>
          <w:szCs w:val="24"/>
          <w:lang w:val="fr-CA"/>
        </w:rPr>
      </w:pPr>
      <w:r w:rsidRPr="007B16C4">
        <w:rPr>
          <w:rFonts w:ascii="Calibri" w:eastAsia="Times New Roman" w:hAnsi="Calibri" w:cs="Calibri"/>
          <w:szCs w:val="24"/>
          <w:lang w:val="fr-CA"/>
        </w:rPr>
        <w:t xml:space="preserve"> Ce processus a été renforcé par l'adoption en 2014 de la Charte Nationale de l’Environnement et du Développement Durable, qui fait du développement durable une réalité opérationnelle par voie réglementaire. Elle présente parmi ses objectifs, « </w:t>
      </w:r>
      <w:r w:rsidRPr="007B16C4">
        <w:rPr>
          <w:rFonts w:ascii="Calibri" w:eastAsia="Times New Roman" w:hAnsi="Calibri" w:cs="Calibri"/>
          <w:i/>
          <w:iCs/>
          <w:szCs w:val="24"/>
          <w:lang w:val="fr-CA"/>
        </w:rPr>
        <w:t>le renforcement de la protection et de la préservation des ressources et des milieux naturels, de la biodiversité et du patrimoine culturel, de la prévention et de la lutte contre les pollutions et les nuisances</w:t>
      </w:r>
      <w:r w:rsidRPr="007B16C4">
        <w:rPr>
          <w:rFonts w:ascii="Calibri" w:eastAsia="Times New Roman" w:hAnsi="Calibri" w:cs="Calibri"/>
          <w:szCs w:val="24"/>
          <w:lang w:val="fr-CA"/>
        </w:rPr>
        <w:t xml:space="preserve"> ». La concrétisation de ce processus s'est traduite par l'intégration graduelle des principes de développement durable dans les stratégies sectorielles, la mise en œuvre de la Stratégie de Mise à Niveau de l'Environnement (MANE) et de l'Initiative Nationale de Développement Humain (INDH), de </w:t>
      </w:r>
      <w:r w:rsidRPr="007B16C4">
        <w:rPr>
          <w:rFonts w:ascii="Calibri" w:eastAsia="Times New Roman" w:hAnsi="Calibri" w:cs="Calibri"/>
          <w:szCs w:val="24"/>
        </w:rPr>
        <w:t>la Stratégie Nationale de Protection de l'Environnement (SNPE) et de la Stratégie Nationale de Développement Durable (SNDD)</w:t>
      </w:r>
      <w:r w:rsidRPr="007B16C4">
        <w:rPr>
          <w:rFonts w:ascii="Calibri" w:eastAsia="Times New Roman" w:hAnsi="Calibri" w:cs="Calibri"/>
          <w:szCs w:val="24"/>
          <w:lang w:val="fr-CA"/>
        </w:rPr>
        <w:t>. Cette dernière adoptée en juin 2017, pose pour son premier axe stratégique la mise en œuvre d’une démarche exemplaire au sein de la fonction publique en matière de promotion du développent durable (DD). En effet, le diagnostic réalisé par le SEDD en vue de la préparation de la SNDD a présenté parmi ses conclusions que ‘</w:t>
      </w:r>
      <w:r w:rsidRPr="007B16C4">
        <w:rPr>
          <w:rFonts w:ascii="Calibri" w:eastAsia="Times New Roman" w:hAnsi="Calibri" w:cs="Calibri"/>
          <w:i/>
          <w:iCs/>
          <w:szCs w:val="24"/>
          <w:lang w:val="fr-CA"/>
        </w:rPr>
        <w:t>’Le pilier environnemental, s’est avéré comme le parent pauvre du développement... Les actions environnementales sont essentiellement curatives et répondent à des urgences, mais l’environnement n’est pas encore considéré comme une source de croissance durable. Cette stratégie vise à renforcer la prise en compte des attentes environnementales dans les politiques publiques pour découpler croissance économique de la pression sur les ressources, …</w:t>
      </w:r>
      <w:r w:rsidRPr="007B16C4">
        <w:rPr>
          <w:rFonts w:ascii="Calibri" w:eastAsia="Times New Roman" w:hAnsi="Calibri" w:cs="Calibri"/>
          <w:szCs w:val="24"/>
          <w:lang w:val="fr-CA"/>
        </w:rPr>
        <w:t>’’</w:t>
      </w:r>
    </w:p>
    <w:p w14:paraId="3D342202" w14:textId="77777777" w:rsidR="007B16C4" w:rsidRPr="007B16C4" w:rsidRDefault="007B16C4" w:rsidP="007B16C4">
      <w:pPr>
        <w:autoSpaceDE w:val="0"/>
        <w:autoSpaceDN w:val="0"/>
        <w:adjustRightInd w:val="0"/>
        <w:spacing w:after="0" w:line="240" w:lineRule="auto"/>
        <w:jc w:val="both"/>
        <w:rPr>
          <w:rFonts w:ascii="Calibri" w:eastAsia="Calibri" w:hAnsi="Calibri" w:cs="Calibri"/>
          <w:szCs w:val="24"/>
          <w:lang w:val="fr-CA"/>
        </w:rPr>
      </w:pPr>
      <w:r w:rsidRPr="007B16C4">
        <w:rPr>
          <w:rFonts w:ascii="Calibri" w:eastAsia="Calibri" w:hAnsi="Calibri" w:cs="Calibri"/>
          <w:szCs w:val="24"/>
          <w:lang w:val="fr-CA"/>
        </w:rPr>
        <w:t xml:space="preserve"> </w:t>
      </w:r>
    </w:p>
    <w:p w14:paraId="1409807E" w14:textId="77777777" w:rsidR="007B16C4" w:rsidRPr="007B16C4" w:rsidRDefault="007B16C4" w:rsidP="00B33704">
      <w:pPr>
        <w:numPr>
          <w:ilvl w:val="0"/>
          <w:numId w:val="11"/>
        </w:numPr>
        <w:autoSpaceDE w:val="0"/>
        <w:autoSpaceDN w:val="0"/>
        <w:adjustRightInd w:val="0"/>
        <w:spacing w:before="120" w:after="0" w:line="240" w:lineRule="auto"/>
        <w:contextualSpacing/>
        <w:jc w:val="both"/>
        <w:rPr>
          <w:rFonts w:ascii="Calibri" w:eastAsia="Times New Roman" w:hAnsi="Calibri" w:cs="Calibri"/>
          <w:szCs w:val="24"/>
          <w:lang w:val="fr-CA"/>
        </w:rPr>
      </w:pPr>
      <w:r w:rsidRPr="007B16C4">
        <w:rPr>
          <w:rFonts w:ascii="Calibri" w:eastAsia="Times New Roman" w:hAnsi="Calibri" w:cs="Calibri"/>
          <w:szCs w:val="24"/>
          <w:lang w:val="fr-CA"/>
        </w:rPr>
        <w:t>Le présent Programme répond à au moins 2 enjeux parmi les 7 identifiés par la SNDD à savoir:</w:t>
      </w:r>
    </w:p>
    <w:p w14:paraId="4B932C7A" w14:textId="77777777" w:rsidR="007B16C4" w:rsidRPr="007B16C4" w:rsidRDefault="007B16C4" w:rsidP="00B33704">
      <w:pPr>
        <w:widowControl w:val="0"/>
        <w:numPr>
          <w:ilvl w:val="0"/>
          <w:numId w:val="15"/>
        </w:numPr>
        <w:adjustRightInd w:val="0"/>
        <w:spacing w:before="120" w:after="0" w:line="240" w:lineRule="auto"/>
        <w:jc w:val="both"/>
        <w:textAlignment w:val="baseline"/>
        <w:rPr>
          <w:rFonts w:ascii="Calibri" w:eastAsia="ヒラギノ角ゴ Pro W3" w:hAnsi="Calibri" w:cs="Calibri"/>
          <w:szCs w:val="20"/>
        </w:rPr>
      </w:pPr>
      <w:r w:rsidRPr="007B16C4">
        <w:rPr>
          <w:rFonts w:ascii="Calibri" w:eastAsia="ヒラギノ角ゴ Pro W3" w:hAnsi="Calibri" w:cs="Calibri"/>
          <w:szCs w:val="20"/>
        </w:rPr>
        <w:t>L’Enjeu 1 : Consolider la gouvernance du développement durable</w:t>
      </w:r>
    </w:p>
    <w:p w14:paraId="681E21D4" w14:textId="77777777" w:rsidR="007B16C4" w:rsidRPr="007B16C4" w:rsidRDefault="007B16C4" w:rsidP="00B33704">
      <w:pPr>
        <w:widowControl w:val="0"/>
        <w:numPr>
          <w:ilvl w:val="0"/>
          <w:numId w:val="15"/>
        </w:numPr>
        <w:adjustRightInd w:val="0"/>
        <w:spacing w:before="120" w:after="0" w:line="240" w:lineRule="auto"/>
        <w:jc w:val="both"/>
        <w:textAlignment w:val="baseline"/>
        <w:rPr>
          <w:rFonts w:ascii="Calibri" w:eastAsia="ヒラギノ角ゴ Pro W3" w:hAnsi="Calibri" w:cs="Calibri"/>
          <w:szCs w:val="20"/>
        </w:rPr>
      </w:pPr>
      <w:r w:rsidRPr="007B16C4">
        <w:rPr>
          <w:rFonts w:ascii="Calibri" w:eastAsia="ヒラギノ角ゴ Pro W3" w:hAnsi="Calibri" w:cs="Calibri"/>
          <w:szCs w:val="20"/>
        </w:rPr>
        <w:t>L’Enjeu 6 : Promouvoir le développement humain et réduire les inégalités sociales et territoriales</w:t>
      </w:r>
    </w:p>
    <w:p w14:paraId="6704B63A" w14:textId="77777777" w:rsidR="007B16C4" w:rsidRPr="007B16C4" w:rsidRDefault="007B16C4" w:rsidP="007B16C4">
      <w:pPr>
        <w:spacing w:after="0" w:line="240" w:lineRule="auto"/>
        <w:jc w:val="both"/>
        <w:rPr>
          <w:rFonts w:ascii="Times New Roman" w:eastAsia="Calibri" w:hAnsi="Times New Roman" w:cs="Times New Roman"/>
          <w:b/>
          <w:i/>
          <w:color w:val="000000"/>
          <w:szCs w:val="24"/>
        </w:rPr>
      </w:pPr>
    </w:p>
    <w:p w14:paraId="3ACFC4B5" w14:textId="77777777" w:rsidR="007B16C4" w:rsidRPr="007B16C4" w:rsidRDefault="007B16C4" w:rsidP="007B16C4">
      <w:pPr>
        <w:spacing w:after="0" w:line="240" w:lineRule="auto"/>
        <w:jc w:val="both"/>
        <w:rPr>
          <w:rFonts w:ascii="Calibri" w:eastAsia="Calibri" w:hAnsi="Calibri" w:cs="Calibri"/>
          <w:iCs/>
          <w:color w:val="984806"/>
          <w:szCs w:val="24"/>
          <w:u w:val="single"/>
        </w:rPr>
      </w:pPr>
      <w:r w:rsidRPr="007B16C4">
        <w:rPr>
          <w:rFonts w:ascii="Calibri" w:eastAsia="Calibri" w:hAnsi="Calibri" w:cs="Calibri"/>
          <w:iCs/>
          <w:color w:val="984806"/>
          <w:szCs w:val="24"/>
          <w:u w:val="single"/>
        </w:rPr>
        <w:t xml:space="preserve">Politiques et lois au niveau local </w:t>
      </w:r>
    </w:p>
    <w:p w14:paraId="4FBA3456" w14:textId="77777777" w:rsidR="007B16C4" w:rsidRPr="007B16C4" w:rsidRDefault="007B16C4" w:rsidP="007B16C4">
      <w:pPr>
        <w:autoSpaceDE w:val="0"/>
        <w:autoSpaceDN w:val="0"/>
        <w:adjustRightInd w:val="0"/>
        <w:spacing w:after="0" w:line="240" w:lineRule="auto"/>
        <w:jc w:val="both"/>
        <w:rPr>
          <w:rFonts w:ascii="Calibri" w:eastAsia="Calibri" w:hAnsi="Calibri" w:cs="Calibri"/>
          <w:color w:val="000000"/>
          <w:shd w:val="clear" w:color="auto" w:fill="FFFFFF"/>
        </w:rPr>
      </w:pPr>
    </w:p>
    <w:p w14:paraId="3576A641" w14:textId="77777777" w:rsidR="007B16C4" w:rsidRPr="007B16C4" w:rsidRDefault="007B16C4" w:rsidP="00B33704">
      <w:pPr>
        <w:numPr>
          <w:ilvl w:val="0"/>
          <w:numId w:val="11"/>
        </w:numPr>
        <w:autoSpaceDE w:val="0"/>
        <w:autoSpaceDN w:val="0"/>
        <w:adjustRightInd w:val="0"/>
        <w:spacing w:before="120" w:after="0" w:line="240" w:lineRule="auto"/>
        <w:contextualSpacing/>
        <w:jc w:val="both"/>
        <w:rPr>
          <w:rFonts w:ascii="Calibri" w:eastAsia="Times New Roman" w:hAnsi="Calibri" w:cs="Calibri"/>
          <w:color w:val="000000"/>
        </w:rPr>
      </w:pPr>
      <w:r w:rsidRPr="007B16C4">
        <w:rPr>
          <w:rFonts w:ascii="Calibri" w:eastAsia="Times New Roman" w:hAnsi="Calibri" w:cs="Calibri"/>
          <w:color w:val="000000"/>
          <w:szCs w:val="24"/>
        </w:rPr>
        <w:t xml:space="preserve">La loi marocaine octroie </w:t>
      </w:r>
      <w:r w:rsidRPr="007B16C4">
        <w:rPr>
          <w:rFonts w:ascii="Calibri" w:eastAsia="Times New Roman" w:hAnsi="Calibri" w:cs="Calibri"/>
          <w:b/>
          <w:i/>
          <w:color w:val="000000"/>
          <w:szCs w:val="24"/>
        </w:rPr>
        <w:t>aux Collectivités territoriales la responsabilisation de la gestion de l’environnement</w:t>
      </w:r>
      <w:r w:rsidRPr="007B16C4">
        <w:rPr>
          <w:rFonts w:ascii="Calibri" w:eastAsia="Times New Roman" w:hAnsi="Calibri" w:cs="Calibri"/>
          <w:color w:val="000000"/>
          <w:szCs w:val="24"/>
        </w:rPr>
        <w:t xml:space="preserve"> et, surtout pour ce qui concerne les Collectivités régionales, la responsabilité de gérer la lutte contre les risques des catastrophes naturelles. </w:t>
      </w:r>
      <w:r w:rsidRPr="007B16C4">
        <w:rPr>
          <w:rFonts w:ascii="Calibri" w:eastAsia="Times New Roman" w:hAnsi="Calibri" w:cs="Calibri"/>
          <w:color w:val="000000"/>
        </w:rPr>
        <w:t>L’organisation territoriale marocaine repose sur un système qui comprend 1actuellement 12 régions associées rassemblant 13 préfectures et 62 provinces qui cumulent elles-mêmes 1503 communes.</w:t>
      </w:r>
    </w:p>
    <w:p w14:paraId="23D4CB61" w14:textId="77777777" w:rsidR="007B16C4" w:rsidRPr="007B16C4" w:rsidRDefault="007B16C4" w:rsidP="007B16C4">
      <w:pPr>
        <w:autoSpaceDE w:val="0"/>
        <w:autoSpaceDN w:val="0"/>
        <w:adjustRightInd w:val="0"/>
        <w:spacing w:after="0" w:line="240" w:lineRule="auto"/>
        <w:jc w:val="both"/>
        <w:rPr>
          <w:rFonts w:ascii="Calibri" w:eastAsia="Calibri" w:hAnsi="Calibri" w:cs="Calibri"/>
          <w:color w:val="000000"/>
        </w:rPr>
      </w:pPr>
    </w:p>
    <w:p w14:paraId="358B11D2" w14:textId="77777777" w:rsidR="007B16C4" w:rsidRPr="007B16C4" w:rsidRDefault="007B16C4" w:rsidP="00B33704">
      <w:pPr>
        <w:numPr>
          <w:ilvl w:val="0"/>
          <w:numId w:val="11"/>
        </w:numPr>
        <w:autoSpaceDE w:val="0"/>
        <w:autoSpaceDN w:val="0"/>
        <w:adjustRightInd w:val="0"/>
        <w:spacing w:before="120" w:after="0" w:line="240" w:lineRule="auto"/>
        <w:contextualSpacing/>
        <w:jc w:val="both"/>
        <w:rPr>
          <w:rFonts w:ascii="Calibri" w:eastAsia="Times New Roman" w:hAnsi="Calibri" w:cs="Calibri"/>
          <w:color w:val="000000"/>
        </w:rPr>
      </w:pPr>
      <w:r w:rsidRPr="007B16C4">
        <w:rPr>
          <w:rFonts w:ascii="Calibri" w:eastAsia="Times New Roman" w:hAnsi="Calibri" w:cs="Calibri"/>
          <w:color w:val="000000"/>
        </w:rPr>
        <w:t xml:space="preserve">Le Maroc compte un total de 1 503 communes, dont 221 urbaines et 1 282 rurales. D’après la Loi n° 78-00, les communes – divisées en communes urbaines (appelées aussi </w:t>
      </w:r>
      <w:r w:rsidRPr="007B16C4">
        <w:rPr>
          <w:rFonts w:ascii="Calibri" w:eastAsia="Times New Roman" w:hAnsi="Calibri" w:cs="Calibri"/>
          <w:i/>
          <w:color w:val="000000"/>
        </w:rPr>
        <w:t>municipalités</w:t>
      </w:r>
      <w:r w:rsidRPr="007B16C4">
        <w:rPr>
          <w:rFonts w:ascii="Calibri" w:eastAsia="Times New Roman" w:hAnsi="Calibri" w:cs="Calibri"/>
          <w:color w:val="000000"/>
        </w:rPr>
        <w:t>) et communes rurales – sont au Maroc « </w:t>
      </w:r>
      <w:r w:rsidRPr="007B16C4">
        <w:rPr>
          <w:rFonts w:ascii="Calibri" w:eastAsia="Times New Roman" w:hAnsi="Calibri" w:cs="Calibri"/>
          <w:i/>
          <w:color w:val="000000"/>
        </w:rPr>
        <w:t>des collectivités territoriales de droit public, dotées de la personnalité morale et de l'autonomie financière</w:t>
      </w:r>
      <w:r w:rsidRPr="007B16C4">
        <w:rPr>
          <w:rFonts w:ascii="Calibri" w:eastAsia="Times New Roman" w:hAnsi="Calibri" w:cs="Calibri"/>
          <w:color w:val="000000"/>
        </w:rPr>
        <w:t> ». Les affaires de la commune sont gérées par un conseil élu. Le conseil constitue des commissions pour l'étude des questions et la préparation des affaires à soumettre à l'examen et au vote de l'assemblée plénière. Il doit être constitué au moins trois Commissions permanentes, à savoir :</w:t>
      </w:r>
    </w:p>
    <w:p w14:paraId="33376701" w14:textId="77777777" w:rsidR="007B16C4" w:rsidRPr="007B16C4" w:rsidRDefault="007B16C4" w:rsidP="00B33704">
      <w:pPr>
        <w:numPr>
          <w:ilvl w:val="0"/>
          <w:numId w:val="12"/>
        </w:numPr>
        <w:spacing w:before="120" w:after="0" w:line="240" w:lineRule="auto"/>
        <w:ind w:left="994"/>
        <w:jc w:val="both"/>
        <w:rPr>
          <w:rFonts w:ascii="Calibri" w:eastAsia="Times New Roman" w:hAnsi="Calibri" w:cs="Calibri"/>
          <w:color w:val="000000"/>
        </w:rPr>
      </w:pPr>
      <w:r w:rsidRPr="007B16C4">
        <w:rPr>
          <w:rFonts w:ascii="Calibri" w:eastAsia="Times New Roman" w:hAnsi="Calibri" w:cs="Calibri"/>
          <w:color w:val="000000"/>
        </w:rPr>
        <w:t>La Commission chargée des questions budgétaires et financières ;</w:t>
      </w:r>
    </w:p>
    <w:p w14:paraId="6F77504D" w14:textId="77777777" w:rsidR="007B16C4" w:rsidRPr="007B16C4" w:rsidRDefault="007B16C4" w:rsidP="00B33704">
      <w:pPr>
        <w:numPr>
          <w:ilvl w:val="0"/>
          <w:numId w:val="12"/>
        </w:numPr>
        <w:spacing w:before="120" w:after="0" w:line="240" w:lineRule="auto"/>
        <w:ind w:left="990"/>
        <w:contextualSpacing/>
        <w:jc w:val="both"/>
        <w:rPr>
          <w:rFonts w:ascii="Calibri" w:eastAsia="Times New Roman" w:hAnsi="Calibri" w:cs="Calibri"/>
          <w:color w:val="000000"/>
        </w:rPr>
      </w:pPr>
      <w:r w:rsidRPr="007B16C4">
        <w:rPr>
          <w:rFonts w:ascii="Calibri" w:eastAsia="Times New Roman" w:hAnsi="Calibri" w:cs="Calibri"/>
          <w:color w:val="000000"/>
        </w:rPr>
        <w:lastRenderedPageBreak/>
        <w:t>La Commission chargée du développement économique, social et culturel ;</w:t>
      </w:r>
    </w:p>
    <w:p w14:paraId="4F5089FD" w14:textId="77777777" w:rsidR="007B16C4" w:rsidRPr="007B16C4" w:rsidRDefault="007B16C4" w:rsidP="00B33704">
      <w:pPr>
        <w:numPr>
          <w:ilvl w:val="0"/>
          <w:numId w:val="12"/>
        </w:numPr>
        <w:spacing w:before="120" w:after="0" w:line="240" w:lineRule="auto"/>
        <w:ind w:left="990"/>
        <w:contextualSpacing/>
        <w:jc w:val="both"/>
        <w:rPr>
          <w:rFonts w:ascii="Calibri" w:eastAsia="Times New Roman" w:hAnsi="Calibri" w:cs="Calibri"/>
          <w:color w:val="000000"/>
        </w:rPr>
      </w:pPr>
      <w:r w:rsidRPr="007B16C4">
        <w:rPr>
          <w:rFonts w:ascii="Calibri" w:eastAsia="Times New Roman" w:hAnsi="Calibri" w:cs="Calibri"/>
          <w:color w:val="000000"/>
        </w:rPr>
        <w:t>La Commission chargée de l'urbanisme, l'aménagement du territoire et l'environnement.</w:t>
      </w:r>
    </w:p>
    <w:p w14:paraId="5FCA9E07" w14:textId="77777777" w:rsidR="007B16C4" w:rsidRPr="007B16C4" w:rsidRDefault="007B16C4" w:rsidP="007B16C4">
      <w:pPr>
        <w:spacing w:after="0" w:line="240" w:lineRule="auto"/>
        <w:jc w:val="both"/>
        <w:rPr>
          <w:rFonts w:ascii="Calibri" w:eastAsia="Calibri" w:hAnsi="Calibri" w:cs="Calibri"/>
          <w:color w:val="000000"/>
        </w:rPr>
      </w:pPr>
    </w:p>
    <w:p w14:paraId="7B1D5AB1" w14:textId="77777777" w:rsidR="007B16C4" w:rsidRPr="007B16C4" w:rsidRDefault="007B16C4" w:rsidP="00B33704">
      <w:pPr>
        <w:numPr>
          <w:ilvl w:val="0"/>
          <w:numId w:val="11"/>
        </w:numPr>
        <w:autoSpaceDE w:val="0"/>
        <w:autoSpaceDN w:val="0"/>
        <w:adjustRightInd w:val="0"/>
        <w:spacing w:before="120" w:after="0" w:line="240" w:lineRule="auto"/>
        <w:contextualSpacing/>
        <w:jc w:val="both"/>
        <w:rPr>
          <w:rFonts w:ascii="Calibri" w:eastAsia="Times New Roman" w:hAnsi="Calibri" w:cs="Calibri"/>
          <w:color w:val="000000"/>
        </w:rPr>
      </w:pPr>
      <w:r w:rsidRPr="007B16C4">
        <w:rPr>
          <w:rFonts w:ascii="Calibri" w:eastAsia="Times New Roman" w:hAnsi="Calibri" w:cs="Calibri"/>
          <w:color w:val="000000"/>
        </w:rPr>
        <w:t xml:space="preserve">Le Ministre de l’Intérieur conserve son pouvoir de tutelle sur les Collectivités territoriales, par le biais de sa Direction Générale des Collectivités territoriales (DGCL). Face à la montée en autonomie de celles-ci, </w:t>
      </w:r>
      <w:r w:rsidRPr="007B16C4">
        <w:rPr>
          <w:rFonts w:ascii="Calibri" w:eastAsia="Times New Roman" w:hAnsi="Calibri" w:cs="Calibri"/>
          <w:b/>
          <w:i/>
          <w:color w:val="000000"/>
        </w:rPr>
        <w:t>le Ministère s’est repositionné dans un rôle d’assistance, de soutien et d’accompagnement</w:t>
      </w:r>
      <w:r w:rsidRPr="007B16C4">
        <w:rPr>
          <w:rFonts w:ascii="Calibri" w:eastAsia="Times New Roman" w:hAnsi="Calibri" w:cs="Calibri"/>
          <w:color w:val="000000"/>
        </w:rPr>
        <w:t xml:space="preserve">, jouant notamment sur les leviers du financement et de l’expertise. </w:t>
      </w:r>
    </w:p>
    <w:p w14:paraId="302D2493" w14:textId="77777777" w:rsidR="007B16C4" w:rsidRPr="007B16C4" w:rsidRDefault="007B16C4" w:rsidP="007B16C4">
      <w:pPr>
        <w:autoSpaceDE w:val="0"/>
        <w:autoSpaceDN w:val="0"/>
        <w:adjustRightInd w:val="0"/>
        <w:spacing w:after="0" w:line="240" w:lineRule="auto"/>
        <w:jc w:val="both"/>
        <w:rPr>
          <w:rFonts w:ascii="Calibri" w:eastAsia="Calibri" w:hAnsi="Calibri" w:cs="Calibri"/>
          <w:color w:val="000000"/>
        </w:rPr>
      </w:pPr>
    </w:p>
    <w:p w14:paraId="4EE0E103" w14:textId="77777777" w:rsidR="007B16C4" w:rsidRPr="007B16C4" w:rsidRDefault="007B16C4" w:rsidP="00B33704">
      <w:pPr>
        <w:numPr>
          <w:ilvl w:val="0"/>
          <w:numId w:val="11"/>
        </w:numPr>
        <w:autoSpaceDE w:val="0"/>
        <w:autoSpaceDN w:val="0"/>
        <w:adjustRightInd w:val="0"/>
        <w:spacing w:before="120" w:after="0" w:line="240" w:lineRule="auto"/>
        <w:contextualSpacing/>
        <w:jc w:val="both"/>
        <w:rPr>
          <w:rFonts w:ascii="Calibri" w:eastAsia="Times New Roman" w:hAnsi="Calibri" w:cs="Calibri"/>
          <w:color w:val="000000"/>
        </w:rPr>
      </w:pPr>
      <w:r w:rsidRPr="007B16C4">
        <w:rPr>
          <w:rFonts w:ascii="Calibri" w:eastAsia="Times New Roman" w:hAnsi="Calibri" w:cs="Calibri"/>
          <w:color w:val="000000"/>
        </w:rPr>
        <w:t xml:space="preserve">Dans chaque commune, le </w:t>
      </w:r>
      <w:r w:rsidRPr="007B16C4">
        <w:rPr>
          <w:rFonts w:ascii="Calibri" w:eastAsia="Times New Roman" w:hAnsi="Calibri" w:cs="Calibri"/>
          <w:i/>
          <w:color w:val="000000"/>
        </w:rPr>
        <w:t>Plan communal de Développement</w:t>
      </w:r>
      <w:r w:rsidRPr="007B16C4">
        <w:rPr>
          <w:rFonts w:ascii="Calibri" w:eastAsia="Times New Roman" w:hAnsi="Calibri" w:cs="Calibri"/>
          <w:color w:val="000000"/>
        </w:rPr>
        <w:t xml:space="preserve"> (PCD) est un outil de planification instauré par la loi du 18 février 2009 portant amendement de la charte communale, dans le cadre du processus de décentralisation au Maroc. Ce document fixe pour six ans le programme d’équipements et d’espaces publics de la collectivité, </w:t>
      </w:r>
      <w:r w:rsidRPr="007B16C4">
        <w:rPr>
          <w:rFonts w:ascii="Calibri" w:eastAsia="Times New Roman" w:hAnsi="Calibri" w:cs="Calibri"/>
          <w:b/>
          <w:i/>
          <w:color w:val="000000"/>
        </w:rPr>
        <w:t>dans une perspective de développement durable et sur la base d'une démarche participative</w:t>
      </w:r>
      <w:r w:rsidRPr="007B16C4">
        <w:rPr>
          <w:rFonts w:ascii="Calibri" w:eastAsia="Times New Roman" w:hAnsi="Calibri" w:cs="Calibri"/>
          <w:color w:val="000000"/>
        </w:rPr>
        <w:t xml:space="preserve">. Le projet de PCD est préparé par le président du conseil communal et voté par ce dernier. Il doit obligatoirement comporter un diagnostic, une identification des besoins prioritaires, ainsi que les ressources et dépenses afférentes aux trois premières années de mise en œuvre.  </w:t>
      </w:r>
    </w:p>
    <w:p w14:paraId="2425001E" w14:textId="77777777" w:rsidR="007B16C4" w:rsidRPr="007B16C4" w:rsidRDefault="007B16C4" w:rsidP="007B16C4">
      <w:pPr>
        <w:spacing w:before="120" w:after="0" w:line="240" w:lineRule="auto"/>
        <w:ind w:left="720"/>
        <w:contextualSpacing/>
        <w:jc w:val="both"/>
        <w:rPr>
          <w:rFonts w:ascii="Calibri" w:eastAsia="Times New Roman" w:hAnsi="Calibri" w:cs="Calibri"/>
          <w:szCs w:val="23"/>
        </w:rPr>
      </w:pPr>
    </w:p>
    <w:p w14:paraId="3A823213" w14:textId="77777777" w:rsidR="007B16C4" w:rsidRPr="007B16C4" w:rsidRDefault="007B16C4" w:rsidP="00B33704">
      <w:pPr>
        <w:numPr>
          <w:ilvl w:val="0"/>
          <w:numId w:val="11"/>
        </w:numPr>
        <w:autoSpaceDE w:val="0"/>
        <w:autoSpaceDN w:val="0"/>
        <w:adjustRightInd w:val="0"/>
        <w:spacing w:before="120" w:after="0" w:line="240" w:lineRule="auto"/>
        <w:contextualSpacing/>
        <w:jc w:val="both"/>
        <w:rPr>
          <w:rFonts w:ascii="Calibri" w:eastAsia="Times New Roman" w:hAnsi="Calibri" w:cs="Calibri"/>
          <w:color w:val="000000"/>
        </w:rPr>
      </w:pPr>
      <w:r w:rsidRPr="007B16C4">
        <w:rPr>
          <w:rFonts w:ascii="Calibri" w:eastAsia="Times New Roman" w:hAnsi="Calibri" w:cs="Calibri"/>
          <w:szCs w:val="23"/>
        </w:rPr>
        <w:t>L</w:t>
      </w:r>
      <w:r w:rsidRPr="007B16C4">
        <w:rPr>
          <w:rFonts w:ascii="Calibri" w:eastAsia="Times New Roman" w:hAnsi="Calibri" w:cs="Calibri"/>
        </w:rPr>
        <w:t xml:space="preserve">a loi 36-15 sur l’Eau stipule que les Collectivités territoriales puissent bénéficier du concours de </w:t>
      </w:r>
      <w:r w:rsidRPr="007B16C4">
        <w:rPr>
          <w:rFonts w:ascii="Calibri" w:eastAsia="Times New Roman" w:hAnsi="Calibri" w:cs="Calibri"/>
          <w:i/>
        </w:rPr>
        <w:t>l’Agence de Bassin</w:t>
      </w:r>
      <w:r w:rsidRPr="007B16C4">
        <w:rPr>
          <w:rFonts w:ascii="Calibri" w:eastAsia="Times New Roman" w:hAnsi="Calibri" w:cs="Calibri"/>
        </w:rPr>
        <w:t xml:space="preserve"> lorsqu’elles </w:t>
      </w:r>
      <w:r w:rsidRPr="007B16C4">
        <w:rPr>
          <w:rFonts w:ascii="Calibri" w:eastAsia="Times New Roman" w:hAnsi="Calibri" w:cs="Calibri"/>
          <w:color w:val="000000"/>
        </w:rPr>
        <w:t>entreprennent</w:t>
      </w:r>
      <w:r w:rsidRPr="007B16C4">
        <w:rPr>
          <w:rFonts w:ascii="Calibri" w:eastAsia="Times New Roman" w:hAnsi="Calibri" w:cs="Calibri"/>
        </w:rPr>
        <w:t xml:space="preserve">, conformément aux dispositions de la présente loi, des projets en partenariat concernant, entre autres, les aspects suivants : entretien et curage de cours d’eau; protection et conservation quantitative et qualitative des ressources en eau; et réalisation des infrastructures nécessaires à la protection contre les inondations </w:t>
      </w:r>
    </w:p>
    <w:p w14:paraId="2FC7DF11" w14:textId="77777777" w:rsidR="007B16C4" w:rsidRPr="007B16C4" w:rsidRDefault="007B16C4" w:rsidP="007B16C4">
      <w:pPr>
        <w:autoSpaceDE w:val="0"/>
        <w:autoSpaceDN w:val="0"/>
        <w:adjustRightInd w:val="0"/>
        <w:spacing w:after="0" w:line="240" w:lineRule="auto"/>
        <w:jc w:val="both"/>
        <w:rPr>
          <w:rFonts w:ascii="Calibri" w:eastAsia="Calibri" w:hAnsi="Calibri" w:cs="Calibri"/>
        </w:rPr>
      </w:pPr>
    </w:p>
    <w:p w14:paraId="21C552B0" w14:textId="1813D239" w:rsidR="007B16C4" w:rsidRPr="00D85E9B" w:rsidRDefault="00233DA1" w:rsidP="00D85E9B">
      <w:pPr>
        <w:pStyle w:val="Heading3"/>
        <w:rPr>
          <w:rFonts w:ascii="Candara" w:hAnsi="Candara"/>
          <w:b w:val="0"/>
          <w:bCs w:val="0"/>
          <w:color w:val="auto"/>
          <w:lang w:val="fr-FR"/>
        </w:rPr>
      </w:pPr>
      <w:bookmarkStart w:id="85" w:name="_Toc65446743"/>
      <w:bookmarkStart w:id="86" w:name="_Toc74241390"/>
      <w:r>
        <w:rPr>
          <w:rFonts w:ascii="Candara" w:hAnsi="Candara"/>
          <w:color w:val="auto"/>
          <w:lang w:val="fr-FR"/>
        </w:rPr>
        <w:t xml:space="preserve">3.1.2 </w:t>
      </w:r>
      <w:r w:rsidR="007B16C4" w:rsidRPr="00D85E9B">
        <w:rPr>
          <w:rFonts w:ascii="Candara" w:hAnsi="Candara"/>
          <w:color w:val="auto"/>
          <w:lang w:val="fr-FR"/>
        </w:rPr>
        <w:t>Dispositif juridique national de la gestion environnementale</w:t>
      </w:r>
      <w:bookmarkEnd w:id="85"/>
      <w:bookmarkEnd w:id="86"/>
      <w:r w:rsidR="007B16C4" w:rsidRPr="00D85E9B">
        <w:rPr>
          <w:rFonts w:ascii="Candara" w:hAnsi="Candara"/>
          <w:color w:val="auto"/>
          <w:lang w:val="fr-FR"/>
        </w:rPr>
        <w:tab/>
      </w:r>
    </w:p>
    <w:p w14:paraId="2A01F6AA" w14:textId="77777777" w:rsidR="007B16C4" w:rsidRPr="007B16C4" w:rsidRDefault="007B16C4" w:rsidP="007B16C4">
      <w:pPr>
        <w:autoSpaceDE w:val="0"/>
        <w:autoSpaceDN w:val="0"/>
        <w:adjustRightInd w:val="0"/>
        <w:spacing w:before="120" w:after="0" w:line="240" w:lineRule="auto"/>
        <w:contextualSpacing/>
        <w:jc w:val="both"/>
        <w:rPr>
          <w:rFonts w:ascii="Calibri" w:eastAsia="Times New Roman" w:hAnsi="Calibri" w:cs="Calibri"/>
          <w:szCs w:val="24"/>
          <w:lang w:val="fr-CA"/>
        </w:rPr>
      </w:pPr>
    </w:p>
    <w:p w14:paraId="2860B199" w14:textId="77777777" w:rsidR="007B16C4" w:rsidRPr="007B16C4" w:rsidRDefault="007B16C4" w:rsidP="00B33704">
      <w:pPr>
        <w:numPr>
          <w:ilvl w:val="0"/>
          <w:numId w:val="11"/>
        </w:numPr>
        <w:autoSpaceDE w:val="0"/>
        <w:autoSpaceDN w:val="0"/>
        <w:adjustRightInd w:val="0"/>
        <w:spacing w:before="120" w:after="0" w:line="240" w:lineRule="auto"/>
        <w:contextualSpacing/>
        <w:jc w:val="both"/>
        <w:rPr>
          <w:rFonts w:ascii="Calibri" w:eastAsia="Times New Roman" w:hAnsi="Calibri" w:cs="Calibri"/>
          <w:szCs w:val="24"/>
          <w:lang w:val="fr-CA"/>
        </w:rPr>
      </w:pPr>
      <w:r w:rsidRPr="007B16C4">
        <w:rPr>
          <w:rFonts w:ascii="Calibri" w:eastAsia="Times New Roman" w:hAnsi="Calibri" w:cs="Calibri"/>
          <w:szCs w:val="24"/>
          <w:lang w:val="fr-CA"/>
        </w:rPr>
        <w:t>Le Maroc dispose d’un cadre juridique important concernant la gestion environnementale et, en particulier, la gestion des impacts environnementaux. Il comprend la majorité des aspects liés à la protection de l'environnement, de la lutte contre la pollution et de l'amélioration du cadre de vie, y compris les instruments préventifs (Évaluation environnementale, EE) et incitatifs (aides financières et incitation fiscales), comme aussi des mesures coercitives à l'encontre des personnes physiques et morales commettant des infractions de pollution ou de dégradation de l'environnement. Certains textes sont à caractère général ou horizontal et d'autres sont spécifiques aux activités sectorielles.</w:t>
      </w:r>
    </w:p>
    <w:p w14:paraId="208A0C42" w14:textId="77777777" w:rsidR="007B16C4" w:rsidRPr="007B16C4" w:rsidRDefault="007B16C4" w:rsidP="007B16C4">
      <w:pPr>
        <w:autoSpaceDE w:val="0"/>
        <w:autoSpaceDN w:val="0"/>
        <w:adjustRightInd w:val="0"/>
        <w:spacing w:after="0" w:line="240" w:lineRule="auto"/>
        <w:jc w:val="both"/>
        <w:rPr>
          <w:rFonts w:ascii="Calibri" w:eastAsia="Calibri" w:hAnsi="Calibri" w:cs="Calibri"/>
          <w:szCs w:val="24"/>
          <w:lang w:val="fr-CA"/>
        </w:rPr>
      </w:pPr>
      <w:r w:rsidRPr="007B16C4">
        <w:rPr>
          <w:rFonts w:ascii="Calibri" w:eastAsia="Calibri" w:hAnsi="Calibri" w:cs="Calibri"/>
          <w:szCs w:val="24"/>
          <w:lang w:val="fr-CA"/>
        </w:rPr>
        <w:t xml:space="preserve"> </w:t>
      </w:r>
    </w:p>
    <w:p w14:paraId="6B04F300" w14:textId="77777777" w:rsidR="007B16C4" w:rsidRPr="007B16C4" w:rsidRDefault="007B16C4" w:rsidP="00B33704">
      <w:pPr>
        <w:numPr>
          <w:ilvl w:val="0"/>
          <w:numId w:val="11"/>
        </w:numPr>
        <w:autoSpaceDE w:val="0"/>
        <w:autoSpaceDN w:val="0"/>
        <w:adjustRightInd w:val="0"/>
        <w:spacing w:before="120" w:after="0" w:line="240" w:lineRule="auto"/>
        <w:contextualSpacing/>
        <w:jc w:val="both"/>
        <w:rPr>
          <w:rFonts w:ascii="Calibri" w:eastAsia="Times New Roman" w:hAnsi="Calibri" w:cs="Calibri"/>
          <w:szCs w:val="24"/>
          <w:lang w:val="fr-CA"/>
        </w:rPr>
      </w:pPr>
      <w:r w:rsidRPr="007B16C4">
        <w:rPr>
          <w:rFonts w:ascii="Calibri" w:eastAsia="Times New Roman" w:hAnsi="Calibri" w:cs="Calibri"/>
          <w:szCs w:val="24"/>
          <w:lang w:val="fr-CA"/>
        </w:rPr>
        <w:t>Par rapport aux études d’impact sur l’environnement, le texte législatif le plus important est la Loi 49-17 du 08 Aout 2020 (abroge la loi 12-03 du 12 mai 2003). Le but de cette législation est de minimiser l’impact négatif de projets et améliorer la durabilité écologique. Cette loi (voir ci-dessous Encadré 2) établit la liste des projets assujettis, la procédure de réalisation et la consistance des études d’impact. La loi instaure également i) l’évaluation stratégique des politiques, stratégies, programmes et plans et schémas de développement sectoriels ou régionaux, ii) la notice d’impact pour les projets à faibles potentiel d’impacts, iii) l’audit environnemental pour les projets déjà existants qui n’ont pas fait l’objet d’un audit environnemental avant la publication de la loi. La loi institue également le Comité national des études d’impact environnemental présidé par le Secrétariat d’État chargé du développement durable et d’un comité régional des études d’impact environnemental présidé par le Wali au niveau des chacune des régions. Les comités régionaux sont désormais gérés par les Centres Régionaux des Investissements (CRI). Ces comités ont pour rôle de décider, sur la base des résultats de l’étude d’impact, de l’acceptabilité environnementale qui conditionne la mise en œuvre des projets assujettis.</w:t>
      </w:r>
      <w:r w:rsidRPr="007B16C4">
        <w:rPr>
          <w:rFonts w:ascii="Calibri" w:eastAsia="Times New Roman" w:hAnsi="Calibri" w:cs="Calibri"/>
          <w:lang w:val="fr-CA"/>
        </w:rPr>
        <w:t xml:space="preserve"> </w:t>
      </w:r>
    </w:p>
    <w:p w14:paraId="37EB3B97" w14:textId="77777777" w:rsidR="007B16C4" w:rsidRPr="007B16C4" w:rsidRDefault="007B16C4" w:rsidP="007B16C4">
      <w:pPr>
        <w:autoSpaceDE w:val="0"/>
        <w:autoSpaceDN w:val="0"/>
        <w:adjustRightInd w:val="0"/>
        <w:spacing w:after="0" w:line="240" w:lineRule="auto"/>
        <w:jc w:val="both"/>
        <w:rPr>
          <w:rFonts w:ascii="Calibri" w:eastAsia="Calibri" w:hAnsi="Calibri" w:cs="Calibri"/>
          <w:szCs w:val="24"/>
          <w:lang w:val="fr-CA"/>
        </w:rPr>
      </w:pPr>
    </w:p>
    <w:p w14:paraId="5659DB9B" w14:textId="77777777" w:rsidR="007B16C4" w:rsidRPr="007B16C4" w:rsidRDefault="007B16C4" w:rsidP="00B33704">
      <w:pPr>
        <w:numPr>
          <w:ilvl w:val="0"/>
          <w:numId w:val="11"/>
        </w:numPr>
        <w:autoSpaceDE w:val="0"/>
        <w:autoSpaceDN w:val="0"/>
        <w:adjustRightInd w:val="0"/>
        <w:spacing w:before="120" w:after="0" w:line="240" w:lineRule="auto"/>
        <w:contextualSpacing/>
        <w:jc w:val="both"/>
        <w:rPr>
          <w:rFonts w:ascii="Calibri" w:eastAsia="Times New Roman" w:hAnsi="Calibri" w:cs="Calibri"/>
          <w:szCs w:val="24"/>
          <w:lang w:val="fr-CA"/>
        </w:rPr>
      </w:pPr>
      <w:r w:rsidRPr="007B16C4">
        <w:rPr>
          <w:rFonts w:ascii="Calibri" w:eastAsia="Times New Roman" w:hAnsi="Calibri" w:cs="Calibri"/>
          <w:b/>
          <w:szCs w:val="24"/>
          <w:lang w:val="fr-CA"/>
        </w:rPr>
        <w:lastRenderedPageBreak/>
        <w:t>Les décrets publiés pour application de la loi 12-03 restent effectifs pour l’application de la loi 49-17. Il s’agit du</w:t>
      </w:r>
    </w:p>
    <w:p w14:paraId="504ABBA6" w14:textId="77777777" w:rsidR="007B16C4" w:rsidRPr="007B16C4" w:rsidRDefault="007B16C4" w:rsidP="00B33704">
      <w:pPr>
        <w:widowControl w:val="0"/>
        <w:numPr>
          <w:ilvl w:val="0"/>
          <w:numId w:val="16"/>
        </w:numPr>
        <w:adjustRightInd w:val="0"/>
        <w:spacing w:before="120" w:after="0" w:line="240" w:lineRule="auto"/>
        <w:jc w:val="both"/>
        <w:textAlignment w:val="baseline"/>
        <w:rPr>
          <w:rFonts w:ascii="Calibri" w:eastAsia="ヒラギノ角ゴ Pro W3" w:hAnsi="Calibri" w:cs="Calibri"/>
          <w:szCs w:val="20"/>
        </w:rPr>
      </w:pPr>
      <w:r w:rsidRPr="007B16C4">
        <w:rPr>
          <w:rFonts w:ascii="Calibri" w:eastAsia="ヒラギノ角ゴ Pro W3" w:hAnsi="Calibri" w:cs="Calibri"/>
          <w:szCs w:val="20"/>
        </w:rPr>
        <w:t xml:space="preserve">Décret n. 2-04563 relatif aux attributions et au fonctionnement du comité national et des comités régionaux des études d’impact sur l’environnement, et </w:t>
      </w:r>
    </w:p>
    <w:p w14:paraId="5E0DB02F" w14:textId="77777777" w:rsidR="007B16C4" w:rsidRPr="007B16C4" w:rsidRDefault="007B16C4" w:rsidP="00B33704">
      <w:pPr>
        <w:widowControl w:val="0"/>
        <w:numPr>
          <w:ilvl w:val="0"/>
          <w:numId w:val="16"/>
        </w:numPr>
        <w:adjustRightInd w:val="0"/>
        <w:spacing w:before="120" w:after="0" w:line="240" w:lineRule="auto"/>
        <w:jc w:val="both"/>
        <w:textAlignment w:val="baseline"/>
        <w:rPr>
          <w:rFonts w:ascii="Calibri" w:eastAsia="ヒラギノ角ゴ Pro W3" w:hAnsi="Calibri" w:cs="Calibri"/>
          <w:szCs w:val="20"/>
        </w:rPr>
      </w:pPr>
      <w:r w:rsidRPr="007B16C4">
        <w:rPr>
          <w:rFonts w:ascii="Calibri" w:eastAsia="ヒラギノ角ゴ Pro W3" w:hAnsi="Calibri" w:cs="Calibri"/>
          <w:szCs w:val="20"/>
        </w:rPr>
        <w:t xml:space="preserve">Décret N. 2-04-564 fixant les modalités d’organisation et de déroulement de l’enquête publique relative aux projets assujettis à l’étude d’impact sur l’environnement. </w:t>
      </w:r>
    </w:p>
    <w:p w14:paraId="4E2CF5F5" w14:textId="77777777" w:rsidR="007B16C4" w:rsidRPr="007B16C4" w:rsidRDefault="007B16C4" w:rsidP="007B16C4">
      <w:pPr>
        <w:widowControl w:val="0"/>
        <w:adjustRightInd w:val="0"/>
        <w:spacing w:after="0" w:line="240" w:lineRule="auto"/>
        <w:ind w:left="1276"/>
        <w:jc w:val="both"/>
        <w:textAlignment w:val="baseline"/>
        <w:rPr>
          <w:rFonts w:ascii="Calibri" w:eastAsia="ヒラギノ角ゴ Pro W3" w:hAnsi="Calibri" w:cs="Calibri"/>
          <w:szCs w:val="20"/>
        </w:rPr>
      </w:pPr>
    </w:p>
    <w:p w14:paraId="2DE48DA6" w14:textId="45D288A4" w:rsidR="007B16C4" w:rsidRPr="00D85E9B" w:rsidRDefault="00B00805" w:rsidP="00D85E9B">
      <w:pPr>
        <w:pStyle w:val="Heading3"/>
        <w:rPr>
          <w:rFonts w:ascii="Candara" w:hAnsi="Candara"/>
          <w:b w:val="0"/>
          <w:bCs w:val="0"/>
          <w:color w:val="auto"/>
          <w:lang w:val="fr-FR"/>
        </w:rPr>
      </w:pPr>
      <w:bookmarkStart w:id="87" w:name="_Toc496827324"/>
      <w:bookmarkStart w:id="88" w:name="_Toc65446744"/>
      <w:bookmarkStart w:id="89" w:name="_Toc74241391"/>
      <w:r>
        <w:rPr>
          <w:rFonts w:ascii="Candara" w:hAnsi="Candara"/>
          <w:color w:val="auto"/>
          <w:lang w:val="fr-FR"/>
        </w:rPr>
        <w:t xml:space="preserve">3.1.3 </w:t>
      </w:r>
      <w:r w:rsidR="007B16C4" w:rsidRPr="00D85E9B">
        <w:rPr>
          <w:rFonts w:ascii="Candara" w:hAnsi="Candara"/>
          <w:color w:val="auto"/>
          <w:lang w:val="fr-FR"/>
        </w:rPr>
        <w:t>Procédures de gestion environnementale</w:t>
      </w:r>
      <w:bookmarkEnd w:id="87"/>
      <w:bookmarkEnd w:id="88"/>
      <w:bookmarkEnd w:id="89"/>
    </w:p>
    <w:p w14:paraId="341AE462" w14:textId="77777777" w:rsidR="007B16C4" w:rsidRPr="007B16C4" w:rsidRDefault="007B16C4" w:rsidP="007B16C4">
      <w:pPr>
        <w:autoSpaceDE w:val="0"/>
        <w:autoSpaceDN w:val="0"/>
        <w:spacing w:after="0" w:line="240" w:lineRule="auto"/>
        <w:jc w:val="both"/>
        <w:rPr>
          <w:rFonts w:ascii="Calibri" w:eastAsia="Calibri" w:hAnsi="Calibri" w:cs="Calibri"/>
          <w:color w:val="000000"/>
        </w:rPr>
      </w:pPr>
    </w:p>
    <w:p w14:paraId="06B85D98" w14:textId="77777777" w:rsidR="007B16C4" w:rsidRPr="007B16C4" w:rsidRDefault="007B16C4" w:rsidP="007B16C4">
      <w:pPr>
        <w:spacing w:after="0" w:line="240" w:lineRule="auto"/>
        <w:jc w:val="both"/>
        <w:rPr>
          <w:rFonts w:ascii="Calibri" w:eastAsia="Calibri" w:hAnsi="Calibri" w:cs="Calibri"/>
          <w:iCs/>
          <w:color w:val="984806"/>
          <w:szCs w:val="24"/>
          <w:u w:val="single"/>
        </w:rPr>
      </w:pPr>
      <w:r w:rsidRPr="007B16C4">
        <w:rPr>
          <w:rFonts w:ascii="Calibri" w:eastAsia="Calibri" w:hAnsi="Calibri" w:cs="Calibri"/>
          <w:iCs/>
          <w:color w:val="984806"/>
          <w:szCs w:val="24"/>
          <w:u w:val="single"/>
        </w:rPr>
        <w:t>Le système EIE</w:t>
      </w:r>
    </w:p>
    <w:p w14:paraId="69EB4976" w14:textId="77777777" w:rsidR="007B16C4" w:rsidRPr="007B16C4" w:rsidRDefault="007B16C4" w:rsidP="00B33704">
      <w:pPr>
        <w:numPr>
          <w:ilvl w:val="0"/>
          <w:numId w:val="11"/>
        </w:numPr>
        <w:autoSpaceDE w:val="0"/>
        <w:autoSpaceDN w:val="0"/>
        <w:adjustRightInd w:val="0"/>
        <w:spacing w:before="120" w:after="0" w:line="240" w:lineRule="auto"/>
        <w:contextualSpacing/>
        <w:jc w:val="both"/>
        <w:rPr>
          <w:rFonts w:ascii="Calibri" w:eastAsia="Times New Roman" w:hAnsi="Calibri" w:cs="Calibri"/>
          <w:szCs w:val="24"/>
          <w:lang w:val="fr-CA"/>
        </w:rPr>
      </w:pPr>
      <w:r w:rsidRPr="007B16C4">
        <w:rPr>
          <w:rFonts w:ascii="Calibri" w:eastAsia="Times New Roman" w:hAnsi="Calibri" w:cs="Calibri"/>
          <w:szCs w:val="24"/>
          <w:lang w:val="fr-CA"/>
        </w:rPr>
        <w:t xml:space="preserve">Le système des Études d'Impact sur l'Environnement (EIE), défini dans le droit marocain comme un instrument de gestion de l’environnement, a été mis en œuvre au Maroc d’une manière progressive à travers plusieurs étapes : </w:t>
      </w:r>
    </w:p>
    <w:p w14:paraId="026E2B62" w14:textId="77777777" w:rsidR="007B16C4" w:rsidRPr="007B16C4" w:rsidRDefault="007B16C4" w:rsidP="00B33704">
      <w:pPr>
        <w:widowControl w:val="0"/>
        <w:numPr>
          <w:ilvl w:val="0"/>
          <w:numId w:val="17"/>
        </w:numPr>
        <w:adjustRightInd w:val="0"/>
        <w:spacing w:before="120" w:after="0" w:line="240" w:lineRule="auto"/>
        <w:jc w:val="both"/>
        <w:textAlignment w:val="baseline"/>
        <w:rPr>
          <w:rFonts w:ascii="Calibri" w:eastAsia="ヒラギノ角ゴ Pro W3" w:hAnsi="Calibri" w:cs="Calibri"/>
          <w:szCs w:val="20"/>
        </w:rPr>
      </w:pPr>
      <w:r w:rsidRPr="007B16C4">
        <w:rPr>
          <w:rFonts w:ascii="Calibri" w:eastAsia="ヒラギノ角ゴ Pro W3" w:hAnsi="Calibri" w:cs="Calibri"/>
          <w:szCs w:val="20"/>
        </w:rPr>
        <w:t>Entre 1994 et 2003, des EIE ont été réalisées d’une manière volontaire par les promoteurs de projets ou sollicitées par des bailleurs de fonds internationaux ou pour des raisons de sensibilité particulière d’un milieu récepteur d’un projet ou pour un arbitrage d’avis discordants concernant l’occupation des sols.</w:t>
      </w:r>
    </w:p>
    <w:p w14:paraId="5782F736" w14:textId="77777777" w:rsidR="007B16C4" w:rsidRPr="007B16C4" w:rsidRDefault="007B16C4" w:rsidP="00B33704">
      <w:pPr>
        <w:widowControl w:val="0"/>
        <w:numPr>
          <w:ilvl w:val="0"/>
          <w:numId w:val="17"/>
        </w:numPr>
        <w:adjustRightInd w:val="0"/>
        <w:spacing w:before="120" w:after="0" w:line="240" w:lineRule="auto"/>
        <w:jc w:val="both"/>
        <w:textAlignment w:val="baseline"/>
        <w:rPr>
          <w:rFonts w:ascii="Calibri" w:eastAsia="ヒラギノ角ゴ Pro W3" w:hAnsi="Calibri" w:cs="Calibri"/>
          <w:szCs w:val="20"/>
        </w:rPr>
      </w:pPr>
      <w:r w:rsidRPr="007B16C4">
        <w:rPr>
          <w:rFonts w:ascii="Calibri" w:eastAsia="ヒラギノ角ゴ Pro W3" w:hAnsi="Calibri" w:cs="Calibri"/>
          <w:szCs w:val="20"/>
        </w:rPr>
        <w:t>Entre 2003 et 2008, la Loi n° 12-03 relative aux EIE devient la référence législative d’application du principe de l’étude d’impact. Même en l’absence de textes d’application de cette Loi, une procédure d’examen des EIE s’est installée au niveau national.</w:t>
      </w:r>
    </w:p>
    <w:p w14:paraId="5652BDB1" w14:textId="77777777" w:rsidR="007B16C4" w:rsidRPr="007B16C4" w:rsidRDefault="007B16C4" w:rsidP="00B33704">
      <w:pPr>
        <w:widowControl w:val="0"/>
        <w:numPr>
          <w:ilvl w:val="0"/>
          <w:numId w:val="17"/>
        </w:numPr>
        <w:adjustRightInd w:val="0"/>
        <w:spacing w:before="120" w:after="0" w:line="240" w:lineRule="auto"/>
        <w:jc w:val="both"/>
        <w:textAlignment w:val="baseline"/>
        <w:rPr>
          <w:rFonts w:ascii="Calibri" w:eastAsia="ヒラギノ角ゴ Pro W3" w:hAnsi="Calibri" w:cs="Calibri"/>
          <w:szCs w:val="20"/>
        </w:rPr>
      </w:pPr>
      <w:r w:rsidRPr="007B16C4">
        <w:rPr>
          <w:rFonts w:ascii="Calibri" w:eastAsia="ヒラギノ角ゴ Pro W3" w:hAnsi="Calibri" w:cs="Calibri"/>
          <w:szCs w:val="20"/>
        </w:rPr>
        <w:t xml:space="preserve">Avec la promulgation en 2008, des Décrets d’application de la Loi n° 12-03 relative aux EIE, le système des EIE entre dans une nouvelle étape marquée par la déconcentration du processus d’examen des EIE et par la prise en considération de l’avis de la population concernée dans l’évaluation environnementale des projets. </w:t>
      </w:r>
    </w:p>
    <w:p w14:paraId="3F440F6F" w14:textId="77777777" w:rsidR="007B16C4" w:rsidRPr="007B16C4" w:rsidRDefault="007B16C4" w:rsidP="00B33704">
      <w:pPr>
        <w:widowControl w:val="0"/>
        <w:numPr>
          <w:ilvl w:val="0"/>
          <w:numId w:val="17"/>
        </w:numPr>
        <w:adjustRightInd w:val="0"/>
        <w:spacing w:before="120" w:after="0" w:line="240" w:lineRule="auto"/>
        <w:jc w:val="both"/>
        <w:textAlignment w:val="baseline"/>
        <w:rPr>
          <w:rFonts w:ascii="Calibri" w:eastAsia="ヒラギノ角ゴ Pro W3" w:hAnsi="Calibri" w:cs="Calibri"/>
          <w:szCs w:val="20"/>
        </w:rPr>
      </w:pPr>
      <w:r w:rsidRPr="007B16C4">
        <w:rPr>
          <w:rFonts w:ascii="Calibri" w:eastAsia="ヒラギノ角ゴ Pro W3" w:hAnsi="Calibri" w:cs="Calibri"/>
          <w:szCs w:val="20"/>
        </w:rPr>
        <w:t>L’actualisation de la loi 12-03 est inscrite dans le cadre de la mise en œuvre de la loi cadre 99-12 portant charte nationale de l’environnement et du développement durable qui prévoit dans son article 8 la révision du cadre législatif relatif aux études d’impact sur l’environnement afin d’y intégrer l’évaluation stratégique environnementale. L’actualisation en 2020, a porté également sur le comblement des insuffisances enregistrées lors de l’application de la loi 12-03 relatives à la non-soumission de nombreux projets polluants a l’EIE et la non-conformité du système de contrôle avec l’évolution qu’a connue la police de l’environnement.</w:t>
      </w:r>
    </w:p>
    <w:p w14:paraId="3110F0E3" w14:textId="77777777" w:rsidR="007B16C4" w:rsidRPr="007B16C4" w:rsidRDefault="007B16C4" w:rsidP="007B16C4">
      <w:pPr>
        <w:widowControl w:val="0"/>
        <w:adjustRightInd w:val="0"/>
        <w:spacing w:after="0" w:line="240" w:lineRule="auto"/>
        <w:ind w:left="360"/>
        <w:jc w:val="both"/>
        <w:textAlignment w:val="baseline"/>
        <w:rPr>
          <w:rFonts w:ascii="Calibri" w:eastAsia="ヒラギノ角ゴ Pro W3" w:hAnsi="Calibri" w:cs="Calibri"/>
          <w:szCs w:val="20"/>
        </w:rPr>
      </w:pPr>
    </w:p>
    <w:p w14:paraId="71F60CF4" w14:textId="77777777" w:rsidR="007B16C4" w:rsidRPr="007B16C4" w:rsidRDefault="007B16C4" w:rsidP="00B33704">
      <w:pPr>
        <w:numPr>
          <w:ilvl w:val="0"/>
          <w:numId w:val="11"/>
        </w:numPr>
        <w:autoSpaceDE w:val="0"/>
        <w:autoSpaceDN w:val="0"/>
        <w:adjustRightInd w:val="0"/>
        <w:spacing w:before="120" w:after="0" w:line="240" w:lineRule="auto"/>
        <w:contextualSpacing/>
        <w:jc w:val="both"/>
        <w:rPr>
          <w:rFonts w:ascii="Calibri" w:eastAsia="Times New Roman" w:hAnsi="Calibri" w:cs="Calibri"/>
          <w:szCs w:val="24"/>
          <w:lang w:val="fr-CA"/>
        </w:rPr>
      </w:pPr>
      <w:r w:rsidRPr="007B16C4">
        <w:rPr>
          <w:rFonts w:ascii="Calibri" w:eastAsia="Times New Roman" w:hAnsi="Calibri" w:cs="Calibri"/>
          <w:szCs w:val="24"/>
          <w:lang w:val="fr-CA"/>
        </w:rPr>
        <w:t>D’une manière générale, le système d’EIE permet d'évaluer à priori les répercussions des projets d’investissement sur l'environnement en vue de prévoir les mesures nécessaires pour supprimer, atténuer ou compenser les impacts négatifs et améliorer les effets positifs du projet. L’exigence d’une EIE s’inscrit, d'une part, dans le principe de prévention - l’un des principes généraux du droit de l’environnement qui implique la mise en œuvre de règles et d’actions pour anticiper toute atteinte à l’environnement - et, d'autre part, dans le principe d’intégration des exigences environnementales dans les autres politiques par la recherche d’équilibre entre objectifs économiques, sociaux et environnementaux. En plus d’être un outil technique qui permet d’examiner les conséquences environnementales aussi bien positives que négatives d’un projet et de s’assurer que ces conséquences sont dûment prises en compte dans la conception, la réalisation et l’exploitation du projet, l’EIE est devenue un véritable outil légal qui subordonne l’autorisation administrative de tout projet soumis à l’EIE à une décision d’acceptabilité environnementale.</w:t>
      </w:r>
    </w:p>
    <w:p w14:paraId="075BDA57" w14:textId="77777777" w:rsidR="007B16C4" w:rsidRPr="007B16C4" w:rsidRDefault="007B16C4" w:rsidP="007B16C4">
      <w:pPr>
        <w:autoSpaceDE w:val="0"/>
        <w:autoSpaceDN w:val="0"/>
        <w:adjustRightInd w:val="0"/>
        <w:spacing w:after="0" w:line="240" w:lineRule="auto"/>
        <w:jc w:val="both"/>
        <w:rPr>
          <w:rFonts w:ascii="Calibri" w:eastAsia="Calibri" w:hAnsi="Calibri" w:cs="Calibri"/>
          <w:szCs w:val="24"/>
          <w:lang w:val="fr-CA"/>
        </w:rPr>
      </w:pPr>
    </w:p>
    <w:p w14:paraId="69D3EC15" w14:textId="77777777" w:rsidR="007B16C4" w:rsidRPr="007B16C4" w:rsidRDefault="007B16C4" w:rsidP="00B33704">
      <w:pPr>
        <w:numPr>
          <w:ilvl w:val="0"/>
          <w:numId w:val="11"/>
        </w:numPr>
        <w:autoSpaceDE w:val="0"/>
        <w:autoSpaceDN w:val="0"/>
        <w:adjustRightInd w:val="0"/>
        <w:spacing w:before="120" w:after="0" w:line="240" w:lineRule="auto"/>
        <w:contextualSpacing/>
        <w:jc w:val="both"/>
        <w:rPr>
          <w:rFonts w:ascii="Calibri" w:eastAsia="Times New Roman" w:hAnsi="Calibri" w:cs="Calibri"/>
          <w:szCs w:val="24"/>
          <w:lang w:val="fr-CA"/>
        </w:rPr>
      </w:pPr>
      <w:r w:rsidRPr="007B16C4">
        <w:rPr>
          <w:rFonts w:ascii="Calibri" w:eastAsia="Times New Roman" w:hAnsi="Calibri" w:cs="Calibri"/>
          <w:szCs w:val="24"/>
          <w:lang w:val="fr-CA"/>
        </w:rPr>
        <w:t xml:space="preserve">La loi n° 49-17 institue une enquête publique pour tout projet soumis à l’EIE. L’enquête publique constitue donc un élément essentiel de la participation du public en matière de décision environnementale. Ainsi, le principe de participation du public constitue un pan incontournable </w:t>
      </w:r>
      <w:r w:rsidRPr="007B16C4">
        <w:rPr>
          <w:rFonts w:ascii="Calibri" w:eastAsia="Times New Roman" w:hAnsi="Calibri" w:cs="Calibri"/>
          <w:szCs w:val="24"/>
          <w:lang w:val="fr-CA"/>
        </w:rPr>
        <w:lastRenderedPageBreak/>
        <w:t xml:space="preserve">de la démocratie, par la possibilité de faire entendre sa voix, d’une part, par la transparence qu’elle confère aux décisions des autorités publiques, d’autre part. La participation active des citoyens aux processus décisionnels renforce ainsi les fondements de ces choix sur toute question relative à l’environnement et à ses répercussions sur la qualité de vie. </w:t>
      </w:r>
    </w:p>
    <w:p w14:paraId="0214CF7A" w14:textId="77777777" w:rsidR="007B16C4" w:rsidRPr="007B16C4" w:rsidRDefault="007B16C4" w:rsidP="007B16C4">
      <w:pPr>
        <w:spacing w:before="120" w:after="0" w:line="240" w:lineRule="auto"/>
        <w:ind w:left="720"/>
        <w:contextualSpacing/>
        <w:jc w:val="both"/>
        <w:rPr>
          <w:rFonts w:ascii="Calibri" w:eastAsia="Times New Roman" w:hAnsi="Calibri" w:cs="Calibri"/>
          <w:szCs w:val="24"/>
          <w:lang w:val="fr-CA"/>
        </w:rPr>
      </w:pPr>
    </w:p>
    <w:p w14:paraId="736839BC" w14:textId="77777777" w:rsidR="007B16C4" w:rsidRPr="007B16C4" w:rsidRDefault="007B16C4" w:rsidP="00B33704">
      <w:pPr>
        <w:numPr>
          <w:ilvl w:val="0"/>
          <w:numId w:val="11"/>
        </w:numPr>
        <w:autoSpaceDE w:val="0"/>
        <w:autoSpaceDN w:val="0"/>
        <w:adjustRightInd w:val="0"/>
        <w:spacing w:before="120" w:after="0" w:line="240" w:lineRule="auto"/>
        <w:contextualSpacing/>
        <w:jc w:val="both"/>
        <w:rPr>
          <w:rFonts w:ascii="Calibri" w:eastAsia="Times New Roman" w:hAnsi="Calibri" w:cs="Calibri"/>
          <w:szCs w:val="24"/>
          <w:lang w:val="fr-CA"/>
        </w:rPr>
      </w:pPr>
      <w:r w:rsidRPr="007B16C4">
        <w:rPr>
          <w:rFonts w:ascii="Calibri" w:eastAsia="Times New Roman" w:hAnsi="Calibri" w:cs="Calibri"/>
          <w:szCs w:val="24"/>
          <w:lang w:val="fr-CA"/>
        </w:rPr>
        <w:t>Le tableau 7 ci-dessous présente l’architecture institutionnelle du système EIE. Le tableau 8 présente les domaines de compétence respectivement des Comités nationaux et des comités régionaux. Enfin dans la figure 2, on présente les différentes procédures de l’EIE (étapes, acteurs, rôles).</w:t>
      </w:r>
      <w:r w:rsidRPr="007B16C4">
        <w:rPr>
          <w:rFonts w:ascii="Calibri" w:eastAsia="ヒラギノ角ゴ Pro W3" w:hAnsi="Calibri" w:cs="Calibri"/>
          <w:color w:val="000000"/>
          <w:szCs w:val="20"/>
          <w:vertAlign w:val="superscript"/>
          <w:lang w:val="en-US"/>
        </w:rPr>
        <w:footnoteReference w:id="4"/>
      </w:r>
      <w:bookmarkStart w:id="90" w:name="_Toc489082404"/>
    </w:p>
    <w:p w14:paraId="007BC6E8" w14:textId="19DE71F2" w:rsidR="007B16C4" w:rsidRPr="007B16C4" w:rsidRDefault="007B16C4" w:rsidP="007B16C4">
      <w:pPr>
        <w:spacing w:before="120" w:after="0" w:line="240" w:lineRule="auto"/>
        <w:jc w:val="center"/>
        <w:rPr>
          <w:rFonts w:ascii="Calibri" w:eastAsia="ヒラギノ角ゴ Pro W3" w:hAnsi="Calibri" w:cs="Calibri"/>
          <w:b/>
          <w:color w:val="000000"/>
          <w:sz w:val="20"/>
          <w:szCs w:val="20"/>
        </w:rPr>
      </w:pPr>
      <w:bookmarkStart w:id="91" w:name="_Toc65447199"/>
      <w:r w:rsidRPr="007B16C4">
        <w:rPr>
          <w:rFonts w:ascii="Calibri" w:eastAsia="ヒラギノ角ゴ Pro W3" w:hAnsi="Calibri" w:cs="Calibri"/>
          <w:b/>
          <w:color w:val="000000"/>
          <w:sz w:val="20"/>
          <w:szCs w:val="20"/>
        </w:rPr>
        <w:t xml:space="preserve">Tableau </w:t>
      </w:r>
      <w:r w:rsidRPr="007B16C4">
        <w:rPr>
          <w:rFonts w:ascii="Calibri" w:eastAsia="ヒラギノ角ゴ Pro W3" w:hAnsi="Calibri" w:cs="Calibri"/>
          <w:b/>
          <w:color w:val="000000"/>
          <w:sz w:val="20"/>
          <w:szCs w:val="20"/>
        </w:rPr>
        <w:fldChar w:fldCharType="begin"/>
      </w:r>
      <w:r w:rsidRPr="007B16C4">
        <w:rPr>
          <w:rFonts w:ascii="Calibri" w:eastAsia="ヒラギノ角ゴ Pro W3" w:hAnsi="Calibri" w:cs="Calibri"/>
          <w:b/>
          <w:color w:val="000000"/>
          <w:sz w:val="20"/>
          <w:szCs w:val="20"/>
        </w:rPr>
        <w:instrText xml:space="preserve"> SEQ Tableau \* ARABIC </w:instrText>
      </w:r>
      <w:r w:rsidRPr="007B16C4">
        <w:rPr>
          <w:rFonts w:ascii="Calibri" w:eastAsia="ヒラギノ角ゴ Pro W3" w:hAnsi="Calibri" w:cs="Calibri"/>
          <w:b/>
          <w:color w:val="000000"/>
          <w:sz w:val="20"/>
          <w:szCs w:val="20"/>
        </w:rPr>
        <w:fldChar w:fldCharType="separate"/>
      </w:r>
      <w:r w:rsidR="00212333">
        <w:rPr>
          <w:rFonts w:ascii="Calibri" w:eastAsia="ヒラギノ角ゴ Pro W3" w:hAnsi="Calibri" w:cs="Calibri"/>
          <w:b/>
          <w:noProof/>
          <w:color w:val="000000"/>
          <w:sz w:val="20"/>
          <w:szCs w:val="20"/>
        </w:rPr>
        <w:t>2</w:t>
      </w:r>
      <w:r w:rsidRPr="007B16C4">
        <w:rPr>
          <w:rFonts w:ascii="Calibri" w:eastAsia="ヒラギノ角ゴ Pro W3" w:hAnsi="Calibri" w:cs="Calibri"/>
          <w:b/>
          <w:color w:val="000000"/>
          <w:sz w:val="20"/>
          <w:szCs w:val="20"/>
        </w:rPr>
        <w:fldChar w:fldCharType="end"/>
      </w:r>
      <w:r w:rsidRPr="007B16C4">
        <w:rPr>
          <w:rFonts w:ascii="Calibri" w:eastAsia="ヒラギノ角ゴ Pro W3" w:hAnsi="Calibri" w:cs="Calibri"/>
          <w:b/>
          <w:color w:val="000000"/>
          <w:sz w:val="20"/>
          <w:szCs w:val="20"/>
        </w:rPr>
        <w:t xml:space="preserve"> : Architecture institutionnelle du système EIE au Maroc</w:t>
      </w:r>
      <w:bookmarkEnd w:id="90"/>
      <w:bookmarkEnd w:id="91"/>
    </w:p>
    <w:p w14:paraId="278A622A" w14:textId="77777777" w:rsidR="007B16C4" w:rsidRPr="007B16C4" w:rsidRDefault="007B16C4" w:rsidP="007B16C4">
      <w:pPr>
        <w:spacing w:after="0" w:line="240" w:lineRule="auto"/>
        <w:jc w:val="center"/>
        <w:rPr>
          <w:rFonts w:ascii="Calibri" w:eastAsia="ヒラギノ角ゴ Pro W3" w:hAnsi="Calibri" w:cs="Calibri"/>
          <w:b/>
          <w:color w:val="000000"/>
          <w:sz w:val="20"/>
          <w:szCs w:val="20"/>
        </w:rPr>
      </w:pPr>
      <w:r w:rsidRPr="007B16C4">
        <w:rPr>
          <w:rFonts w:ascii="Calibri" w:eastAsia="ヒラギノ角ゴ Pro W3" w:hAnsi="Calibri" w:cs="Calibri"/>
          <w:b/>
          <w:color w:val="000000"/>
          <w:sz w:val="20"/>
          <w:szCs w:val="20"/>
        </w:rPr>
        <w:t>(Composition, fonctionnement et attributions des Comité précisés par le Décret 2-04-5é3)</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1"/>
        <w:gridCol w:w="4320"/>
      </w:tblGrid>
      <w:tr w:rsidR="007B16C4" w:rsidRPr="007B16C4" w14:paraId="15B0FACF" w14:textId="77777777" w:rsidTr="00D85E9B">
        <w:tc>
          <w:tcPr>
            <w:tcW w:w="4611" w:type="dxa"/>
            <w:shd w:val="clear" w:color="auto" w:fill="FBE4D5" w:themeFill="accent2" w:themeFillTint="33"/>
          </w:tcPr>
          <w:p w14:paraId="02E49B5C" w14:textId="77777777" w:rsidR="007B16C4" w:rsidRPr="00D85E9B" w:rsidRDefault="007B16C4" w:rsidP="007B16C4">
            <w:pPr>
              <w:spacing w:after="0" w:line="300" w:lineRule="auto"/>
              <w:jc w:val="center"/>
              <w:rPr>
                <w:rFonts w:ascii="Candara" w:eastAsia="Calibri" w:hAnsi="Candara" w:cs="Times New Roman"/>
                <w:b/>
                <w:color w:val="000000"/>
                <w:sz w:val="18"/>
                <w:szCs w:val="24"/>
              </w:rPr>
            </w:pPr>
            <w:r w:rsidRPr="00D85E9B">
              <w:rPr>
                <w:rFonts w:ascii="Candara" w:eastAsia="Calibri" w:hAnsi="Candara" w:cs="Times New Roman"/>
                <w:b/>
                <w:color w:val="000000"/>
                <w:sz w:val="18"/>
                <w:szCs w:val="24"/>
              </w:rPr>
              <w:t>Comité national</w:t>
            </w:r>
          </w:p>
        </w:tc>
        <w:tc>
          <w:tcPr>
            <w:tcW w:w="4320" w:type="dxa"/>
            <w:shd w:val="clear" w:color="auto" w:fill="FBE4D5" w:themeFill="accent2" w:themeFillTint="33"/>
          </w:tcPr>
          <w:p w14:paraId="1728DCF2" w14:textId="77777777" w:rsidR="007B16C4" w:rsidRPr="00D85E9B" w:rsidRDefault="007B16C4" w:rsidP="007B16C4">
            <w:pPr>
              <w:spacing w:after="0" w:line="300" w:lineRule="auto"/>
              <w:jc w:val="center"/>
              <w:rPr>
                <w:rFonts w:ascii="Candara" w:eastAsia="Calibri" w:hAnsi="Candara" w:cs="Times New Roman"/>
                <w:b/>
                <w:color w:val="000000"/>
                <w:sz w:val="18"/>
                <w:szCs w:val="24"/>
              </w:rPr>
            </w:pPr>
            <w:r w:rsidRPr="00D85E9B">
              <w:rPr>
                <w:rFonts w:ascii="Candara" w:eastAsia="Calibri" w:hAnsi="Candara" w:cs="Times New Roman"/>
                <w:b/>
                <w:color w:val="000000"/>
                <w:sz w:val="18"/>
                <w:szCs w:val="24"/>
              </w:rPr>
              <w:t>Comités régionaux</w:t>
            </w:r>
          </w:p>
        </w:tc>
      </w:tr>
      <w:tr w:rsidR="007B16C4" w:rsidRPr="007B16C4" w14:paraId="0C942250" w14:textId="77777777" w:rsidTr="00073577">
        <w:trPr>
          <w:trHeight w:val="274"/>
        </w:trPr>
        <w:tc>
          <w:tcPr>
            <w:tcW w:w="4611" w:type="dxa"/>
          </w:tcPr>
          <w:p w14:paraId="4192A397" w14:textId="77777777" w:rsidR="007B16C4" w:rsidRPr="00D85E9B" w:rsidRDefault="007B16C4" w:rsidP="007B16C4">
            <w:pPr>
              <w:spacing w:after="0" w:line="300" w:lineRule="auto"/>
              <w:jc w:val="both"/>
              <w:rPr>
                <w:rFonts w:ascii="Candara" w:eastAsia="Calibri" w:hAnsi="Candara" w:cs="Times New Roman"/>
                <w:color w:val="000000"/>
                <w:sz w:val="18"/>
                <w:szCs w:val="24"/>
              </w:rPr>
            </w:pPr>
            <w:r w:rsidRPr="00D85E9B">
              <w:rPr>
                <w:rFonts w:ascii="Candara" w:eastAsia="Calibri" w:hAnsi="Candara" w:cs="Times New Roman"/>
                <w:b/>
                <w:i/>
                <w:color w:val="000000"/>
                <w:sz w:val="18"/>
                <w:szCs w:val="24"/>
              </w:rPr>
              <w:t>Présidence</w:t>
            </w:r>
            <w:r w:rsidRPr="00D85E9B">
              <w:rPr>
                <w:rFonts w:ascii="Candara" w:eastAsia="Calibri" w:hAnsi="Candara" w:cs="Times New Roman"/>
                <w:color w:val="000000"/>
                <w:sz w:val="18"/>
                <w:szCs w:val="24"/>
              </w:rPr>
              <w:t> : L’autorité gouvernementale chargée de l’environnement ou son représentant</w:t>
            </w:r>
          </w:p>
          <w:p w14:paraId="319AA585" w14:textId="77777777" w:rsidR="007B16C4" w:rsidRPr="00D85E9B" w:rsidRDefault="007B16C4" w:rsidP="007B16C4">
            <w:pPr>
              <w:spacing w:after="0" w:line="300" w:lineRule="auto"/>
              <w:jc w:val="both"/>
              <w:rPr>
                <w:rFonts w:ascii="Candara" w:eastAsia="Calibri" w:hAnsi="Candara" w:cs="Times New Roman"/>
                <w:color w:val="000000"/>
                <w:sz w:val="18"/>
                <w:szCs w:val="24"/>
              </w:rPr>
            </w:pPr>
            <w:r w:rsidRPr="00D85E9B">
              <w:rPr>
                <w:rFonts w:ascii="Candara" w:eastAsia="Calibri" w:hAnsi="Candara" w:cs="Times New Roman"/>
                <w:b/>
                <w:i/>
                <w:color w:val="000000"/>
                <w:sz w:val="18"/>
                <w:szCs w:val="24"/>
              </w:rPr>
              <w:t>Membres permanents</w:t>
            </w:r>
            <w:r w:rsidRPr="00D85E9B">
              <w:rPr>
                <w:rFonts w:ascii="Candara" w:eastAsia="Calibri" w:hAnsi="Candara" w:cs="Times New Roman"/>
                <w:color w:val="000000"/>
                <w:sz w:val="18"/>
                <w:szCs w:val="24"/>
              </w:rPr>
              <w:t> : les représentants des autorités gouvernementales chargées de :</w:t>
            </w:r>
          </w:p>
          <w:p w14:paraId="14CCB064" w14:textId="77777777" w:rsidR="007B16C4" w:rsidRPr="00D85E9B" w:rsidRDefault="007B16C4" w:rsidP="007B16C4">
            <w:pPr>
              <w:spacing w:after="0" w:line="300" w:lineRule="auto"/>
              <w:jc w:val="both"/>
              <w:rPr>
                <w:rFonts w:ascii="Candara" w:eastAsia="Calibri" w:hAnsi="Candara" w:cs="Times New Roman"/>
                <w:color w:val="000000"/>
                <w:sz w:val="18"/>
                <w:szCs w:val="24"/>
              </w:rPr>
            </w:pPr>
            <w:r w:rsidRPr="00D85E9B">
              <w:rPr>
                <w:rFonts w:ascii="Candara" w:eastAsia="Calibri" w:hAnsi="Candara" w:cs="Times New Roman"/>
                <w:color w:val="000000"/>
                <w:sz w:val="18"/>
                <w:szCs w:val="24"/>
              </w:rPr>
              <w:t>Equipement, transport, aménagement de l’espace, urbanisme, tourisme, énergie et mines, eau, environnement, santé, agriculture, pêche maritime, industrie, justice, Haut-Commissariat aux Eaux et Forêts</w:t>
            </w:r>
          </w:p>
          <w:p w14:paraId="0B97B456" w14:textId="77777777" w:rsidR="007B16C4" w:rsidRPr="00D85E9B" w:rsidRDefault="007B16C4" w:rsidP="007B16C4">
            <w:pPr>
              <w:spacing w:after="0" w:line="300" w:lineRule="auto"/>
              <w:jc w:val="both"/>
              <w:rPr>
                <w:rFonts w:ascii="Candara" w:eastAsia="Calibri" w:hAnsi="Candara" w:cs="Times New Roman"/>
                <w:b/>
                <w:i/>
                <w:color w:val="000000"/>
                <w:sz w:val="18"/>
                <w:szCs w:val="24"/>
              </w:rPr>
            </w:pPr>
            <w:r w:rsidRPr="00D85E9B">
              <w:rPr>
                <w:rFonts w:ascii="Candara" w:eastAsia="Calibri" w:hAnsi="Candara" w:cs="Times New Roman"/>
                <w:b/>
                <w:i/>
                <w:color w:val="000000"/>
                <w:sz w:val="18"/>
                <w:szCs w:val="24"/>
              </w:rPr>
              <w:t>Membres invités à titre délibératif :</w:t>
            </w:r>
          </w:p>
          <w:p w14:paraId="55EE1012" w14:textId="77777777" w:rsidR="007B16C4" w:rsidRPr="00D85E9B" w:rsidRDefault="007B16C4" w:rsidP="007B16C4">
            <w:pPr>
              <w:spacing w:after="0" w:line="300" w:lineRule="auto"/>
              <w:jc w:val="both"/>
              <w:rPr>
                <w:rFonts w:ascii="Candara" w:eastAsia="Calibri" w:hAnsi="Candara" w:cs="Times New Roman"/>
                <w:color w:val="000000"/>
                <w:sz w:val="18"/>
                <w:szCs w:val="24"/>
              </w:rPr>
            </w:pPr>
            <w:r w:rsidRPr="00D85E9B">
              <w:rPr>
                <w:rFonts w:ascii="Candara" w:eastAsia="Calibri" w:hAnsi="Candara" w:cs="Times New Roman"/>
                <w:color w:val="000000"/>
                <w:sz w:val="18"/>
                <w:szCs w:val="24"/>
              </w:rPr>
              <w:t>L’autorité gouvernementale concernée par le projet, le(s) représentant(s) du (des) autorité(s) gouvernementale(s) concernée(s) par le projet</w:t>
            </w:r>
          </w:p>
          <w:p w14:paraId="28EB71A9" w14:textId="77777777" w:rsidR="007B16C4" w:rsidRPr="00D85E9B" w:rsidRDefault="007B16C4" w:rsidP="007B16C4">
            <w:pPr>
              <w:spacing w:after="0" w:line="300" w:lineRule="auto"/>
              <w:jc w:val="both"/>
              <w:rPr>
                <w:rFonts w:ascii="Candara" w:eastAsia="Calibri" w:hAnsi="Candara" w:cs="Times New Roman"/>
                <w:color w:val="000000"/>
                <w:sz w:val="18"/>
                <w:szCs w:val="24"/>
              </w:rPr>
            </w:pPr>
            <w:r w:rsidRPr="00D85E9B">
              <w:rPr>
                <w:rFonts w:ascii="Candara" w:eastAsia="Calibri" w:hAnsi="Candara" w:cs="Times New Roman"/>
                <w:color w:val="000000"/>
                <w:sz w:val="18"/>
                <w:szCs w:val="24"/>
              </w:rPr>
              <w:t>Le(s) représentants de la Commune ou des communes concernées par le projet</w:t>
            </w:r>
          </w:p>
          <w:p w14:paraId="6B74222E" w14:textId="77777777" w:rsidR="007B16C4" w:rsidRPr="00D85E9B" w:rsidRDefault="007B16C4" w:rsidP="007B16C4">
            <w:pPr>
              <w:spacing w:after="0" w:line="300" w:lineRule="auto"/>
              <w:jc w:val="both"/>
              <w:rPr>
                <w:rFonts w:ascii="Candara" w:eastAsia="Calibri" w:hAnsi="Candara" w:cs="Times New Roman"/>
                <w:color w:val="000000"/>
                <w:sz w:val="18"/>
                <w:szCs w:val="24"/>
              </w:rPr>
            </w:pPr>
            <w:r w:rsidRPr="00D85E9B">
              <w:rPr>
                <w:rFonts w:ascii="Candara" w:eastAsia="Calibri" w:hAnsi="Candara" w:cs="Times New Roman"/>
                <w:color w:val="000000"/>
                <w:sz w:val="18"/>
                <w:szCs w:val="24"/>
              </w:rPr>
              <w:t>Le(s) représentants de la chambre ou des chambres professionnelles concernées par le projet</w:t>
            </w:r>
          </w:p>
          <w:p w14:paraId="61502AFB" w14:textId="77777777" w:rsidR="007B16C4" w:rsidRPr="00D85E9B" w:rsidRDefault="007B16C4" w:rsidP="007B16C4">
            <w:pPr>
              <w:spacing w:after="0" w:line="300" w:lineRule="auto"/>
              <w:jc w:val="both"/>
              <w:rPr>
                <w:rFonts w:ascii="Candara" w:eastAsia="Calibri" w:hAnsi="Candara" w:cs="Times New Roman"/>
                <w:b/>
                <w:i/>
                <w:color w:val="000000"/>
                <w:sz w:val="18"/>
                <w:szCs w:val="24"/>
              </w:rPr>
            </w:pPr>
            <w:r w:rsidRPr="00D85E9B">
              <w:rPr>
                <w:rFonts w:ascii="Candara" w:eastAsia="Calibri" w:hAnsi="Candara" w:cs="Times New Roman"/>
                <w:b/>
                <w:i/>
                <w:color w:val="000000"/>
                <w:sz w:val="18"/>
                <w:szCs w:val="24"/>
              </w:rPr>
              <w:t>Membres invités à titre consultatif :</w:t>
            </w:r>
          </w:p>
          <w:p w14:paraId="5B8DCB27" w14:textId="77777777" w:rsidR="007B16C4" w:rsidRPr="00D85E9B" w:rsidRDefault="007B16C4" w:rsidP="007B16C4">
            <w:pPr>
              <w:spacing w:after="0" w:line="300" w:lineRule="auto"/>
              <w:jc w:val="both"/>
              <w:rPr>
                <w:rFonts w:ascii="Candara" w:eastAsia="Calibri" w:hAnsi="Candara" w:cs="Times New Roman"/>
                <w:color w:val="000000"/>
                <w:sz w:val="18"/>
                <w:szCs w:val="24"/>
              </w:rPr>
            </w:pPr>
            <w:r w:rsidRPr="00D85E9B">
              <w:rPr>
                <w:rFonts w:ascii="Candara" w:eastAsia="Calibri" w:hAnsi="Candara" w:cs="Times New Roman"/>
                <w:color w:val="000000"/>
                <w:sz w:val="18"/>
                <w:szCs w:val="24"/>
              </w:rPr>
              <w:t>Toute personne ou entité publique ou privée compétente en matière d’environnement</w:t>
            </w:r>
          </w:p>
          <w:p w14:paraId="69B78D8D" w14:textId="77777777" w:rsidR="007B16C4" w:rsidRPr="00D85E9B" w:rsidRDefault="007B16C4" w:rsidP="007B16C4">
            <w:pPr>
              <w:spacing w:after="0" w:line="300" w:lineRule="auto"/>
              <w:jc w:val="both"/>
              <w:rPr>
                <w:rFonts w:ascii="Candara" w:eastAsia="Calibri" w:hAnsi="Candara" w:cs="Times New Roman"/>
                <w:color w:val="000000"/>
                <w:sz w:val="18"/>
                <w:szCs w:val="24"/>
              </w:rPr>
            </w:pPr>
            <w:r w:rsidRPr="00D85E9B">
              <w:rPr>
                <w:rFonts w:ascii="Candara" w:eastAsia="Calibri" w:hAnsi="Candara" w:cs="Times New Roman"/>
                <w:color w:val="000000"/>
                <w:sz w:val="18"/>
                <w:szCs w:val="24"/>
              </w:rPr>
              <w:t>Le pétitionnaire</w:t>
            </w:r>
          </w:p>
          <w:p w14:paraId="41BE5A20" w14:textId="77777777" w:rsidR="007B16C4" w:rsidRPr="00D85E9B" w:rsidRDefault="007B16C4" w:rsidP="007B16C4">
            <w:pPr>
              <w:spacing w:after="0" w:line="300" w:lineRule="auto"/>
              <w:ind w:left="720"/>
              <w:contextualSpacing/>
              <w:jc w:val="both"/>
              <w:rPr>
                <w:rFonts w:ascii="Candara" w:eastAsia="Calibri" w:hAnsi="Candara" w:cs="Times New Roman"/>
                <w:color w:val="000000"/>
                <w:sz w:val="18"/>
                <w:szCs w:val="24"/>
              </w:rPr>
            </w:pPr>
          </w:p>
        </w:tc>
        <w:tc>
          <w:tcPr>
            <w:tcW w:w="4320" w:type="dxa"/>
          </w:tcPr>
          <w:p w14:paraId="3E9459CA" w14:textId="77777777" w:rsidR="007B16C4" w:rsidRPr="00D85E9B" w:rsidRDefault="007B16C4" w:rsidP="007B16C4">
            <w:pPr>
              <w:spacing w:after="0" w:line="300" w:lineRule="auto"/>
              <w:jc w:val="both"/>
              <w:rPr>
                <w:rFonts w:ascii="Candara" w:eastAsia="Calibri" w:hAnsi="Candara" w:cs="Times New Roman"/>
                <w:color w:val="000000"/>
                <w:sz w:val="18"/>
                <w:szCs w:val="24"/>
              </w:rPr>
            </w:pPr>
            <w:r w:rsidRPr="00D85E9B">
              <w:rPr>
                <w:rFonts w:ascii="Candara" w:eastAsia="Calibri" w:hAnsi="Candara" w:cs="Times New Roman"/>
                <w:b/>
                <w:i/>
                <w:color w:val="000000"/>
                <w:sz w:val="18"/>
                <w:szCs w:val="24"/>
              </w:rPr>
              <w:t>Présidence</w:t>
            </w:r>
            <w:r w:rsidRPr="00D85E9B">
              <w:rPr>
                <w:rFonts w:ascii="Candara" w:eastAsia="Calibri" w:hAnsi="Candara" w:cs="Times New Roman"/>
                <w:color w:val="000000"/>
                <w:sz w:val="18"/>
                <w:szCs w:val="24"/>
              </w:rPr>
              <w:t> : le wali de la Région devant abriter le projet ou son représentant</w:t>
            </w:r>
          </w:p>
          <w:p w14:paraId="5C455DE4" w14:textId="77777777" w:rsidR="007B16C4" w:rsidRPr="00D85E9B" w:rsidRDefault="007B16C4" w:rsidP="007B16C4">
            <w:pPr>
              <w:spacing w:after="0" w:line="300" w:lineRule="auto"/>
              <w:jc w:val="both"/>
              <w:rPr>
                <w:rFonts w:ascii="Candara" w:eastAsia="Calibri" w:hAnsi="Candara" w:cs="Times New Roman"/>
                <w:color w:val="000000"/>
                <w:sz w:val="18"/>
                <w:szCs w:val="24"/>
              </w:rPr>
            </w:pPr>
            <w:r w:rsidRPr="00D85E9B">
              <w:rPr>
                <w:rFonts w:ascii="Candara" w:eastAsia="Calibri" w:hAnsi="Candara" w:cs="Times New Roman"/>
                <w:b/>
                <w:i/>
                <w:color w:val="000000"/>
                <w:sz w:val="18"/>
                <w:szCs w:val="24"/>
              </w:rPr>
              <w:t>Membres permanents</w:t>
            </w:r>
            <w:r w:rsidRPr="00D85E9B">
              <w:rPr>
                <w:rFonts w:ascii="Candara" w:eastAsia="Calibri" w:hAnsi="Candara" w:cs="Times New Roman"/>
                <w:color w:val="000000"/>
                <w:sz w:val="18"/>
                <w:szCs w:val="24"/>
              </w:rPr>
              <w:t> : les représentants régionaux de chacun des autorités gouvernementales chargées de :</w:t>
            </w:r>
          </w:p>
          <w:p w14:paraId="6C2FE6EA" w14:textId="77777777" w:rsidR="007B16C4" w:rsidRPr="00D85E9B" w:rsidRDefault="007B16C4" w:rsidP="007B16C4">
            <w:pPr>
              <w:spacing w:after="0" w:line="300" w:lineRule="auto"/>
              <w:contextualSpacing/>
              <w:jc w:val="both"/>
              <w:rPr>
                <w:rFonts w:ascii="Candara" w:eastAsia="Calibri" w:hAnsi="Candara" w:cs="Times New Roman"/>
                <w:color w:val="000000"/>
                <w:sz w:val="18"/>
                <w:szCs w:val="24"/>
              </w:rPr>
            </w:pPr>
            <w:r w:rsidRPr="00D85E9B">
              <w:rPr>
                <w:rFonts w:ascii="Candara" w:eastAsia="Calibri" w:hAnsi="Candara" w:cs="Times New Roman"/>
                <w:color w:val="000000"/>
                <w:sz w:val="18"/>
                <w:szCs w:val="24"/>
              </w:rPr>
              <w:t>Equipement, transport, aménagement de l’espace, urbanisme, tourisme, énergie et mines, eau, environnement, santé, agriculture, pêche maritime, industrie, justice, HCEFLD</w:t>
            </w:r>
          </w:p>
          <w:p w14:paraId="04BA9F37" w14:textId="77777777" w:rsidR="007B16C4" w:rsidRPr="00D85E9B" w:rsidRDefault="007B16C4" w:rsidP="007B16C4">
            <w:pPr>
              <w:spacing w:after="0" w:line="300" w:lineRule="auto"/>
              <w:jc w:val="both"/>
              <w:rPr>
                <w:rFonts w:ascii="Candara" w:eastAsia="Calibri" w:hAnsi="Candara" w:cs="Times New Roman"/>
                <w:b/>
                <w:i/>
                <w:color w:val="000000"/>
                <w:sz w:val="18"/>
                <w:szCs w:val="24"/>
              </w:rPr>
            </w:pPr>
            <w:r w:rsidRPr="00D85E9B">
              <w:rPr>
                <w:rFonts w:ascii="Candara" w:eastAsia="Calibri" w:hAnsi="Candara" w:cs="Times New Roman"/>
                <w:b/>
                <w:i/>
                <w:color w:val="000000"/>
                <w:sz w:val="18"/>
                <w:szCs w:val="24"/>
              </w:rPr>
              <w:t>Membres invités à titre délibératif :</w:t>
            </w:r>
          </w:p>
          <w:p w14:paraId="067AAC5E" w14:textId="77777777" w:rsidR="007B16C4" w:rsidRPr="00D85E9B" w:rsidRDefault="007B16C4" w:rsidP="007B16C4">
            <w:pPr>
              <w:spacing w:after="0" w:line="300" w:lineRule="auto"/>
              <w:jc w:val="both"/>
              <w:rPr>
                <w:rFonts w:ascii="Candara" w:eastAsia="Calibri" w:hAnsi="Candara" w:cs="Times New Roman"/>
                <w:color w:val="000000"/>
                <w:sz w:val="18"/>
                <w:szCs w:val="24"/>
              </w:rPr>
            </w:pPr>
            <w:r w:rsidRPr="00D85E9B">
              <w:rPr>
                <w:rFonts w:ascii="Candara" w:eastAsia="Calibri" w:hAnsi="Candara" w:cs="Times New Roman"/>
                <w:color w:val="000000"/>
                <w:sz w:val="18"/>
                <w:szCs w:val="24"/>
              </w:rPr>
              <w:t>Représentant régional de l’autorité gouvernemental concernée par le projet </w:t>
            </w:r>
          </w:p>
          <w:p w14:paraId="2B334C25" w14:textId="77777777" w:rsidR="007B16C4" w:rsidRPr="00D85E9B" w:rsidRDefault="007B16C4" w:rsidP="007B16C4">
            <w:pPr>
              <w:spacing w:after="0" w:line="300" w:lineRule="auto"/>
              <w:jc w:val="both"/>
              <w:rPr>
                <w:rFonts w:ascii="Candara" w:eastAsia="Calibri" w:hAnsi="Candara" w:cs="Times New Roman"/>
                <w:color w:val="000000"/>
                <w:sz w:val="18"/>
                <w:szCs w:val="24"/>
              </w:rPr>
            </w:pPr>
            <w:r w:rsidRPr="00D85E9B">
              <w:rPr>
                <w:rFonts w:ascii="Candara" w:eastAsia="Calibri" w:hAnsi="Candara" w:cs="Times New Roman"/>
                <w:color w:val="000000"/>
                <w:sz w:val="18"/>
                <w:szCs w:val="24"/>
              </w:rPr>
              <w:t>Représentant régional de l’autorité gouvernemental concernée par la gestion du milieu récepteur du projet</w:t>
            </w:r>
          </w:p>
          <w:p w14:paraId="69FCF18B" w14:textId="77777777" w:rsidR="007B16C4" w:rsidRPr="00D85E9B" w:rsidRDefault="007B16C4" w:rsidP="007B16C4">
            <w:pPr>
              <w:spacing w:after="0" w:line="300" w:lineRule="auto"/>
              <w:jc w:val="both"/>
              <w:rPr>
                <w:rFonts w:ascii="Candara" w:eastAsia="Calibri" w:hAnsi="Candara" w:cs="Times New Roman"/>
                <w:color w:val="000000"/>
                <w:sz w:val="18"/>
                <w:szCs w:val="24"/>
              </w:rPr>
            </w:pPr>
            <w:r w:rsidRPr="00D85E9B">
              <w:rPr>
                <w:rFonts w:ascii="Candara" w:eastAsia="Calibri" w:hAnsi="Candara" w:cs="Times New Roman"/>
                <w:color w:val="000000"/>
                <w:sz w:val="18"/>
                <w:szCs w:val="24"/>
              </w:rPr>
              <w:t>Le(s) représentant(s) de la Commune ou des communes concernées par le projet</w:t>
            </w:r>
          </w:p>
          <w:p w14:paraId="27CB53FD" w14:textId="77777777" w:rsidR="007B16C4" w:rsidRPr="00D85E9B" w:rsidRDefault="007B16C4" w:rsidP="007B16C4">
            <w:pPr>
              <w:spacing w:after="0" w:line="300" w:lineRule="auto"/>
              <w:jc w:val="both"/>
              <w:rPr>
                <w:rFonts w:ascii="Candara" w:eastAsia="Calibri" w:hAnsi="Candara" w:cs="Times New Roman"/>
                <w:color w:val="000000"/>
                <w:sz w:val="18"/>
                <w:szCs w:val="24"/>
              </w:rPr>
            </w:pPr>
            <w:r w:rsidRPr="00D85E9B">
              <w:rPr>
                <w:rFonts w:ascii="Candara" w:eastAsia="Calibri" w:hAnsi="Candara" w:cs="Times New Roman"/>
                <w:color w:val="000000"/>
                <w:sz w:val="18"/>
                <w:szCs w:val="24"/>
              </w:rPr>
              <w:t>Le(s) représentants de la chambre ou des chambres professionnelles concernées par le projet</w:t>
            </w:r>
          </w:p>
          <w:p w14:paraId="3E61D95E" w14:textId="77777777" w:rsidR="007B16C4" w:rsidRPr="00D85E9B" w:rsidRDefault="007B16C4" w:rsidP="007B16C4">
            <w:pPr>
              <w:spacing w:after="0" w:line="300" w:lineRule="auto"/>
              <w:jc w:val="both"/>
              <w:rPr>
                <w:rFonts w:ascii="Candara" w:eastAsia="Calibri" w:hAnsi="Candara" w:cs="Times New Roman"/>
                <w:b/>
                <w:i/>
                <w:color w:val="000000"/>
                <w:sz w:val="18"/>
                <w:szCs w:val="24"/>
              </w:rPr>
            </w:pPr>
            <w:r w:rsidRPr="00D85E9B">
              <w:rPr>
                <w:rFonts w:ascii="Candara" w:eastAsia="Calibri" w:hAnsi="Candara" w:cs="Times New Roman"/>
                <w:b/>
                <w:i/>
                <w:color w:val="000000"/>
                <w:sz w:val="18"/>
                <w:szCs w:val="24"/>
              </w:rPr>
              <w:t>Membres invités à titre consultatif :</w:t>
            </w:r>
          </w:p>
          <w:p w14:paraId="4ADCB76D" w14:textId="77777777" w:rsidR="007B16C4" w:rsidRPr="00D85E9B" w:rsidRDefault="007B16C4" w:rsidP="007B16C4">
            <w:pPr>
              <w:spacing w:after="0" w:line="300" w:lineRule="auto"/>
              <w:jc w:val="both"/>
              <w:rPr>
                <w:rFonts w:ascii="Candara" w:eastAsia="Calibri" w:hAnsi="Candara" w:cs="Times New Roman"/>
                <w:color w:val="000000"/>
                <w:sz w:val="18"/>
                <w:szCs w:val="24"/>
              </w:rPr>
            </w:pPr>
            <w:r w:rsidRPr="00D85E9B">
              <w:rPr>
                <w:rFonts w:ascii="Candara" w:eastAsia="Calibri" w:hAnsi="Candara" w:cs="Times New Roman"/>
                <w:color w:val="000000"/>
                <w:sz w:val="18"/>
                <w:szCs w:val="24"/>
              </w:rPr>
              <w:t>Toute personne ou entité publique ou privée compétente en matière d’environnement</w:t>
            </w:r>
          </w:p>
          <w:p w14:paraId="1075A6FE" w14:textId="77777777" w:rsidR="007B16C4" w:rsidRPr="00D85E9B" w:rsidRDefault="007B16C4" w:rsidP="007B16C4">
            <w:pPr>
              <w:spacing w:after="0" w:line="300" w:lineRule="auto"/>
              <w:jc w:val="both"/>
              <w:rPr>
                <w:rFonts w:ascii="Candara" w:eastAsia="Calibri" w:hAnsi="Candara" w:cs="Times New Roman"/>
                <w:color w:val="000000"/>
                <w:sz w:val="18"/>
                <w:szCs w:val="24"/>
              </w:rPr>
            </w:pPr>
            <w:r w:rsidRPr="00D85E9B">
              <w:rPr>
                <w:rFonts w:ascii="Candara" w:eastAsia="Calibri" w:hAnsi="Candara" w:cs="Times New Roman"/>
                <w:color w:val="000000"/>
                <w:sz w:val="18"/>
                <w:szCs w:val="24"/>
              </w:rPr>
              <w:t>Le pétitionnaire</w:t>
            </w:r>
          </w:p>
        </w:tc>
      </w:tr>
    </w:tbl>
    <w:p w14:paraId="29F507D8" w14:textId="05C6157A" w:rsidR="007B16C4" w:rsidRPr="007B16C4" w:rsidRDefault="007B16C4" w:rsidP="007B16C4">
      <w:pPr>
        <w:spacing w:before="120" w:after="60" w:line="240" w:lineRule="auto"/>
        <w:jc w:val="center"/>
        <w:rPr>
          <w:rFonts w:ascii="Calibri" w:eastAsia="ヒラギノ角ゴ Pro W3" w:hAnsi="Calibri" w:cs="Calibri"/>
          <w:b/>
          <w:color w:val="000000"/>
          <w:sz w:val="20"/>
          <w:szCs w:val="20"/>
        </w:rPr>
      </w:pPr>
      <w:bookmarkStart w:id="92" w:name="_Toc489082405"/>
      <w:bookmarkStart w:id="93" w:name="_Toc65447200"/>
      <w:r w:rsidRPr="007B16C4">
        <w:rPr>
          <w:rFonts w:ascii="Calibri" w:eastAsia="ヒラギノ角ゴ Pro W3" w:hAnsi="Calibri" w:cs="Calibri"/>
          <w:b/>
          <w:color w:val="000000"/>
          <w:sz w:val="20"/>
          <w:szCs w:val="20"/>
        </w:rPr>
        <w:t xml:space="preserve">Tableau </w:t>
      </w:r>
      <w:r w:rsidRPr="007B16C4">
        <w:rPr>
          <w:rFonts w:ascii="Calibri" w:eastAsia="ヒラギノ角ゴ Pro W3" w:hAnsi="Calibri" w:cs="Calibri"/>
          <w:b/>
          <w:color w:val="000000"/>
          <w:sz w:val="20"/>
          <w:szCs w:val="20"/>
        </w:rPr>
        <w:fldChar w:fldCharType="begin"/>
      </w:r>
      <w:r w:rsidRPr="007B16C4">
        <w:rPr>
          <w:rFonts w:ascii="Calibri" w:eastAsia="ヒラギノ角ゴ Pro W3" w:hAnsi="Calibri" w:cs="Calibri"/>
          <w:b/>
          <w:color w:val="000000"/>
          <w:sz w:val="20"/>
          <w:szCs w:val="20"/>
        </w:rPr>
        <w:instrText xml:space="preserve"> SEQ Tableau \* ARABIC </w:instrText>
      </w:r>
      <w:r w:rsidRPr="007B16C4">
        <w:rPr>
          <w:rFonts w:ascii="Calibri" w:eastAsia="ヒラギノ角ゴ Pro W3" w:hAnsi="Calibri" w:cs="Calibri"/>
          <w:b/>
          <w:color w:val="000000"/>
          <w:sz w:val="20"/>
          <w:szCs w:val="20"/>
        </w:rPr>
        <w:fldChar w:fldCharType="separate"/>
      </w:r>
      <w:r w:rsidR="00212333">
        <w:rPr>
          <w:rFonts w:ascii="Calibri" w:eastAsia="ヒラギノ角ゴ Pro W3" w:hAnsi="Calibri" w:cs="Calibri"/>
          <w:b/>
          <w:noProof/>
          <w:color w:val="000000"/>
          <w:sz w:val="20"/>
          <w:szCs w:val="20"/>
        </w:rPr>
        <w:t>3</w:t>
      </w:r>
      <w:r w:rsidRPr="007B16C4">
        <w:rPr>
          <w:rFonts w:ascii="Calibri" w:eastAsia="ヒラギノ角ゴ Pro W3" w:hAnsi="Calibri" w:cs="Calibri"/>
          <w:b/>
          <w:color w:val="000000"/>
          <w:sz w:val="20"/>
          <w:szCs w:val="20"/>
        </w:rPr>
        <w:fldChar w:fldCharType="end"/>
      </w:r>
      <w:r w:rsidRPr="007B16C4">
        <w:rPr>
          <w:rFonts w:ascii="Calibri" w:eastAsia="ヒラギノ角ゴ Pro W3" w:hAnsi="Calibri" w:cs="Calibri"/>
          <w:b/>
          <w:color w:val="000000"/>
          <w:sz w:val="20"/>
          <w:szCs w:val="20"/>
        </w:rPr>
        <w:t>: Domaines de compétences et attributions des CNEIE et des CREIE</w:t>
      </w:r>
      <w:bookmarkEnd w:id="92"/>
      <w:bookmarkEnd w:id="9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4110"/>
        <w:gridCol w:w="3018"/>
      </w:tblGrid>
      <w:tr w:rsidR="007B16C4" w:rsidRPr="00481520" w14:paraId="10412615" w14:textId="77777777" w:rsidTr="00D85E9B">
        <w:trPr>
          <w:jc w:val="center"/>
        </w:trPr>
        <w:tc>
          <w:tcPr>
            <w:tcW w:w="1236" w:type="dxa"/>
            <w:shd w:val="clear" w:color="auto" w:fill="FBE4D5" w:themeFill="accent2" w:themeFillTint="33"/>
          </w:tcPr>
          <w:p w14:paraId="383AA676" w14:textId="77777777" w:rsidR="007B16C4" w:rsidRPr="00D85E9B" w:rsidRDefault="007B16C4" w:rsidP="007B16C4">
            <w:pPr>
              <w:spacing w:after="0" w:line="300" w:lineRule="auto"/>
              <w:jc w:val="both"/>
              <w:rPr>
                <w:rFonts w:ascii="Candara" w:eastAsia="Calibri" w:hAnsi="Candara" w:cs="Times New Roman"/>
                <w:b/>
                <w:color w:val="000000"/>
                <w:sz w:val="18"/>
                <w:szCs w:val="24"/>
              </w:rPr>
            </w:pPr>
          </w:p>
        </w:tc>
        <w:tc>
          <w:tcPr>
            <w:tcW w:w="4110" w:type="dxa"/>
            <w:shd w:val="clear" w:color="auto" w:fill="FBE4D5" w:themeFill="accent2" w:themeFillTint="33"/>
          </w:tcPr>
          <w:p w14:paraId="3D10D129" w14:textId="77777777" w:rsidR="007B16C4" w:rsidRPr="00D85E9B" w:rsidRDefault="007B16C4" w:rsidP="007B16C4">
            <w:pPr>
              <w:spacing w:after="0" w:line="300" w:lineRule="auto"/>
              <w:jc w:val="center"/>
              <w:rPr>
                <w:rFonts w:ascii="Candara" w:eastAsia="Calibri" w:hAnsi="Candara" w:cs="Times New Roman"/>
                <w:b/>
                <w:color w:val="000000"/>
                <w:sz w:val="18"/>
                <w:szCs w:val="24"/>
              </w:rPr>
            </w:pPr>
            <w:r w:rsidRPr="00D85E9B">
              <w:rPr>
                <w:rFonts w:ascii="Candara" w:eastAsia="Calibri" w:hAnsi="Candara" w:cs="Times New Roman"/>
                <w:b/>
                <w:color w:val="000000"/>
                <w:sz w:val="18"/>
                <w:szCs w:val="24"/>
              </w:rPr>
              <w:t>Comité National</w:t>
            </w:r>
          </w:p>
        </w:tc>
        <w:tc>
          <w:tcPr>
            <w:tcW w:w="3018" w:type="dxa"/>
            <w:shd w:val="clear" w:color="auto" w:fill="FBE4D5" w:themeFill="accent2" w:themeFillTint="33"/>
          </w:tcPr>
          <w:p w14:paraId="4934F8FF" w14:textId="77777777" w:rsidR="007B16C4" w:rsidRPr="00D85E9B" w:rsidRDefault="007B16C4" w:rsidP="007B16C4">
            <w:pPr>
              <w:spacing w:after="0" w:line="300" w:lineRule="auto"/>
              <w:jc w:val="center"/>
              <w:rPr>
                <w:rFonts w:ascii="Candara" w:eastAsia="Calibri" w:hAnsi="Candara" w:cs="Times New Roman"/>
                <w:b/>
                <w:color w:val="000000"/>
                <w:sz w:val="18"/>
                <w:szCs w:val="24"/>
              </w:rPr>
            </w:pPr>
            <w:r w:rsidRPr="00D85E9B">
              <w:rPr>
                <w:rFonts w:ascii="Candara" w:eastAsia="Calibri" w:hAnsi="Candara" w:cs="Times New Roman"/>
                <w:b/>
                <w:color w:val="000000"/>
                <w:sz w:val="18"/>
                <w:szCs w:val="24"/>
              </w:rPr>
              <w:t>Comités Régionaux</w:t>
            </w:r>
          </w:p>
        </w:tc>
      </w:tr>
      <w:tr w:rsidR="007B16C4" w:rsidRPr="00481520" w14:paraId="11E83FAF" w14:textId="77777777" w:rsidTr="00073577">
        <w:trPr>
          <w:jc w:val="center"/>
        </w:trPr>
        <w:tc>
          <w:tcPr>
            <w:tcW w:w="1236" w:type="dxa"/>
          </w:tcPr>
          <w:p w14:paraId="2E5EA622" w14:textId="77777777" w:rsidR="007B16C4" w:rsidRPr="00D85E9B" w:rsidRDefault="007B16C4" w:rsidP="007B16C4">
            <w:pPr>
              <w:spacing w:after="0" w:line="300" w:lineRule="auto"/>
              <w:jc w:val="both"/>
              <w:rPr>
                <w:rFonts w:ascii="Candara" w:eastAsia="Calibri" w:hAnsi="Candara" w:cs="Times New Roman"/>
                <w:b/>
                <w:color w:val="000000"/>
                <w:sz w:val="18"/>
                <w:szCs w:val="24"/>
              </w:rPr>
            </w:pPr>
            <w:r w:rsidRPr="00D85E9B">
              <w:rPr>
                <w:rFonts w:ascii="Candara" w:eastAsia="Calibri" w:hAnsi="Candara" w:cs="Times New Roman"/>
                <w:b/>
                <w:color w:val="000000"/>
                <w:sz w:val="18"/>
                <w:szCs w:val="24"/>
              </w:rPr>
              <w:t>Compétences</w:t>
            </w:r>
          </w:p>
        </w:tc>
        <w:tc>
          <w:tcPr>
            <w:tcW w:w="4110" w:type="dxa"/>
          </w:tcPr>
          <w:p w14:paraId="00182A2A" w14:textId="77777777" w:rsidR="007B16C4" w:rsidRPr="00D85E9B" w:rsidRDefault="007B16C4" w:rsidP="007B16C4">
            <w:pPr>
              <w:spacing w:after="0" w:line="300" w:lineRule="auto"/>
              <w:jc w:val="both"/>
              <w:rPr>
                <w:rFonts w:ascii="Candara" w:eastAsia="Calibri" w:hAnsi="Candara" w:cs="Times New Roman"/>
                <w:color w:val="000000"/>
                <w:sz w:val="18"/>
                <w:szCs w:val="24"/>
              </w:rPr>
            </w:pPr>
            <w:r w:rsidRPr="00D85E9B">
              <w:rPr>
                <w:rFonts w:ascii="Candara" w:eastAsia="Calibri" w:hAnsi="Candara" w:cs="Times New Roman"/>
                <w:color w:val="000000"/>
                <w:sz w:val="18"/>
                <w:szCs w:val="24"/>
              </w:rPr>
              <w:t>Projet dont le seuil d’investissement est supérieur à 200 MDH</w:t>
            </w:r>
          </w:p>
          <w:p w14:paraId="3A164F7F" w14:textId="77777777" w:rsidR="007B16C4" w:rsidRPr="00D85E9B" w:rsidRDefault="007B16C4" w:rsidP="007B16C4">
            <w:pPr>
              <w:spacing w:after="0" w:line="300" w:lineRule="auto"/>
              <w:jc w:val="both"/>
              <w:rPr>
                <w:rFonts w:ascii="Candara" w:eastAsia="Calibri" w:hAnsi="Candara" w:cs="Times New Roman"/>
                <w:color w:val="000000"/>
                <w:sz w:val="18"/>
                <w:szCs w:val="24"/>
              </w:rPr>
            </w:pPr>
            <w:r w:rsidRPr="00D85E9B">
              <w:rPr>
                <w:rFonts w:ascii="Candara" w:eastAsia="Calibri" w:hAnsi="Candara" w:cs="Times New Roman"/>
                <w:color w:val="000000"/>
                <w:sz w:val="18"/>
                <w:szCs w:val="24"/>
              </w:rPr>
              <w:t>Projets concernant plus d’une Région</w:t>
            </w:r>
          </w:p>
          <w:p w14:paraId="04F4847F" w14:textId="77777777" w:rsidR="007B16C4" w:rsidRPr="00D85E9B" w:rsidRDefault="007B16C4" w:rsidP="007B16C4">
            <w:pPr>
              <w:spacing w:after="0" w:line="300" w:lineRule="auto"/>
              <w:jc w:val="both"/>
              <w:rPr>
                <w:rFonts w:ascii="Candara" w:eastAsia="Calibri" w:hAnsi="Candara" w:cs="Times New Roman"/>
                <w:color w:val="000000"/>
                <w:sz w:val="18"/>
                <w:szCs w:val="24"/>
              </w:rPr>
            </w:pPr>
            <w:r w:rsidRPr="00D85E9B">
              <w:rPr>
                <w:rFonts w:ascii="Candara" w:eastAsia="Calibri" w:hAnsi="Candara" w:cs="Times New Roman"/>
                <w:color w:val="000000"/>
                <w:sz w:val="18"/>
                <w:szCs w:val="24"/>
              </w:rPr>
              <w:t>Projets transfrontaliers</w:t>
            </w:r>
          </w:p>
        </w:tc>
        <w:tc>
          <w:tcPr>
            <w:tcW w:w="3018" w:type="dxa"/>
          </w:tcPr>
          <w:p w14:paraId="338BB695" w14:textId="77777777" w:rsidR="007B16C4" w:rsidRPr="00D85E9B" w:rsidRDefault="007B16C4" w:rsidP="007B16C4">
            <w:pPr>
              <w:spacing w:after="0" w:line="300" w:lineRule="auto"/>
              <w:jc w:val="both"/>
              <w:rPr>
                <w:rFonts w:ascii="Candara" w:eastAsia="Calibri" w:hAnsi="Candara" w:cs="Times New Roman"/>
                <w:color w:val="000000"/>
                <w:sz w:val="18"/>
                <w:szCs w:val="24"/>
              </w:rPr>
            </w:pPr>
            <w:r w:rsidRPr="00D85E9B">
              <w:rPr>
                <w:rFonts w:ascii="Candara" w:eastAsia="Calibri" w:hAnsi="Candara" w:cs="Times New Roman"/>
                <w:color w:val="000000"/>
                <w:sz w:val="18"/>
                <w:szCs w:val="24"/>
              </w:rPr>
              <w:t>Projet dont le seuil d’investissement est inférieur à 200 MDH, à l’exception des projets multirégionaux ou transfrontaliers</w:t>
            </w:r>
          </w:p>
        </w:tc>
      </w:tr>
      <w:tr w:rsidR="007B16C4" w:rsidRPr="00481520" w14:paraId="7B61D68B" w14:textId="77777777" w:rsidTr="00073577">
        <w:trPr>
          <w:jc w:val="center"/>
        </w:trPr>
        <w:tc>
          <w:tcPr>
            <w:tcW w:w="1236" w:type="dxa"/>
          </w:tcPr>
          <w:p w14:paraId="15DFCFFA" w14:textId="77777777" w:rsidR="007B16C4" w:rsidRPr="00D85E9B" w:rsidRDefault="007B16C4" w:rsidP="007B16C4">
            <w:pPr>
              <w:spacing w:after="0" w:line="300" w:lineRule="auto"/>
              <w:jc w:val="both"/>
              <w:rPr>
                <w:rFonts w:ascii="Candara" w:eastAsia="Calibri" w:hAnsi="Candara" w:cs="Times New Roman"/>
                <w:b/>
                <w:color w:val="000000"/>
                <w:sz w:val="18"/>
                <w:szCs w:val="24"/>
              </w:rPr>
            </w:pPr>
          </w:p>
          <w:p w14:paraId="463A7486" w14:textId="77777777" w:rsidR="007B16C4" w:rsidRPr="00D85E9B" w:rsidRDefault="007B16C4" w:rsidP="007B16C4">
            <w:pPr>
              <w:spacing w:after="0" w:line="300" w:lineRule="auto"/>
              <w:jc w:val="both"/>
              <w:rPr>
                <w:rFonts w:ascii="Candara" w:eastAsia="Calibri" w:hAnsi="Candara" w:cs="Times New Roman"/>
                <w:b/>
                <w:color w:val="000000"/>
                <w:sz w:val="18"/>
                <w:szCs w:val="24"/>
              </w:rPr>
            </w:pPr>
          </w:p>
          <w:p w14:paraId="4B951631" w14:textId="77777777" w:rsidR="007B16C4" w:rsidRPr="00D85E9B" w:rsidRDefault="007B16C4" w:rsidP="007B16C4">
            <w:pPr>
              <w:spacing w:after="0" w:line="300" w:lineRule="auto"/>
              <w:jc w:val="both"/>
              <w:rPr>
                <w:rFonts w:ascii="Candara" w:eastAsia="Calibri" w:hAnsi="Candara" w:cs="Times New Roman"/>
                <w:b/>
                <w:color w:val="000000"/>
                <w:sz w:val="18"/>
                <w:szCs w:val="24"/>
              </w:rPr>
            </w:pPr>
            <w:r w:rsidRPr="00D85E9B">
              <w:rPr>
                <w:rFonts w:ascii="Candara" w:eastAsia="Calibri" w:hAnsi="Candara" w:cs="Times New Roman"/>
                <w:b/>
                <w:color w:val="000000"/>
                <w:sz w:val="18"/>
                <w:szCs w:val="24"/>
              </w:rPr>
              <w:t>Attributions</w:t>
            </w:r>
          </w:p>
        </w:tc>
        <w:tc>
          <w:tcPr>
            <w:tcW w:w="4110" w:type="dxa"/>
          </w:tcPr>
          <w:p w14:paraId="318123A7" w14:textId="77777777" w:rsidR="007B16C4" w:rsidRPr="00D85E9B" w:rsidRDefault="007B16C4" w:rsidP="007B16C4">
            <w:pPr>
              <w:spacing w:after="0" w:line="300" w:lineRule="auto"/>
              <w:jc w:val="both"/>
              <w:rPr>
                <w:rFonts w:ascii="Candara" w:eastAsia="Calibri" w:hAnsi="Candara" w:cs="Times New Roman"/>
                <w:color w:val="000000"/>
                <w:sz w:val="18"/>
                <w:szCs w:val="24"/>
              </w:rPr>
            </w:pPr>
            <w:r w:rsidRPr="00D85E9B">
              <w:rPr>
                <w:rFonts w:ascii="Candara" w:eastAsia="Calibri" w:hAnsi="Candara" w:cs="Times New Roman"/>
                <w:color w:val="000000"/>
                <w:sz w:val="18"/>
                <w:szCs w:val="24"/>
              </w:rPr>
              <w:t>Examiner les EIE et instruire les dossiers y afférant</w:t>
            </w:r>
          </w:p>
          <w:p w14:paraId="42418CF1" w14:textId="77777777" w:rsidR="007B16C4" w:rsidRPr="00D85E9B" w:rsidRDefault="007B16C4" w:rsidP="007B16C4">
            <w:pPr>
              <w:spacing w:after="0" w:line="300" w:lineRule="auto"/>
              <w:jc w:val="both"/>
              <w:rPr>
                <w:rFonts w:ascii="Candara" w:eastAsia="Calibri" w:hAnsi="Candara" w:cs="Times New Roman"/>
                <w:color w:val="000000"/>
                <w:sz w:val="18"/>
                <w:szCs w:val="24"/>
              </w:rPr>
            </w:pPr>
            <w:r w:rsidRPr="00D85E9B">
              <w:rPr>
                <w:rFonts w:ascii="Candara" w:eastAsia="Calibri" w:hAnsi="Candara" w:cs="Times New Roman"/>
                <w:color w:val="000000"/>
                <w:sz w:val="18"/>
                <w:szCs w:val="24"/>
              </w:rPr>
              <w:t>Donner son avis sur l’acceptabilité environnementale des projets</w:t>
            </w:r>
          </w:p>
          <w:p w14:paraId="67C8DA22" w14:textId="77777777" w:rsidR="007B16C4" w:rsidRPr="00D85E9B" w:rsidRDefault="007B16C4" w:rsidP="007B16C4">
            <w:pPr>
              <w:spacing w:after="0" w:line="300" w:lineRule="auto"/>
              <w:jc w:val="both"/>
              <w:rPr>
                <w:rFonts w:ascii="Candara" w:eastAsia="Calibri" w:hAnsi="Candara" w:cs="Times New Roman"/>
                <w:color w:val="000000"/>
                <w:sz w:val="18"/>
                <w:szCs w:val="24"/>
              </w:rPr>
            </w:pPr>
            <w:r w:rsidRPr="00D85E9B">
              <w:rPr>
                <w:rFonts w:ascii="Candara" w:eastAsia="Calibri" w:hAnsi="Candara" w:cs="Times New Roman"/>
                <w:color w:val="000000"/>
                <w:sz w:val="18"/>
                <w:szCs w:val="24"/>
              </w:rPr>
              <w:t>Participer à l’élaboration des Directives afférentes aux EIE, préparés par l’autorité gouvernementale chargée de l’environnement</w:t>
            </w:r>
          </w:p>
          <w:p w14:paraId="1F65295D" w14:textId="77777777" w:rsidR="007B16C4" w:rsidRPr="00D85E9B" w:rsidRDefault="007B16C4" w:rsidP="007B16C4">
            <w:pPr>
              <w:spacing w:after="0" w:line="300" w:lineRule="auto"/>
              <w:jc w:val="both"/>
              <w:rPr>
                <w:rFonts w:ascii="Candara" w:eastAsia="Calibri" w:hAnsi="Candara" w:cs="Times New Roman"/>
                <w:color w:val="000000"/>
                <w:sz w:val="18"/>
                <w:szCs w:val="24"/>
              </w:rPr>
            </w:pPr>
            <w:r w:rsidRPr="00D85E9B">
              <w:rPr>
                <w:rFonts w:ascii="Candara" w:eastAsia="Calibri" w:hAnsi="Candara" w:cs="Times New Roman"/>
                <w:color w:val="000000"/>
                <w:sz w:val="18"/>
                <w:szCs w:val="24"/>
              </w:rPr>
              <w:lastRenderedPageBreak/>
              <w:t>Soutenir et conseiller les CREIE dans l’exercice de leurs attributions</w:t>
            </w:r>
          </w:p>
        </w:tc>
        <w:tc>
          <w:tcPr>
            <w:tcW w:w="3018" w:type="dxa"/>
          </w:tcPr>
          <w:p w14:paraId="06F0948E" w14:textId="77777777" w:rsidR="007B16C4" w:rsidRPr="00D85E9B" w:rsidRDefault="007B16C4" w:rsidP="007B16C4">
            <w:pPr>
              <w:spacing w:after="0" w:line="300" w:lineRule="auto"/>
              <w:jc w:val="both"/>
              <w:rPr>
                <w:rFonts w:ascii="Candara" w:eastAsia="Calibri" w:hAnsi="Candara" w:cs="Times New Roman"/>
                <w:color w:val="000000"/>
                <w:sz w:val="18"/>
                <w:szCs w:val="24"/>
              </w:rPr>
            </w:pPr>
            <w:r w:rsidRPr="00D85E9B">
              <w:rPr>
                <w:rFonts w:ascii="Candara" w:eastAsia="Calibri" w:hAnsi="Candara" w:cs="Times New Roman"/>
                <w:color w:val="000000"/>
                <w:sz w:val="18"/>
                <w:szCs w:val="24"/>
              </w:rPr>
              <w:lastRenderedPageBreak/>
              <w:t>Examiner les études d’impact sur l’environnement et instruire les dossiers y afférant concernant les projets qui lui sont confiés.</w:t>
            </w:r>
          </w:p>
          <w:p w14:paraId="567FAECD" w14:textId="77777777" w:rsidR="007B16C4" w:rsidRPr="00D85E9B" w:rsidRDefault="007B16C4" w:rsidP="007B16C4">
            <w:pPr>
              <w:spacing w:after="0" w:line="300" w:lineRule="auto"/>
              <w:jc w:val="both"/>
              <w:rPr>
                <w:rFonts w:ascii="Candara" w:eastAsia="Calibri" w:hAnsi="Candara" w:cs="Times New Roman"/>
                <w:b/>
                <w:color w:val="000000"/>
                <w:sz w:val="18"/>
                <w:szCs w:val="24"/>
              </w:rPr>
            </w:pPr>
            <w:r w:rsidRPr="00D85E9B">
              <w:rPr>
                <w:rFonts w:ascii="Candara" w:eastAsia="Calibri" w:hAnsi="Candara" w:cs="Times New Roman"/>
                <w:color w:val="000000"/>
                <w:sz w:val="18"/>
                <w:szCs w:val="24"/>
              </w:rPr>
              <w:t>Donner son avis sur l’acceptabilité environnementale des projets</w:t>
            </w:r>
          </w:p>
        </w:tc>
      </w:tr>
    </w:tbl>
    <w:p w14:paraId="73709E29" w14:textId="77777777" w:rsidR="007B16C4" w:rsidRPr="007B16C4" w:rsidRDefault="007B16C4" w:rsidP="007B16C4">
      <w:pPr>
        <w:autoSpaceDE w:val="0"/>
        <w:autoSpaceDN w:val="0"/>
        <w:adjustRightInd w:val="0"/>
        <w:spacing w:before="120" w:after="0" w:line="240" w:lineRule="auto"/>
        <w:contextualSpacing/>
        <w:jc w:val="both"/>
        <w:rPr>
          <w:rFonts w:ascii="Calibri" w:eastAsia="Times New Roman" w:hAnsi="Calibri" w:cs="Calibri"/>
          <w:szCs w:val="24"/>
          <w:lang w:val="fr-CA"/>
        </w:rPr>
      </w:pPr>
    </w:p>
    <w:p w14:paraId="42707AEA" w14:textId="77777777" w:rsidR="007B16C4" w:rsidRPr="007B16C4" w:rsidRDefault="007B16C4" w:rsidP="007B16C4">
      <w:pPr>
        <w:autoSpaceDE w:val="0"/>
        <w:autoSpaceDN w:val="0"/>
        <w:adjustRightInd w:val="0"/>
        <w:spacing w:before="120" w:after="0" w:line="240" w:lineRule="auto"/>
        <w:contextualSpacing/>
        <w:jc w:val="both"/>
        <w:rPr>
          <w:rFonts w:ascii="Calibri" w:eastAsia="Times New Roman" w:hAnsi="Calibri" w:cs="Calibri"/>
          <w:szCs w:val="24"/>
          <w:lang w:val="fr-CA"/>
        </w:rPr>
      </w:pPr>
    </w:p>
    <w:p w14:paraId="70282BC3" w14:textId="77777777" w:rsidR="007B16C4" w:rsidRPr="007B16C4" w:rsidRDefault="007B16C4" w:rsidP="00B33704">
      <w:pPr>
        <w:numPr>
          <w:ilvl w:val="0"/>
          <w:numId w:val="11"/>
        </w:numPr>
        <w:autoSpaceDE w:val="0"/>
        <w:autoSpaceDN w:val="0"/>
        <w:adjustRightInd w:val="0"/>
        <w:spacing w:before="120" w:after="0" w:line="240" w:lineRule="auto"/>
        <w:contextualSpacing/>
        <w:jc w:val="both"/>
        <w:rPr>
          <w:rFonts w:ascii="Calibri" w:eastAsia="Times New Roman" w:hAnsi="Calibri" w:cs="Calibri"/>
          <w:szCs w:val="24"/>
          <w:lang w:val="fr-CA"/>
        </w:rPr>
      </w:pPr>
      <w:r w:rsidRPr="007B16C4">
        <w:rPr>
          <w:rFonts w:ascii="Calibri" w:eastAsia="Times New Roman" w:hAnsi="Calibri" w:cs="Calibri"/>
          <w:szCs w:val="24"/>
          <w:lang w:val="fr-CA"/>
        </w:rPr>
        <w:t xml:space="preserve">  Les projets sont examinés par l’Autorité gouvernementale chargée de l’Environnement (AGCE). Les projets réalisés par les pétitionnaires, sont sujets au contrôle et au suivi de la même AGCE ensemble avec le ministère de tutelle de l’activité concernée. </w:t>
      </w:r>
    </w:p>
    <w:p w14:paraId="5023BFFD" w14:textId="1B32A484" w:rsidR="007B16C4" w:rsidRPr="007B16C4" w:rsidRDefault="007B16C4" w:rsidP="007B16C4">
      <w:pPr>
        <w:spacing w:before="120" w:after="60" w:line="240" w:lineRule="auto"/>
        <w:jc w:val="center"/>
        <w:rPr>
          <w:rFonts w:ascii="Calibri" w:eastAsia="ヒラギノ角ゴ Pro W3" w:hAnsi="Calibri" w:cs="Calibri"/>
          <w:b/>
          <w:color w:val="000000"/>
          <w:sz w:val="20"/>
          <w:szCs w:val="20"/>
        </w:rPr>
      </w:pPr>
      <w:bookmarkStart w:id="94" w:name="_Toc65447182"/>
      <w:r w:rsidRPr="007B16C4">
        <w:rPr>
          <w:rFonts w:ascii="Calibri" w:eastAsia="ヒラギノ角ゴ Pro W3" w:hAnsi="Calibri" w:cs="Calibri"/>
          <w:b/>
          <w:color w:val="000000"/>
          <w:sz w:val="20"/>
          <w:szCs w:val="20"/>
        </w:rPr>
        <w:t xml:space="preserve">Encadré </w:t>
      </w:r>
      <w:r w:rsidRPr="007B16C4">
        <w:rPr>
          <w:rFonts w:ascii="Calibri" w:eastAsia="ヒラギノ角ゴ Pro W3" w:hAnsi="Calibri" w:cs="Calibri"/>
          <w:b/>
          <w:color w:val="000000"/>
          <w:sz w:val="20"/>
          <w:szCs w:val="20"/>
        </w:rPr>
        <w:fldChar w:fldCharType="begin"/>
      </w:r>
      <w:r w:rsidRPr="007B16C4">
        <w:rPr>
          <w:rFonts w:ascii="Calibri" w:eastAsia="ヒラギノ角ゴ Pro W3" w:hAnsi="Calibri" w:cs="Calibri"/>
          <w:b/>
          <w:color w:val="000000"/>
          <w:sz w:val="20"/>
          <w:szCs w:val="20"/>
        </w:rPr>
        <w:instrText xml:space="preserve"> SEQ Figure \* ARABIC </w:instrText>
      </w:r>
      <w:r w:rsidRPr="007B16C4">
        <w:rPr>
          <w:rFonts w:ascii="Calibri" w:eastAsia="ヒラギノ角ゴ Pro W3" w:hAnsi="Calibri" w:cs="Calibri"/>
          <w:b/>
          <w:color w:val="000000"/>
          <w:sz w:val="20"/>
          <w:szCs w:val="20"/>
        </w:rPr>
        <w:fldChar w:fldCharType="separate"/>
      </w:r>
      <w:r w:rsidR="00212333">
        <w:rPr>
          <w:rFonts w:ascii="Calibri" w:eastAsia="ヒラギノ角ゴ Pro W3" w:hAnsi="Calibri" w:cs="Calibri"/>
          <w:b/>
          <w:noProof/>
          <w:color w:val="000000"/>
          <w:sz w:val="20"/>
          <w:szCs w:val="20"/>
        </w:rPr>
        <w:t>2</w:t>
      </w:r>
      <w:r w:rsidRPr="007B16C4">
        <w:rPr>
          <w:rFonts w:ascii="Calibri" w:eastAsia="ヒラギノ角ゴ Pro W3" w:hAnsi="Calibri" w:cs="Calibri"/>
          <w:b/>
          <w:color w:val="000000"/>
          <w:sz w:val="20"/>
          <w:szCs w:val="20"/>
        </w:rPr>
        <w:fldChar w:fldCharType="end"/>
      </w:r>
      <w:r w:rsidRPr="007B16C4">
        <w:rPr>
          <w:rFonts w:ascii="Calibri" w:eastAsia="ヒラギノ角ゴ Pro W3" w:hAnsi="Calibri" w:cs="Calibri"/>
          <w:b/>
          <w:color w:val="000000"/>
          <w:sz w:val="20"/>
          <w:szCs w:val="20"/>
        </w:rPr>
        <w:t> : Procédures de l’EIE</w:t>
      </w:r>
      <w:bookmarkEnd w:id="94"/>
      <w:r w:rsidRPr="007B16C4">
        <w:rPr>
          <w:rFonts w:ascii="Calibri" w:eastAsia="ヒラギノ角ゴ Pro W3" w:hAnsi="Calibri" w:cs="Calibri"/>
          <w:b/>
          <w:color w:val="000000"/>
          <w:sz w:val="20"/>
          <w:szCs w:val="20"/>
        </w:rPr>
        <w:t xml:space="preserve"> </w:t>
      </w:r>
    </w:p>
    <w:p w14:paraId="06893956" w14:textId="77777777" w:rsidR="007B16C4" w:rsidRPr="007B16C4" w:rsidRDefault="007B16C4" w:rsidP="007B16C4">
      <w:pPr>
        <w:widowControl w:val="0"/>
        <w:adjustRightInd w:val="0"/>
        <w:spacing w:after="0" w:line="240" w:lineRule="auto"/>
        <w:ind w:left="714" w:hanging="357"/>
        <w:jc w:val="center"/>
        <w:textAlignment w:val="baseline"/>
        <w:rPr>
          <w:rFonts w:ascii="Calibri" w:eastAsia="Calibri" w:hAnsi="Calibri" w:cs="Calibri"/>
          <w:b/>
          <w:color w:val="000000"/>
        </w:rPr>
      </w:pPr>
      <w:r w:rsidRPr="007B16C4">
        <w:rPr>
          <w:rFonts w:ascii="Calibri" w:eastAsia="Calibri" w:hAnsi="Calibri" w:cs="Calibri"/>
          <w:bCs/>
          <w:i/>
          <w:iCs/>
          <w:noProof/>
          <w:color w:val="000000"/>
          <w:szCs w:val="18"/>
          <w:lang w:eastAsia="fr-FR"/>
        </w:rPr>
        <w:drawing>
          <wp:inline distT="0" distB="0" distL="0" distR="0" wp14:anchorId="112DB946" wp14:editId="6B89376E">
            <wp:extent cx="3652491" cy="3302134"/>
            <wp:effectExtent l="0" t="0" r="571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7049" cy="3324336"/>
                    </a:xfrm>
                    <a:prstGeom prst="rect">
                      <a:avLst/>
                    </a:prstGeom>
                    <a:noFill/>
                  </pic:spPr>
                </pic:pic>
              </a:graphicData>
            </a:graphic>
          </wp:inline>
        </w:drawing>
      </w:r>
      <w:r w:rsidRPr="007B16C4">
        <w:rPr>
          <w:rFonts w:ascii="Calibri" w:eastAsia="Calibri" w:hAnsi="Calibri" w:cs="Calibri"/>
          <w:b/>
          <w:noProof/>
          <w:color w:val="000000"/>
          <w:lang w:eastAsia="fr-FR"/>
        </w:rPr>
        <w:drawing>
          <wp:inline distT="0" distB="0" distL="0" distR="0" wp14:anchorId="2887EED8" wp14:editId="01E29CB4">
            <wp:extent cx="3619500" cy="857250"/>
            <wp:effectExtent l="19050" t="19050" r="19050" b="1905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0" cy="857250"/>
                    </a:xfrm>
                    <a:prstGeom prst="rect">
                      <a:avLst/>
                    </a:prstGeom>
                    <a:noFill/>
                    <a:ln>
                      <a:solidFill>
                        <a:srgbClr val="FF0000"/>
                      </a:solidFill>
                    </a:ln>
                  </pic:spPr>
                </pic:pic>
              </a:graphicData>
            </a:graphic>
          </wp:inline>
        </w:drawing>
      </w:r>
    </w:p>
    <w:p w14:paraId="59694559" w14:textId="77777777" w:rsidR="007B16C4" w:rsidRPr="007B16C4" w:rsidRDefault="007B16C4" w:rsidP="007B16C4">
      <w:pPr>
        <w:spacing w:after="0" w:line="240" w:lineRule="auto"/>
        <w:jc w:val="right"/>
        <w:rPr>
          <w:rFonts w:ascii="Calibri" w:eastAsia="Calibri" w:hAnsi="Calibri" w:cs="Calibri"/>
          <w:color w:val="000000"/>
          <w:sz w:val="16"/>
          <w:szCs w:val="18"/>
        </w:rPr>
      </w:pPr>
      <w:r w:rsidRPr="007B16C4">
        <w:rPr>
          <w:rFonts w:ascii="Calibri" w:eastAsia="Calibri" w:hAnsi="Calibri" w:cs="Calibri"/>
          <w:i/>
          <w:color w:val="000000"/>
          <w:sz w:val="18"/>
        </w:rPr>
        <w:t xml:space="preserve"> </w:t>
      </w:r>
      <w:r w:rsidRPr="007B16C4">
        <w:rPr>
          <w:rFonts w:ascii="Calibri" w:eastAsia="Calibri" w:hAnsi="Calibri" w:cs="Calibri"/>
          <w:i/>
          <w:color w:val="000000"/>
          <w:sz w:val="16"/>
          <w:szCs w:val="18"/>
        </w:rPr>
        <w:t xml:space="preserve">(Source : </w:t>
      </w:r>
      <w:hyperlink r:id="rId21" w:history="1">
        <w:r w:rsidRPr="007B16C4">
          <w:rPr>
            <w:rFonts w:ascii="Calibri" w:eastAsia="Calibri" w:hAnsi="Calibri" w:cs="Calibri"/>
            <w:color w:val="000000"/>
            <w:sz w:val="16"/>
            <w:szCs w:val="18"/>
            <w:u w:val="single"/>
          </w:rPr>
          <w:t>http://environnement.gov.ma/index.php/fr/ministere</w:t>
        </w:r>
      </w:hyperlink>
      <w:r w:rsidRPr="007B16C4">
        <w:rPr>
          <w:rFonts w:ascii="Calibri" w:eastAsia="Calibri" w:hAnsi="Calibri" w:cs="Calibri"/>
          <w:color w:val="000000"/>
          <w:sz w:val="16"/>
          <w:szCs w:val="18"/>
        </w:rPr>
        <w:t>)</w:t>
      </w:r>
    </w:p>
    <w:p w14:paraId="36964E82" w14:textId="77777777" w:rsidR="007B16C4" w:rsidRPr="007B16C4" w:rsidRDefault="007B16C4" w:rsidP="007B16C4">
      <w:pPr>
        <w:spacing w:before="120"/>
        <w:jc w:val="both"/>
        <w:rPr>
          <w:rFonts w:ascii="Calibri" w:eastAsia="Calibri" w:hAnsi="Calibri" w:cs="Calibri"/>
          <w:color w:val="000000"/>
          <w:sz w:val="16"/>
          <w:szCs w:val="18"/>
        </w:rPr>
      </w:pPr>
    </w:p>
    <w:p w14:paraId="3F4EAFA3" w14:textId="77777777" w:rsidR="007B16C4" w:rsidRPr="007B16C4" w:rsidRDefault="007B16C4" w:rsidP="00B33704">
      <w:pPr>
        <w:numPr>
          <w:ilvl w:val="0"/>
          <w:numId w:val="11"/>
        </w:numPr>
        <w:autoSpaceDE w:val="0"/>
        <w:autoSpaceDN w:val="0"/>
        <w:adjustRightInd w:val="0"/>
        <w:spacing w:before="120" w:after="0" w:line="240" w:lineRule="auto"/>
        <w:contextualSpacing/>
        <w:jc w:val="both"/>
        <w:rPr>
          <w:rFonts w:ascii="Calibri" w:eastAsia="Times New Roman" w:hAnsi="Calibri" w:cs="Calibri"/>
          <w:szCs w:val="24"/>
          <w:lang w:val="fr-CA"/>
        </w:rPr>
      </w:pPr>
      <w:bookmarkStart w:id="95" w:name="_Hlk65753169"/>
      <w:r w:rsidRPr="007B16C4">
        <w:rPr>
          <w:rFonts w:ascii="Calibri" w:eastAsia="Times New Roman" w:hAnsi="Calibri" w:cs="Calibri"/>
          <w:b/>
          <w:szCs w:val="24"/>
          <w:lang w:val="fr-CA"/>
        </w:rPr>
        <w:t>En conclusion,</w:t>
      </w:r>
      <w:r w:rsidRPr="007B16C4">
        <w:rPr>
          <w:rFonts w:ascii="Calibri" w:eastAsia="Times New Roman" w:hAnsi="Calibri" w:cs="Calibri"/>
          <w:lang w:val="fr-CA"/>
        </w:rPr>
        <w:t xml:space="preserve"> </w:t>
      </w:r>
      <w:r w:rsidRPr="007B16C4">
        <w:rPr>
          <w:rFonts w:ascii="Calibri" w:eastAsia="Times New Roman" w:hAnsi="Calibri" w:cs="Calibri"/>
          <w:szCs w:val="24"/>
          <w:lang w:val="fr-CA"/>
        </w:rPr>
        <w:t>en matière de contenu des EIE, les procédures et les principes sont conformes d’une manière générale aux pratiques internationales. Les procédures de gestion environnementale et d’EIE sont à la fois claires aux niveaux techniques et solides au niveau institutionnel. La loi 49-17 relative à l’EIE constitue un outil légal qui subordonne l’autorisation administrative de tout projet soumis à l’ÉIE à une décision d’acceptabilité environnementale.</w:t>
      </w:r>
    </w:p>
    <w:p w14:paraId="48B4D4F5" w14:textId="77777777" w:rsidR="007B16C4" w:rsidRPr="007B16C4" w:rsidRDefault="007B16C4" w:rsidP="007B16C4">
      <w:pPr>
        <w:autoSpaceDE w:val="0"/>
        <w:autoSpaceDN w:val="0"/>
        <w:adjustRightInd w:val="0"/>
        <w:spacing w:after="0" w:line="240" w:lineRule="auto"/>
        <w:jc w:val="both"/>
        <w:rPr>
          <w:rFonts w:ascii="Calibri" w:eastAsia="Calibri" w:hAnsi="Calibri" w:cs="Calibri"/>
          <w:szCs w:val="24"/>
          <w:lang w:val="fr-CA"/>
        </w:rPr>
      </w:pPr>
    </w:p>
    <w:p w14:paraId="5C5AA58D" w14:textId="5ADDE13D" w:rsidR="007B16C4" w:rsidRPr="00D85E9B" w:rsidRDefault="007B16C4" w:rsidP="00055385">
      <w:pPr>
        <w:pBdr>
          <w:top w:val="single" w:sz="4" w:space="1" w:color="auto"/>
          <w:left w:val="single" w:sz="4" w:space="4" w:color="auto"/>
          <w:bottom w:val="single" w:sz="4" w:space="1" w:color="auto"/>
          <w:right w:val="single" w:sz="4" w:space="4" w:color="auto"/>
        </w:pBdr>
        <w:shd w:val="clear" w:color="auto" w:fill="F7CAAC" w:themeFill="accent2" w:themeFillTint="66"/>
        <w:autoSpaceDE w:val="0"/>
        <w:autoSpaceDN w:val="0"/>
        <w:adjustRightInd w:val="0"/>
        <w:spacing w:before="120" w:after="0" w:line="240" w:lineRule="auto"/>
        <w:contextualSpacing/>
        <w:jc w:val="both"/>
        <w:rPr>
          <w:rFonts w:ascii="Candara" w:eastAsia="Times New Roman" w:hAnsi="Candara" w:cs="Calibri"/>
          <w:sz w:val="20"/>
          <w:szCs w:val="20"/>
          <w:lang w:val="fr-CA"/>
        </w:rPr>
      </w:pPr>
      <w:r w:rsidRPr="00D85E9B">
        <w:rPr>
          <w:rFonts w:ascii="Candara" w:eastAsia="Times New Roman" w:hAnsi="Candara" w:cs="Calibri"/>
          <w:sz w:val="20"/>
          <w:szCs w:val="20"/>
          <w:lang w:val="fr-CA"/>
        </w:rPr>
        <w:t>La réglementation environnementale nationale et particulièrement la loi n° 11-03 (Protection et mise en valeur de l’environnement) ainsi que la loi 49-17 (EE), insistent sur les projets générateurs d’impacts négatifs importants en proposant des outils (notamment l’EIE) de gestion et de suivi (PSSE) alors que les projets et activités à faible ou moyen potentiel d’impacts négatifs sont désormais encadrés par la notice d’impact environnemental.</w:t>
      </w:r>
    </w:p>
    <w:p w14:paraId="0D16D48E" w14:textId="41978614" w:rsidR="00055385" w:rsidRPr="00D85E9B" w:rsidRDefault="00055385" w:rsidP="00D85E9B">
      <w:pPr>
        <w:pBdr>
          <w:top w:val="single" w:sz="4" w:space="1" w:color="auto"/>
          <w:left w:val="single" w:sz="4" w:space="4" w:color="auto"/>
          <w:bottom w:val="single" w:sz="4" w:space="1" w:color="auto"/>
          <w:right w:val="single" w:sz="4" w:space="4" w:color="auto"/>
        </w:pBdr>
        <w:shd w:val="clear" w:color="auto" w:fill="F7CAAC" w:themeFill="accent2" w:themeFillTint="66"/>
        <w:autoSpaceDE w:val="0"/>
        <w:autoSpaceDN w:val="0"/>
        <w:adjustRightInd w:val="0"/>
        <w:spacing w:before="120" w:after="0" w:line="240" w:lineRule="auto"/>
        <w:contextualSpacing/>
        <w:jc w:val="both"/>
        <w:rPr>
          <w:rFonts w:ascii="Candara" w:eastAsia="Times New Roman" w:hAnsi="Candara" w:cs="Calibri"/>
          <w:sz w:val="20"/>
          <w:szCs w:val="20"/>
          <w:lang w:val="fr-CA"/>
        </w:rPr>
      </w:pPr>
      <w:r w:rsidRPr="00D85E9B">
        <w:rPr>
          <w:rFonts w:ascii="Candara" w:eastAsia="Times New Roman" w:hAnsi="Candara" w:cs="Calibri"/>
          <w:sz w:val="20"/>
          <w:szCs w:val="20"/>
          <w:lang w:val="fr-CA"/>
        </w:rPr>
        <w:t>Les activités du Programme ne seront assujetties a aucun de ces textes règlementaires.</w:t>
      </w:r>
    </w:p>
    <w:bookmarkEnd w:id="95"/>
    <w:p w14:paraId="1C8DF74E" w14:textId="77777777" w:rsidR="007B16C4" w:rsidRPr="007B16C4" w:rsidRDefault="007B16C4" w:rsidP="007B16C4">
      <w:pPr>
        <w:spacing w:before="120" w:after="0" w:line="240" w:lineRule="auto"/>
        <w:ind w:left="720"/>
        <w:contextualSpacing/>
        <w:jc w:val="both"/>
        <w:rPr>
          <w:rFonts w:ascii="Calibri" w:eastAsia="Times New Roman" w:hAnsi="Calibri" w:cs="Calibri"/>
          <w:szCs w:val="24"/>
          <w:lang w:val="fr-CA"/>
        </w:rPr>
      </w:pPr>
    </w:p>
    <w:p w14:paraId="0D552017" w14:textId="3F87A15F" w:rsidR="007B16C4" w:rsidRPr="00D85E9B" w:rsidRDefault="00802971" w:rsidP="00D85E9B">
      <w:pPr>
        <w:pStyle w:val="Heading3"/>
        <w:rPr>
          <w:rFonts w:ascii="Candara" w:hAnsi="Candara"/>
          <w:b w:val="0"/>
          <w:bCs w:val="0"/>
          <w:color w:val="auto"/>
          <w:lang w:val="fr-FR"/>
        </w:rPr>
      </w:pPr>
      <w:bookmarkStart w:id="96" w:name="_Toc65446745"/>
      <w:bookmarkStart w:id="97" w:name="_Toc74241392"/>
      <w:bookmarkStart w:id="98" w:name="_Toc496827325"/>
      <w:r>
        <w:rPr>
          <w:rFonts w:ascii="Candara" w:hAnsi="Candara"/>
          <w:color w:val="auto"/>
          <w:lang w:val="fr-FR"/>
        </w:rPr>
        <w:t xml:space="preserve">3.1.4 </w:t>
      </w:r>
      <w:r w:rsidR="007B16C4" w:rsidRPr="00D85E9B">
        <w:rPr>
          <w:rFonts w:ascii="Candara" w:hAnsi="Candara"/>
          <w:color w:val="auto"/>
          <w:lang w:val="fr-FR"/>
        </w:rPr>
        <w:t>Cadre institutionnel national de gestion environnementale</w:t>
      </w:r>
      <w:bookmarkEnd w:id="96"/>
      <w:bookmarkEnd w:id="97"/>
      <w:r w:rsidR="007B16C4" w:rsidRPr="00D85E9B">
        <w:rPr>
          <w:rFonts w:ascii="Candara" w:hAnsi="Candara"/>
          <w:color w:val="auto"/>
          <w:lang w:val="fr-FR"/>
        </w:rPr>
        <w:t xml:space="preserve">  </w:t>
      </w:r>
      <w:bookmarkEnd w:id="98"/>
    </w:p>
    <w:p w14:paraId="15BCC10A" w14:textId="77777777" w:rsidR="007B16C4" w:rsidRPr="007B16C4" w:rsidRDefault="007B16C4" w:rsidP="007B16C4">
      <w:pPr>
        <w:spacing w:after="0" w:line="240" w:lineRule="auto"/>
        <w:jc w:val="both"/>
        <w:rPr>
          <w:rFonts w:ascii="Calibri" w:eastAsia="Calibri" w:hAnsi="Calibri" w:cs="Calibri"/>
          <w:szCs w:val="24"/>
          <w:lang w:val="fr-CA"/>
        </w:rPr>
      </w:pPr>
    </w:p>
    <w:p w14:paraId="05465655" w14:textId="36BEC1F5" w:rsidR="007B16C4" w:rsidRPr="007B16C4" w:rsidRDefault="007B16C4" w:rsidP="00B33704">
      <w:pPr>
        <w:numPr>
          <w:ilvl w:val="0"/>
          <w:numId w:val="11"/>
        </w:numPr>
        <w:autoSpaceDE w:val="0"/>
        <w:autoSpaceDN w:val="0"/>
        <w:adjustRightInd w:val="0"/>
        <w:spacing w:before="120" w:after="0" w:line="240" w:lineRule="auto"/>
        <w:contextualSpacing/>
        <w:jc w:val="both"/>
        <w:rPr>
          <w:rFonts w:ascii="Calibri" w:eastAsia="Times New Roman" w:hAnsi="Calibri" w:cs="Calibri"/>
          <w:szCs w:val="24"/>
          <w:lang w:val="fr-CA"/>
        </w:rPr>
      </w:pPr>
      <w:r w:rsidRPr="007B16C4">
        <w:rPr>
          <w:rFonts w:ascii="Calibri" w:eastAsia="Times New Roman" w:hAnsi="Calibri" w:cs="Calibri"/>
          <w:szCs w:val="24"/>
          <w:lang w:val="fr-CA"/>
        </w:rPr>
        <w:lastRenderedPageBreak/>
        <w:t xml:space="preserve">L’Encadré 5 présente le cadre institutionnel de la gestion environnementale au niveau central. </w:t>
      </w:r>
      <w:r w:rsidRPr="007B16C4">
        <w:rPr>
          <w:rFonts w:ascii="Calibri" w:eastAsia="Times New Roman" w:hAnsi="Calibri" w:cs="Calibri"/>
          <w:szCs w:val="24"/>
          <w:u w:val="single"/>
          <w:lang w:val="fr-CA"/>
        </w:rPr>
        <w:t xml:space="preserve">Au niveau national, </w:t>
      </w:r>
      <w:r w:rsidRPr="007B16C4">
        <w:rPr>
          <w:rFonts w:ascii="Calibri" w:eastAsia="Times New Roman" w:hAnsi="Calibri" w:cs="Calibri"/>
          <w:szCs w:val="24"/>
          <w:lang w:val="fr-CA"/>
        </w:rPr>
        <w:t xml:space="preserve">la coordination est assurée par le </w:t>
      </w:r>
      <w:r w:rsidRPr="007B16C4">
        <w:rPr>
          <w:rFonts w:ascii="Calibri" w:eastAsia="Times New Roman" w:hAnsi="Calibri" w:cs="Calibri"/>
          <w:szCs w:val="24"/>
          <w:u w:val="single"/>
          <w:lang w:val="fr-CA"/>
        </w:rPr>
        <w:t>Département de l’Environnement à travers le Conseil National de l’Environnement (CNE)</w:t>
      </w:r>
      <w:r w:rsidRPr="007B16C4">
        <w:rPr>
          <w:rFonts w:ascii="Calibri" w:eastAsia="Times New Roman" w:hAnsi="Calibri" w:cs="Calibri"/>
          <w:szCs w:val="24"/>
          <w:lang w:val="fr-CA"/>
        </w:rPr>
        <w:t xml:space="preserve"> qui comprend cinq commissions dont une Commission de la Protection de la Nature, des Ressources Naturelles et des Catastrophes Naturelles. D’autres organismes de coordination et de collaboration multisectorielle existent (comme le Conseil Supérieur de l’Aménagement du Territoire, le Conseil Interministériel Permanent du Développement Rural, le Conseil National des Forêts, et le Conseil Supérieur de l’Eau et du Climat).</w:t>
      </w:r>
      <w:bookmarkStart w:id="99" w:name="_Toc489082373"/>
    </w:p>
    <w:p w14:paraId="766AA91B" w14:textId="77777777" w:rsidR="007B16C4" w:rsidRPr="007B16C4" w:rsidRDefault="007B16C4" w:rsidP="007B16C4">
      <w:pPr>
        <w:autoSpaceDE w:val="0"/>
        <w:autoSpaceDN w:val="0"/>
        <w:adjustRightInd w:val="0"/>
        <w:spacing w:after="0" w:line="240" w:lineRule="auto"/>
        <w:contextualSpacing/>
        <w:jc w:val="both"/>
        <w:rPr>
          <w:rFonts w:ascii="Calibri" w:eastAsia="Times New Roman" w:hAnsi="Calibri" w:cs="Calibri"/>
          <w:lang w:val="fr-CA"/>
        </w:rPr>
      </w:pPr>
    </w:p>
    <w:p w14:paraId="74E673C8" w14:textId="00DE2277" w:rsidR="007B16C4" w:rsidRPr="007B16C4" w:rsidRDefault="007B16C4" w:rsidP="007B16C4">
      <w:pPr>
        <w:spacing w:before="120" w:after="60" w:line="240" w:lineRule="auto"/>
        <w:jc w:val="center"/>
        <w:rPr>
          <w:rFonts w:ascii="Calibri" w:eastAsia="ヒラギノ角ゴ Pro W3" w:hAnsi="Calibri" w:cs="Calibri"/>
          <w:b/>
          <w:color w:val="000000"/>
          <w:sz w:val="20"/>
          <w:szCs w:val="20"/>
        </w:rPr>
      </w:pPr>
      <w:bookmarkStart w:id="100" w:name="_Toc65447183"/>
      <w:r w:rsidRPr="007B16C4">
        <w:rPr>
          <w:rFonts w:ascii="Calibri" w:eastAsia="ヒラギノ角ゴ Pro W3" w:hAnsi="Calibri" w:cs="Calibri"/>
          <w:b/>
          <w:color w:val="000000"/>
          <w:sz w:val="20"/>
          <w:szCs w:val="20"/>
        </w:rPr>
        <w:t xml:space="preserve">Encadré </w:t>
      </w:r>
      <w:r w:rsidRPr="007B16C4">
        <w:rPr>
          <w:rFonts w:ascii="Calibri" w:eastAsia="ヒラギノ角ゴ Pro W3" w:hAnsi="Calibri" w:cs="Calibri"/>
          <w:b/>
          <w:color w:val="000000"/>
          <w:sz w:val="20"/>
          <w:szCs w:val="20"/>
        </w:rPr>
        <w:fldChar w:fldCharType="begin"/>
      </w:r>
      <w:r w:rsidRPr="007B16C4">
        <w:rPr>
          <w:rFonts w:ascii="Calibri" w:eastAsia="ヒラギノ角ゴ Pro W3" w:hAnsi="Calibri" w:cs="Calibri"/>
          <w:b/>
          <w:color w:val="000000"/>
          <w:sz w:val="20"/>
          <w:szCs w:val="20"/>
        </w:rPr>
        <w:instrText xml:space="preserve"> SEQ Figure \* ARABIC </w:instrText>
      </w:r>
      <w:r w:rsidRPr="007B16C4">
        <w:rPr>
          <w:rFonts w:ascii="Calibri" w:eastAsia="ヒラギノ角ゴ Pro W3" w:hAnsi="Calibri" w:cs="Calibri"/>
          <w:b/>
          <w:color w:val="000000"/>
          <w:sz w:val="20"/>
          <w:szCs w:val="20"/>
        </w:rPr>
        <w:fldChar w:fldCharType="separate"/>
      </w:r>
      <w:r w:rsidR="00212333">
        <w:rPr>
          <w:rFonts w:ascii="Calibri" w:eastAsia="ヒラギノ角ゴ Pro W3" w:hAnsi="Calibri" w:cs="Calibri"/>
          <w:b/>
          <w:noProof/>
          <w:color w:val="000000"/>
          <w:sz w:val="20"/>
          <w:szCs w:val="20"/>
        </w:rPr>
        <w:t>3</w:t>
      </w:r>
      <w:r w:rsidRPr="007B16C4">
        <w:rPr>
          <w:rFonts w:ascii="Calibri" w:eastAsia="ヒラギノ角ゴ Pro W3" w:hAnsi="Calibri" w:cs="Calibri"/>
          <w:b/>
          <w:color w:val="000000"/>
          <w:sz w:val="20"/>
          <w:szCs w:val="20"/>
        </w:rPr>
        <w:fldChar w:fldCharType="end"/>
      </w:r>
      <w:r w:rsidRPr="007B16C4">
        <w:rPr>
          <w:rFonts w:ascii="Calibri" w:eastAsia="ヒラギノ角ゴ Pro W3" w:hAnsi="Calibri" w:cs="Calibri"/>
          <w:b/>
          <w:color w:val="000000"/>
          <w:sz w:val="20"/>
          <w:szCs w:val="20"/>
        </w:rPr>
        <w:t> : Le Conseil National de l’Environnement (CNE)</w:t>
      </w:r>
      <w:bookmarkEnd w:id="99"/>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4"/>
      </w:tblGrid>
      <w:tr w:rsidR="007B16C4" w:rsidRPr="00802971" w14:paraId="6E13FEFF" w14:textId="77777777" w:rsidTr="00073577">
        <w:tc>
          <w:tcPr>
            <w:tcW w:w="9014" w:type="dxa"/>
            <w:shd w:val="clear" w:color="auto" w:fill="D9D9D9"/>
          </w:tcPr>
          <w:p w14:paraId="47F4ACFA" w14:textId="77777777" w:rsidR="007B16C4" w:rsidRPr="00D85E9B" w:rsidRDefault="007B16C4" w:rsidP="007B16C4">
            <w:pPr>
              <w:autoSpaceDE w:val="0"/>
              <w:autoSpaceDN w:val="0"/>
              <w:spacing w:after="0" w:line="300" w:lineRule="auto"/>
              <w:contextualSpacing/>
              <w:jc w:val="both"/>
              <w:rPr>
                <w:rFonts w:ascii="Candara" w:eastAsia="Calibri" w:hAnsi="Candara" w:cs="Times New Roman"/>
                <w:sz w:val="18"/>
                <w:szCs w:val="18"/>
              </w:rPr>
            </w:pPr>
          </w:p>
          <w:p w14:paraId="109CCD43" w14:textId="77777777" w:rsidR="007B16C4" w:rsidRPr="00D85E9B" w:rsidRDefault="007B16C4" w:rsidP="007B16C4">
            <w:pPr>
              <w:autoSpaceDE w:val="0"/>
              <w:autoSpaceDN w:val="0"/>
              <w:spacing w:after="0" w:line="300" w:lineRule="auto"/>
              <w:ind w:left="72" w:right="139"/>
              <w:jc w:val="both"/>
              <w:rPr>
                <w:rFonts w:ascii="Candara" w:eastAsia="Calibri" w:hAnsi="Candara" w:cs="Times New Roman"/>
                <w:color w:val="000000"/>
                <w:sz w:val="18"/>
                <w:szCs w:val="18"/>
              </w:rPr>
            </w:pPr>
            <w:r w:rsidRPr="00D85E9B">
              <w:rPr>
                <w:rFonts w:ascii="Candara" w:eastAsia="Calibri" w:hAnsi="Candara" w:cs="Times New Roman"/>
                <w:color w:val="000000"/>
                <w:sz w:val="18"/>
                <w:szCs w:val="18"/>
              </w:rPr>
              <w:t xml:space="preserve">Le Conseil National de l’Environnement est une instance de concertation, de coordination et de proposition. Il veille à l’intégration des préoccupations environnementales dans le processus de développement économique et social en vue de réaliser les objectifs du développement durable et examine les études et les textes législatifs et réglementaires. Il y a aussi un conseil de l’environnement au niveau de chaque Wilaya ou à défaut de chaque province (Créé par le Décret n°2-93-1011 du 18 </w:t>
            </w:r>
            <w:proofErr w:type="spellStart"/>
            <w:r w:rsidRPr="00D85E9B">
              <w:rPr>
                <w:rFonts w:ascii="Candara" w:eastAsia="Calibri" w:hAnsi="Candara" w:cs="Times New Roman"/>
                <w:color w:val="000000"/>
                <w:sz w:val="18"/>
                <w:szCs w:val="18"/>
              </w:rPr>
              <w:t>Chaâbane</w:t>
            </w:r>
            <w:proofErr w:type="spellEnd"/>
            <w:r w:rsidRPr="00D85E9B">
              <w:rPr>
                <w:rFonts w:ascii="Candara" w:eastAsia="Calibri" w:hAnsi="Candara" w:cs="Times New Roman"/>
                <w:color w:val="000000"/>
                <w:sz w:val="18"/>
                <w:szCs w:val="18"/>
              </w:rPr>
              <w:t xml:space="preserve"> 1415 / 20 Janvier 1995) relatif à la réorganisation des organismes chargés de la protection et de l’amélioration de l’environnement). Les différents départements ministériels soumettent au CNE pour avis, toutes les études et projets de textes législatifs et réglementaires touchant l’environnement, ainsi que les projets et programmes de développement de grande envergure et susceptibles d’avoir des répercussions sur l’environnement. Le CNE dispose d’un délai de trois mois pour donner les avis précédemment prévus. Les responsabilités du CNE sont les suivantes :</w:t>
            </w:r>
          </w:p>
          <w:p w14:paraId="6A7B4008" w14:textId="77777777" w:rsidR="007B16C4" w:rsidRPr="00D85E9B" w:rsidRDefault="007B16C4" w:rsidP="00B33704">
            <w:pPr>
              <w:widowControl w:val="0"/>
              <w:numPr>
                <w:ilvl w:val="0"/>
                <w:numId w:val="7"/>
              </w:numPr>
              <w:shd w:val="clear" w:color="auto" w:fill="D9D9D9"/>
              <w:adjustRightInd w:val="0"/>
              <w:spacing w:before="120" w:after="0" w:line="300" w:lineRule="auto"/>
              <w:ind w:right="567"/>
              <w:contextualSpacing/>
              <w:jc w:val="both"/>
              <w:textAlignment w:val="baseline"/>
              <w:rPr>
                <w:rFonts w:ascii="Candara" w:eastAsia="Calibri" w:hAnsi="Candara" w:cs="Times New Roman"/>
                <w:color w:val="000000"/>
                <w:sz w:val="18"/>
                <w:szCs w:val="18"/>
              </w:rPr>
            </w:pPr>
            <w:r w:rsidRPr="00D85E9B">
              <w:rPr>
                <w:rFonts w:ascii="Candara" w:eastAsia="Calibri" w:hAnsi="Candara" w:cs="Times New Roman"/>
                <w:color w:val="000000"/>
                <w:sz w:val="18"/>
                <w:szCs w:val="18"/>
              </w:rPr>
              <w:t>Provoquer les études à réaliser par les différents ministères et organismes ;</w:t>
            </w:r>
          </w:p>
          <w:p w14:paraId="155451B2" w14:textId="77777777" w:rsidR="007B16C4" w:rsidRPr="00D85E9B" w:rsidRDefault="007B16C4" w:rsidP="00B33704">
            <w:pPr>
              <w:widowControl w:val="0"/>
              <w:numPr>
                <w:ilvl w:val="0"/>
                <w:numId w:val="7"/>
              </w:numPr>
              <w:shd w:val="clear" w:color="auto" w:fill="D9D9D9"/>
              <w:adjustRightInd w:val="0"/>
              <w:spacing w:before="120" w:after="0" w:line="300" w:lineRule="auto"/>
              <w:ind w:right="567"/>
              <w:contextualSpacing/>
              <w:jc w:val="both"/>
              <w:textAlignment w:val="baseline"/>
              <w:rPr>
                <w:rFonts w:ascii="Candara" w:eastAsia="Calibri" w:hAnsi="Candara" w:cs="Times New Roman"/>
                <w:color w:val="000000"/>
                <w:sz w:val="18"/>
                <w:szCs w:val="18"/>
              </w:rPr>
            </w:pPr>
            <w:r w:rsidRPr="00D85E9B">
              <w:rPr>
                <w:rFonts w:ascii="Candara" w:eastAsia="Calibri" w:hAnsi="Candara" w:cs="Times New Roman"/>
                <w:color w:val="000000"/>
                <w:sz w:val="18"/>
                <w:szCs w:val="18"/>
              </w:rPr>
              <w:t>Étudier et proposer au gouvernement tous les moyens susceptibles de contribuer à la protection et à l’amélioration de l’environnement ;</w:t>
            </w:r>
          </w:p>
          <w:p w14:paraId="5ECEC486" w14:textId="77777777" w:rsidR="007B16C4" w:rsidRPr="00D85E9B" w:rsidRDefault="007B16C4" w:rsidP="00B33704">
            <w:pPr>
              <w:widowControl w:val="0"/>
              <w:numPr>
                <w:ilvl w:val="0"/>
                <w:numId w:val="7"/>
              </w:numPr>
              <w:shd w:val="clear" w:color="auto" w:fill="D9D9D9"/>
              <w:adjustRightInd w:val="0"/>
              <w:spacing w:before="120" w:after="0" w:line="300" w:lineRule="auto"/>
              <w:ind w:right="567"/>
              <w:contextualSpacing/>
              <w:jc w:val="both"/>
              <w:textAlignment w:val="baseline"/>
              <w:rPr>
                <w:rFonts w:ascii="Candara" w:eastAsia="Calibri" w:hAnsi="Candara" w:cs="Times New Roman"/>
                <w:color w:val="000000"/>
                <w:sz w:val="18"/>
                <w:szCs w:val="18"/>
              </w:rPr>
            </w:pPr>
            <w:r w:rsidRPr="00D85E9B">
              <w:rPr>
                <w:rFonts w:ascii="Candara" w:eastAsia="Calibri" w:hAnsi="Candara" w:cs="Times New Roman"/>
                <w:color w:val="000000"/>
                <w:sz w:val="18"/>
                <w:szCs w:val="18"/>
              </w:rPr>
              <w:t>Proposer l’élaboration des textes législatifs et réglementaires adéquats ;</w:t>
            </w:r>
          </w:p>
          <w:p w14:paraId="3D561E9F" w14:textId="77777777" w:rsidR="007B16C4" w:rsidRPr="00D85E9B" w:rsidRDefault="007B16C4" w:rsidP="00B33704">
            <w:pPr>
              <w:widowControl w:val="0"/>
              <w:numPr>
                <w:ilvl w:val="0"/>
                <w:numId w:val="7"/>
              </w:numPr>
              <w:shd w:val="clear" w:color="auto" w:fill="D9D9D9"/>
              <w:adjustRightInd w:val="0"/>
              <w:spacing w:before="120" w:after="0" w:line="300" w:lineRule="auto"/>
              <w:ind w:right="567"/>
              <w:contextualSpacing/>
              <w:jc w:val="both"/>
              <w:textAlignment w:val="baseline"/>
              <w:rPr>
                <w:rFonts w:ascii="Candara" w:eastAsia="Calibri" w:hAnsi="Candara" w:cs="Times New Roman"/>
                <w:color w:val="000000"/>
                <w:sz w:val="18"/>
                <w:szCs w:val="18"/>
              </w:rPr>
            </w:pPr>
            <w:r w:rsidRPr="00D85E9B">
              <w:rPr>
                <w:rFonts w:ascii="Candara" w:eastAsia="Calibri" w:hAnsi="Candara" w:cs="Times New Roman"/>
                <w:color w:val="000000"/>
                <w:sz w:val="18"/>
                <w:szCs w:val="18"/>
              </w:rPr>
              <w:t>Assurer le suivi et la coordination de la recherche en matière d’environnement et contribuer à son développement ;</w:t>
            </w:r>
          </w:p>
          <w:p w14:paraId="2BE1A0B7" w14:textId="77777777" w:rsidR="007B16C4" w:rsidRPr="00D85E9B" w:rsidRDefault="007B16C4" w:rsidP="00B33704">
            <w:pPr>
              <w:widowControl w:val="0"/>
              <w:numPr>
                <w:ilvl w:val="0"/>
                <w:numId w:val="7"/>
              </w:numPr>
              <w:shd w:val="clear" w:color="auto" w:fill="D9D9D9"/>
              <w:adjustRightInd w:val="0"/>
              <w:spacing w:before="120" w:after="0" w:line="300" w:lineRule="auto"/>
              <w:ind w:right="567"/>
              <w:contextualSpacing/>
              <w:jc w:val="both"/>
              <w:textAlignment w:val="baseline"/>
              <w:rPr>
                <w:rFonts w:ascii="Candara" w:eastAsia="Calibri" w:hAnsi="Candara" w:cs="Times New Roman"/>
                <w:color w:val="000000"/>
                <w:sz w:val="18"/>
                <w:szCs w:val="18"/>
              </w:rPr>
            </w:pPr>
            <w:r w:rsidRPr="00D85E9B">
              <w:rPr>
                <w:rFonts w:ascii="Candara" w:eastAsia="Calibri" w:hAnsi="Candara" w:cs="Times New Roman"/>
                <w:color w:val="000000"/>
                <w:sz w:val="18"/>
                <w:szCs w:val="18"/>
              </w:rPr>
              <w:t>Assurer la diffusion de toute information relative à l’environnement ;</w:t>
            </w:r>
          </w:p>
          <w:p w14:paraId="09DF55FD" w14:textId="77777777" w:rsidR="007B16C4" w:rsidRPr="00D85E9B" w:rsidRDefault="007B16C4" w:rsidP="00B33704">
            <w:pPr>
              <w:widowControl w:val="0"/>
              <w:numPr>
                <w:ilvl w:val="0"/>
                <w:numId w:val="7"/>
              </w:numPr>
              <w:shd w:val="clear" w:color="auto" w:fill="D9D9D9"/>
              <w:adjustRightInd w:val="0"/>
              <w:spacing w:before="120" w:after="0" w:line="300" w:lineRule="auto"/>
              <w:ind w:right="567"/>
              <w:contextualSpacing/>
              <w:jc w:val="both"/>
              <w:textAlignment w:val="baseline"/>
              <w:rPr>
                <w:rFonts w:ascii="Candara" w:eastAsia="Calibri" w:hAnsi="Candara" w:cs="Times New Roman"/>
                <w:color w:val="000000"/>
                <w:sz w:val="18"/>
                <w:szCs w:val="18"/>
              </w:rPr>
            </w:pPr>
            <w:r w:rsidRPr="00D85E9B">
              <w:rPr>
                <w:rFonts w:ascii="Candara" w:eastAsia="Calibri" w:hAnsi="Candara" w:cs="Times New Roman"/>
                <w:color w:val="000000"/>
                <w:sz w:val="18"/>
                <w:szCs w:val="18"/>
              </w:rPr>
              <w:t>Veiller à l’information et à la sensibilisation de la population et promouvoir la participation de celle-ci, notamment par la création d’associations ;</w:t>
            </w:r>
          </w:p>
          <w:p w14:paraId="57F285A7" w14:textId="77777777" w:rsidR="007B16C4" w:rsidRPr="00D85E9B" w:rsidRDefault="007B16C4" w:rsidP="00B33704">
            <w:pPr>
              <w:widowControl w:val="0"/>
              <w:numPr>
                <w:ilvl w:val="0"/>
                <w:numId w:val="7"/>
              </w:numPr>
              <w:shd w:val="clear" w:color="auto" w:fill="D9D9D9"/>
              <w:adjustRightInd w:val="0"/>
              <w:spacing w:before="120" w:after="0" w:line="300" w:lineRule="auto"/>
              <w:ind w:right="567"/>
              <w:contextualSpacing/>
              <w:jc w:val="both"/>
              <w:textAlignment w:val="baseline"/>
              <w:rPr>
                <w:rFonts w:ascii="Candara" w:eastAsia="Calibri" w:hAnsi="Candara" w:cs="Times New Roman"/>
                <w:color w:val="000000"/>
                <w:sz w:val="18"/>
                <w:szCs w:val="18"/>
              </w:rPr>
            </w:pPr>
            <w:r w:rsidRPr="00D85E9B">
              <w:rPr>
                <w:rFonts w:ascii="Candara" w:eastAsia="Calibri" w:hAnsi="Candara" w:cs="Times New Roman"/>
                <w:color w:val="000000"/>
                <w:sz w:val="18"/>
                <w:szCs w:val="18"/>
              </w:rPr>
              <w:t>Donner les directives nécessaires à l’orientation de l’activité des conseils créés au niveau des régions, des wilayas et des provinces ;</w:t>
            </w:r>
          </w:p>
          <w:p w14:paraId="0DFE4118" w14:textId="77777777" w:rsidR="007B16C4" w:rsidRPr="00D85E9B" w:rsidRDefault="007B16C4" w:rsidP="00B33704">
            <w:pPr>
              <w:widowControl w:val="0"/>
              <w:numPr>
                <w:ilvl w:val="0"/>
                <w:numId w:val="7"/>
              </w:numPr>
              <w:shd w:val="clear" w:color="auto" w:fill="D9D9D9"/>
              <w:adjustRightInd w:val="0"/>
              <w:spacing w:before="120" w:after="0" w:line="300" w:lineRule="auto"/>
              <w:ind w:right="567"/>
              <w:contextualSpacing/>
              <w:jc w:val="both"/>
              <w:textAlignment w:val="baseline"/>
              <w:rPr>
                <w:rFonts w:ascii="Candara" w:eastAsia="Calibri" w:hAnsi="Candara" w:cs="Times New Roman"/>
                <w:color w:val="000000"/>
                <w:sz w:val="18"/>
                <w:szCs w:val="18"/>
              </w:rPr>
            </w:pPr>
            <w:r w:rsidRPr="00D85E9B">
              <w:rPr>
                <w:rFonts w:ascii="Candara" w:eastAsia="Calibri" w:hAnsi="Candara" w:cs="Times New Roman"/>
                <w:color w:val="000000"/>
                <w:sz w:val="18"/>
                <w:szCs w:val="18"/>
              </w:rPr>
              <w:t>Assurer les études concernant les conventions internationales relatives aux problèmes d’environnement et leurs incidences au niveau national et assurer la diffusion des informations relatives à ces conventions auprès des différents secteurs de l’économie nationale.</w:t>
            </w:r>
          </w:p>
        </w:tc>
      </w:tr>
    </w:tbl>
    <w:p w14:paraId="102A6F35" w14:textId="77777777" w:rsidR="007B16C4" w:rsidRPr="007B16C4" w:rsidRDefault="007B16C4" w:rsidP="007B16C4">
      <w:pPr>
        <w:autoSpaceDE w:val="0"/>
        <w:autoSpaceDN w:val="0"/>
        <w:spacing w:after="0" w:line="240" w:lineRule="auto"/>
        <w:ind w:left="357"/>
        <w:contextualSpacing/>
        <w:jc w:val="both"/>
        <w:rPr>
          <w:rFonts w:ascii="Calibri" w:eastAsia="Calibri" w:hAnsi="Calibri" w:cs="Calibri"/>
        </w:rPr>
      </w:pPr>
    </w:p>
    <w:p w14:paraId="46F8ED64" w14:textId="77777777" w:rsidR="007B16C4" w:rsidRPr="007B16C4" w:rsidRDefault="007B16C4" w:rsidP="00B33704">
      <w:pPr>
        <w:numPr>
          <w:ilvl w:val="0"/>
          <w:numId w:val="11"/>
        </w:numPr>
        <w:autoSpaceDE w:val="0"/>
        <w:autoSpaceDN w:val="0"/>
        <w:adjustRightInd w:val="0"/>
        <w:spacing w:before="120" w:after="0" w:line="240" w:lineRule="auto"/>
        <w:ind w:left="357"/>
        <w:contextualSpacing/>
        <w:jc w:val="both"/>
        <w:rPr>
          <w:rFonts w:ascii="Calibri" w:eastAsia="Times New Roman" w:hAnsi="Calibri" w:cs="Calibri"/>
          <w:lang w:val="fr-CA"/>
        </w:rPr>
      </w:pPr>
      <w:r w:rsidRPr="007B16C4">
        <w:rPr>
          <w:rFonts w:ascii="Calibri" w:eastAsia="Times New Roman" w:hAnsi="Calibri" w:cs="Calibri"/>
          <w:u w:val="single"/>
          <w:lang w:val="fr-CA"/>
        </w:rPr>
        <w:t>Au niveau régional, les conseils régionaux de l’environnement</w:t>
      </w:r>
      <w:r w:rsidRPr="007B16C4">
        <w:rPr>
          <w:rFonts w:ascii="Calibri" w:eastAsia="Times New Roman" w:hAnsi="Calibri" w:cs="Calibri"/>
          <w:lang w:val="fr-CA"/>
        </w:rPr>
        <w:t xml:space="preserve"> ont pour mission, de promouvoir toute action susceptible de contribuer à la protection et à l’amélioration de l’environnement au niveau régional. Ils comprennent cinq commissions qui sont identiques à celles du Conseil National de l’Environnement.</w:t>
      </w:r>
    </w:p>
    <w:p w14:paraId="56B7E474" w14:textId="77777777" w:rsidR="007B16C4" w:rsidRPr="007B16C4" w:rsidRDefault="007B16C4" w:rsidP="007B16C4">
      <w:pPr>
        <w:autoSpaceDE w:val="0"/>
        <w:autoSpaceDN w:val="0"/>
        <w:adjustRightInd w:val="0"/>
        <w:spacing w:after="0" w:line="240" w:lineRule="auto"/>
        <w:ind w:left="-3"/>
        <w:jc w:val="both"/>
        <w:rPr>
          <w:rFonts w:ascii="Calibri" w:eastAsia="Calibri" w:hAnsi="Calibri" w:cs="Calibri"/>
          <w:lang w:val="fr-CA"/>
        </w:rPr>
      </w:pPr>
    </w:p>
    <w:p w14:paraId="67C408C9" w14:textId="77777777" w:rsidR="007B16C4" w:rsidRPr="007B16C4" w:rsidRDefault="007B16C4" w:rsidP="007B16C4">
      <w:pPr>
        <w:spacing w:after="0" w:line="240" w:lineRule="auto"/>
        <w:jc w:val="both"/>
        <w:rPr>
          <w:rFonts w:ascii="Calibri" w:eastAsia="Calibri" w:hAnsi="Calibri" w:cs="Calibri"/>
          <w:iCs/>
          <w:color w:val="984806"/>
          <w:szCs w:val="24"/>
          <w:u w:val="single"/>
        </w:rPr>
      </w:pPr>
      <w:r w:rsidRPr="007B16C4">
        <w:rPr>
          <w:rFonts w:ascii="Calibri" w:eastAsia="Calibri" w:hAnsi="Calibri" w:cs="Calibri"/>
          <w:iCs/>
          <w:color w:val="984806"/>
          <w:szCs w:val="24"/>
          <w:u w:val="single"/>
        </w:rPr>
        <w:t>Observatoire national de l’Environnement (ONEM)</w:t>
      </w:r>
    </w:p>
    <w:p w14:paraId="6691EE45" w14:textId="77777777" w:rsidR="007B16C4" w:rsidRPr="007B16C4" w:rsidRDefault="007B16C4" w:rsidP="007B16C4">
      <w:pPr>
        <w:spacing w:after="0" w:line="240" w:lineRule="auto"/>
        <w:ind w:left="720"/>
        <w:contextualSpacing/>
        <w:jc w:val="both"/>
        <w:rPr>
          <w:rFonts w:ascii="Calibri" w:eastAsia="Times New Roman" w:hAnsi="Calibri" w:cs="Calibri"/>
          <w:szCs w:val="24"/>
          <w:lang w:val="fr-CA"/>
        </w:rPr>
      </w:pPr>
    </w:p>
    <w:p w14:paraId="076EB273" w14:textId="77777777" w:rsidR="007B16C4" w:rsidRPr="007B16C4" w:rsidRDefault="007B16C4" w:rsidP="00B33704">
      <w:pPr>
        <w:numPr>
          <w:ilvl w:val="0"/>
          <w:numId w:val="11"/>
        </w:numPr>
        <w:autoSpaceDE w:val="0"/>
        <w:autoSpaceDN w:val="0"/>
        <w:adjustRightInd w:val="0"/>
        <w:spacing w:before="120" w:after="0" w:line="240" w:lineRule="auto"/>
        <w:contextualSpacing/>
        <w:jc w:val="both"/>
        <w:rPr>
          <w:rFonts w:ascii="Calibri" w:eastAsia="Times New Roman" w:hAnsi="Calibri" w:cs="Calibri"/>
          <w:szCs w:val="24"/>
          <w:lang w:val="fr-CA"/>
        </w:rPr>
      </w:pPr>
      <w:r w:rsidRPr="007B16C4">
        <w:rPr>
          <w:rFonts w:ascii="Calibri" w:eastAsia="Times New Roman" w:hAnsi="Calibri" w:cs="Calibri"/>
          <w:szCs w:val="24"/>
          <w:lang w:val="fr-CA"/>
        </w:rPr>
        <w:t xml:space="preserve"> </w:t>
      </w:r>
      <w:r w:rsidRPr="007B16C4">
        <w:rPr>
          <w:rFonts w:ascii="Calibri" w:eastAsia="Times New Roman" w:hAnsi="Calibri" w:cs="Calibri"/>
          <w:szCs w:val="24"/>
          <w:u w:val="single"/>
          <w:lang w:val="fr-CA"/>
        </w:rPr>
        <w:t>Comme son nom l’indique, cet organisme observe et suit l’État de l’environnement au Maroc. Il est chargé de :</w:t>
      </w:r>
    </w:p>
    <w:p w14:paraId="3CC0900A" w14:textId="77777777" w:rsidR="007B16C4" w:rsidRPr="007B16C4" w:rsidRDefault="007B16C4" w:rsidP="00B33704">
      <w:pPr>
        <w:widowControl w:val="0"/>
        <w:numPr>
          <w:ilvl w:val="0"/>
          <w:numId w:val="18"/>
        </w:numPr>
        <w:adjustRightInd w:val="0"/>
        <w:spacing w:before="120" w:after="0" w:line="240" w:lineRule="auto"/>
        <w:jc w:val="both"/>
        <w:textAlignment w:val="baseline"/>
        <w:rPr>
          <w:rFonts w:ascii="Calibri" w:eastAsia="ヒラギノ角ゴ Pro W3" w:hAnsi="Calibri" w:cs="Calibri"/>
          <w:szCs w:val="20"/>
        </w:rPr>
      </w:pPr>
      <w:r w:rsidRPr="007B16C4">
        <w:rPr>
          <w:rFonts w:ascii="Calibri" w:eastAsia="ヒラギノ角ゴ Pro W3" w:hAnsi="Calibri" w:cs="Calibri"/>
          <w:szCs w:val="20"/>
        </w:rPr>
        <w:t>Collecter auprès des institutions nationales et organismes spécialisés, les données et les indicateurs liées à l’environnement et au développement durable ;</w:t>
      </w:r>
    </w:p>
    <w:p w14:paraId="42629431" w14:textId="77777777" w:rsidR="007B16C4" w:rsidRPr="007B16C4" w:rsidRDefault="007B16C4" w:rsidP="00B33704">
      <w:pPr>
        <w:widowControl w:val="0"/>
        <w:numPr>
          <w:ilvl w:val="0"/>
          <w:numId w:val="18"/>
        </w:numPr>
        <w:adjustRightInd w:val="0"/>
        <w:spacing w:before="120" w:after="0" w:line="240" w:lineRule="auto"/>
        <w:jc w:val="both"/>
        <w:textAlignment w:val="baseline"/>
        <w:rPr>
          <w:rFonts w:ascii="Calibri" w:eastAsia="ヒラギノ角ゴ Pro W3" w:hAnsi="Calibri" w:cs="Calibri"/>
          <w:szCs w:val="20"/>
        </w:rPr>
      </w:pPr>
      <w:r w:rsidRPr="007B16C4">
        <w:rPr>
          <w:rFonts w:ascii="Calibri" w:eastAsia="ヒラギノ角ゴ Pro W3" w:hAnsi="Calibri" w:cs="Calibri"/>
          <w:szCs w:val="20"/>
        </w:rPr>
        <w:t>Traiter les données et informations environnementales en vue d’élaboration les outils d’aide à la décision ;</w:t>
      </w:r>
    </w:p>
    <w:p w14:paraId="5ADBFD5B" w14:textId="77777777" w:rsidR="007B16C4" w:rsidRPr="007B16C4" w:rsidRDefault="007B16C4" w:rsidP="00B33704">
      <w:pPr>
        <w:widowControl w:val="0"/>
        <w:numPr>
          <w:ilvl w:val="0"/>
          <w:numId w:val="18"/>
        </w:numPr>
        <w:adjustRightInd w:val="0"/>
        <w:spacing w:before="120" w:after="0" w:line="240" w:lineRule="auto"/>
        <w:jc w:val="both"/>
        <w:textAlignment w:val="baseline"/>
        <w:rPr>
          <w:rFonts w:ascii="Calibri" w:eastAsia="ヒラギノ角ゴ Pro W3" w:hAnsi="Calibri" w:cs="Calibri"/>
          <w:szCs w:val="20"/>
        </w:rPr>
      </w:pPr>
      <w:r w:rsidRPr="007B16C4">
        <w:rPr>
          <w:rFonts w:ascii="Calibri" w:eastAsia="ヒラギノ角ゴ Pro W3" w:hAnsi="Calibri" w:cs="Calibri"/>
          <w:szCs w:val="20"/>
        </w:rPr>
        <w:t xml:space="preserve">Initier et réaliser les études et enquêtes spécifiques à l'environnement en relation avec le </w:t>
      </w:r>
      <w:r w:rsidRPr="007B16C4">
        <w:rPr>
          <w:rFonts w:ascii="Calibri" w:eastAsia="ヒラギノ角ゴ Pro W3" w:hAnsi="Calibri" w:cs="Calibri"/>
          <w:szCs w:val="20"/>
        </w:rPr>
        <w:lastRenderedPageBreak/>
        <w:t>développement durable ;</w:t>
      </w:r>
    </w:p>
    <w:p w14:paraId="449378EE" w14:textId="77777777" w:rsidR="007B16C4" w:rsidRPr="007B16C4" w:rsidRDefault="007B16C4" w:rsidP="00B33704">
      <w:pPr>
        <w:widowControl w:val="0"/>
        <w:numPr>
          <w:ilvl w:val="0"/>
          <w:numId w:val="18"/>
        </w:numPr>
        <w:adjustRightInd w:val="0"/>
        <w:spacing w:before="120" w:after="0" w:line="240" w:lineRule="auto"/>
        <w:jc w:val="both"/>
        <w:textAlignment w:val="baseline"/>
        <w:rPr>
          <w:rFonts w:ascii="Calibri" w:eastAsia="ヒラギノ角ゴ Pro W3" w:hAnsi="Calibri" w:cs="Calibri"/>
          <w:szCs w:val="20"/>
        </w:rPr>
      </w:pPr>
      <w:r w:rsidRPr="007B16C4">
        <w:rPr>
          <w:rFonts w:ascii="Calibri" w:eastAsia="ヒラギノ角ゴ Pro W3" w:hAnsi="Calibri" w:cs="Calibri"/>
          <w:szCs w:val="20"/>
        </w:rPr>
        <w:t>Publier et diffuser de l’information environnementale ;</w:t>
      </w:r>
    </w:p>
    <w:p w14:paraId="68931960" w14:textId="77777777" w:rsidR="007B16C4" w:rsidRPr="007B16C4" w:rsidRDefault="007B16C4" w:rsidP="00B33704">
      <w:pPr>
        <w:widowControl w:val="0"/>
        <w:numPr>
          <w:ilvl w:val="0"/>
          <w:numId w:val="18"/>
        </w:numPr>
        <w:adjustRightInd w:val="0"/>
        <w:spacing w:before="120" w:after="0" w:line="240" w:lineRule="auto"/>
        <w:jc w:val="both"/>
        <w:textAlignment w:val="baseline"/>
        <w:rPr>
          <w:rFonts w:ascii="Calibri" w:eastAsia="ヒラギノ角ゴ Pro W3" w:hAnsi="Calibri" w:cs="Calibri"/>
          <w:szCs w:val="20"/>
        </w:rPr>
      </w:pPr>
      <w:r w:rsidRPr="007B16C4">
        <w:rPr>
          <w:rFonts w:ascii="Calibri" w:eastAsia="ヒラギノ角ゴ Pro W3" w:hAnsi="Calibri" w:cs="Calibri"/>
          <w:szCs w:val="20"/>
        </w:rPr>
        <w:t>Promouvoir les programmes d’échanges de données et de partenariat (national, régional et international) ;</w:t>
      </w:r>
    </w:p>
    <w:p w14:paraId="6E416CB0" w14:textId="77777777" w:rsidR="007B16C4" w:rsidRPr="007B16C4" w:rsidRDefault="007B16C4" w:rsidP="00B33704">
      <w:pPr>
        <w:widowControl w:val="0"/>
        <w:numPr>
          <w:ilvl w:val="0"/>
          <w:numId w:val="18"/>
        </w:numPr>
        <w:adjustRightInd w:val="0"/>
        <w:spacing w:before="120" w:after="0" w:line="240" w:lineRule="auto"/>
        <w:jc w:val="both"/>
        <w:textAlignment w:val="baseline"/>
        <w:rPr>
          <w:rFonts w:ascii="Calibri" w:eastAsia="ヒラギノ角ゴ Pro W3" w:hAnsi="Calibri" w:cs="Calibri"/>
          <w:szCs w:val="20"/>
        </w:rPr>
      </w:pPr>
      <w:r w:rsidRPr="007B16C4">
        <w:rPr>
          <w:rFonts w:ascii="Calibri" w:eastAsia="ヒラギノ角ゴ Pro W3" w:hAnsi="Calibri" w:cs="Calibri"/>
          <w:szCs w:val="20"/>
        </w:rPr>
        <w:t>Contribuer à l'élaboration de la stratégie nationale du développement durable.</w:t>
      </w:r>
    </w:p>
    <w:p w14:paraId="5EF37C98" w14:textId="77777777" w:rsidR="007B16C4" w:rsidRPr="007B16C4" w:rsidRDefault="007B16C4" w:rsidP="007B16C4">
      <w:pPr>
        <w:shd w:val="clear" w:color="auto" w:fill="FFFFFF"/>
        <w:spacing w:before="120" w:after="0" w:line="240" w:lineRule="auto"/>
        <w:ind w:right="120"/>
        <w:jc w:val="both"/>
        <w:rPr>
          <w:rFonts w:ascii="Calibri" w:eastAsia="Calibri" w:hAnsi="Calibri" w:cs="Calibri"/>
          <w:i/>
          <w:color w:val="000000"/>
        </w:rPr>
      </w:pPr>
    </w:p>
    <w:p w14:paraId="3DFFB959" w14:textId="77777777" w:rsidR="007B16C4" w:rsidRPr="007B16C4" w:rsidRDefault="007B16C4" w:rsidP="007B16C4">
      <w:pPr>
        <w:spacing w:after="0" w:line="240" w:lineRule="auto"/>
        <w:jc w:val="both"/>
        <w:rPr>
          <w:rFonts w:ascii="Calibri" w:eastAsia="Calibri" w:hAnsi="Calibri" w:cs="Calibri"/>
          <w:iCs/>
          <w:color w:val="984806"/>
          <w:szCs w:val="24"/>
          <w:u w:val="single"/>
        </w:rPr>
      </w:pPr>
      <w:r w:rsidRPr="007B16C4">
        <w:rPr>
          <w:rFonts w:ascii="Calibri" w:eastAsia="Calibri" w:hAnsi="Calibri" w:cs="Calibri"/>
          <w:iCs/>
          <w:color w:val="984806"/>
          <w:szCs w:val="24"/>
          <w:u w:val="single"/>
        </w:rPr>
        <w:t>Observatoires régionaux de l’Environnement et du Développement durable (OREDD)</w:t>
      </w:r>
    </w:p>
    <w:p w14:paraId="167654EA" w14:textId="77777777" w:rsidR="007B16C4" w:rsidRPr="007B16C4" w:rsidRDefault="007B16C4" w:rsidP="007B16C4">
      <w:pPr>
        <w:spacing w:after="0" w:line="240" w:lineRule="auto"/>
        <w:jc w:val="both"/>
        <w:rPr>
          <w:rFonts w:ascii="Calibri" w:eastAsia="Calibri" w:hAnsi="Calibri" w:cs="Calibri"/>
          <w:iCs/>
          <w:color w:val="984806"/>
          <w:szCs w:val="24"/>
          <w:u w:val="single"/>
        </w:rPr>
      </w:pPr>
    </w:p>
    <w:p w14:paraId="54A456B8" w14:textId="77777777" w:rsidR="007B16C4" w:rsidRPr="007B16C4" w:rsidRDefault="007B16C4" w:rsidP="00B33704">
      <w:pPr>
        <w:numPr>
          <w:ilvl w:val="0"/>
          <w:numId w:val="11"/>
        </w:numPr>
        <w:autoSpaceDE w:val="0"/>
        <w:autoSpaceDN w:val="0"/>
        <w:adjustRightInd w:val="0"/>
        <w:spacing w:before="120" w:after="0" w:line="240" w:lineRule="auto"/>
        <w:contextualSpacing/>
        <w:jc w:val="both"/>
        <w:rPr>
          <w:rFonts w:ascii="Calibri" w:eastAsia="Times New Roman" w:hAnsi="Calibri" w:cs="Calibri"/>
          <w:szCs w:val="24"/>
          <w:lang w:val="fr-CA"/>
        </w:rPr>
      </w:pPr>
      <w:r w:rsidRPr="007B16C4">
        <w:rPr>
          <w:rFonts w:ascii="Calibri" w:eastAsia="Times New Roman" w:hAnsi="Calibri" w:cs="Calibri"/>
          <w:szCs w:val="24"/>
          <w:lang w:val="fr-CA"/>
        </w:rPr>
        <w:t xml:space="preserve"> Dans la continuité de la démarche qui a été suivie par l’ONEM, la mise en place d’Observatoires Régionaux de l’Environnement et du Développement Durable vient renforcer, sur le terrain, la vision du Département de l’Environnement. Celle-ci s’appuie sur le partenariat, fédérant les pouvoirs publics au niveau régional, les Collectivités Locales, les opérateurs économiques, les institutions de recherche et les ONG, en vue de créer un espace régional d’échange et de coopération, permettant de connaître l’environnement régional ; ses atouts et ses problématiques pour mieux le préserver dans une approche du Développement de la région.</w:t>
      </w:r>
    </w:p>
    <w:p w14:paraId="3F9FB626" w14:textId="77777777" w:rsidR="007B16C4" w:rsidRPr="007B16C4" w:rsidRDefault="007B16C4" w:rsidP="007B16C4">
      <w:pPr>
        <w:autoSpaceDE w:val="0"/>
        <w:autoSpaceDN w:val="0"/>
        <w:adjustRightInd w:val="0"/>
        <w:spacing w:before="120" w:after="0" w:line="240" w:lineRule="auto"/>
        <w:contextualSpacing/>
        <w:jc w:val="both"/>
        <w:rPr>
          <w:rFonts w:ascii="Calibri" w:eastAsia="Times New Roman" w:hAnsi="Calibri" w:cs="Calibri"/>
          <w:szCs w:val="24"/>
          <w:u w:val="single"/>
          <w:lang w:val="fr-CA"/>
        </w:rPr>
      </w:pPr>
    </w:p>
    <w:p w14:paraId="6D1B9975" w14:textId="77777777" w:rsidR="007B16C4" w:rsidRPr="007B16C4" w:rsidRDefault="007B16C4" w:rsidP="007B16C4">
      <w:pPr>
        <w:spacing w:after="0" w:line="240" w:lineRule="auto"/>
        <w:jc w:val="both"/>
        <w:rPr>
          <w:rFonts w:ascii="Calibri" w:eastAsia="Calibri" w:hAnsi="Calibri" w:cs="Calibri"/>
          <w:iCs/>
          <w:color w:val="984806"/>
          <w:szCs w:val="24"/>
          <w:u w:val="single"/>
        </w:rPr>
      </w:pPr>
      <w:r w:rsidRPr="007B16C4">
        <w:rPr>
          <w:rFonts w:ascii="Calibri" w:eastAsia="Calibri" w:hAnsi="Calibri" w:cs="Calibri"/>
          <w:iCs/>
          <w:color w:val="984806"/>
          <w:szCs w:val="24"/>
          <w:u w:val="single"/>
        </w:rPr>
        <w:t>Comité National et Comités Régionaux des Etudes d’Impact (CNEI-CREI)</w:t>
      </w:r>
    </w:p>
    <w:p w14:paraId="56DB0C8C" w14:textId="77777777" w:rsidR="007B16C4" w:rsidRPr="007B16C4" w:rsidRDefault="007B16C4" w:rsidP="007B16C4">
      <w:pPr>
        <w:spacing w:after="0"/>
        <w:jc w:val="both"/>
        <w:rPr>
          <w:rFonts w:ascii="Calibri" w:eastAsia="Calibri" w:hAnsi="Calibri" w:cs="Calibri"/>
          <w:b/>
          <w:i/>
          <w:szCs w:val="24"/>
        </w:rPr>
      </w:pPr>
    </w:p>
    <w:p w14:paraId="2C7D3831" w14:textId="77777777" w:rsidR="007B16C4" w:rsidRPr="007B16C4" w:rsidRDefault="007B16C4" w:rsidP="00B33704">
      <w:pPr>
        <w:numPr>
          <w:ilvl w:val="0"/>
          <w:numId w:val="11"/>
        </w:numPr>
        <w:autoSpaceDE w:val="0"/>
        <w:autoSpaceDN w:val="0"/>
        <w:adjustRightInd w:val="0"/>
        <w:spacing w:before="120" w:after="0" w:line="240" w:lineRule="auto"/>
        <w:contextualSpacing/>
        <w:jc w:val="both"/>
        <w:rPr>
          <w:rFonts w:ascii="Calibri" w:eastAsia="Times New Roman" w:hAnsi="Calibri" w:cs="Calibri"/>
          <w:szCs w:val="24"/>
          <w:lang w:val="fr-CA"/>
        </w:rPr>
      </w:pPr>
      <w:r w:rsidRPr="007B16C4">
        <w:rPr>
          <w:rFonts w:ascii="Calibri" w:eastAsia="Times New Roman" w:hAnsi="Calibri" w:cs="Calibri"/>
          <w:szCs w:val="24"/>
          <w:lang w:val="fr-CA"/>
        </w:rPr>
        <w:t>Les structures en charge de cette évaluation s’attellent aux projets réalisés pour en mesurer l’impact sur l’environnement ou aux installations et projets programmés pour en apprécier la conformité environnementale.</w:t>
      </w:r>
    </w:p>
    <w:p w14:paraId="5AE187C4" w14:textId="77777777" w:rsidR="007B16C4" w:rsidRPr="007B16C4" w:rsidRDefault="007B16C4" w:rsidP="007B16C4">
      <w:pPr>
        <w:autoSpaceDE w:val="0"/>
        <w:autoSpaceDN w:val="0"/>
        <w:adjustRightInd w:val="0"/>
        <w:spacing w:before="120" w:after="0" w:line="240" w:lineRule="auto"/>
        <w:contextualSpacing/>
        <w:jc w:val="both"/>
        <w:rPr>
          <w:rFonts w:ascii="Calibri" w:eastAsia="Times New Roman" w:hAnsi="Calibri" w:cs="Calibri"/>
          <w:szCs w:val="24"/>
          <w:u w:val="single"/>
          <w:lang w:val="fr-CA"/>
        </w:rPr>
      </w:pPr>
    </w:p>
    <w:p w14:paraId="19224D7C" w14:textId="77777777" w:rsidR="007B16C4" w:rsidRPr="007B16C4" w:rsidRDefault="007B16C4" w:rsidP="007B16C4">
      <w:pPr>
        <w:spacing w:after="0" w:line="240" w:lineRule="auto"/>
        <w:jc w:val="both"/>
        <w:rPr>
          <w:rFonts w:ascii="Calibri" w:eastAsia="Calibri" w:hAnsi="Calibri" w:cs="Calibri"/>
          <w:iCs/>
          <w:color w:val="984806"/>
          <w:szCs w:val="24"/>
          <w:u w:val="single"/>
        </w:rPr>
      </w:pPr>
      <w:r w:rsidRPr="007B16C4">
        <w:rPr>
          <w:rFonts w:ascii="Calibri" w:eastAsia="Calibri" w:hAnsi="Calibri" w:cs="Calibri"/>
          <w:iCs/>
          <w:color w:val="984806"/>
          <w:szCs w:val="24"/>
          <w:u w:val="single"/>
        </w:rPr>
        <w:t>Communes</w:t>
      </w:r>
    </w:p>
    <w:p w14:paraId="54035B5F" w14:textId="77777777" w:rsidR="007B16C4" w:rsidRPr="007B16C4" w:rsidRDefault="007B16C4" w:rsidP="007B16C4">
      <w:pPr>
        <w:autoSpaceDE w:val="0"/>
        <w:autoSpaceDN w:val="0"/>
        <w:adjustRightInd w:val="0"/>
        <w:spacing w:after="0" w:line="240" w:lineRule="auto"/>
        <w:contextualSpacing/>
        <w:jc w:val="both"/>
        <w:rPr>
          <w:rFonts w:ascii="Calibri" w:eastAsia="Times New Roman" w:hAnsi="Calibri" w:cs="Calibri"/>
          <w:szCs w:val="24"/>
          <w:u w:val="single"/>
          <w:lang w:val="fr-CA"/>
        </w:rPr>
      </w:pPr>
    </w:p>
    <w:p w14:paraId="1FD536BD" w14:textId="77777777" w:rsidR="007B16C4" w:rsidRPr="007B16C4" w:rsidRDefault="007B16C4" w:rsidP="00B33704">
      <w:pPr>
        <w:numPr>
          <w:ilvl w:val="0"/>
          <w:numId w:val="11"/>
        </w:numPr>
        <w:autoSpaceDE w:val="0"/>
        <w:autoSpaceDN w:val="0"/>
        <w:adjustRightInd w:val="0"/>
        <w:spacing w:before="120" w:after="0" w:line="240" w:lineRule="auto"/>
        <w:contextualSpacing/>
        <w:jc w:val="both"/>
        <w:rPr>
          <w:rFonts w:ascii="Calibri" w:eastAsia="Times New Roman" w:hAnsi="Calibri" w:cs="Calibri"/>
          <w:szCs w:val="24"/>
          <w:lang w:val="fr-CA"/>
        </w:rPr>
      </w:pPr>
      <w:r w:rsidRPr="007B16C4">
        <w:rPr>
          <w:rFonts w:ascii="Calibri" w:eastAsia="Times New Roman" w:hAnsi="Calibri" w:cs="Calibri"/>
          <w:szCs w:val="24"/>
          <w:lang w:val="fr-CA"/>
        </w:rPr>
        <w:t xml:space="preserve">L’article 100 de la loi </w:t>
      </w:r>
      <w:r w:rsidRPr="007B16C4">
        <w:rPr>
          <w:rFonts w:ascii="Calibri" w:eastAsia="Times New Roman" w:hAnsi="Calibri" w:cs="Calibri"/>
          <w:lang w:val="fr-CA"/>
        </w:rPr>
        <w:t xml:space="preserve">organique n° </w:t>
      </w:r>
      <w:r w:rsidRPr="007B16C4">
        <w:rPr>
          <w:rFonts w:ascii="Calibri" w:eastAsia="Times New Roman" w:hAnsi="Calibri" w:cs="Calibri"/>
          <w:szCs w:val="24"/>
          <w:lang w:val="fr-CA"/>
        </w:rPr>
        <w:t>113-</w:t>
      </w:r>
      <w:r w:rsidRPr="007B16C4">
        <w:rPr>
          <w:rFonts w:ascii="Calibri" w:eastAsia="Times New Roman" w:hAnsi="Calibri" w:cs="Calibri"/>
          <w:lang w:val="fr-CA"/>
        </w:rPr>
        <w:t>14 relative</w:t>
      </w:r>
      <w:r w:rsidRPr="007B16C4">
        <w:rPr>
          <w:rFonts w:ascii="Calibri" w:eastAsia="Times New Roman" w:hAnsi="Calibri" w:cs="Calibri"/>
          <w:szCs w:val="24"/>
          <w:lang w:val="fr-CA"/>
        </w:rPr>
        <w:t xml:space="preserve"> aux communes attribue aux présidents des conseils des communes l’exercice de la police administrative, par voie d’arrêtés réglementaires et de mesures de police individuelles, portant autorisation, injonction ou interdiction, dans les domaines de l’hygiène, la salubrité, la tranquillité publique et la sûreté des passages. Parmi ses attributions qui peuvent être rattachées à la gestion de l’environnement, le président du conseil de la commune :</w:t>
      </w:r>
    </w:p>
    <w:p w14:paraId="51A1A15D" w14:textId="64DCDFC8" w:rsidR="007B16C4" w:rsidRPr="007B16C4" w:rsidRDefault="007B16C4" w:rsidP="00B33704">
      <w:pPr>
        <w:widowControl w:val="0"/>
        <w:numPr>
          <w:ilvl w:val="0"/>
          <w:numId w:val="19"/>
        </w:numPr>
        <w:adjustRightInd w:val="0"/>
        <w:spacing w:before="120" w:after="0" w:line="240" w:lineRule="auto"/>
        <w:jc w:val="both"/>
        <w:textAlignment w:val="baseline"/>
        <w:rPr>
          <w:rFonts w:ascii="Calibri" w:eastAsia="ヒラギノ角ゴ Pro W3" w:hAnsi="Calibri" w:cs="Calibri"/>
          <w:szCs w:val="20"/>
        </w:rPr>
      </w:pPr>
      <w:r w:rsidRPr="007B16C4">
        <w:rPr>
          <w:rFonts w:ascii="Calibri" w:eastAsia="ヒラギノ角ゴ Pro W3" w:hAnsi="Calibri" w:cs="Calibri"/>
          <w:szCs w:val="20"/>
        </w:rPr>
        <w:t>Veille au respect des conditions d’hygiène des habitations et de la voirie, à l’assainissement des égouts et à la répression de l’entreposage d’ordures en milieu habité et à leur élimination;</w:t>
      </w:r>
    </w:p>
    <w:p w14:paraId="40B8492C" w14:textId="77777777" w:rsidR="007B16C4" w:rsidRPr="007B16C4" w:rsidRDefault="007B16C4" w:rsidP="00B33704">
      <w:pPr>
        <w:widowControl w:val="0"/>
        <w:numPr>
          <w:ilvl w:val="0"/>
          <w:numId w:val="19"/>
        </w:numPr>
        <w:adjustRightInd w:val="0"/>
        <w:spacing w:before="120" w:after="0" w:line="240" w:lineRule="auto"/>
        <w:jc w:val="both"/>
        <w:textAlignment w:val="baseline"/>
        <w:rPr>
          <w:rFonts w:ascii="Calibri" w:eastAsia="ヒラギノ角ゴ Pro W3" w:hAnsi="Calibri" w:cs="Calibri"/>
          <w:szCs w:val="20"/>
        </w:rPr>
      </w:pPr>
      <w:r w:rsidRPr="007B16C4">
        <w:rPr>
          <w:rFonts w:ascii="Calibri" w:eastAsia="ヒラギノ角ゴ Pro W3" w:hAnsi="Calibri" w:cs="Calibri"/>
          <w:szCs w:val="20"/>
        </w:rPr>
        <w:t>Contribue à la sauvegarde et à la protection des sites naturels et du patrimoine historique et culturel en prenant les mesures nécessaires à cet effet conformément aux lois et règlements en vigueur ;</w:t>
      </w:r>
    </w:p>
    <w:p w14:paraId="78DBF566" w14:textId="77777777" w:rsidR="007B16C4" w:rsidRPr="007B16C4" w:rsidRDefault="007B16C4" w:rsidP="00B33704">
      <w:pPr>
        <w:widowControl w:val="0"/>
        <w:numPr>
          <w:ilvl w:val="0"/>
          <w:numId w:val="19"/>
        </w:numPr>
        <w:adjustRightInd w:val="0"/>
        <w:spacing w:before="120" w:after="0" w:line="240" w:lineRule="auto"/>
        <w:jc w:val="both"/>
        <w:textAlignment w:val="baseline"/>
        <w:rPr>
          <w:rFonts w:ascii="Calibri" w:eastAsia="ヒラギノ角ゴ Pro W3" w:hAnsi="Calibri" w:cs="Calibri"/>
          <w:szCs w:val="20"/>
        </w:rPr>
      </w:pPr>
      <w:r w:rsidRPr="007B16C4">
        <w:rPr>
          <w:rFonts w:ascii="Calibri" w:eastAsia="ヒラギノ角ゴ Pro W3" w:hAnsi="Calibri" w:cs="Calibri"/>
          <w:szCs w:val="20"/>
        </w:rPr>
        <w:t xml:space="preserve">Délivre les autorisations d’exploitation des établissements insalubres, incommodes ou dangereux relevant de ses attributions et en assure le contrôle conformément aux lois et règlements en vigueur ; </w:t>
      </w:r>
    </w:p>
    <w:p w14:paraId="296230C8" w14:textId="77777777" w:rsidR="007B16C4" w:rsidRPr="007B16C4" w:rsidRDefault="007B16C4" w:rsidP="00B33704">
      <w:pPr>
        <w:widowControl w:val="0"/>
        <w:numPr>
          <w:ilvl w:val="0"/>
          <w:numId w:val="19"/>
        </w:numPr>
        <w:adjustRightInd w:val="0"/>
        <w:spacing w:before="120" w:after="0" w:line="240" w:lineRule="auto"/>
        <w:jc w:val="both"/>
        <w:textAlignment w:val="baseline"/>
        <w:rPr>
          <w:rFonts w:ascii="Calibri" w:eastAsia="ヒラギノ角ゴ Pro W3" w:hAnsi="Calibri" w:cs="Calibri"/>
          <w:szCs w:val="20"/>
        </w:rPr>
      </w:pPr>
      <w:r w:rsidRPr="007B16C4">
        <w:rPr>
          <w:rFonts w:ascii="Calibri" w:eastAsia="ヒラギノ角ゴ Pro W3" w:hAnsi="Calibri" w:cs="Calibri"/>
          <w:szCs w:val="20"/>
        </w:rPr>
        <w:t>Organise et participe au contrôle des activités commerciales, artisanales et industrielles non réglementées susceptibles de porter atteinte à l’hygiène, la salubrité, la sûreté des passages et la tranquillité publique ou néfastes pour l’environnement ;</w:t>
      </w:r>
    </w:p>
    <w:p w14:paraId="36F643B2" w14:textId="77777777" w:rsidR="007B16C4" w:rsidRPr="007B16C4" w:rsidRDefault="007B16C4" w:rsidP="00B33704">
      <w:pPr>
        <w:widowControl w:val="0"/>
        <w:numPr>
          <w:ilvl w:val="0"/>
          <w:numId w:val="19"/>
        </w:numPr>
        <w:adjustRightInd w:val="0"/>
        <w:spacing w:before="120" w:after="0" w:line="240" w:lineRule="auto"/>
        <w:jc w:val="both"/>
        <w:textAlignment w:val="baseline"/>
        <w:rPr>
          <w:rFonts w:ascii="Calibri" w:eastAsia="ヒラギノ角ゴ Pro W3" w:hAnsi="Calibri" w:cs="Calibri"/>
          <w:szCs w:val="20"/>
        </w:rPr>
      </w:pPr>
      <w:r w:rsidRPr="007B16C4">
        <w:rPr>
          <w:rFonts w:ascii="Calibri" w:eastAsia="ヒラギノ角ゴ Pro W3" w:hAnsi="Calibri" w:cs="Calibri"/>
          <w:szCs w:val="20"/>
        </w:rPr>
        <w:t>Contrôle les magasins de droguistes, épiciers, coiffeurs, parfumeurs, et généralement tous les lieux où peuvent être fabriqués, entreposés ou mis en vente des produits dangereux ;</w:t>
      </w:r>
    </w:p>
    <w:p w14:paraId="208FD1BE" w14:textId="77777777" w:rsidR="007B16C4" w:rsidRPr="007B16C4" w:rsidRDefault="007B16C4" w:rsidP="00B33704">
      <w:pPr>
        <w:widowControl w:val="0"/>
        <w:numPr>
          <w:ilvl w:val="0"/>
          <w:numId w:val="19"/>
        </w:numPr>
        <w:adjustRightInd w:val="0"/>
        <w:spacing w:before="120" w:after="0" w:line="240" w:lineRule="auto"/>
        <w:jc w:val="both"/>
        <w:textAlignment w:val="baseline"/>
        <w:rPr>
          <w:rFonts w:ascii="Calibri" w:eastAsia="ヒラギノ角ゴ Pro W3" w:hAnsi="Calibri" w:cs="Calibri"/>
          <w:szCs w:val="20"/>
        </w:rPr>
      </w:pPr>
      <w:r w:rsidRPr="007B16C4">
        <w:rPr>
          <w:rFonts w:ascii="Calibri" w:eastAsia="ヒラギノ角ゴ Pro W3" w:hAnsi="Calibri" w:cs="Calibri"/>
          <w:szCs w:val="20"/>
        </w:rPr>
        <w:t xml:space="preserve">Prend les mesures nécessaires à la sûreté des passages dans les voies à usage public, à leur nettoiement, éclairage et enlèvement des encombrements, à la démolition ou réparation des édifices menaçant ruine, à l’interdiction d’exposer aux fenêtres et autres parties des édifices ou de jeter sur la voie publique tous les objets dont le jet peut être dangereux pour les passants </w:t>
      </w:r>
      <w:r w:rsidRPr="007B16C4">
        <w:rPr>
          <w:rFonts w:ascii="Calibri" w:eastAsia="ヒラギノ角ゴ Pro W3" w:hAnsi="Calibri" w:cs="Calibri"/>
          <w:szCs w:val="20"/>
        </w:rPr>
        <w:lastRenderedPageBreak/>
        <w:t>ou causer des exhalations nuisibles ;</w:t>
      </w:r>
    </w:p>
    <w:p w14:paraId="486E23D7" w14:textId="77777777" w:rsidR="007B16C4" w:rsidRPr="007B16C4" w:rsidRDefault="007B16C4" w:rsidP="00B33704">
      <w:pPr>
        <w:widowControl w:val="0"/>
        <w:numPr>
          <w:ilvl w:val="0"/>
          <w:numId w:val="19"/>
        </w:numPr>
        <w:adjustRightInd w:val="0"/>
        <w:spacing w:before="120" w:after="0" w:line="240" w:lineRule="auto"/>
        <w:jc w:val="both"/>
        <w:textAlignment w:val="baseline"/>
        <w:rPr>
          <w:rFonts w:ascii="Calibri" w:eastAsia="ヒラギノ角ゴ Pro W3" w:hAnsi="Calibri" w:cs="Calibri"/>
          <w:szCs w:val="20"/>
        </w:rPr>
      </w:pPr>
      <w:r w:rsidRPr="007B16C4">
        <w:rPr>
          <w:rFonts w:ascii="Calibri" w:eastAsia="ヒラギノ角ゴ Pro W3" w:hAnsi="Calibri" w:cs="Calibri"/>
          <w:szCs w:val="20"/>
        </w:rPr>
        <w:t>Veille à la salubrité des cours d’eau et de l’eau potable et assure la protection et le contrôle des points d’eau destinés à la consommation publique et des eaux de baignade ;</w:t>
      </w:r>
    </w:p>
    <w:p w14:paraId="4461C353" w14:textId="77777777" w:rsidR="007B16C4" w:rsidRPr="007B16C4" w:rsidRDefault="007B16C4" w:rsidP="00B33704">
      <w:pPr>
        <w:widowControl w:val="0"/>
        <w:numPr>
          <w:ilvl w:val="0"/>
          <w:numId w:val="19"/>
        </w:numPr>
        <w:adjustRightInd w:val="0"/>
        <w:spacing w:before="120" w:after="0" w:line="240" w:lineRule="auto"/>
        <w:jc w:val="both"/>
        <w:textAlignment w:val="baseline"/>
        <w:rPr>
          <w:rFonts w:ascii="Calibri" w:eastAsia="ヒラギノ角ゴ Pro W3" w:hAnsi="Calibri" w:cs="Calibri"/>
          <w:szCs w:val="20"/>
        </w:rPr>
      </w:pPr>
      <w:r w:rsidRPr="007B16C4">
        <w:rPr>
          <w:rFonts w:ascii="Calibri" w:eastAsia="ヒラギノ角ゴ Pro W3" w:hAnsi="Calibri" w:cs="Calibri"/>
          <w:szCs w:val="20"/>
        </w:rPr>
        <w:t>Prend les mesures nécessaires pour prévenir ou lutter contre les maladies endémiques ou dangereuses, conformément aux lois et règlements en vigueur ;</w:t>
      </w:r>
    </w:p>
    <w:p w14:paraId="758F2748" w14:textId="77777777" w:rsidR="007B16C4" w:rsidRPr="007B16C4" w:rsidRDefault="007B16C4" w:rsidP="00B33704">
      <w:pPr>
        <w:widowControl w:val="0"/>
        <w:numPr>
          <w:ilvl w:val="0"/>
          <w:numId w:val="19"/>
        </w:numPr>
        <w:adjustRightInd w:val="0"/>
        <w:spacing w:before="120" w:after="0" w:line="240" w:lineRule="auto"/>
        <w:jc w:val="both"/>
        <w:textAlignment w:val="baseline"/>
        <w:rPr>
          <w:rFonts w:ascii="Calibri" w:eastAsia="ヒラギノ角ゴ Pro W3" w:hAnsi="Calibri" w:cs="Calibri"/>
          <w:szCs w:val="20"/>
        </w:rPr>
      </w:pPr>
      <w:r w:rsidRPr="007B16C4">
        <w:rPr>
          <w:rFonts w:ascii="Calibri" w:eastAsia="ヒラギノ角ゴ Pro W3" w:hAnsi="Calibri" w:cs="Calibri"/>
          <w:szCs w:val="20"/>
        </w:rPr>
        <w:t>Organise l’exploitation des carrières dans la limite des dispositions législatives et réglementaires en vigueur et veille à l’application de la législation et la réglementation dans ce domaine.</w:t>
      </w:r>
    </w:p>
    <w:p w14:paraId="0FE2F716" w14:textId="77777777" w:rsidR="007B16C4" w:rsidRPr="007B16C4" w:rsidRDefault="007B16C4" w:rsidP="007B16C4">
      <w:pPr>
        <w:autoSpaceDE w:val="0"/>
        <w:autoSpaceDN w:val="0"/>
        <w:adjustRightInd w:val="0"/>
        <w:spacing w:after="0" w:line="240" w:lineRule="auto"/>
        <w:jc w:val="both"/>
        <w:rPr>
          <w:rFonts w:ascii="Times New Roman" w:eastAsia="Calibri" w:hAnsi="Times New Roman" w:cs="Arial"/>
        </w:rPr>
      </w:pPr>
    </w:p>
    <w:p w14:paraId="42375A6C" w14:textId="7BF317B6" w:rsidR="00CE17F8" w:rsidRPr="00046E7D" w:rsidRDefault="00CE17F8" w:rsidP="00CE17F8">
      <w:pPr>
        <w:pStyle w:val="Heading2"/>
        <w:rPr>
          <w:rFonts w:ascii="Candara" w:hAnsi="Candara"/>
          <w:color w:val="auto"/>
          <w:lang w:val="fr-FR"/>
        </w:rPr>
      </w:pPr>
      <w:bookmarkStart w:id="101" w:name="_Toc74241393"/>
      <w:r w:rsidRPr="00D85E9B">
        <w:rPr>
          <w:rFonts w:ascii="Candara" w:hAnsi="Candara"/>
          <w:color w:val="auto"/>
          <w:lang w:val="fr-FR"/>
        </w:rPr>
        <w:t>3.</w:t>
      </w:r>
      <w:r w:rsidR="00B85ECA" w:rsidRPr="00D85E9B">
        <w:rPr>
          <w:rFonts w:ascii="Candara" w:hAnsi="Candara"/>
          <w:color w:val="auto"/>
          <w:lang w:val="fr-FR"/>
        </w:rPr>
        <w:t xml:space="preserve">2 </w:t>
      </w:r>
      <w:r w:rsidRPr="00D85E9B">
        <w:rPr>
          <w:rFonts w:ascii="Candara" w:hAnsi="Candara"/>
          <w:color w:val="auto"/>
          <w:lang w:val="fr-FR"/>
        </w:rPr>
        <w:t>Systèmes de gestion sociale</w:t>
      </w:r>
      <w:bookmarkStart w:id="102" w:name="_Toc410037190"/>
      <w:bookmarkStart w:id="103" w:name="_Toc410055359"/>
      <w:bookmarkStart w:id="104" w:name="_Toc410037193"/>
      <w:bookmarkStart w:id="105" w:name="_Toc410055362"/>
      <w:bookmarkEnd w:id="80"/>
      <w:bookmarkEnd w:id="101"/>
      <w:bookmarkEnd w:id="102"/>
      <w:bookmarkEnd w:id="103"/>
      <w:bookmarkEnd w:id="104"/>
      <w:bookmarkEnd w:id="105"/>
    </w:p>
    <w:p w14:paraId="6094C423" w14:textId="6E2A5D02" w:rsidR="00CE17F8" w:rsidRPr="00046E7D" w:rsidRDefault="00CE17F8" w:rsidP="00CE17F8">
      <w:pPr>
        <w:pStyle w:val="Heading3"/>
        <w:rPr>
          <w:rFonts w:ascii="Candara" w:hAnsi="Candara"/>
          <w:b w:val="0"/>
          <w:color w:val="auto"/>
          <w:lang w:val="fr-FR"/>
        </w:rPr>
      </w:pPr>
      <w:bookmarkStart w:id="106" w:name="_Toc496827327"/>
      <w:bookmarkStart w:id="107" w:name="_Toc40218562"/>
      <w:bookmarkStart w:id="108" w:name="_Toc40219600"/>
      <w:bookmarkStart w:id="109" w:name="_Toc74241394"/>
      <w:r w:rsidRPr="00046E7D">
        <w:rPr>
          <w:rFonts w:ascii="Candara" w:hAnsi="Candara"/>
          <w:color w:val="auto"/>
          <w:lang w:val="fr-FR"/>
        </w:rPr>
        <w:t>3.</w:t>
      </w:r>
      <w:r w:rsidR="00B85ECA">
        <w:rPr>
          <w:rFonts w:ascii="Candara" w:hAnsi="Candara"/>
          <w:color w:val="auto"/>
          <w:lang w:val="fr-FR"/>
        </w:rPr>
        <w:t>2</w:t>
      </w:r>
      <w:r w:rsidRPr="00046E7D">
        <w:rPr>
          <w:rFonts w:ascii="Candara" w:hAnsi="Candara"/>
          <w:color w:val="auto"/>
          <w:lang w:val="fr-FR"/>
        </w:rPr>
        <w:t>.1 Cadre juridique et réglementaire de la gestion sociale</w:t>
      </w:r>
      <w:bookmarkEnd w:id="106"/>
      <w:bookmarkEnd w:id="107"/>
      <w:bookmarkEnd w:id="108"/>
      <w:bookmarkEnd w:id="109"/>
    </w:p>
    <w:p w14:paraId="183CA48F" w14:textId="4F239FFB" w:rsidR="00AF5DE3" w:rsidRPr="00046E7D" w:rsidRDefault="00CE17F8" w:rsidP="00D85E9B">
      <w:pPr>
        <w:numPr>
          <w:ilvl w:val="0"/>
          <w:numId w:val="11"/>
        </w:numPr>
        <w:autoSpaceDE w:val="0"/>
        <w:autoSpaceDN w:val="0"/>
        <w:adjustRightInd w:val="0"/>
        <w:spacing w:before="120" w:after="0" w:line="360" w:lineRule="auto"/>
        <w:contextualSpacing/>
        <w:jc w:val="both"/>
        <w:rPr>
          <w:rStyle w:val="hps"/>
          <w:rFonts w:ascii="Cambria" w:hAnsi="Cambria" w:cstheme="minorHAnsi"/>
          <w:b/>
          <w:bCs/>
          <w:color w:val="4F81BD"/>
          <w:szCs w:val="24"/>
        </w:rPr>
      </w:pPr>
      <w:r w:rsidRPr="00046E7D">
        <w:rPr>
          <w:rStyle w:val="hps"/>
          <w:rFonts w:cstheme="minorHAnsi"/>
        </w:rPr>
        <w:t xml:space="preserve">En ce qui concerne la gestion </w:t>
      </w:r>
      <w:r w:rsidR="008E2921">
        <w:rPr>
          <w:rStyle w:val="hps"/>
          <w:rFonts w:cstheme="minorHAnsi"/>
        </w:rPr>
        <w:t>des risques sociaux</w:t>
      </w:r>
      <w:r w:rsidRPr="00046E7D">
        <w:rPr>
          <w:rStyle w:val="hps"/>
          <w:rFonts w:cstheme="minorHAnsi"/>
        </w:rPr>
        <w:t xml:space="preserve">, le Maroc dispose d'un cadre juridique complet. La Constitution de 2011 et les lois organiques sur la gestion des communes adoptées dans le cadre de la décentralisation comprennent des dispositions demandant </w:t>
      </w:r>
      <w:r w:rsidR="00AF5DE3" w:rsidRPr="00046E7D">
        <w:rPr>
          <w:rStyle w:val="hps"/>
          <w:rFonts w:cstheme="minorHAnsi"/>
        </w:rPr>
        <w:t>la consultation publique</w:t>
      </w:r>
      <w:r w:rsidRPr="00046E7D">
        <w:rPr>
          <w:rStyle w:val="hps"/>
          <w:rFonts w:cstheme="minorHAnsi"/>
        </w:rPr>
        <w:t xml:space="preserve"> et la participation des personnes, inclus des femmes, dans le développement et le suivi des politiques, la présentation des pétitions, l'accès à l'information et les mécanismes de gestion des plaintes. En outre, la reconnaissance de l'Amazigh en tant que langue officielle est consacrée dans la Constitution. En plus de la possibilité d'appels administratifs et judiciaires, plusieurs mécanismes indépendants de plaintes constitutionnelles sont facilement accessibles aux populations, comme le Conseil national des droits de l'homme, l'Institution de </w:t>
      </w:r>
      <w:r w:rsidR="00AF5DE3" w:rsidRPr="00046E7D">
        <w:rPr>
          <w:rStyle w:val="hps"/>
          <w:rFonts w:cstheme="minorHAnsi"/>
        </w:rPr>
        <w:t>l’Ombudsman ;</w:t>
      </w:r>
      <w:r w:rsidRPr="00046E7D">
        <w:rPr>
          <w:rStyle w:val="hps"/>
          <w:rFonts w:cstheme="minorHAnsi"/>
        </w:rPr>
        <w:t xml:space="preserve"> et l'Autorité nationale pour la probité, la prévention et la lutte contre la corruption.</w:t>
      </w:r>
    </w:p>
    <w:p w14:paraId="463569ED" w14:textId="0D51DA9E" w:rsidR="00CE17F8" w:rsidRPr="00046E7D" w:rsidRDefault="00CE17F8" w:rsidP="00D85E9B">
      <w:pPr>
        <w:numPr>
          <w:ilvl w:val="0"/>
          <w:numId w:val="11"/>
        </w:numPr>
        <w:autoSpaceDE w:val="0"/>
        <w:autoSpaceDN w:val="0"/>
        <w:adjustRightInd w:val="0"/>
        <w:spacing w:before="120" w:after="0" w:line="360" w:lineRule="auto"/>
        <w:contextualSpacing/>
        <w:jc w:val="both"/>
        <w:rPr>
          <w:rFonts w:eastAsia="Times New Roman" w:cstheme="minorHAnsi"/>
          <w:b/>
          <w:i/>
          <w:lang w:eastAsia="x-none"/>
        </w:rPr>
      </w:pPr>
      <w:r w:rsidRPr="00046E7D">
        <w:rPr>
          <w:rFonts w:cstheme="minorHAnsi"/>
        </w:rPr>
        <w:t xml:space="preserve"> </w:t>
      </w:r>
      <w:r w:rsidRPr="00046E7D">
        <w:rPr>
          <w:rFonts w:eastAsia="Times New Roman" w:cstheme="minorHAnsi"/>
          <w:b/>
          <w:i/>
          <w:lang w:eastAsia="x-none"/>
        </w:rPr>
        <w:t>La Constitution de 2011</w:t>
      </w:r>
    </w:p>
    <w:p w14:paraId="0A2D8291" w14:textId="77777777" w:rsidR="00CE17F8" w:rsidRPr="00046E7D" w:rsidRDefault="00CE17F8" w:rsidP="00B33704">
      <w:pPr>
        <w:pStyle w:val="Paranumbering"/>
        <w:numPr>
          <w:ilvl w:val="0"/>
          <w:numId w:val="9"/>
        </w:numPr>
        <w:ind w:left="426" w:right="-23" w:hanging="426"/>
        <w:rPr>
          <w:rStyle w:val="hps"/>
          <w:rFonts w:asciiTheme="minorHAnsi" w:hAnsiTheme="minorHAnsi" w:cstheme="minorHAnsi"/>
          <w:color w:val="auto"/>
          <w:sz w:val="22"/>
          <w:szCs w:val="22"/>
          <w:lang w:val="fr-FR"/>
        </w:rPr>
      </w:pPr>
      <w:r w:rsidRPr="00046E7D">
        <w:rPr>
          <w:rStyle w:val="hps"/>
          <w:rFonts w:asciiTheme="minorHAnsi" w:hAnsiTheme="minorHAnsi" w:cstheme="minorHAnsi"/>
          <w:color w:val="auto"/>
          <w:sz w:val="22"/>
          <w:szCs w:val="22"/>
          <w:lang w:val="fr-FR"/>
        </w:rPr>
        <w:t>La Constitution consacre les principes d’équité et de non-discrimination, l’égalité femme-homme (art 19) et l’inclusion des personnes à besoins spécifiques (art 34).</w:t>
      </w:r>
    </w:p>
    <w:p w14:paraId="0EF6A382" w14:textId="49062809" w:rsidR="00CE17F8" w:rsidRPr="00046E7D" w:rsidRDefault="00CE17F8" w:rsidP="00B33704">
      <w:pPr>
        <w:pStyle w:val="Paranumbering"/>
        <w:numPr>
          <w:ilvl w:val="0"/>
          <w:numId w:val="9"/>
        </w:numPr>
        <w:ind w:left="426" w:right="-23" w:hanging="426"/>
        <w:rPr>
          <w:rStyle w:val="hps"/>
          <w:rFonts w:asciiTheme="minorHAnsi" w:hAnsiTheme="minorHAnsi" w:cstheme="minorHAnsi"/>
          <w:color w:val="auto"/>
          <w:sz w:val="22"/>
          <w:szCs w:val="22"/>
          <w:lang w:val="fr-FR"/>
        </w:rPr>
      </w:pPr>
      <w:r w:rsidRPr="00046E7D">
        <w:rPr>
          <w:rStyle w:val="hps"/>
          <w:rFonts w:asciiTheme="minorHAnsi" w:hAnsiTheme="minorHAnsi" w:cstheme="minorHAnsi"/>
          <w:color w:val="auto"/>
          <w:sz w:val="22"/>
          <w:szCs w:val="22"/>
          <w:lang w:val="fr-FR"/>
        </w:rPr>
        <w:t>La Constitution accorde une grande attention à : (i) la consultation et la participation des populations dans l’élaboration et le suivi des programmes (art 136, 139) ; (ii)   la présentation de pétitions (art 15); (iii) l’accès à l’information (art 27) ; (iv) la gestion des doléances (art 156). De même qu’elle reconnait   l’amazighe comme langue officielle au même titre que l’arabe (article 5)</w:t>
      </w:r>
    </w:p>
    <w:p w14:paraId="26EB79DC" w14:textId="77777777" w:rsidR="00CE17F8" w:rsidRPr="00046E7D" w:rsidRDefault="00CE17F8" w:rsidP="00B33704">
      <w:pPr>
        <w:pStyle w:val="Paranumbering"/>
        <w:numPr>
          <w:ilvl w:val="0"/>
          <w:numId w:val="9"/>
        </w:numPr>
        <w:ind w:left="426" w:right="-23" w:hanging="426"/>
        <w:rPr>
          <w:rStyle w:val="hps"/>
          <w:rFonts w:asciiTheme="minorHAnsi" w:hAnsiTheme="minorHAnsi" w:cstheme="minorHAnsi"/>
          <w:color w:val="auto"/>
          <w:sz w:val="22"/>
          <w:szCs w:val="22"/>
          <w:lang w:val="fr-FR"/>
        </w:rPr>
      </w:pPr>
      <w:r w:rsidRPr="00046E7D">
        <w:rPr>
          <w:rStyle w:val="hps"/>
          <w:rFonts w:asciiTheme="minorHAnsi" w:hAnsiTheme="minorHAnsi" w:cstheme="minorHAnsi"/>
          <w:color w:val="auto"/>
          <w:sz w:val="22"/>
          <w:szCs w:val="22"/>
          <w:lang w:val="fr-FR"/>
        </w:rPr>
        <w:t xml:space="preserve">La Constitution consacre fortement la participation des citoyens à la gestion de la chose publique territoriale. Le texte constitutionnel met en avant clairement cette mission de participation qui est exercée par/et dans le cadre des Collectivités Territoriales. Il fait dans son article 136 du Maroc un Etat dont l’organisation est fondée sur, outre la libre administration des Collectivités Territoriales, la participation des populations concernées à la gestion de leurs affaires et leur contribution au développement humain intègré et durable. Les Collectivités Territoriales ont alors l’obligation, à travers leurs conseils représentatifs, de mettre en place des mécanismes participatifs de dialogue et de concertation. L’objectif est d’impliquer les citoyennes et citoyens </w:t>
      </w:r>
      <w:r w:rsidRPr="00046E7D">
        <w:rPr>
          <w:rStyle w:val="hps"/>
          <w:rFonts w:asciiTheme="minorHAnsi" w:hAnsiTheme="minorHAnsi" w:cstheme="minorHAnsi"/>
          <w:color w:val="auto"/>
          <w:sz w:val="22"/>
          <w:szCs w:val="22"/>
          <w:lang w:val="fr-FR"/>
        </w:rPr>
        <w:lastRenderedPageBreak/>
        <w:t>ainsi que les associations dans l’élaboration et le suivi développement.</w:t>
      </w:r>
    </w:p>
    <w:p w14:paraId="32AEB946" w14:textId="77777777" w:rsidR="00CE17F8" w:rsidRPr="00046E7D" w:rsidRDefault="00CE17F8" w:rsidP="00B33704">
      <w:pPr>
        <w:pStyle w:val="Paranumbering"/>
        <w:numPr>
          <w:ilvl w:val="0"/>
          <w:numId w:val="9"/>
        </w:numPr>
        <w:ind w:left="426" w:right="-23" w:hanging="426"/>
        <w:rPr>
          <w:rStyle w:val="hps"/>
          <w:rFonts w:asciiTheme="minorHAnsi" w:hAnsiTheme="minorHAnsi" w:cstheme="minorHAnsi"/>
          <w:color w:val="auto"/>
          <w:sz w:val="22"/>
          <w:szCs w:val="22"/>
          <w:lang w:val="fr-FR"/>
        </w:rPr>
      </w:pPr>
      <w:r w:rsidRPr="00046E7D">
        <w:rPr>
          <w:rStyle w:val="hps"/>
          <w:rFonts w:asciiTheme="minorHAnsi" w:hAnsiTheme="minorHAnsi" w:cstheme="minorHAnsi"/>
          <w:color w:val="auto"/>
          <w:sz w:val="22"/>
          <w:szCs w:val="22"/>
          <w:lang w:val="fr-FR"/>
        </w:rPr>
        <w:t xml:space="preserve">Le droit de pétition peut également être exercé par les citoyens afin de demander aux conseils des Collectivités Territoriales concernées d’inscrire à leur ordre du jour une question particulière qui relevé de leur compétence (article 139). A travers un tel moyen, les populations auront la possibilité́ d’imposer le traitement d’une question qui relevé de leur quotidien. La participation concerne également toutes les politiques publiques territoriales. Ainsi les citoyens et associations sont impliqués dans l’élaboration et le suivi des programmes de développement. </w:t>
      </w:r>
    </w:p>
    <w:p w14:paraId="74068FCA" w14:textId="77777777" w:rsidR="00CE17F8" w:rsidRPr="00046E7D" w:rsidRDefault="00CE17F8" w:rsidP="00B33704">
      <w:pPr>
        <w:pStyle w:val="Paranumbering"/>
        <w:numPr>
          <w:ilvl w:val="0"/>
          <w:numId w:val="9"/>
        </w:numPr>
        <w:ind w:left="426" w:right="-23" w:hanging="426"/>
        <w:rPr>
          <w:rStyle w:val="hps"/>
          <w:rFonts w:asciiTheme="minorHAnsi" w:hAnsiTheme="minorHAnsi" w:cstheme="minorHAnsi"/>
          <w:color w:val="auto"/>
          <w:sz w:val="22"/>
          <w:szCs w:val="22"/>
          <w:lang w:val="fr-FR"/>
        </w:rPr>
      </w:pPr>
      <w:r w:rsidRPr="00046E7D">
        <w:rPr>
          <w:rStyle w:val="hps"/>
          <w:rFonts w:asciiTheme="minorHAnsi" w:hAnsiTheme="minorHAnsi" w:cstheme="minorHAnsi"/>
          <w:color w:val="auto"/>
          <w:sz w:val="22"/>
          <w:szCs w:val="22"/>
          <w:lang w:val="fr-FR"/>
        </w:rPr>
        <w:t>En matière de protection des droits humains et  recours, la Constitution consacre des instances indépendantes et autonomes, aisément et gratuitement accessibles aux citoyens car disposent d’antennes territoriales: (i) le Conseil national des droits de l'homme (article 161), qui intervient dans toutes les formes de violations de droits humains; (ii) le Médiateur (article 162) qui intervient dans les plaintes et problèmes entre les citoyens et les administrations publiques ; (iii) l’Instance Nationale de Probité, de Prévention et de Lutte contre la Corruption ( article 167), à laquelle les citoyens peuvent s’adresser pour tout ce qui a trait à la corruption. Ces trois instances sont dotées de la capacité de saisine, d’auto-saine et d’interpellation du Gouvernement et des instances concernées. En outre, elles publient chaque année un rapport sur le nombre de cas reçus et le traitement qui leur a été donné.</w:t>
      </w:r>
    </w:p>
    <w:p w14:paraId="3AC71EA9" w14:textId="77777777" w:rsidR="00CE17F8" w:rsidRPr="00046E7D" w:rsidRDefault="00CE17F8" w:rsidP="00CE17F8">
      <w:pPr>
        <w:pStyle w:val="ListParagraph"/>
        <w:spacing w:line="240" w:lineRule="auto"/>
        <w:rPr>
          <w:rFonts w:asciiTheme="minorHAnsi" w:hAnsiTheme="minorHAnsi" w:cstheme="minorHAnsi"/>
          <w:color w:val="auto"/>
          <w:sz w:val="22"/>
          <w:szCs w:val="22"/>
        </w:rPr>
      </w:pPr>
    </w:p>
    <w:p w14:paraId="03F010FD" w14:textId="77777777" w:rsidR="00CE17F8" w:rsidRPr="00046E7D" w:rsidRDefault="00CE17F8" w:rsidP="00D85E9B">
      <w:pPr>
        <w:numPr>
          <w:ilvl w:val="0"/>
          <w:numId w:val="11"/>
        </w:numPr>
        <w:autoSpaceDE w:val="0"/>
        <w:autoSpaceDN w:val="0"/>
        <w:adjustRightInd w:val="0"/>
        <w:spacing w:before="120" w:after="0" w:line="360" w:lineRule="auto"/>
        <w:contextualSpacing/>
        <w:jc w:val="both"/>
        <w:rPr>
          <w:rFonts w:cstheme="minorHAnsi"/>
          <w:b/>
          <w:i/>
        </w:rPr>
      </w:pPr>
      <w:r w:rsidRPr="00046E7D">
        <w:rPr>
          <w:rFonts w:cstheme="minorHAnsi"/>
          <w:b/>
          <w:i/>
        </w:rPr>
        <w:t>La propriété</w:t>
      </w:r>
    </w:p>
    <w:p w14:paraId="2BC87A5A" w14:textId="77777777" w:rsidR="00CE17F8" w:rsidRPr="00046E7D" w:rsidRDefault="00CE17F8" w:rsidP="00B33704">
      <w:pPr>
        <w:pStyle w:val="Paranumbering"/>
        <w:numPr>
          <w:ilvl w:val="0"/>
          <w:numId w:val="9"/>
        </w:numPr>
        <w:ind w:left="426" w:right="-23" w:hanging="426"/>
        <w:rPr>
          <w:rStyle w:val="hps"/>
          <w:rFonts w:asciiTheme="minorHAnsi" w:hAnsiTheme="minorHAnsi" w:cstheme="minorHAnsi"/>
          <w:color w:val="auto"/>
          <w:sz w:val="22"/>
          <w:szCs w:val="22"/>
          <w:lang w:val="fr-FR"/>
        </w:rPr>
      </w:pPr>
      <w:r w:rsidRPr="00046E7D">
        <w:rPr>
          <w:rStyle w:val="hps"/>
          <w:rFonts w:asciiTheme="minorHAnsi" w:hAnsiTheme="minorHAnsi" w:cstheme="minorHAnsi"/>
          <w:color w:val="auto"/>
          <w:sz w:val="22"/>
          <w:szCs w:val="22"/>
          <w:lang w:val="fr-FR"/>
        </w:rPr>
        <w:t xml:space="preserve">Le respect de la propriété est un principe fondamental de la loi marocaine tel qu'il est inscrit dans l'article 35 de la Constitution de 2011. La législation nationale en matière d'expropriation comprend des dispositions qui prévoient une compensation pour les détenteurs de droits. L'acquisition de terres par l'État sur la base de l'intérêt public est régie par des règles et procédures spéciales et est très contraignant pour les autorités expropriantes. La loi permet le recours à la justice pour contester l’expropriation, et pour contester le niveau de compensation si l’exproprié considère que la compensation ne permet pas l’acquisition de terrains ou biens de valeur égale. Les affectations volontaires et l'occupation temporaire sont effectuées par les autorités locales conformément aux procédures formelles et </w:t>
      </w:r>
      <w:r w:rsidRPr="00046E7D">
        <w:rPr>
          <w:rStyle w:val="hps"/>
          <w:rFonts w:asciiTheme="minorHAnsi" w:hAnsiTheme="minorHAnsi" w:cstheme="minorHAnsi"/>
          <w:color w:val="auto"/>
          <w:sz w:val="22"/>
          <w:szCs w:val="22"/>
          <w:lang w:val="fr-FR"/>
        </w:rPr>
        <w:t xml:space="preserve">légalisées (accords, autorisations ou contrats d'achat). </w:t>
      </w:r>
    </w:p>
    <w:p w14:paraId="347F4585" w14:textId="30BEF44F" w:rsidR="00CE17F8" w:rsidRPr="00046E7D" w:rsidRDefault="00CE17F8" w:rsidP="00B33704">
      <w:pPr>
        <w:pStyle w:val="Paranumbering"/>
        <w:numPr>
          <w:ilvl w:val="0"/>
          <w:numId w:val="9"/>
        </w:numPr>
        <w:ind w:left="426" w:right="-23" w:hanging="426"/>
        <w:rPr>
          <w:rStyle w:val="hps"/>
          <w:rFonts w:asciiTheme="minorHAnsi" w:hAnsiTheme="minorHAnsi" w:cstheme="minorHAnsi"/>
          <w:color w:val="auto"/>
          <w:sz w:val="22"/>
          <w:szCs w:val="22"/>
          <w:lang w:val="fr-FR"/>
        </w:rPr>
      </w:pPr>
    </w:p>
    <w:p w14:paraId="6A90FB58" w14:textId="77777777" w:rsidR="00AF5DE3" w:rsidRPr="00046E7D" w:rsidRDefault="00AF5DE3" w:rsidP="00AF5DE3">
      <w:pPr>
        <w:spacing w:after="0"/>
        <w:rPr>
          <w:rFonts w:cstheme="minorHAnsi"/>
          <w:b/>
          <w:i/>
        </w:rPr>
      </w:pPr>
      <w:bookmarkStart w:id="110" w:name="_Toc453600640"/>
    </w:p>
    <w:p w14:paraId="119AD4D0" w14:textId="7F75A388" w:rsidR="00CE17F8" w:rsidRPr="00046E7D" w:rsidRDefault="00CE17F8" w:rsidP="00D85E9B">
      <w:pPr>
        <w:numPr>
          <w:ilvl w:val="0"/>
          <w:numId w:val="11"/>
        </w:numPr>
        <w:autoSpaceDE w:val="0"/>
        <w:autoSpaceDN w:val="0"/>
        <w:adjustRightInd w:val="0"/>
        <w:spacing w:before="120" w:after="0" w:line="360" w:lineRule="auto"/>
        <w:contextualSpacing/>
        <w:jc w:val="both"/>
        <w:rPr>
          <w:rFonts w:cstheme="minorHAnsi"/>
          <w:b/>
          <w:i/>
        </w:rPr>
      </w:pPr>
      <w:r w:rsidRPr="00046E7D">
        <w:rPr>
          <w:rFonts w:cstheme="minorHAnsi"/>
          <w:b/>
          <w:i/>
        </w:rPr>
        <w:t>La loi Organique n° 113-14 relative aux communes</w:t>
      </w:r>
      <w:bookmarkEnd w:id="110"/>
    </w:p>
    <w:p w14:paraId="7BE2ECB3" w14:textId="77777777" w:rsidR="00CE17F8" w:rsidRPr="00046E7D" w:rsidRDefault="00CE17F8" w:rsidP="00B33704">
      <w:pPr>
        <w:pStyle w:val="Paranumbering"/>
        <w:numPr>
          <w:ilvl w:val="0"/>
          <w:numId w:val="9"/>
        </w:numPr>
        <w:ind w:left="426" w:right="-23" w:hanging="426"/>
        <w:rPr>
          <w:rStyle w:val="hps"/>
          <w:rFonts w:asciiTheme="minorHAnsi" w:hAnsiTheme="minorHAnsi" w:cstheme="minorHAnsi"/>
          <w:color w:val="auto"/>
          <w:sz w:val="22"/>
          <w:szCs w:val="22"/>
          <w:lang w:val="fr-FR"/>
        </w:rPr>
      </w:pPr>
      <w:r w:rsidRPr="00046E7D">
        <w:rPr>
          <w:rStyle w:val="hps"/>
          <w:rFonts w:asciiTheme="minorHAnsi" w:hAnsiTheme="minorHAnsi" w:cstheme="minorHAnsi"/>
          <w:color w:val="auto"/>
          <w:sz w:val="22"/>
          <w:szCs w:val="22"/>
          <w:lang w:val="fr-FR"/>
        </w:rPr>
        <w:t>La loi Organique n° 113-14 relative aux communes, rendue applicable par le Dahir n° 1-15-85 du 20 Ramadan 1436 (07 juillet 2015), fixe non seulement les attributions propres à la commune, celles en association avec l’état ainsi que celles susceptibles de lui être transférées par ce dernier ainsi que les conditions de gestion démocratique des affaires communales, mais également les conditions de présentation des pétitions par les citoyennes et citoyens et par les associations.</w:t>
      </w:r>
    </w:p>
    <w:p w14:paraId="76EB947F" w14:textId="77777777" w:rsidR="00AF5DE3" w:rsidRPr="00046E7D" w:rsidRDefault="00AF5DE3" w:rsidP="00AF5DE3">
      <w:pPr>
        <w:spacing w:after="0"/>
        <w:rPr>
          <w:rFonts w:cstheme="minorHAnsi"/>
          <w:b/>
          <w:bCs/>
        </w:rPr>
      </w:pPr>
    </w:p>
    <w:p w14:paraId="4B9F979F" w14:textId="5CD51DF8" w:rsidR="00CE17F8" w:rsidRPr="00046E7D" w:rsidRDefault="00CE17F8" w:rsidP="00D85E9B">
      <w:pPr>
        <w:numPr>
          <w:ilvl w:val="0"/>
          <w:numId w:val="11"/>
        </w:numPr>
        <w:autoSpaceDE w:val="0"/>
        <w:autoSpaceDN w:val="0"/>
        <w:adjustRightInd w:val="0"/>
        <w:spacing w:before="120" w:after="0" w:line="360" w:lineRule="auto"/>
        <w:contextualSpacing/>
        <w:jc w:val="both"/>
        <w:rPr>
          <w:rFonts w:cstheme="minorHAnsi"/>
          <w:b/>
          <w:bCs/>
          <w:i/>
          <w:iCs/>
        </w:rPr>
      </w:pPr>
      <w:r w:rsidRPr="00046E7D">
        <w:rPr>
          <w:rFonts w:cstheme="minorHAnsi"/>
          <w:b/>
          <w:bCs/>
          <w:i/>
          <w:iCs/>
        </w:rPr>
        <w:t xml:space="preserve">Le code du travail </w:t>
      </w:r>
    </w:p>
    <w:p w14:paraId="30A5DFF6" w14:textId="77777777" w:rsidR="001E6A5F" w:rsidRDefault="00CE17F8" w:rsidP="00B33704">
      <w:pPr>
        <w:pStyle w:val="Paranumbering"/>
        <w:numPr>
          <w:ilvl w:val="0"/>
          <w:numId w:val="9"/>
        </w:numPr>
        <w:ind w:left="426" w:right="-23" w:hanging="426"/>
        <w:rPr>
          <w:rStyle w:val="hps"/>
          <w:rFonts w:asciiTheme="minorHAnsi" w:hAnsiTheme="minorHAnsi" w:cstheme="minorHAnsi"/>
          <w:color w:val="auto"/>
          <w:sz w:val="22"/>
          <w:szCs w:val="22"/>
          <w:lang w:val="fr-FR"/>
        </w:rPr>
      </w:pPr>
      <w:r w:rsidRPr="00046E7D">
        <w:rPr>
          <w:rStyle w:val="hps"/>
          <w:rFonts w:asciiTheme="minorHAnsi" w:hAnsiTheme="minorHAnsi" w:cstheme="minorHAnsi"/>
          <w:color w:val="auto"/>
          <w:sz w:val="22"/>
          <w:szCs w:val="22"/>
          <w:lang w:val="fr-FR"/>
        </w:rPr>
        <w:t xml:space="preserve">Concernant les conditions de travail, le Maroc dispose d’un cadre de régulations basé sur le code de travail, codifié dans Dahir n° 1-03-194 du 14 </w:t>
      </w:r>
      <w:proofErr w:type="spellStart"/>
      <w:r w:rsidRPr="00046E7D">
        <w:rPr>
          <w:rStyle w:val="hps"/>
          <w:rFonts w:asciiTheme="minorHAnsi" w:hAnsiTheme="minorHAnsi" w:cstheme="minorHAnsi"/>
          <w:color w:val="auto"/>
          <w:sz w:val="22"/>
          <w:szCs w:val="22"/>
          <w:lang w:val="fr-FR"/>
        </w:rPr>
        <w:t>Rajab</w:t>
      </w:r>
      <w:proofErr w:type="spellEnd"/>
      <w:r w:rsidRPr="00046E7D">
        <w:rPr>
          <w:rStyle w:val="hps"/>
          <w:rFonts w:asciiTheme="minorHAnsi" w:hAnsiTheme="minorHAnsi" w:cstheme="minorHAnsi"/>
          <w:color w:val="auto"/>
          <w:sz w:val="22"/>
          <w:szCs w:val="22"/>
          <w:lang w:val="fr-FR"/>
        </w:rPr>
        <w:t xml:space="preserve"> 1424 (11 septembre 2003) portant sur la loi n° 65-99 relative au code de travail, qui inclus des réglementations sur l’emploi, conditions de travail, représentation syndicale, intermédiation et gestion de conflits, et responsabilités de contrôle. Au Maroc il y a régime de sécurité sociale obligatoire depuis 1959, qui a été étendu sur les travailleurs dans </w:t>
      </w:r>
      <w:r w:rsidR="00AF5DE3" w:rsidRPr="00046E7D">
        <w:rPr>
          <w:rStyle w:val="hps"/>
          <w:rFonts w:asciiTheme="minorHAnsi" w:hAnsiTheme="minorHAnsi" w:cstheme="minorHAnsi"/>
          <w:color w:val="auto"/>
          <w:sz w:val="22"/>
          <w:szCs w:val="22"/>
          <w:lang w:val="fr-FR"/>
        </w:rPr>
        <w:t>les secteurs</w:t>
      </w:r>
      <w:r w:rsidRPr="00046E7D">
        <w:rPr>
          <w:rStyle w:val="hps"/>
          <w:rFonts w:asciiTheme="minorHAnsi" w:hAnsiTheme="minorHAnsi" w:cstheme="minorHAnsi"/>
          <w:color w:val="auto"/>
          <w:sz w:val="22"/>
          <w:szCs w:val="22"/>
          <w:lang w:val="fr-FR"/>
        </w:rPr>
        <w:t xml:space="preserve"> de l’agriculture par le Dahir n° 1-81-178 du 3 </w:t>
      </w:r>
      <w:proofErr w:type="spellStart"/>
      <w:r w:rsidRPr="00046E7D">
        <w:rPr>
          <w:rStyle w:val="hps"/>
          <w:rFonts w:asciiTheme="minorHAnsi" w:hAnsiTheme="minorHAnsi" w:cstheme="minorHAnsi"/>
          <w:color w:val="auto"/>
          <w:sz w:val="22"/>
          <w:szCs w:val="22"/>
          <w:lang w:val="fr-FR"/>
        </w:rPr>
        <w:t>joumada</w:t>
      </w:r>
      <w:proofErr w:type="spellEnd"/>
      <w:r w:rsidRPr="00046E7D">
        <w:rPr>
          <w:rStyle w:val="hps"/>
          <w:rFonts w:asciiTheme="minorHAnsi" w:hAnsiTheme="minorHAnsi" w:cstheme="minorHAnsi"/>
          <w:color w:val="auto"/>
          <w:sz w:val="22"/>
          <w:szCs w:val="22"/>
          <w:lang w:val="fr-FR"/>
        </w:rPr>
        <w:t xml:space="preserve"> Il 1402 (08-04-1981) portant promulgation de la loi n° 26-79 étendant le régime de sécurité sociale aux employeurs et travailleurs des exploitations agricoles, forestières et de </w:t>
      </w:r>
      <w:r w:rsidR="004116F8" w:rsidRPr="00046E7D">
        <w:rPr>
          <w:rStyle w:val="hps"/>
          <w:rFonts w:asciiTheme="minorHAnsi" w:hAnsiTheme="minorHAnsi" w:cstheme="minorHAnsi"/>
          <w:color w:val="auto"/>
          <w:sz w:val="22"/>
          <w:szCs w:val="22"/>
          <w:lang w:val="fr-FR"/>
        </w:rPr>
        <w:t>leurs dépendances</w:t>
      </w:r>
      <w:r w:rsidRPr="00046E7D">
        <w:rPr>
          <w:rStyle w:val="hps"/>
          <w:rFonts w:asciiTheme="minorHAnsi" w:hAnsiTheme="minorHAnsi" w:cstheme="minorHAnsi"/>
          <w:color w:val="auto"/>
          <w:sz w:val="22"/>
          <w:szCs w:val="22"/>
          <w:lang w:val="fr-FR"/>
        </w:rPr>
        <w:t xml:space="preserve">. </w:t>
      </w:r>
    </w:p>
    <w:p w14:paraId="44888DB2" w14:textId="1C0616D0" w:rsidR="00CE17F8" w:rsidRDefault="00CE17F8" w:rsidP="00B33704">
      <w:pPr>
        <w:pStyle w:val="Paranumbering"/>
        <w:numPr>
          <w:ilvl w:val="0"/>
          <w:numId w:val="9"/>
        </w:numPr>
        <w:ind w:left="426" w:right="-23" w:hanging="426"/>
        <w:rPr>
          <w:rStyle w:val="hps"/>
          <w:rFonts w:asciiTheme="minorHAnsi" w:hAnsiTheme="minorHAnsi" w:cstheme="minorHAnsi"/>
          <w:color w:val="auto"/>
          <w:sz w:val="22"/>
          <w:szCs w:val="22"/>
          <w:lang w:val="fr-FR"/>
        </w:rPr>
      </w:pPr>
      <w:r w:rsidRPr="00046E7D">
        <w:rPr>
          <w:rStyle w:val="hps"/>
          <w:rFonts w:asciiTheme="minorHAnsi" w:hAnsiTheme="minorHAnsi" w:cstheme="minorHAnsi"/>
          <w:color w:val="auto"/>
          <w:sz w:val="22"/>
          <w:szCs w:val="22"/>
          <w:lang w:val="fr-FR"/>
        </w:rPr>
        <w:t>Par rapport au travail des enfants, le Maroc dispose d’un arsenal juridique adéquate, qui fixe, entre autres choses, l’âge d’admission au travail à 15 ans révolus, liste les travaux interdits aux enfants entre 15 et 18 ans, et punit d’une amende de 25 000 à 30 000 DH tout employeur qui engage un salarié mineur de moins de 15 ans. L'OIT a deux conventions fondamentales relatives au travail des enfants : la Convention no 138 sur l'âge minimum, adoptée en 1973, et la Convention no 182 sur les pires formes de travail des enfants, adoptée en 1999. Les deux conventions ont été ratifié par le Maroc, en l’an 2000 et 2001, respectivement.</w:t>
      </w:r>
    </w:p>
    <w:p w14:paraId="252436F4" w14:textId="77777777" w:rsidR="00AF5A84" w:rsidRDefault="00AF5A84" w:rsidP="00A71D85">
      <w:pPr>
        <w:spacing w:line="360" w:lineRule="auto"/>
        <w:rPr>
          <w:rFonts w:cstheme="minorHAnsi"/>
          <w:b/>
          <w:i/>
          <w:color w:val="000000"/>
          <w:shd w:val="clear" w:color="auto" w:fill="FFFFFF"/>
        </w:rPr>
      </w:pPr>
    </w:p>
    <w:p w14:paraId="2CC7997C" w14:textId="3CCD257E" w:rsidR="00A71D85" w:rsidRPr="00846AB1" w:rsidRDefault="00A71D85" w:rsidP="00D85E9B">
      <w:pPr>
        <w:numPr>
          <w:ilvl w:val="0"/>
          <w:numId w:val="11"/>
        </w:numPr>
        <w:autoSpaceDE w:val="0"/>
        <w:autoSpaceDN w:val="0"/>
        <w:adjustRightInd w:val="0"/>
        <w:spacing w:before="120" w:after="0" w:line="360" w:lineRule="auto"/>
        <w:contextualSpacing/>
        <w:jc w:val="both"/>
        <w:rPr>
          <w:rFonts w:cstheme="minorHAnsi"/>
          <w:b/>
          <w:i/>
          <w:color w:val="000000"/>
          <w:shd w:val="clear" w:color="auto" w:fill="FFFFFF"/>
        </w:rPr>
      </w:pPr>
      <w:r w:rsidRPr="00846AB1">
        <w:rPr>
          <w:rFonts w:cstheme="minorHAnsi"/>
          <w:b/>
          <w:i/>
          <w:color w:val="000000"/>
          <w:shd w:val="clear" w:color="auto" w:fill="FFFFFF"/>
        </w:rPr>
        <w:t>Loi 31-13 relative au droit d’accès à l’information</w:t>
      </w:r>
      <w:r w:rsidRPr="00846AB1">
        <w:rPr>
          <w:rStyle w:val="FootnoteReference"/>
          <w:rFonts w:cstheme="minorHAnsi"/>
          <w:b/>
          <w:i/>
          <w:color w:val="000000"/>
          <w:shd w:val="clear" w:color="auto" w:fill="FFFFFF"/>
        </w:rPr>
        <w:footnoteReference w:id="5"/>
      </w:r>
      <w:r w:rsidRPr="00846AB1">
        <w:rPr>
          <w:rFonts w:cstheme="minorHAnsi"/>
          <w:b/>
          <w:i/>
          <w:color w:val="000000"/>
          <w:shd w:val="clear" w:color="auto" w:fill="FFFFFF"/>
        </w:rPr>
        <w:t xml:space="preserve"> </w:t>
      </w:r>
    </w:p>
    <w:p w14:paraId="0057FAE6" w14:textId="77777777" w:rsidR="00A71D85" w:rsidRPr="00D85E9B" w:rsidRDefault="00A71D85" w:rsidP="00D85E9B">
      <w:pPr>
        <w:pStyle w:val="Paranumbering"/>
        <w:numPr>
          <w:ilvl w:val="0"/>
          <w:numId w:val="9"/>
        </w:numPr>
        <w:ind w:left="426" w:right="-23" w:hanging="426"/>
        <w:rPr>
          <w:rFonts w:asciiTheme="minorHAnsi" w:hAnsiTheme="minorHAnsi" w:cstheme="minorHAnsi"/>
          <w:sz w:val="22"/>
          <w:szCs w:val="22"/>
          <w:lang w:val="fr-FR"/>
        </w:rPr>
      </w:pPr>
      <w:r w:rsidRPr="00846AB1">
        <w:rPr>
          <w:rFonts w:asciiTheme="minorHAnsi" w:hAnsiTheme="minorHAnsi" w:cstheme="minorHAnsi"/>
          <w:b/>
          <w:bCs/>
          <w:i/>
          <w:iCs/>
          <w:sz w:val="22"/>
          <w:szCs w:val="22"/>
          <w:lang w:val="fr-FR"/>
        </w:rPr>
        <w:t>La loi 31-13 relative au droit d’accès à l’information</w:t>
      </w:r>
      <w:r w:rsidRPr="00846AB1">
        <w:rPr>
          <w:rFonts w:asciiTheme="minorHAnsi" w:hAnsiTheme="minorHAnsi" w:cstheme="minorHAnsi"/>
          <w:sz w:val="22"/>
          <w:szCs w:val="22"/>
          <w:lang w:val="fr-FR"/>
        </w:rPr>
        <w:t xml:space="preserve">, adoptée le 22 février 2018, fixe le champ d’application du droit d’accès à l’information détenue par les administrations publiques, les institutions élues et les organismes investis de mission de service public, ainsi que les conditions et les modalités d’exercice de ce droit, les mécanismes relatifs à̀ la publication anticipée d’informations, ses exceptions, et les pénalités liées au non-respect de ses dispositions. </w:t>
      </w:r>
    </w:p>
    <w:p w14:paraId="3A298E3A" w14:textId="77777777" w:rsidR="00A71D85" w:rsidRPr="00D85E9B" w:rsidRDefault="00A71D85" w:rsidP="00D85E9B">
      <w:pPr>
        <w:pStyle w:val="Paranumbering"/>
        <w:numPr>
          <w:ilvl w:val="0"/>
          <w:numId w:val="9"/>
        </w:numPr>
        <w:ind w:left="426" w:right="-23" w:hanging="426"/>
        <w:rPr>
          <w:rFonts w:asciiTheme="minorHAnsi" w:hAnsiTheme="minorHAnsi" w:cstheme="minorHAnsi"/>
          <w:sz w:val="22"/>
          <w:szCs w:val="22"/>
          <w:lang w:val="fr-FR"/>
        </w:rPr>
      </w:pPr>
      <w:r w:rsidRPr="00846AB1">
        <w:rPr>
          <w:rFonts w:asciiTheme="minorHAnsi" w:hAnsiTheme="minorHAnsi" w:cstheme="minorHAnsi"/>
          <w:sz w:val="22"/>
          <w:szCs w:val="22"/>
          <w:lang w:val="fr-FR"/>
        </w:rPr>
        <w:t xml:space="preserve">Cette loi consacre l’article 27 de la constitution de 2011 qui stipule que : "Les citoyennes et les citoyens ont le droit d’accéder </w:t>
      </w:r>
      <w:proofErr w:type="spellStart"/>
      <w:r w:rsidRPr="00846AB1">
        <w:rPr>
          <w:rFonts w:asciiTheme="minorHAnsi" w:hAnsiTheme="minorHAnsi" w:cstheme="minorHAnsi"/>
          <w:sz w:val="22"/>
          <w:szCs w:val="22"/>
          <w:lang w:val="fr-FR"/>
        </w:rPr>
        <w:t>a</w:t>
      </w:r>
      <w:proofErr w:type="spellEnd"/>
      <w:r w:rsidRPr="00846AB1">
        <w:rPr>
          <w:rFonts w:asciiTheme="minorHAnsi" w:hAnsiTheme="minorHAnsi" w:cstheme="minorHAnsi"/>
          <w:sz w:val="22"/>
          <w:szCs w:val="22"/>
          <w:lang w:val="fr-FR"/>
        </w:rPr>
        <w:t xml:space="preserve">̀ l’information détenue par l’administration publique, </w:t>
      </w:r>
      <w:r w:rsidRPr="00846AB1">
        <w:rPr>
          <w:rFonts w:asciiTheme="minorHAnsi" w:hAnsiTheme="minorHAnsi" w:cstheme="minorHAnsi"/>
          <w:sz w:val="22"/>
          <w:szCs w:val="22"/>
          <w:u w:val="single"/>
          <w:lang w:val="fr-FR"/>
        </w:rPr>
        <w:t xml:space="preserve">les institutions élues </w:t>
      </w:r>
      <w:r w:rsidRPr="00846AB1">
        <w:rPr>
          <w:rFonts w:asciiTheme="minorHAnsi" w:hAnsiTheme="minorHAnsi" w:cstheme="minorHAnsi"/>
          <w:sz w:val="22"/>
          <w:szCs w:val="22"/>
          <w:lang w:val="fr-FR"/>
        </w:rPr>
        <w:t xml:space="preserve">et les organismes investis d’une mission de service public. Le droit à l’information ne peut être limité que par la loi, dans le but d’assurer la protection de tout ce qui concerne la défense nationale, la sûreté́ intérieure et extérieure de l’Etat, ainsi que la vie privée des personnes, de prévenir l’atteinte aux droits et libertés énoncés dans la présente Constitution et de protéger des sources et des domaines expressément déterminés par la loi." </w:t>
      </w:r>
    </w:p>
    <w:p w14:paraId="6E62C2E9" w14:textId="38BA951A" w:rsidR="00A71D85" w:rsidRPr="00D85E9B" w:rsidRDefault="00A71D85" w:rsidP="00D85E9B">
      <w:pPr>
        <w:pStyle w:val="Paranumbering"/>
        <w:numPr>
          <w:ilvl w:val="0"/>
          <w:numId w:val="9"/>
        </w:numPr>
        <w:ind w:left="426" w:right="-23" w:hanging="426"/>
        <w:rPr>
          <w:rFonts w:asciiTheme="minorHAnsi" w:hAnsiTheme="minorHAnsi" w:cstheme="minorHAnsi"/>
          <w:sz w:val="22"/>
          <w:szCs w:val="22"/>
          <w:lang w:val="fr-FR"/>
        </w:rPr>
      </w:pPr>
      <w:r w:rsidRPr="00846AB1">
        <w:rPr>
          <w:rFonts w:asciiTheme="minorHAnsi" w:hAnsiTheme="minorHAnsi" w:cstheme="minorHAnsi"/>
          <w:sz w:val="22"/>
          <w:szCs w:val="22"/>
          <w:lang w:val="fr-FR"/>
        </w:rPr>
        <w:t xml:space="preserve">Cette loi </w:t>
      </w:r>
      <w:r w:rsidR="00AF5A84">
        <w:rPr>
          <w:rFonts w:asciiTheme="minorHAnsi" w:hAnsiTheme="minorHAnsi" w:cstheme="minorHAnsi"/>
          <w:sz w:val="22"/>
          <w:szCs w:val="22"/>
          <w:lang w:val="fr-FR"/>
        </w:rPr>
        <w:t>dispose</w:t>
      </w:r>
      <w:r w:rsidRPr="00846AB1">
        <w:rPr>
          <w:rFonts w:asciiTheme="minorHAnsi" w:hAnsiTheme="minorHAnsi" w:cstheme="minorHAnsi"/>
          <w:sz w:val="22"/>
          <w:szCs w:val="22"/>
          <w:lang w:val="fr-FR"/>
        </w:rPr>
        <w:t xml:space="preserve"> que : toute instance concernée doit nommer une ou plusieurs personnes responsables en tant qu’interlocuteurs officiels, chargées de recevoir les demandes d’accès aux </w:t>
      </w:r>
      <w:r w:rsidRPr="00846AB1">
        <w:rPr>
          <w:rFonts w:asciiTheme="minorHAnsi" w:hAnsiTheme="minorHAnsi" w:cstheme="minorHAnsi"/>
          <w:sz w:val="22"/>
          <w:szCs w:val="22"/>
          <w:lang w:val="fr-FR"/>
        </w:rPr>
        <w:lastRenderedPageBreak/>
        <w:t xml:space="preserve">informations, et qui aident </w:t>
      </w:r>
      <w:proofErr w:type="spellStart"/>
      <w:r w:rsidRPr="00846AB1">
        <w:rPr>
          <w:rFonts w:asciiTheme="minorHAnsi" w:hAnsiTheme="minorHAnsi" w:cstheme="minorHAnsi"/>
          <w:sz w:val="22"/>
          <w:szCs w:val="22"/>
          <w:lang w:val="fr-FR"/>
        </w:rPr>
        <w:t>a</w:t>
      </w:r>
      <w:proofErr w:type="spellEnd"/>
      <w:r w:rsidRPr="00846AB1">
        <w:rPr>
          <w:rFonts w:asciiTheme="minorHAnsi" w:hAnsiTheme="minorHAnsi" w:cstheme="minorHAnsi"/>
          <w:sz w:val="22"/>
          <w:szCs w:val="22"/>
          <w:lang w:val="fr-FR"/>
        </w:rPr>
        <w:t xml:space="preserve">̀ rédiger les demandes d’accès aux informations si cela est nécessaires (Art. 12) ; les instances concernées devront (i) publier le plus grand nombre possible des informations qu’elles détiennent et qui ne font pas l’objet d’exceptions, via tous les moyens possibles de publication, (ii) prendre toutes les mesures susceptibles de faciliter la présentation des informations et en assurer l’accessibilité́ et publier les informations qu’elles ont délivré́ en réponse aux demandeurs sur leur site électronique ou sur d’autres sites électroniques , (iii) actualiser les informations qu’elles détiennent, les conserver et les classer pour les rendre facilement accessibles ( Art. 10) ; mettre en place des procédures d’accès à l’information (Art. 14, 15, 16 et 17) et une Commission du droit d’accès à l’information (Art. 22).  </w:t>
      </w:r>
    </w:p>
    <w:p w14:paraId="4ACD3241" w14:textId="77777777" w:rsidR="00A71D85" w:rsidRDefault="00A71D85" w:rsidP="00A71D85">
      <w:pPr>
        <w:spacing w:line="360" w:lineRule="auto"/>
        <w:rPr>
          <w:rFonts w:cstheme="minorHAnsi"/>
          <w:b/>
          <w:i/>
          <w:color w:val="000000"/>
          <w:shd w:val="clear" w:color="auto" w:fill="FFFFFF"/>
        </w:rPr>
      </w:pPr>
    </w:p>
    <w:p w14:paraId="78388EB4" w14:textId="2BFECA7D" w:rsidR="00A71D85" w:rsidRDefault="00A71D85" w:rsidP="00D85E9B">
      <w:pPr>
        <w:numPr>
          <w:ilvl w:val="0"/>
          <w:numId w:val="11"/>
        </w:numPr>
        <w:autoSpaceDE w:val="0"/>
        <w:autoSpaceDN w:val="0"/>
        <w:adjustRightInd w:val="0"/>
        <w:spacing w:before="120" w:after="0" w:line="360" w:lineRule="auto"/>
        <w:contextualSpacing/>
        <w:jc w:val="both"/>
        <w:rPr>
          <w:rFonts w:cstheme="minorHAnsi"/>
          <w:b/>
          <w:i/>
          <w:color w:val="000000"/>
          <w:shd w:val="clear" w:color="auto" w:fill="FFFFFF"/>
        </w:rPr>
      </w:pPr>
      <w:r w:rsidRPr="00D85E9B">
        <w:rPr>
          <w:rFonts w:cstheme="minorHAnsi"/>
          <w:b/>
          <w:i/>
          <w:color w:val="000000"/>
          <w:shd w:val="clear" w:color="auto" w:fill="FFFFFF"/>
        </w:rPr>
        <w:t>Loi n° 09-08 relative à la protection des personnes physiques à l’égard du traitement des données à caractère personnel</w:t>
      </w:r>
    </w:p>
    <w:p w14:paraId="00DC4F70" w14:textId="77777777" w:rsidR="0028523B" w:rsidRPr="00D85E9B" w:rsidRDefault="0028523B" w:rsidP="00D85E9B">
      <w:pPr>
        <w:pStyle w:val="Paranumbering"/>
        <w:numPr>
          <w:ilvl w:val="0"/>
          <w:numId w:val="9"/>
        </w:numPr>
        <w:ind w:left="426" w:right="-23" w:hanging="426"/>
        <w:rPr>
          <w:rFonts w:cstheme="minorHAnsi"/>
          <w:lang w:val="fr-FR"/>
        </w:rPr>
      </w:pPr>
      <w:r w:rsidRPr="00D85E9B">
        <w:rPr>
          <w:rFonts w:asciiTheme="minorHAnsi" w:hAnsiTheme="minorHAnsi" w:cstheme="minorHAnsi"/>
          <w:sz w:val="22"/>
          <w:szCs w:val="22"/>
          <w:lang w:val="fr-FR"/>
        </w:rPr>
        <w:t>La présente loi s’applique au traitement des données à caractère personnel, automatisé en tout ou en partie, ainsi qu’au traitement non automatisé de données à caractère personnel contenues ou appelées à figurer dans des fichiers manuels ;</w:t>
      </w:r>
    </w:p>
    <w:p w14:paraId="607A7409" w14:textId="77777777" w:rsidR="00AF5A84" w:rsidRDefault="0028523B" w:rsidP="0028523B">
      <w:pPr>
        <w:pStyle w:val="Paranumbering"/>
        <w:numPr>
          <w:ilvl w:val="0"/>
          <w:numId w:val="9"/>
        </w:numPr>
        <w:ind w:left="426" w:right="-23" w:hanging="426"/>
        <w:rPr>
          <w:rFonts w:asciiTheme="minorHAnsi" w:hAnsiTheme="minorHAnsi" w:cstheme="minorHAnsi"/>
          <w:sz w:val="22"/>
          <w:szCs w:val="22"/>
          <w:lang w:val="fr-FR"/>
        </w:rPr>
      </w:pPr>
      <w:r w:rsidRPr="00D85E9B">
        <w:rPr>
          <w:rFonts w:asciiTheme="minorHAnsi" w:hAnsiTheme="minorHAnsi" w:cstheme="minorHAnsi"/>
          <w:sz w:val="22"/>
          <w:szCs w:val="22"/>
          <w:lang w:val="fr-FR"/>
        </w:rPr>
        <w:t xml:space="preserve">L’article premier dispose « L’informatique est au service du citoyen et évolue dans le cadre de la coopération internationale. Elle ne doit pas porter atteinte à l’identité, aux droits et aux libertés collectives ou individuelles de l’Homme. Elle ne doit pas constituer un moyen de divulguer des secrets de la vie privée des citoyens ». Ainsi, l’objectif de la loi 09-08 est de doter l’arsenal juridique marocain d’un instrument juridique de protection des particuliers, contre les abus d’utilisation des données de nature à porter atteinte à leur vie privée, et d’harmoniser le système national de protection des données personnelles à celles de ses partenaires tels que définis par les instances européennes. </w:t>
      </w:r>
    </w:p>
    <w:p w14:paraId="0A6FD770" w14:textId="77777777" w:rsidR="004B1319" w:rsidRPr="004B2B65" w:rsidRDefault="0028523B" w:rsidP="00D85E9B">
      <w:pPr>
        <w:pStyle w:val="Paranumbering"/>
        <w:numPr>
          <w:ilvl w:val="0"/>
          <w:numId w:val="9"/>
        </w:numPr>
        <w:ind w:left="426" w:right="-23" w:hanging="426"/>
        <w:rPr>
          <w:rFonts w:asciiTheme="minorHAnsi" w:hAnsiTheme="minorHAnsi" w:cstheme="minorHAnsi"/>
          <w:sz w:val="22"/>
          <w:szCs w:val="22"/>
          <w:lang w:val="fr-FR"/>
        </w:rPr>
      </w:pPr>
      <w:bookmarkStart w:id="111" w:name="_Toc72772013"/>
      <w:r w:rsidRPr="00D85E9B">
        <w:rPr>
          <w:rFonts w:asciiTheme="minorHAnsi" w:hAnsiTheme="minorHAnsi" w:cstheme="minorHAnsi"/>
          <w:sz w:val="22"/>
          <w:szCs w:val="22"/>
          <w:lang w:val="fr-FR"/>
        </w:rPr>
        <w:t xml:space="preserve">Un décret pour l’application de cette loi a été publié au Bulletin Officiel du 18 juin 2009. Une commission nationale du contrôle et de la protection des données </w:t>
      </w:r>
      <w:r w:rsidRPr="00D85E9B">
        <w:rPr>
          <w:rFonts w:asciiTheme="minorHAnsi" w:hAnsiTheme="minorHAnsi" w:cstheme="minorHAnsi"/>
          <w:sz w:val="22"/>
          <w:szCs w:val="22"/>
          <w:lang w:val="fr-FR"/>
        </w:rPr>
        <w:t>personnels (CNDP) a été créée afin de veiller au respect et à l’exécution des dispositions de la loi précitée</w:t>
      </w:r>
      <w:r w:rsidR="004B1319" w:rsidRPr="004B1319">
        <w:rPr>
          <w:rFonts w:asciiTheme="minorHAnsi" w:hAnsiTheme="minorHAnsi" w:cstheme="minorHAnsi"/>
          <w:sz w:val="22"/>
          <w:szCs w:val="22"/>
          <w:lang w:val="fr-FR"/>
        </w:rPr>
        <w:t>.</w:t>
      </w:r>
      <w:bookmarkStart w:id="112" w:name="_Toc496827328"/>
      <w:bookmarkStart w:id="113" w:name="_Toc40218563"/>
      <w:bookmarkStart w:id="114" w:name="_Toc40219601"/>
      <w:bookmarkEnd w:id="111"/>
    </w:p>
    <w:p w14:paraId="45B0C4D3" w14:textId="09C51722" w:rsidR="00CE17F8" w:rsidRDefault="00CE17F8" w:rsidP="00CE17F8">
      <w:pPr>
        <w:pStyle w:val="Heading3"/>
        <w:rPr>
          <w:rFonts w:ascii="Candara" w:hAnsi="Candara"/>
          <w:color w:val="auto"/>
          <w:lang w:val="fr-FR"/>
        </w:rPr>
      </w:pPr>
      <w:bookmarkStart w:id="115" w:name="_Toc74241395"/>
      <w:r w:rsidRPr="00046E7D">
        <w:rPr>
          <w:rFonts w:ascii="Candara" w:hAnsi="Candara"/>
          <w:color w:val="auto"/>
          <w:lang w:val="fr-FR"/>
        </w:rPr>
        <w:t>3.</w:t>
      </w:r>
      <w:r w:rsidR="00B85ECA">
        <w:rPr>
          <w:rFonts w:ascii="Candara" w:hAnsi="Candara"/>
          <w:color w:val="auto"/>
          <w:lang w:val="fr-FR"/>
        </w:rPr>
        <w:t>2</w:t>
      </w:r>
      <w:r w:rsidRPr="00046E7D">
        <w:rPr>
          <w:rFonts w:ascii="Candara" w:hAnsi="Candara"/>
          <w:color w:val="auto"/>
          <w:lang w:val="fr-FR"/>
        </w:rPr>
        <w:t>.2 Principales institutions concernées par la gestion sociale</w:t>
      </w:r>
      <w:bookmarkEnd w:id="112"/>
      <w:bookmarkEnd w:id="113"/>
      <w:bookmarkEnd w:id="114"/>
      <w:bookmarkEnd w:id="115"/>
    </w:p>
    <w:p w14:paraId="6C46F819" w14:textId="77777777" w:rsidR="00BC2B18" w:rsidRPr="004B1319" w:rsidRDefault="00BC2B18" w:rsidP="00D85E9B">
      <w:pPr>
        <w:spacing w:after="0"/>
      </w:pPr>
    </w:p>
    <w:p w14:paraId="79A7CCD9" w14:textId="28AF5451" w:rsidR="00124E7D" w:rsidRPr="00D85E9B" w:rsidRDefault="00124E7D" w:rsidP="00D85E9B">
      <w:pPr>
        <w:numPr>
          <w:ilvl w:val="0"/>
          <w:numId w:val="11"/>
        </w:numPr>
        <w:autoSpaceDE w:val="0"/>
        <w:autoSpaceDN w:val="0"/>
        <w:adjustRightInd w:val="0"/>
        <w:spacing w:before="120" w:after="0" w:line="360" w:lineRule="auto"/>
        <w:contextualSpacing/>
        <w:jc w:val="both"/>
        <w:rPr>
          <w:rFonts w:ascii="Cambria" w:eastAsia="Times New Roman" w:hAnsi="Cambria" w:cs="Times New Roman"/>
          <w:b/>
          <w:iCs/>
          <w:color w:val="4F81BD"/>
          <w:sz w:val="24"/>
          <w:szCs w:val="24"/>
        </w:rPr>
      </w:pPr>
      <w:bookmarkStart w:id="116" w:name="_Toc72442363"/>
      <w:bookmarkStart w:id="117" w:name="_Toc72442658"/>
      <w:bookmarkStart w:id="118" w:name="_Toc72772015"/>
      <w:bookmarkStart w:id="119" w:name="_Toc72919061"/>
      <w:bookmarkStart w:id="120" w:name="_Toc72921191"/>
      <w:bookmarkStart w:id="121" w:name="_Toc72924287"/>
      <w:r w:rsidRPr="008A2D29">
        <w:rPr>
          <w:iCs/>
        </w:rPr>
        <w:t xml:space="preserve">La </w:t>
      </w:r>
      <w:r w:rsidRPr="00D85E9B">
        <w:rPr>
          <w:rFonts w:eastAsia="ヒラギノ角ゴ Pro W3" w:cstheme="minorHAnsi"/>
          <w:color w:val="000000"/>
        </w:rPr>
        <w:t>responsabilité</w:t>
      </w:r>
      <w:r w:rsidRPr="008A2D29">
        <w:rPr>
          <w:iCs/>
        </w:rPr>
        <w:t xml:space="preserve"> de la gestion sociale incombe à une multitude d’institutions. La gestion des risques liés à la discrimination à l’égard de la femme et des groupes sociaux vulnérables ou défavorisés et la mise en  œuvre des principes d’équité et de non-discrimination reconnus par la constitution et déclinés sous forme de Politiques nationales incombe au ministère de la Solidarité dont une Direction centrale est dédié à la femme et une autre direction centrale est dédiée aux personnes en situation de handicap, mais aussi aux Collectivités territoriales (la Région et la Commune). La gestion des risques liés à l’emploi et aux conditions de travail est assurée par le </w:t>
      </w:r>
      <w:r w:rsidRPr="008A2D29">
        <w:rPr>
          <w:iCs/>
        </w:rPr>
        <w:lastRenderedPageBreak/>
        <w:t>ministère de l’emploi et de l’insertion professionnelle, essentiellement à l’aide des Inspecteurs du travail.</w:t>
      </w:r>
      <w:bookmarkEnd w:id="116"/>
      <w:bookmarkEnd w:id="117"/>
      <w:bookmarkEnd w:id="118"/>
      <w:bookmarkEnd w:id="119"/>
      <w:bookmarkEnd w:id="120"/>
      <w:bookmarkEnd w:id="121"/>
      <w:r w:rsidRPr="008A2D29">
        <w:rPr>
          <w:iCs/>
        </w:rPr>
        <w:t xml:space="preserve"> </w:t>
      </w:r>
    </w:p>
    <w:p w14:paraId="356A9712" w14:textId="7B639196" w:rsidR="00124E7D" w:rsidRPr="00603179" w:rsidRDefault="00124E7D" w:rsidP="00D85E9B">
      <w:pPr>
        <w:numPr>
          <w:ilvl w:val="0"/>
          <w:numId w:val="11"/>
        </w:numPr>
        <w:autoSpaceDE w:val="0"/>
        <w:autoSpaceDN w:val="0"/>
        <w:adjustRightInd w:val="0"/>
        <w:spacing w:before="120" w:after="0" w:line="360" w:lineRule="auto"/>
        <w:contextualSpacing/>
        <w:jc w:val="both"/>
        <w:rPr>
          <w:iCs/>
        </w:rPr>
      </w:pPr>
      <w:bookmarkStart w:id="122" w:name="_Toc72442364"/>
      <w:bookmarkStart w:id="123" w:name="_Toc72442659"/>
      <w:bookmarkStart w:id="124" w:name="_Toc72772016"/>
      <w:bookmarkStart w:id="125" w:name="_Toc72919062"/>
      <w:bookmarkStart w:id="126" w:name="_Toc72921192"/>
      <w:bookmarkStart w:id="127" w:name="_Toc72924288"/>
      <w:r w:rsidRPr="00603179">
        <w:rPr>
          <w:iCs/>
        </w:rPr>
        <w:t xml:space="preserve">Les recours </w:t>
      </w:r>
      <w:r w:rsidRPr="00D85E9B">
        <w:rPr>
          <w:rStyle w:val="hps"/>
        </w:rPr>
        <w:t>sont</w:t>
      </w:r>
      <w:r w:rsidRPr="00603179">
        <w:rPr>
          <w:iCs/>
        </w:rPr>
        <w:t xml:space="preserve"> assurés essentiellement par deux mécanismes, un mécanisme de médiation par une institution constitutionnelle indépendante, le Médiateur</w:t>
      </w:r>
      <w:r>
        <w:rPr>
          <w:iCs/>
        </w:rPr>
        <w:t>,</w:t>
      </w:r>
      <w:r w:rsidRPr="00603179">
        <w:rPr>
          <w:iCs/>
        </w:rPr>
        <w:t xml:space="preserve"> au niveau </w:t>
      </w:r>
      <w:r w:rsidRPr="00603179">
        <w:rPr>
          <w:iCs/>
        </w:rPr>
        <w:t xml:space="preserve">central et au niveau des régions et un mécanisme de </w:t>
      </w:r>
      <w:r>
        <w:rPr>
          <w:iCs/>
        </w:rPr>
        <w:t>gestion des</w:t>
      </w:r>
      <w:r w:rsidRPr="00603179">
        <w:rPr>
          <w:iCs/>
        </w:rPr>
        <w:t xml:space="preserve"> plaintes constitué de structures créées au niveau de chaque administration ou collectivité </w:t>
      </w:r>
      <w:r>
        <w:rPr>
          <w:iCs/>
        </w:rPr>
        <w:t xml:space="preserve">territoriale </w:t>
      </w:r>
      <w:r w:rsidRPr="00603179">
        <w:rPr>
          <w:iCs/>
        </w:rPr>
        <w:t>en vertu du décret n° 2-17-265 fixant les modalités de réception</w:t>
      </w:r>
      <w:r>
        <w:rPr>
          <w:iCs/>
        </w:rPr>
        <w:t>, du suivi et de</w:t>
      </w:r>
      <w:r w:rsidRPr="00603179">
        <w:rPr>
          <w:iCs/>
        </w:rPr>
        <w:t xml:space="preserve"> traitement des </w:t>
      </w:r>
      <w:r>
        <w:rPr>
          <w:iCs/>
        </w:rPr>
        <w:t>ré</w:t>
      </w:r>
      <w:r w:rsidRPr="00603179">
        <w:rPr>
          <w:iCs/>
        </w:rPr>
        <w:t xml:space="preserve">clamations </w:t>
      </w:r>
      <w:r>
        <w:rPr>
          <w:iCs/>
        </w:rPr>
        <w:t xml:space="preserve">des usagers </w:t>
      </w:r>
      <w:r w:rsidRPr="00603179">
        <w:rPr>
          <w:iCs/>
        </w:rPr>
        <w:t>et de la plateforme Chikaya.ma gérée par l’ADD.</w:t>
      </w:r>
      <w:bookmarkEnd w:id="122"/>
      <w:bookmarkEnd w:id="123"/>
      <w:bookmarkEnd w:id="124"/>
      <w:bookmarkEnd w:id="125"/>
      <w:bookmarkEnd w:id="126"/>
      <w:bookmarkEnd w:id="127"/>
      <w:r w:rsidRPr="00603179">
        <w:rPr>
          <w:iCs/>
        </w:rPr>
        <w:t xml:space="preserve"> </w:t>
      </w:r>
    </w:p>
    <w:p w14:paraId="5864C833" w14:textId="02B318C4" w:rsidR="00CE17F8" w:rsidRPr="00D85E9B" w:rsidRDefault="00CE17F8" w:rsidP="004B2B65">
      <w:pPr>
        <w:pStyle w:val="Heading3"/>
        <w:rPr>
          <w:rFonts w:ascii="Candara" w:hAnsi="Candara"/>
          <w:color w:val="auto"/>
          <w:lang w:val="fr-FR"/>
        </w:rPr>
      </w:pPr>
      <w:bookmarkStart w:id="128" w:name="_Toc496827330"/>
      <w:bookmarkStart w:id="129" w:name="_Toc40218565"/>
      <w:bookmarkStart w:id="130" w:name="_Toc40219603"/>
      <w:bookmarkStart w:id="131" w:name="_Toc74241396"/>
      <w:r w:rsidRPr="00D85E9B">
        <w:rPr>
          <w:rFonts w:ascii="Candara" w:hAnsi="Candara"/>
          <w:color w:val="auto"/>
          <w:lang w:val="fr-FR"/>
        </w:rPr>
        <w:t>3.</w:t>
      </w:r>
      <w:r w:rsidR="004C3E12" w:rsidRPr="00D85E9B">
        <w:rPr>
          <w:rFonts w:ascii="Candara" w:hAnsi="Candara"/>
          <w:color w:val="auto"/>
          <w:lang w:val="fr-FR"/>
        </w:rPr>
        <w:t>2</w:t>
      </w:r>
      <w:r w:rsidRPr="00D85E9B">
        <w:rPr>
          <w:rFonts w:ascii="Candara" w:hAnsi="Candara"/>
          <w:color w:val="auto"/>
          <w:lang w:val="fr-FR"/>
        </w:rPr>
        <w:t>.</w:t>
      </w:r>
      <w:r w:rsidR="004C3E12" w:rsidRPr="00D85E9B">
        <w:rPr>
          <w:rFonts w:ascii="Candara" w:hAnsi="Candara"/>
          <w:color w:val="auto"/>
          <w:lang w:val="fr-FR"/>
        </w:rPr>
        <w:t xml:space="preserve">3 </w:t>
      </w:r>
      <w:r w:rsidRPr="00D85E9B">
        <w:rPr>
          <w:rFonts w:ascii="Candara" w:hAnsi="Candara"/>
          <w:color w:val="auto"/>
          <w:lang w:val="fr-FR"/>
        </w:rPr>
        <w:t>Procédures de gestion sociale applicables</w:t>
      </w:r>
      <w:bookmarkEnd w:id="128"/>
      <w:bookmarkEnd w:id="129"/>
      <w:bookmarkEnd w:id="130"/>
      <w:bookmarkEnd w:id="131"/>
    </w:p>
    <w:p w14:paraId="17300ADF" w14:textId="0E0E2026" w:rsidR="00124E7D" w:rsidRDefault="00124E7D" w:rsidP="00D85E9B">
      <w:pPr>
        <w:numPr>
          <w:ilvl w:val="0"/>
          <w:numId w:val="11"/>
        </w:numPr>
        <w:autoSpaceDE w:val="0"/>
        <w:autoSpaceDN w:val="0"/>
        <w:adjustRightInd w:val="0"/>
        <w:spacing w:before="120" w:after="0" w:line="360" w:lineRule="auto"/>
        <w:contextualSpacing/>
        <w:jc w:val="both"/>
        <w:rPr>
          <w:rStyle w:val="hps"/>
          <w:rFonts w:ascii="Cambria" w:hAnsi="Cambria" w:cstheme="minorHAnsi"/>
          <w:b/>
          <w:bCs/>
          <w:color w:val="4F81BD"/>
          <w:szCs w:val="24"/>
        </w:rPr>
      </w:pPr>
      <w:r>
        <w:rPr>
          <w:rStyle w:val="hps"/>
          <w:rFonts w:cstheme="minorHAnsi"/>
        </w:rPr>
        <w:t xml:space="preserve">. La procédure de gestion des risques liés à l’emploi et aux conditions de travail et la procédure de recours des travailleurs sont définies dans le Code du travail. </w:t>
      </w:r>
    </w:p>
    <w:p w14:paraId="431A6813" w14:textId="49AF4F2D" w:rsidR="0077096E" w:rsidRDefault="00124E7D" w:rsidP="00D85E9B">
      <w:pPr>
        <w:numPr>
          <w:ilvl w:val="0"/>
          <w:numId w:val="11"/>
        </w:numPr>
        <w:autoSpaceDE w:val="0"/>
        <w:autoSpaceDN w:val="0"/>
        <w:adjustRightInd w:val="0"/>
        <w:spacing w:before="120" w:after="0" w:line="360" w:lineRule="auto"/>
        <w:contextualSpacing/>
        <w:jc w:val="both"/>
        <w:rPr>
          <w:rStyle w:val="hps"/>
          <w:rFonts w:ascii="Candara" w:hAnsi="Candara"/>
          <w:sz w:val="28"/>
          <w:szCs w:val="28"/>
        </w:rPr>
      </w:pPr>
      <w:r>
        <w:rPr>
          <w:rStyle w:val="hps"/>
          <w:rFonts w:cstheme="minorHAnsi"/>
        </w:rPr>
        <w:t>La procédure de gestion des plaintes est définie par le décret n°2-17-265 qui fixe les modalités de réception, de suivi et de traitement des plaintes des usagers des services de l’administration.</w:t>
      </w:r>
      <w:r w:rsidR="008512EC">
        <w:rPr>
          <w:rStyle w:val="hps"/>
          <w:rFonts w:cstheme="minorHAnsi"/>
        </w:rPr>
        <w:t xml:space="preserve"> C’est le décret qui a permis l’opérationnalisation du système Chikaya.ma.</w:t>
      </w:r>
      <w:r>
        <w:rPr>
          <w:rStyle w:val="hps"/>
          <w:rFonts w:cstheme="minorHAnsi"/>
        </w:rPr>
        <w:t xml:space="preserve"> Les procédures de gestion de l’emploi et des conditions de travail sont fixées par le Code du travail (loi n° 65-99).</w:t>
      </w:r>
      <w:bookmarkStart w:id="132" w:name="_Toc496827331"/>
      <w:r w:rsidR="0077096E">
        <w:rPr>
          <w:rStyle w:val="hps"/>
          <w:rFonts w:ascii="Candara" w:hAnsi="Candara"/>
          <w:sz w:val="28"/>
          <w:szCs w:val="28"/>
        </w:rPr>
        <w:br w:type="page"/>
      </w:r>
    </w:p>
    <w:p w14:paraId="62F82F08" w14:textId="0206348B" w:rsidR="0060031A" w:rsidRPr="0012189B" w:rsidRDefault="0060031A" w:rsidP="00D85E9B">
      <w:pPr>
        <w:pStyle w:val="Heading1"/>
        <w:rPr>
          <w:rFonts w:ascii="Candara" w:hAnsi="Candara"/>
          <w:sz w:val="28"/>
          <w:szCs w:val="28"/>
          <w:lang w:val="fr-FR"/>
        </w:rPr>
      </w:pPr>
      <w:bookmarkStart w:id="133" w:name="_Toc74241397"/>
      <w:r w:rsidRPr="0012189B">
        <w:rPr>
          <w:rFonts w:ascii="Candara" w:hAnsi="Candara"/>
          <w:sz w:val="28"/>
          <w:szCs w:val="28"/>
          <w:lang w:val="fr-FR"/>
        </w:rPr>
        <w:lastRenderedPageBreak/>
        <w:t>4 Évaluation de la capacité et de la performance institutionnelle</w:t>
      </w:r>
      <w:bookmarkEnd w:id="132"/>
      <w:bookmarkEnd w:id="133"/>
    </w:p>
    <w:p w14:paraId="36FE51F4" w14:textId="77777777" w:rsidR="00C76C27" w:rsidRDefault="00C76C27" w:rsidP="0060031A">
      <w:pPr>
        <w:autoSpaceDE w:val="0"/>
        <w:autoSpaceDN w:val="0"/>
        <w:spacing w:after="0" w:line="240" w:lineRule="auto"/>
        <w:ind w:left="709" w:right="709"/>
        <w:jc w:val="both"/>
        <w:rPr>
          <w:rFonts w:eastAsia="Calibri"/>
          <w:iCs/>
          <w:sz w:val="20"/>
          <w:szCs w:val="20"/>
        </w:rPr>
      </w:pPr>
    </w:p>
    <w:p w14:paraId="663125D0" w14:textId="4E5892A3" w:rsidR="0060031A" w:rsidRPr="00046E7D" w:rsidRDefault="0060031A" w:rsidP="00046E7D">
      <w:pPr>
        <w:spacing w:line="240" w:lineRule="auto"/>
        <w:ind w:left="1134" w:right="686"/>
        <w:jc w:val="both"/>
        <w:rPr>
          <w:rFonts w:ascii="Candara" w:hAnsi="Candara"/>
          <w:i/>
          <w:iCs/>
          <w:sz w:val="20"/>
          <w:szCs w:val="20"/>
        </w:rPr>
      </w:pPr>
      <w:r w:rsidRPr="00046E7D">
        <w:rPr>
          <w:rFonts w:ascii="Candara" w:hAnsi="Candara"/>
          <w:i/>
          <w:iCs/>
          <w:sz w:val="20"/>
          <w:szCs w:val="20"/>
        </w:rPr>
        <w:t>Cette section synthétise l’évaluation des capacités effectives des institutions en charge de la mise en œuvre du programme en matière de gestion environnementale et sociale, à la lumière des leurs dispositifs, procédures et montages institutionnels. En particulier, les aspects suivants sont pris en compte : (i) L’adéquation de l’architecture institutionnelle et de la division des tâches par rapport à l’achèvement des objectifs de gestion environnementale et sociale du Programme proposé ; (ii) L’adéquation des capacités institutionnelles (en termes de personnel, ressources financières, formation, etc.) pour assumer les différentes responsabilités environnementale et sociale dans le cadre du Programme proposé ; (iii) L’efficacité des formes de concertation entre différentes agences et institutions et (iv) La performance des agences d’exécution du Programme par rapport à une mise en œuvre adéquate du Programme.</w:t>
      </w:r>
    </w:p>
    <w:p w14:paraId="06848996" w14:textId="77777777" w:rsidR="0060031A" w:rsidRPr="003A404D" w:rsidRDefault="0060031A" w:rsidP="0060031A">
      <w:pPr>
        <w:spacing w:after="0"/>
      </w:pPr>
    </w:p>
    <w:p w14:paraId="259EFDFC" w14:textId="1F0F0F1F" w:rsidR="0060031A" w:rsidRPr="00046E7D" w:rsidRDefault="0060031A" w:rsidP="0060031A">
      <w:pPr>
        <w:pStyle w:val="Heading2"/>
        <w:rPr>
          <w:rFonts w:ascii="Candara" w:hAnsi="Candara"/>
          <w:color w:val="auto"/>
          <w:lang w:val="fr-FR"/>
        </w:rPr>
      </w:pPr>
      <w:bookmarkStart w:id="134" w:name="_Toc496827332"/>
      <w:bookmarkStart w:id="135" w:name="_Toc74241398"/>
      <w:r w:rsidRPr="00046E7D">
        <w:rPr>
          <w:rFonts w:ascii="Candara" w:hAnsi="Candara"/>
          <w:color w:val="auto"/>
          <w:lang w:val="fr-FR"/>
        </w:rPr>
        <w:t>4.1 Adéquation des systèmes applicables</w:t>
      </w:r>
      <w:bookmarkEnd w:id="134"/>
      <w:bookmarkEnd w:id="135"/>
      <w:r w:rsidRPr="00046E7D">
        <w:rPr>
          <w:rFonts w:ascii="Candara" w:hAnsi="Candara"/>
          <w:color w:val="auto"/>
          <w:lang w:val="fr-FR"/>
        </w:rPr>
        <w:t xml:space="preserve"> </w:t>
      </w:r>
    </w:p>
    <w:p w14:paraId="5F8272C1" w14:textId="29532D5A" w:rsidR="0060031A" w:rsidRPr="001C6D8C" w:rsidRDefault="0060031A" w:rsidP="00D85E9B">
      <w:pPr>
        <w:pStyle w:val="Heading3"/>
        <w:numPr>
          <w:ilvl w:val="2"/>
          <w:numId w:val="24"/>
        </w:numPr>
        <w:rPr>
          <w:rFonts w:ascii="Candara" w:hAnsi="Candara" w:cstheme="minorHAnsi"/>
          <w:color w:val="auto"/>
          <w:lang w:val="fr-FR"/>
        </w:rPr>
      </w:pPr>
      <w:bookmarkStart w:id="136" w:name="_Toc74241399"/>
      <w:bookmarkStart w:id="137" w:name="_Toc496827333"/>
      <w:r w:rsidRPr="001C6D8C">
        <w:rPr>
          <w:rFonts w:ascii="Candara" w:hAnsi="Candara" w:cstheme="minorHAnsi"/>
          <w:color w:val="auto"/>
          <w:lang w:val="fr-FR"/>
        </w:rPr>
        <w:t>Système de gestion environnementale</w:t>
      </w:r>
      <w:bookmarkEnd w:id="136"/>
      <w:r w:rsidRPr="001C6D8C">
        <w:rPr>
          <w:rFonts w:ascii="Candara" w:hAnsi="Candara" w:cstheme="minorHAnsi"/>
          <w:color w:val="auto"/>
          <w:lang w:val="fr-FR"/>
        </w:rPr>
        <w:t xml:space="preserve"> </w:t>
      </w:r>
      <w:bookmarkEnd w:id="137"/>
    </w:p>
    <w:p w14:paraId="2A793786" w14:textId="77777777" w:rsidR="0060031A" w:rsidRPr="00046E7D" w:rsidRDefault="0060031A" w:rsidP="00D85E9B">
      <w:pPr>
        <w:numPr>
          <w:ilvl w:val="0"/>
          <w:numId w:val="11"/>
        </w:numPr>
        <w:autoSpaceDE w:val="0"/>
        <w:autoSpaceDN w:val="0"/>
        <w:adjustRightInd w:val="0"/>
        <w:spacing w:before="120" w:after="0" w:line="360" w:lineRule="auto"/>
        <w:contextualSpacing/>
        <w:jc w:val="both"/>
        <w:rPr>
          <w:rStyle w:val="hps"/>
          <w:rFonts w:ascii="Cambria" w:hAnsi="Cambria" w:cstheme="minorHAnsi"/>
          <w:b/>
          <w:bCs/>
          <w:color w:val="4F81BD"/>
          <w:szCs w:val="24"/>
        </w:rPr>
      </w:pPr>
      <w:r w:rsidRPr="00046E7D">
        <w:rPr>
          <w:rStyle w:val="hps"/>
          <w:rFonts w:cstheme="minorHAnsi"/>
        </w:rPr>
        <w:t>Le système national d'EIE a été mis en place depuis 1991 et a fait l'objet de plusieurs actions de renforcement durant les vingt dernières années. Il est actuellement bien rodé, intégré dans le processus de prise de décision et permet de garantir le traitement adéquat des impacts environnementaux des nouveaux projets assujettis à l'EIE. A cet égard, le système permet l'analyse détaillée des impacts sur l'environnement et l'identification des mesures à mettre en œuvre pour supprimer, atténuer ou de compenser les impacts négatifs à des niveaux acceptables. Un Plan de Suivi et de Surveillance Environnementale (PSSE) est exigé systématiquement pour assurer un contrôle et un suivi de la conformité des projets approuvés lors des phases de construction et de fonctionnement.</w:t>
      </w:r>
    </w:p>
    <w:p w14:paraId="3192C6AD" w14:textId="584557BB" w:rsidR="0060031A" w:rsidRPr="00046E7D" w:rsidRDefault="0060031A" w:rsidP="00D85E9B">
      <w:pPr>
        <w:numPr>
          <w:ilvl w:val="0"/>
          <w:numId w:val="11"/>
        </w:numPr>
        <w:autoSpaceDE w:val="0"/>
        <w:autoSpaceDN w:val="0"/>
        <w:adjustRightInd w:val="0"/>
        <w:spacing w:before="120" w:after="0" w:line="360" w:lineRule="auto"/>
        <w:contextualSpacing/>
        <w:jc w:val="both"/>
        <w:rPr>
          <w:rStyle w:val="hps"/>
          <w:rFonts w:cstheme="minorHAnsi"/>
        </w:rPr>
      </w:pPr>
      <w:r w:rsidRPr="00046E7D">
        <w:rPr>
          <w:rStyle w:val="hps"/>
          <w:rFonts w:cstheme="minorHAnsi"/>
        </w:rPr>
        <w:t>Sur le plan institutionnel, l'organisme public responsable de la gestion du système d'EIE, dispose d'une bonne expérience et des compétences nécessaires, particulièrement dans le domaine de l'examen des EIE, du contrôle de la mise en œuvre des P</w:t>
      </w:r>
      <w:r w:rsidR="00470479" w:rsidRPr="00046E7D">
        <w:rPr>
          <w:rStyle w:val="hps"/>
          <w:rFonts w:cstheme="minorHAnsi"/>
        </w:rPr>
        <w:t>SSE</w:t>
      </w:r>
      <w:r w:rsidRPr="00046E7D">
        <w:rPr>
          <w:rStyle w:val="hps"/>
          <w:rFonts w:cstheme="minorHAnsi"/>
        </w:rPr>
        <w:t xml:space="preserve"> et du suivi des milieux (air, eau, sol).</w:t>
      </w:r>
    </w:p>
    <w:p w14:paraId="746F2A5D" w14:textId="3C428C64" w:rsidR="000F2C0F" w:rsidRDefault="000F2C0F" w:rsidP="00D85E9B">
      <w:pPr>
        <w:numPr>
          <w:ilvl w:val="0"/>
          <w:numId w:val="11"/>
        </w:numPr>
        <w:autoSpaceDE w:val="0"/>
        <w:autoSpaceDN w:val="0"/>
        <w:adjustRightInd w:val="0"/>
        <w:spacing w:before="120" w:after="0" w:line="360" w:lineRule="auto"/>
        <w:contextualSpacing/>
        <w:jc w:val="both"/>
        <w:rPr>
          <w:rStyle w:val="hps"/>
          <w:rFonts w:cstheme="minorHAnsi"/>
        </w:rPr>
      </w:pPr>
      <w:r w:rsidRPr="000F2C0F">
        <w:rPr>
          <w:rStyle w:val="hps"/>
          <w:rFonts w:cstheme="minorHAnsi"/>
        </w:rPr>
        <w:t>En matière de gestion environnementale, la législation marocaine comporte plusieurs textes de lois adossés par des documents (guides, Plans nationaux et territoriaux), couvrant de très nombreux aspects (protection et mise en valeur de l'environnement, consécration des principes du développement durable, changements climatiques, modalités d’organisation de l’enquête publique, pollution de l’air, gestion des déchets, etc.). Sachant que le Programme ne finance pas d’activités comportant des risques environnementaux et sociaux élevés ou substantiels ni d’activités structurelles mais soutient plutôt des assistances, des formations et de l’expertise, il ne sera donc pas soumis à l’EIE. Le système de gestion environnementale appliqué au programme se présente donc globalement adéquat à la vue des dispositions de la Politique sur</w:t>
      </w:r>
      <w:r>
        <w:rPr>
          <w:rStyle w:val="hps"/>
          <w:rFonts w:cstheme="minorHAnsi"/>
        </w:rPr>
        <w:t xml:space="preserve"> </w:t>
      </w:r>
      <w:r w:rsidRPr="000F2C0F">
        <w:rPr>
          <w:rStyle w:val="hps"/>
          <w:rFonts w:cstheme="minorHAnsi"/>
        </w:rPr>
        <w:t>le PPR.</w:t>
      </w:r>
    </w:p>
    <w:p w14:paraId="41A0F2A9" w14:textId="40290693" w:rsidR="0060031A" w:rsidRPr="00531B91" w:rsidRDefault="0060031A" w:rsidP="00D85E9B">
      <w:pPr>
        <w:pStyle w:val="Heading3"/>
        <w:numPr>
          <w:ilvl w:val="2"/>
          <w:numId w:val="24"/>
        </w:numPr>
        <w:rPr>
          <w:rFonts w:ascii="Candara" w:hAnsi="Candara" w:cstheme="minorHAnsi"/>
          <w:color w:val="auto"/>
          <w:lang w:val="fr-FR"/>
        </w:rPr>
      </w:pPr>
      <w:bookmarkStart w:id="138" w:name="_Toc496827335"/>
      <w:bookmarkStart w:id="139" w:name="_Toc74241400"/>
      <w:r w:rsidRPr="00D85E9B">
        <w:rPr>
          <w:rFonts w:ascii="Candara" w:hAnsi="Candara" w:cstheme="minorHAnsi"/>
          <w:color w:val="auto"/>
          <w:lang w:val="fr-FR"/>
        </w:rPr>
        <w:lastRenderedPageBreak/>
        <w:t>Système de gestion sociale</w:t>
      </w:r>
      <w:bookmarkEnd w:id="138"/>
      <w:bookmarkEnd w:id="139"/>
    </w:p>
    <w:p w14:paraId="1ACBA2C9" w14:textId="6119FB82" w:rsidR="00891CE5" w:rsidRPr="00D85E9B" w:rsidRDefault="009014CF" w:rsidP="00D85E9B">
      <w:pPr>
        <w:numPr>
          <w:ilvl w:val="0"/>
          <w:numId w:val="11"/>
        </w:numPr>
        <w:autoSpaceDE w:val="0"/>
        <w:autoSpaceDN w:val="0"/>
        <w:adjustRightInd w:val="0"/>
        <w:spacing w:before="120" w:after="0" w:line="360" w:lineRule="auto"/>
        <w:contextualSpacing/>
        <w:jc w:val="both"/>
        <w:rPr>
          <w:rStyle w:val="hps"/>
          <w:rFonts w:cstheme="minorHAnsi"/>
        </w:rPr>
      </w:pPr>
      <w:r w:rsidRPr="001F6031">
        <w:rPr>
          <w:rStyle w:val="hps"/>
          <w:rFonts w:cstheme="minorHAnsi"/>
        </w:rPr>
        <w:t xml:space="preserve">Le </w:t>
      </w:r>
      <w:r w:rsidR="004601AF" w:rsidRPr="001C6D8C">
        <w:rPr>
          <w:rStyle w:val="hps"/>
          <w:rFonts w:cstheme="minorHAnsi"/>
        </w:rPr>
        <w:t>dispositif</w:t>
      </w:r>
      <w:r w:rsidRPr="001C6D8C">
        <w:rPr>
          <w:rStyle w:val="hps"/>
          <w:rFonts w:cstheme="minorHAnsi"/>
        </w:rPr>
        <w:t xml:space="preserve"> législatif et réglementaire en matière social </w:t>
      </w:r>
      <w:r w:rsidR="00E11DB8">
        <w:rPr>
          <w:rStyle w:val="hps"/>
          <w:rFonts w:cstheme="minorHAnsi"/>
        </w:rPr>
        <w:t xml:space="preserve">au Maroc </w:t>
      </w:r>
      <w:r w:rsidRPr="001F6031">
        <w:rPr>
          <w:rStyle w:val="hps"/>
          <w:rFonts w:cstheme="minorHAnsi"/>
        </w:rPr>
        <w:t xml:space="preserve">est </w:t>
      </w:r>
      <w:r w:rsidR="00E11DB8">
        <w:rPr>
          <w:rStyle w:val="hps"/>
          <w:rFonts w:cstheme="minorHAnsi"/>
        </w:rPr>
        <w:t xml:space="preserve">très </w:t>
      </w:r>
      <w:r w:rsidR="00BC2B18">
        <w:rPr>
          <w:rStyle w:val="hps"/>
          <w:rFonts w:cstheme="minorHAnsi"/>
        </w:rPr>
        <w:t>consist</w:t>
      </w:r>
      <w:r w:rsidR="007E0FB3">
        <w:rPr>
          <w:rStyle w:val="hps"/>
          <w:rFonts w:cstheme="minorHAnsi"/>
        </w:rPr>
        <w:t>a</w:t>
      </w:r>
      <w:r w:rsidR="00BC2B18">
        <w:rPr>
          <w:rStyle w:val="hps"/>
          <w:rFonts w:cstheme="minorHAnsi"/>
        </w:rPr>
        <w:t>nt</w:t>
      </w:r>
      <w:r w:rsidRPr="001F6031">
        <w:rPr>
          <w:rStyle w:val="hps"/>
          <w:rFonts w:cstheme="minorHAnsi"/>
        </w:rPr>
        <w:t xml:space="preserve">. </w:t>
      </w:r>
      <w:r w:rsidRPr="001C6D8C">
        <w:rPr>
          <w:rStyle w:val="hps"/>
          <w:rFonts w:cstheme="minorHAnsi"/>
        </w:rPr>
        <w:t>La constitution reconnaît le droit de propriété et</w:t>
      </w:r>
      <w:r w:rsidRPr="00E404BF">
        <w:rPr>
          <w:rStyle w:val="hps"/>
          <w:rFonts w:cstheme="minorHAnsi"/>
        </w:rPr>
        <w:t xml:space="preserve"> protège les personnes affectées par les risques sociaux significatifs susceptibles d’être générés par les investissements de développement, </w:t>
      </w:r>
      <w:r w:rsidRPr="00D85E9B">
        <w:rPr>
          <w:rStyle w:val="hps"/>
          <w:rFonts w:cstheme="minorHAnsi"/>
        </w:rPr>
        <w:t xml:space="preserve">De même qu’elle reconnaît le droit des populations vulnérables ou défavorisées à une mise en </w:t>
      </w:r>
      <w:r w:rsidR="00CB72E2" w:rsidRPr="00F37CAC">
        <w:rPr>
          <w:rStyle w:val="hps"/>
          <w:rFonts w:cstheme="minorHAnsi"/>
        </w:rPr>
        <w:t>œuvre</w:t>
      </w:r>
      <w:r w:rsidRPr="001F6031">
        <w:rPr>
          <w:rStyle w:val="hps"/>
          <w:rFonts w:cstheme="minorHAnsi"/>
        </w:rPr>
        <w:t xml:space="preserve"> inclusive des politiques </w:t>
      </w:r>
      <w:r w:rsidRPr="001C6D8C">
        <w:rPr>
          <w:rStyle w:val="hps"/>
          <w:rFonts w:cstheme="minorHAnsi"/>
        </w:rPr>
        <w:t xml:space="preserve">et programmes de développement et promeut l’information des citoyens et des </w:t>
      </w:r>
      <w:r w:rsidR="00CB72E2" w:rsidRPr="00F37CAC">
        <w:rPr>
          <w:rStyle w:val="hps"/>
          <w:rFonts w:cstheme="minorHAnsi"/>
        </w:rPr>
        <w:t>org</w:t>
      </w:r>
      <w:r w:rsidR="00CB72E2" w:rsidRPr="00C363E2">
        <w:rPr>
          <w:rStyle w:val="hps"/>
          <w:rFonts w:cstheme="minorHAnsi"/>
        </w:rPr>
        <w:t>anisation</w:t>
      </w:r>
      <w:r w:rsidR="00CB72E2">
        <w:rPr>
          <w:rStyle w:val="hps"/>
          <w:rFonts w:cstheme="minorHAnsi"/>
        </w:rPr>
        <w:t>s</w:t>
      </w:r>
      <w:r w:rsidRPr="001F6031">
        <w:rPr>
          <w:rStyle w:val="hps"/>
          <w:rFonts w:cstheme="minorHAnsi"/>
        </w:rPr>
        <w:t xml:space="preserve"> de la société civile, leur participation et la </w:t>
      </w:r>
      <w:r w:rsidR="004B1319" w:rsidRPr="004B1319">
        <w:rPr>
          <w:rStyle w:val="hps"/>
          <w:rFonts w:cstheme="minorHAnsi"/>
        </w:rPr>
        <w:t>reddition</w:t>
      </w:r>
      <w:r w:rsidRPr="001F6031">
        <w:rPr>
          <w:rStyle w:val="hps"/>
          <w:rFonts w:cstheme="minorHAnsi"/>
        </w:rPr>
        <w:t xml:space="preserve"> des comptes de</w:t>
      </w:r>
      <w:r w:rsidRPr="001C6D8C">
        <w:rPr>
          <w:rStyle w:val="hps"/>
          <w:rFonts w:cstheme="minorHAnsi"/>
        </w:rPr>
        <w:t xml:space="preserve"> l’administration et des entités en cha</w:t>
      </w:r>
      <w:r w:rsidR="00CB72E2">
        <w:rPr>
          <w:rStyle w:val="hps"/>
          <w:rFonts w:cstheme="minorHAnsi"/>
        </w:rPr>
        <w:t>r</w:t>
      </w:r>
      <w:r w:rsidRPr="001F6031">
        <w:rPr>
          <w:rStyle w:val="hps"/>
          <w:rFonts w:cstheme="minorHAnsi"/>
        </w:rPr>
        <w:t xml:space="preserve">ge de services publics. Des lois et des textes </w:t>
      </w:r>
      <w:r w:rsidRPr="001C6D8C">
        <w:rPr>
          <w:rStyle w:val="hps"/>
          <w:rFonts w:cstheme="minorHAnsi"/>
        </w:rPr>
        <w:t>réglementaires dé</w:t>
      </w:r>
      <w:r w:rsidR="00891CE5" w:rsidRPr="001C6D8C">
        <w:rPr>
          <w:rStyle w:val="hps"/>
          <w:rFonts w:cstheme="minorHAnsi"/>
        </w:rPr>
        <w:t>taillent les mesure</w:t>
      </w:r>
      <w:r w:rsidR="004601AF" w:rsidRPr="001C6D8C">
        <w:rPr>
          <w:rStyle w:val="hps"/>
          <w:rFonts w:cstheme="minorHAnsi"/>
        </w:rPr>
        <w:t>s spécifiques de protection</w:t>
      </w:r>
      <w:r w:rsidR="00CB72E2">
        <w:rPr>
          <w:rStyle w:val="hps"/>
          <w:rFonts w:cstheme="minorHAnsi"/>
        </w:rPr>
        <w:t xml:space="preserve"> </w:t>
      </w:r>
      <w:r w:rsidR="004601AF" w:rsidRPr="001F6031">
        <w:rPr>
          <w:rStyle w:val="hps"/>
          <w:rFonts w:cstheme="minorHAnsi"/>
        </w:rPr>
        <w:t xml:space="preserve">de </w:t>
      </w:r>
      <w:r w:rsidR="004601AF" w:rsidRPr="001C6D8C">
        <w:rPr>
          <w:rStyle w:val="hps"/>
          <w:rFonts w:cstheme="minorHAnsi"/>
        </w:rPr>
        <w:t xml:space="preserve">du droit de propriété (loi sur l’expropriation), des droits des travailleurs, (Code </w:t>
      </w:r>
      <w:r w:rsidR="00B33671" w:rsidRPr="001C6D8C">
        <w:rPr>
          <w:rStyle w:val="hps"/>
          <w:rFonts w:cstheme="minorHAnsi"/>
        </w:rPr>
        <w:t>du travail), droits des femmes</w:t>
      </w:r>
      <w:r w:rsidR="00891CE5" w:rsidRPr="00E404BF">
        <w:rPr>
          <w:rStyle w:val="hps"/>
          <w:rFonts w:cstheme="minorHAnsi"/>
        </w:rPr>
        <w:t xml:space="preserve">. </w:t>
      </w:r>
    </w:p>
    <w:p w14:paraId="53D97F19" w14:textId="458396F7" w:rsidR="00891CE5" w:rsidRPr="00D85E9B" w:rsidRDefault="00891CE5" w:rsidP="00D85E9B">
      <w:pPr>
        <w:numPr>
          <w:ilvl w:val="0"/>
          <w:numId w:val="11"/>
        </w:numPr>
        <w:autoSpaceDE w:val="0"/>
        <w:autoSpaceDN w:val="0"/>
        <w:adjustRightInd w:val="0"/>
        <w:spacing w:before="120" w:after="0" w:line="360" w:lineRule="auto"/>
        <w:contextualSpacing/>
        <w:jc w:val="both"/>
        <w:rPr>
          <w:rStyle w:val="hps"/>
          <w:rFonts w:cstheme="minorHAnsi"/>
        </w:rPr>
      </w:pPr>
      <w:r w:rsidRPr="001F6031">
        <w:rPr>
          <w:rStyle w:val="hps"/>
          <w:rFonts w:cstheme="minorHAnsi"/>
        </w:rPr>
        <w:t>Cependant, l</w:t>
      </w:r>
      <w:r w:rsidR="00421766" w:rsidRPr="001C6D8C">
        <w:rPr>
          <w:rStyle w:val="hps"/>
          <w:rFonts w:cstheme="minorHAnsi"/>
        </w:rPr>
        <w:t xml:space="preserve">a traduction de ces protections </w:t>
      </w:r>
      <w:r w:rsidR="00421766" w:rsidRPr="00E404BF">
        <w:rPr>
          <w:rStyle w:val="hps"/>
          <w:rFonts w:cstheme="minorHAnsi"/>
        </w:rPr>
        <w:t xml:space="preserve">constitutionnelles, légales et réglementaires en dispositions opérationnelles au niveau des projets </w:t>
      </w:r>
      <w:r w:rsidR="004601AF" w:rsidRPr="00D85E9B">
        <w:rPr>
          <w:rStyle w:val="hps"/>
          <w:rFonts w:cstheme="minorHAnsi"/>
        </w:rPr>
        <w:t>demeure insuffisante</w:t>
      </w:r>
      <w:r w:rsidRPr="00D85E9B">
        <w:rPr>
          <w:rStyle w:val="hps"/>
          <w:rFonts w:cstheme="minorHAnsi"/>
        </w:rPr>
        <w:t xml:space="preserve">. </w:t>
      </w:r>
      <w:r w:rsidR="004601AF" w:rsidRPr="00D85E9B">
        <w:rPr>
          <w:rStyle w:val="hps"/>
          <w:rFonts w:cstheme="minorHAnsi"/>
        </w:rPr>
        <w:t>L</w:t>
      </w:r>
      <w:r w:rsidRPr="00D85E9B">
        <w:rPr>
          <w:rStyle w:val="hps"/>
          <w:rFonts w:cstheme="minorHAnsi"/>
        </w:rPr>
        <w:t xml:space="preserve">’évaluation des risques sociaux </w:t>
      </w:r>
      <w:r w:rsidR="008C71A7" w:rsidRPr="00D85E9B">
        <w:rPr>
          <w:rStyle w:val="hps"/>
          <w:rFonts w:cstheme="minorHAnsi"/>
        </w:rPr>
        <w:t xml:space="preserve">telle que </w:t>
      </w:r>
      <w:r w:rsidR="00CB72E2" w:rsidRPr="00F37CAC">
        <w:rPr>
          <w:rStyle w:val="hps"/>
          <w:rFonts w:cstheme="minorHAnsi"/>
        </w:rPr>
        <w:t>prévue</w:t>
      </w:r>
      <w:r w:rsidR="008C71A7" w:rsidRPr="001F6031">
        <w:rPr>
          <w:rStyle w:val="hps"/>
          <w:rFonts w:cstheme="minorHAnsi"/>
        </w:rPr>
        <w:t xml:space="preserve"> pour les</w:t>
      </w:r>
      <w:r w:rsidR="008C71A7" w:rsidRPr="001C6D8C">
        <w:rPr>
          <w:rStyle w:val="hps"/>
          <w:rFonts w:cstheme="minorHAnsi"/>
        </w:rPr>
        <w:t xml:space="preserve"> projets assujetti</w:t>
      </w:r>
      <w:r w:rsidR="008C71A7" w:rsidRPr="00E404BF">
        <w:rPr>
          <w:rStyle w:val="hps"/>
          <w:rFonts w:cstheme="minorHAnsi"/>
        </w:rPr>
        <w:t xml:space="preserve">s à </w:t>
      </w:r>
      <w:r w:rsidRPr="00E404BF">
        <w:rPr>
          <w:rStyle w:val="hps"/>
          <w:rFonts w:cstheme="minorHAnsi"/>
        </w:rPr>
        <w:t xml:space="preserve">l’EIE (loi 17-49 relative à l’évaluation </w:t>
      </w:r>
      <w:r w:rsidRPr="00D85E9B">
        <w:rPr>
          <w:rStyle w:val="hps"/>
          <w:rFonts w:cstheme="minorHAnsi"/>
        </w:rPr>
        <w:t>environnementale)</w:t>
      </w:r>
      <w:r w:rsidR="004722AA" w:rsidRPr="00D85E9B">
        <w:rPr>
          <w:rStyle w:val="hps"/>
          <w:rFonts w:cstheme="minorHAnsi"/>
        </w:rPr>
        <w:t>,</w:t>
      </w:r>
      <w:r w:rsidRPr="00D85E9B">
        <w:rPr>
          <w:rStyle w:val="hps"/>
          <w:rFonts w:cstheme="minorHAnsi"/>
        </w:rPr>
        <w:t xml:space="preserve"> demeure limitée, comme sont limitées les dispositions d’information et de consultations régies par le décret</w:t>
      </w:r>
      <w:r w:rsidR="004722AA" w:rsidRPr="00D85E9B">
        <w:rPr>
          <w:rStyle w:val="hps"/>
          <w:rFonts w:cstheme="minorHAnsi"/>
        </w:rPr>
        <w:t xml:space="preserve"> n° 2-04-564</w:t>
      </w:r>
      <w:r w:rsidRPr="00D85E9B">
        <w:rPr>
          <w:rStyle w:val="hps"/>
          <w:rFonts w:cstheme="minorHAnsi"/>
        </w:rPr>
        <w:t xml:space="preserve"> toujours en vigueur concernant l’enquête pub</w:t>
      </w:r>
      <w:r w:rsidR="004722AA" w:rsidRPr="00D85E9B">
        <w:rPr>
          <w:rStyle w:val="hps"/>
          <w:rFonts w:cstheme="minorHAnsi"/>
        </w:rPr>
        <w:t>lique</w:t>
      </w:r>
      <w:r w:rsidRPr="00D85E9B">
        <w:rPr>
          <w:rStyle w:val="hps"/>
          <w:rFonts w:cstheme="minorHAnsi"/>
        </w:rPr>
        <w:t xml:space="preserve">. </w:t>
      </w:r>
    </w:p>
    <w:p w14:paraId="37F4D76F" w14:textId="5B5591D8" w:rsidR="009014CF" w:rsidRPr="00D85E9B" w:rsidRDefault="004722AA" w:rsidP="00D85E9B">
      <w:pPr>
        <w:numPr>
          <w:ilvl w:val="0"/>
          <w:numId w:val="11"/>
        </w:numPr>
        <w:autoSpaceDE w:val="0"/>
        <w:autoSpaceDN w:val="0"/>
        <w:adjustRightInd w:val="0"/>
        <w:spacing w:before="120" w:after="0" w:line="360" w:lineRule="auto"/>
        <w:contextualSpacing/>
        <w:jc w:val="both"/>
        <w:rPr>
          <w:rStyle w:val="hps"/>
          <w:rFonts w:cstheme="minorHAnsi"/>
        </w:rPr>
      </w:pPr>
      <w:r w:rsidRPr="00D85E9B">
        <w:rPr>
          <w:rStyle w:val="hps"/>
          <w:rFonts w:cstheme="minorHAnsi"/>
        </w:rPr>
        <w:t xml:space="preserve">Sur le plan institutionnel, la mise en </w:t>
      </w:r>
      <w:r w:rsidR="00CB72E2" w:rsidRPr="00F37CAC">
        <w:rPr>
          <w:rStyle w:val="hps"/>
          <w:rFonts w:cstheme="minorHAnsi"/>
        </w:rPr>
        <w:t>œuvre</w:t>
      </w:r>
      <w:r w:rsidRPr="001F6031">
        <w:rPr>
          <w:rStyle w:val="hps"/>
          <w:rFonts w:cstheme="minorHAnsi"/>
        </w:rPr>
        <w:t xml:space="preserve"> des protections </w:t>
      </w:r>
      <w:r w:rsidR="008C71A7" w:rsidRPr="001C6D8C">
        <w:rPr>
          <w:rStyle w:val="hps"/>
          <w:rFonts w:cstheme="minorHAnsi"/>
        </w:rPr>
        <w:t xml:space="preserve">des populations susceptibles d’être affectées par des risques ou impacts d’un projet </w:t>
      </w:r>
      <w:r w:rsidRPr="001C6D8C">
        <w:rPr>
          <w:rStyle w:val="hps"/>
          <w:rFonts w:cstheme="minorHAnsi"/>
        </w:rPr>
        <w:t>incombe à une multitude d’institution</w:t>
      </w:r>
      <w:r w:rsidR="004601AF" w:rsidRPr="00E404BF">
        <w:rPr>
          <w:rStyle w:val="hps"/>
          <w:rFonts w:cstheme="minorHAnsi"/>
        </w:rPr>
        <w:t xml:space="preserve">s, sans qu’il y ait de mécanisme de </w:t>
      </w:r>
      <w:r w:rsidR="004601AF" w:rsidRPr="00D85E9B">
        <w:rPr>
          <w:rStyle w:val="hps"/>
          <w:rFonts w:cstheme="minorHAnsi"/>
        </w:rPr>
        <w:t>coordination ou de suivi au niveau des projets</w:t>
      </w:r>
      <w:r w:rsidRPr="00D85E9B">
        <w:rPr>
          <w:rStyle w:val="hps"/>
          <w:rFonts w:cstheme="minorHAnsi"/>
        </w:rPr>
        <w:t xml:space="preserve">, </w:t>
      </w:r>
      <w:r w:rsidR="002B62BD" w:rsidRPr="00D85E9B">
        <w:rPr>
          <w:rStyle w:val="hps"/>
          <w:rFonts w:cstheme="minorHAnsi"/>
        </w:rPr>
        <w:t>Le</w:t>
      </w:r>
      <w:r w:rsidR="008C71A7" w:rsidRPr="00D85E9B">
        <w:rPr>
          <w:rStyle w:val="hps"/>
          <w:rFonts w:cstheme="minorHAnsi"/>
        </w:rPr>
        <w:t xml:space="preserve"> ministère de la Solidarité qui a développé des Plans pluriannuels de promotion des droits des femmes (une Direction central de ce ministère leur est dédiée) et des droits des personnes en situation de handicap (une direction centrale de ce même ministère leur est dédiée aussi). </w:t>
      </w:r>
    </w:p>
    <w:p w14:paraId="28F9A69B" w14:textId="71B09373" w:rsidR="00CD71AC" w:rsidRPr="00D85E9B" w:rsidRDefault="00CD71AC" w:rsidP="00D85E9B">
      <w:pPr>
        <w:numPr>
          <w:ilvl w:val="0"/>
          <w:numId w:val="11"/>
        </w:numPr>
        <w:autoSpaceDE w:val="0"/>
        <w:autoSpaceDN w:val="0"/>
        <w:adjustRightInd w:val="0"/>
        <w:spacing w:before="120" w:after="0" w:line="360" w:lineRule="auto"/>
        <w:contextualSpacing/>
        <w:jc w:val="both"/>
        <w:rPr>
          <w:rStyle w:val="hps"/>
          <w:rFonts w:cstheme="minorHAnsi"/>
        </w:rPr>
      </w:pPr>
      <w:r w:rsidRPr="00D85E9B">
        <w:rPr>
          <w:rStyle w:val="hps"/>
          <w:rFonts w:cstheme="minorHAnsi"/>
        </w:rPr>
        <w:t xml:space="preserve">Le projet n’étant susceptible de générer aucun risque ou impact social négatif significatif, le système de gestion social applicable au projet satisfait aux exigences </w:t>
      </w:r>
      <w:r w:rsidR="00841F84" w:rsidRPr="00D85E9B">
        <w:rPr>
          <w:rStyle w:val="hps"/>
          <w:rFonts w:cstheme="minorHAnsi"/>
        </w:rPr>
        <w:t xml:space="preserve">en matière d’évaluation et de gestion sociales </w:t>
      </w:r>
      <w:r w:rsidRPr="00D85E9B">
        <w:rPr>
          <w:rStyle w:val="hps"/>
          <w:rFonts w:cstheme="minorHAnsi"/>
        </w:rPr>
        <w:t xml:space="preserve">de la Politique et de </w:t>
      </w:r>
      <w:r w:rsidR="00841F84" w:rsidRPr="00D85E9B">
        <w:rPr>
          <w:rStyle w:val="hps"/>
          <w:rFonts w:cstheme="minorHAnsi"/>
        </w:rPr>
        <w:t xml:space="preserve">de la </w:t>
      </w:r>
      <w:r w:rsidRPr="00D85E9B">
        <w:rPr>
          <w:rStyle w:val="hps"/>
          <w:rFonts w:cstheme="minorHAnsi"/>
        </w:rPr>
        <w:t>Directive de la Banque mondiale</w:t>
      </w:r>
      <w:r w:rsidR="00841F84" w:rsidRPr="00D85E9B">
        <w:rPr>
          <w:rStyle w:val="hps"/>
          <w:rFonts w:cstheme="minorHAnsi"/>
        </w:rPr>
        <w:t xml:space="preserve"> relative aux PPR</w:t>
      </w:r>
      <w:r w:rsidRPr="00D85E9B">
        <w:rPr>
          <w:rStyle w:val="hps"/>
          <w:rFonts w:cstheme="minorHAnsi"/>
        </w:rPr>
        <w:t xml:space="preserve">. </w:t>
      </w:r>
    </w:p>
    <w:p w14:paraId="7AC133FD" w14:textId="704EE6D6" w:rsidR="0060031A" w:rsidRPr="00046E7D" w:rsidRDefault="0060031A" w:rsidP="0060031A">
      <w:pPr>
        <w:pStyle w:val="Heading2"/>
        <w:rPr>
          <w:rFonts w:ascii="Candara" w:hAnsi="Candara" w:cstheme="minorHAnsi"/>
          <w:color w:val="auto"/>
          <w:lang w:val="fr-FR"/>
        </w:rPr>
      </w:pPr>
      <w:bookmarkStart w:id="140" w:name="_Toc496827336"/>
      <w:bookmarkStart w:id="141" w:name="_Toc74241401"/>
      <w:r w:rsidRPr="00046E7D">
        <w:rPr>
          <w:rFonts w:ascii="Candara" w:hAnsi="Candara" w:cstheme="minorHAnsi"/>
          <w:color w:val="auto"/>
          <w:lang w:val="fr-FR"/>
        </w:rPr>
        <w:t>4.2 Adéquation de la capacité institutionnelle et des mécanismes de coordination</w:t>
      </w:r>
      <w:bookmarkEnd w:id="140"/>
      <w:bookmarkEnd w:id="141"/>
      <w:r w:rsidRPr="00046E7D">
        <w:rPr>
          <w:rFonts w:ascii="Candara" w:hAnsi="Candara" w:cstheme="minorHAnsi"/>
          <w:color w:val="auto"/>
          <w:lang w:val="fr-FR"/>
        </w:rPr>
        <w:t xml:space="preserve"> </w:t>
      </w:r>
    </w:p>
    <w:p w14:paraId="60F477DB" w14:textId="5A20EEBB" w:rsidR="0060031A" w:rsidRPr="00046E7D" w:rsidRDefault="0060031A" w:rsidP="0060031A">
      <w:pPr>
        <w:pStyle w:val="Heading3"/>
        <w:rPr>
          <w:rFonts w:ascii="Candara" w:hAnsi="Candara" w:cstheme="minorHAnsi"/>
          <w:color w:val="auto"/>
          <w:lang w:val="fr-FR"/>
        </w:rPr>
      </w:pPr>
      <w:bookmarkStart w:id="142" w:name="_Toc496827337"/>
      <w:bookmarkStart w:id="143" w:name="_Toc74241402"/>
      <w:r w:rsidRPr="00046E7D">
        <w:rPr>
          <w:rFonts w:ascii="Candara" w:hAnsi="Candara" w:cstheme="minorHAnsi"/>
          <w:color w:val="auto"/>
          <w:lang w:val="fr-FR"/>
        </w:rPr>
        <w:t>4.2.1 Capacités de gestion environnementale</w:t>
      </w:r>
      <w:bookmarkEnd w:id="142"/>
      <w:bookmarkEnd w:id="143"/>
      <w:r w:rsidRPr="00046E7D">
        <w:rPr>
          <w:rFonts w:ascii="Candara" w:hAnsi="Candara" w:cstheme="minorHAnsi"/>
          <w:color w:val="auto"/>
          <w:lang w:val="fr-FR"/>
        </w:rPr>
        <w:t xml:space="preserve"> </w:t>
      </w:r>
    </w:p>
    <w:p w14:paraId="1DA6FA08" w14:textId="60109FA9" w:rsidR="0060031A" w:rsidRPr="00046E7D" w:rsidRDefault="0060031A" w:rsidP="00D85E9B">
      <w:pPr>
        <w:numPr>
          <w:ilvl w:val="0"/>
          <w:numId w:val="11"/>
        </w:numPr>
        <w:autoSpaceDE w:val="0"/>
        <w:autoSpaceDN w:val="0"/>
        <w:adjustRightInd w:val="0"/>
        <w:spacing w:before="120" w:after="0" w:line="360" w:lineRule="auto"/>
        <w:contextualSpacing/>
        <w:jc w:val="both"/>
        <w:rPr>
          <w:rStyle w:val="hps"/>
          <w:rFonts w:ascii="Cambria" w:hAnsi="Cambria" w:cstheme="minorHAnsi"/>
          <w:b/>
          <w:bCs/>
          <w:color w:val="4F81BD"/>
          <w:szCs w:val="24"/>
        </w:rPr>
      </w:pPr>
      <w:bookmarkStart w:id="144" w:name="_Hlk65753403"/>
      <w:r w:rsidRPr="00046E7D">
        <w:rPr>
          <w:rStyle w:val="hps"/>
          <w:rFonts w:cstheme="minorHAnsi"/>
        </w:rPr>
        <w:t xml:space="preserve">Le Département de l’environnement responsable de la gestion du système d'EIE dispose d'une bonne expérience et des compétences nécessaires, particulièrement dans le domaine de l'examen des EIE, du contrôle de la mise en œuvre des projets et du suivi des milieux (air, eau, sol), par le biais du Laboratoire National de l’Environnement. </w:t>
      </w:r>
    </w:p>
    <w:p w14:paraId="6B6CEB88" w14:textId="190A4EC8" w:rsidR="0022179C" w:rsidRDefault="0060031A" w:rsidP="00D85E9B">
      <w:pPr>
        <w:numPr>
          <w:ilvl w:val="0"/>
          <w:numId w:val="11"/>
        </w:numPr>
        <w:autoSpaceDE w:val="0"/>
        <w:autoSpaceDN w:val="0"/>
        <w:adjustRightInd w:val="0"/>
        <w:spacing w:before="120" w:after="0" w:line="360" w:lineRule="auto"/>
        <w:contextualSpacing/>
        <w:jc w:val="both"/>
        <w:rPr>
          <w:rStyle w:val="hps"/>
          <w:rFonts w:cstheme="minorHAnsi"/>
        </w:rPr>
      </w:pPr>
      <w:bookmarkStart w:id="145" w:name="_Hlk65660947"/>
      <w:r w:rsidRPr="00046E7D">
        <w:rPr>
          <w:rStyle w:val="hps"/>
          <w:rFonts w:cstheme="minorHAnsi"/>
        </w:rPr>
        <w:t xml:space="preserve">Le </w:t>
      </w:r>
      <w:r w:rsidR="00073577">
        <w:rPr>
          <w:rStyle w:val="hps"/>
          <w:rFonts w:cstheme="minorHAnsi"/>
        </w:rPr>
        <w:t>MEFRA intervient dans la préparation de toutes les opérations financées par la Banque. MEFRA est au fait de toutes les exigences E&amp;S du PPR et maitrise toutes les étapes de préparation de l’ESSA, de consultations publiques et de partage de l’information avec les parties prenantes et</w:t>
      </w:r>
      <w:r w:rsidR="0016419A">
        <w:rPr>
          <w:rStyle w:val="hps"/>
          <w:rFonts w:cstheme="minorHAnsi"/>
        </w:rPr>
        <w:t xml:space="preserve"> avec</w:t>
      </w:r>
      <w:r w:rsidR="00073577">
        <w:rPr>
          <w:rStyle w:val="hps"/>
          <w:rFonts w:cstheme="minorHAnsi"/>
        </w:rPr>
        <w:t xml:space="preserve"> </w:t>
      </w:r>
      <w:r w:rsidR="00073577">
        <w:rPr>
          <w:rStyle w:val="hps"/>
          <w:rFonts w:cstheme="minorHAnsi"/>
        </w:rPr>
        <w:lastRenderedPageBreak/>
        <w:t>les parties affectées par le Programme.</w:t>
      </w:r>
      <w:r w:rsidR="0016419A">
        <w:rPr>
          <w:rStyle w:val="hps"/>
          <w:rFonts w:cstheme="minorHAnsi"/>
        </w:rPr>
        <w:t xml:space="preserve"> Cependant, de tous les PPR du portefeuille de la Banque au Maroc, aucun n’est mis en œuvre par MEFRA</w:t>
      </w:r>
      <w:r w:rsidR="003F6C10">
        <w:rPr>
          <w:rStyle w:val="hps"/>
          <w:rFonts w:cstheme="minorHAnsi"/>
        </w:rPr>
        <w:t xml:space="preserve"> </w:t>
      </w:r>
    </w:p>
    <w:p w14:paraId="240C46AC" w14:textId="517B885D" w:rsidR="0022179C" w:rsidRDefault="0022179C" w:rsidP="00D85E9B">
      <w:pPr>
        <w:numPr>
          <w:ilvl w:val="0"/>
          <w:numId w:val="11"/>
        </w:numPr>
        <w:autoSpaceDE w:val="0"/>
        <w:autoSpaceDN w:val="0"/>
        <w:adjustRightInd w:val="0"/>
        <w:spacing w:before="120" w:after="0" w:line="360" w:lineRule="auto"/>
        <w:contextualSpacing/>
        <w:jc w:val="both"/>
        <w:rPr>
          <w:rStyle w:val="hps"/>
          <w:rFonts w:cstheme="minorHAnsi"/>
        </w:rPr>
      </w:pPr>
      <w:r>
        <w:rPr>
          <w:rStyle w:val="hps"/>
          <w:rFonts w:cstheme="minorHAnsi"/>
        </w:rPr>
        <w:t xml:space="preserve">La Direction générale des collectivités territoriales </w:t>
      </w:r>
      <w:r w:rsidR="00726128">
        <w:rPr>
          <w:rStyle w:val="hps"/>
          <w:rFonts w:cstheme="minorHAnsi"/>
        </w:rPr>
        <w:t xml:space="preserve">implémente depuis 2018 le PPR appui </w:t>
      </w:r>
      <w:r w:rsidR="007D1009">
        <w:rPr>
          <w:rStyle w:val="hps"/>
          <w:rFonts w:cstheme="minorHAnsi"/>
        </w:rPr>
        <w:t>à</w:t>
      </w:r>
      <w:r w:rsidR="00726128">
        <w:rPr>
          <w:rStyle w:val="hps"/>
          <w:rFonts w:cstheme="minorHAnsi"/>
        </w:rPr>
        <w:t xml:space="preserve"> l’amélioration des performances municipales. L’UGP du Programme qui comprend un point focal E&amp;S a développé un guide de gestion E&amp;S qui a été le support pour l’élaboration des modules de formation E&amp;S </w:t>
      </w:r>
      <w:r w:rsidR="006B3501">
        <w:rPr>
          <w:rStyle w:val="hps"/>
          <w:rFonts w:cstheme="minorHAnsi"/>
        </w:rPr>
        <w:t>versés</w:t>
      </w:r>
      <w:r w:rsidR="00726128">
        <w:rPr>
          <w:rStyle w:val="hps"/>
          <w:rFonts w:cstheme="minorHAnsi"/>
        </w:rPr>
        <w:t xml:space="preserve"> dans le plan de formation de la DGCT au bénéfice des communes participant au Programme.</w:t>
      </w:r>
    </w:p>
    <w:p w14:paraId="759F04A4" w14:textId="366BCD77" w:rsidR="00073577" w:rsidRPr="00793923" w:rsidRDefault="00A55293" w:rsidP="00D85E9B">
      <w:pPr>
        <w:numPr>
          <w:ilvl w:val="0"/>
          <w:numId w:val="11"/>
        </w:numPr>
        <w:autoSpaceDE w:val="0"/>
        <w:autoSpaceDN w:val="0"/>
        <w:adjustRightInd w:val="0"/>
        <w:spacing w:before="120" w:after="0" w:line="360" w:lineRule="auto"/>
        <w:contextualSpacing/>
        <w:jc w:val="both"/>
        <w:rPr>
          <w:rStyle w:val="hps"/>
          <w:rFonts w:cstheme="minorHAnsi"/>
        </w:rPr>
      </w:pPr>
      <w:r>
        <w:rPr>
          <w:rStyle w:val="hps"/>
          <w:rFonts w:cstheme="minorHAnsi"/>
        </w:rPr>
        <w:t xml:space="preserve">L’Agence de Développement du Digital est placée sous la tutelle du </w:t>
      </w:r>
      <w:r w:rsidRPr="00A55293">
        <w:rPr>
          <w:rStyle w:val="hps"/>
          <w:rFonts w:cstheme="minorHAnsi"/>
        </w:rPr>
        <w:t>Ministère de l'Industrie, du Commerce et de l'Economie Verte et Numérique (MICEVN)</w:t>
      </w:r>
      <w:r w:rsidR="006B3501">
        <w:rPr>
          <w:rStyle w:val="hps"/>
          <w:rFonts w:cstheme="minorHAnsi"/>
        </w:rPr>
        <w:t xml:space="preserve">. Il s’agit d’une nouvelle structure créée en septembre 2017 et ne dispose pas d’un système de gestion environnementale et sociale. </w:t>
      </w:r>
    </w:p>
    <w:bookmarkEnd w:id="145"/>
    <w:p w14:paraId="5C9B80B7" w14:textId="77777777" w:rsidR="0060031A" w:rsidRPr="00046E7D" w:rsidRDefault="0060031A" w:rsidP="00D85E9B">
      <w:pPr>
        <w:numPr>
          <w:ilvl w:val="0"/>
          <w:numId w:val="11"/>
        </w:numPr>
        <w:autoSpaceDE w:val="0"/>
        <w:autoSpaceDN w:val="0"/>
        <w:adjustRightInd w:val="0"/>
        <w:spacing w:before="120" w:after="0" w:line="360" w:lineRule="auto"/>
        <w:contextualSpacing/>
        <w:jc w:val="both"/>
        <w:rPr>
          <w:rStyle w:val="hps"/>
          <w:rFonts w:cstheme="minorHAnsi"/>
        </w:rPr>
      </w:pPr>
      <w:r w:rsidRPr="00046E7D">
        <w:rPr>
          <w:rStyle w:val="hps"/>
          <w:rFonts w:cstheme="minorHAnsi"/>
        </w:rPr>
        <w:t>Sur le plan de l’expertise, il existe plusieurs bureaux d'études et consultants qui disposent de références en la matière et de bonnes capacités dans le domaine de la gestion de l'environnement.</w:t>
      </w:r>
    </w:p>
    <w:bookmarkEnd w:id="144"/>
    <w:p w14:paraId="54A5DCA6" w14:textId="77777777" w:rsidR="0060031A" w:rsidRPr="00046E7D" w:rsidRDefault="0060031A" w:rsidP="0060031A">
      <w:pPr>
        <w:autoSpaceDE w:val="0"/>
        <w:autoSpaceDN w:val="0"/>
        <w:rPr>
          <w:rFonts w:eastAsia="Calibri" w:cstheme="minorHAnsi"/>
          <w:b/>
        </w:rPr>
      </w:pPr>
    </w:p>
    <w:p w14:paraId="7A0EA2EB" w14:textId="77777777" w:rsidR="0060031A" w:rsidRPr="00046E7D" w:rsidRDefault="0060031A" w:rsidP="0060031A">
      <w:pPr>
        <w:spacing w:after="200"/>
        <w:rPr>
          <w:rFonts w:eastAsia="Calibri" w:cstheme="minorHAnsi"/>
          <w:b/>
          <w:iCs/>
        </w:rPr>
      </w:pPr>
      <w:bookmarkStart w:id="146" w:name="_Toc489082376"/>
      <w:r w:rsidRPr="00046E7D">
        <w:rPr>
          <w:rFonts w:eastAsia="Calibri" w:cstheme="minorHAnsi"/>
          <w:b/>
          <w:iCs/>
        </w:rPr>
        <w:t>Encadré 4 :</w:t>
      </w:r>
      <w:r w:rsidRPr="00046E7D">
        <w:rPr>
          <w:rFonts w:eastAsia="Calibri" w:cstheme="minorHAnsi"/>
          <w:iCs/>
        </w:rPr>
        <w:t xml:space="preserve"> </w:t>
      </w:r>
      <w:r w:rsidRPr="00046E7D">
        <w:rPr>
          <w:rFonts w:eastAsia="Calibri" w:cstheme="minorHAnsi"/>
          <w:b/>
          <w:iCs/>
        </w:rPr>
        <w:t>Les bureaux d’étude</w:t>
      </w:r>
      <w:bookmarkEnd w:id="146"/>
      <w:r w:rsidRPr="00046E7D">
        <w:rPr>
          <w:rFonts w:eastAsia="Calibri" w:cstheme="minorHAnsi"/>
          <w:b/>
          <w:iCs/>
        </w:rPr>
        <w:t xml:space="preserve"> </w:t>
      </w:r>
    </w:p>
    <w:tbl>
      <w:tblPr>
        <w:tblStyle w:val="Grilledutableau7"/>
        <w:tblW w:w="90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90"/>
      </w:tblGrid>
      <w:tr w:rsidR="0060031A" w:rsidRPr="00A5131A" w14:paraId="259CE297" w14:textId="77777777" w:rsidTr="00046E7D">
        <w:tc>
          <w:tcPr>
            <w:tcW w:w="9090" w:type="dxa"/>
            <w:shd w:val="clear" w:color="auto" w:fill="FFF2CC" w:themeFill="accent4" w:themeFillTint="33"/>
          </w:tcPr>
          <w:p w14:paraId="1E8D10AD" w14:textId="77777777" w:rsidR="0060031A" w:rsidRPr="00D85E9B" w:rsidRDefault="0060031A" w:rsidP="00F528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stheme="minorHAnsi"/>
                <w:sz w:val="20"/>
                <w:bdr w:val="nil"/>
                <w:lang w:val="fr-FR" w:eastAsia="fr-FR"/>
              </w:rPr>
            </w:pPr>
          </w:p>
          <w:p w14:paraId="24C587B4" w14:textId="77F03CAD" w:rsidR="0060031A" w:rsidRPr="00D85E9B" w:rsidRDefault="0060031A" w:rsidP="008D79AA">
            <w:pPr>
              <w:autoSpaceDE w:val="0"/>
              <w:autoSpaceDN w:val="0"/>
              <w:ind w:left="162" w:right="175"/>
              <w:jc w:val="both"/>
              <w:rPr>
                <w:rFonts w:ascii="Candara" w:hAnsi="Candara" w:cstheme="minorHAnsi"/>
                <w:sz w:val="20"/>
                <w:lang w:val="fr-FR"/>
              </w:rPr>
            </w:pPr>
            <w:r w:rsidRPr="00D85E9B">
              <w:rPr>
                <w:rFonts w:ascii="Candara" w:hAnsi="Candara" w:cstheme="minorHAnsi"/>
                <w:sz w:val="20"/>
                <w:lang w:val="fr-FR"/>
              </w:rPr>
              <w:t xml:space="preserve">Sur un total de 376 Bureaux d’Etudes Techniques (BET) inscrits au registre du Département du Commerce et de l’Industrie, 67 ont affiché l’environnement, entre autres, comme spécialité. </w:t>
            </w:r>
          </w:p>
          <w:p w14:paraId="48F3C979" w14:textId="77777777" w:rsidR="0060031A" w:rsidRPr="00D85E9B" w:rsidRDefault="0060031A" w:rsidP="008D79AA">
            <w:pPr>
              <w:autoSpaceDE w:val="0"/>
              <w:autoSpaceDN w:val="0"/>
              <w:spacing w:before="120"/>
              <w:ind w:left="158" w:right="173"/>
              <w:jc w:val="both"/>
              <w:rPr>
                <w:rFonts w:ascii="Candara" w:hAnsi="Candara" w:cstheme="minorHAnsi"/>
                <w:sz w:val="20"/>
                <w:lang w:val="fr-FR"/>
              </w:rPr>
            </w:pPr>
            <w:r w:rsidRPr="00D85E9B">
              <w:rPr>
                <w:rFonts w:ascii="Candara" w:hAnsi="Candara" w:cstheme="minorHAnsi"/>
                <w:sz w:val="20"/>
                <w:lang w:val="fr-FR"/>
              </w:rPr>
              <w:t xml:space="preserve">En réalité, à l’exception d’une dizaine de BET spécialisés, l’expérience de la majorité de ces bureaux demeure limitée, surtout pour des projets de grande complexité. Même si la qualité des rapports produits est acceptable, dans la majorité des cas, il s’agit généralement de rapports descriptifs, manquant d’une véritable analyse des impacts. Les mesures d’atténuation et les plans de suivi environnemental restent souvent génériques. </w:t>
            </w:r>
          </w:p>
          <w:p w14:paraId="4B8512EE" w14:textId="77777777" w:rsidR="0060031A" w:rsidRPr="00D85E9B" w:rsidRDefault="0060031A" w:rsidP="008D79AA">
            <w:pPr>
              <w:autoSpaceDE w:val="0"/>
              <w:autoSpaceDN w:val="0"/>
              <w:spacing w:before="120"/>
              <w:ind w:left="158" w:right="173"/>
              <w:jc w:val="both"/>
              <w:rPr>
                <w:rFonts w:ascii="Candara" w:hAnsi="Candara" w:cstheme="minorHAnsi"/>
                <w:sz w:val="20"/>
                <w:lang w:val="fr-FR"/>
              </w:rPr>
            </w:pPr>
            <w:r w:rsidRPr="00D85E9B">
              <w:rPr>
                <w:rFonts w:ascii="Candara" w:hAnsi="Candara" w:cstheme="minorHAnsi"/>
                <w:sz w:val="20"/>
                <w:lang w:val="fr-FR"/>
              </w:rPr>
              <w:t>L’expérience des BET marocains en matière d’évaluation sociale, de consultations publiques et de préparation et de mise en œuvre de Plans de réinstallation en conformité avec les meilleures pratiques internationales est limitée et s’applique surtout à certains grands projets récents menés par le secteur privé.</w:t>
            </w:r>
          </w:p>
          <w:p w14:paraId="4B34047C" w14:textId="77777777" w:rsidR="0060031A" w:rsidRPr="00D85E9B" w:rsidRDefault="0060031A" w:rsidP="00F528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stheme="minorHAnsi"/>
                <w:sz w:val="20"/>
                <w:bdr w:val="nil"/>
                <w:lang w:val="fr-FR" w:eastAsia="fr-FR"/>
              </w:rPr>
            </w:pPr>
          </w:p>
        </w:tc>
      </w:tr>
    </w:tbl>
    <w:p w14:paraId="0EAD70A8" w14:textId="77777777" w:rsidR="0060031A" w:rsidRPr="00046E7D" w:rsidRDefault="0060031A" w:rsidP="0060031A">
      <w:pPr>
        <w:autoSpaceDE w:val="0"/>
        <w:autoSpaceDN w:val="0"/>
        <w:ind w:left="360"/>
        <w:contextualSpacing/>
        <w:rPr>
          <w:rFonts w:cstheme="minorHAnsi"/>
        </w:rPr>
      </w:pPr>
    </w:p>
    <w:p w14:paraId="2EC7A08B" w14:textId="778BDF80" w:rsidR="0060031A" w:rsidRPr="00046E7D" w:rsidRDefault="0060031A" w:rsidP="0060031A">
      <w:pPr>
        <w:pStyle w:val="Heading3"/>
        <w:rPr>
          <w:rFonts w:ascii="Candara" w:hAnsi="Candara" w:cstheme="minorHAnsi"/>
          <w:color w:val="auto"/>
          <w:lang w:val="fr-FR"/>
        </w:rPr>
      </w:pPr>
      <w:bookmarkStart w:id="147" w:name="_Toc496827338"/>
      <w:bookmarkStart w:id="148" w:name="_Toc74241403"/>
      <w:r w:rsidRPr="00D85E9B">
        <w:rPr>
          <w:rFonts w:ascii="Candara" w:hAnsi="Candara" w:cstheme="minorHAnsi"/>
          <w:color w:val="auto"/>
          <w:lang w:val="fr-FR"/>
        </w:rPr>
        <w:t>4.2.2 Capacités de gestion sociale</w:t>
      </w:r>
      <w:bookmarkEnd w:id="147"/>
      <w:bookmarkEnd w:id="148"/>
      <w:r w:rsidRPr="00046E7D">
        <w:rPr>
          <w:rFonts w:ascii="Candara" w:hAnsi="Candara" w:cstheme="minorHAnsi"/>
          <w:color w:val="auto"/>
          <w:lang w:val="fr-FR"/>
        </w:rPr>
        <w:t xml:space="preserve"> </w:t>
      </w:r>
    </w:p>
    <w:p w14:paraId="523BFD45" w14:textId="749311BA" w:rsidR="00FA42FF" w:rsidRPr="001C6D8C" w:rsidRDefault="0011761C" w:rsidP="00D85E9B">
      <w:pPr>
        <w:numPr>
          <w:ilvl w:val="0"/>
          <w:numId w:val="11"/>
        </w:numPr>
        <w:autoSpaceDE w:val="0"/>
        <w:autoSpaceDN w:val="0"/>
        <w:adjustRightInd w:val="0"/>
        <w:spacing w:before="120" w:after="0" w:line="360" w:lineRule="auto"/>
        <w:contextualSpacing/>
        <w:jc w:val="both"/>
        <w:rPr>
          <w:rStyle w:val="hps"/>
          <w:rFonts w:cstheme="minorHAnsi"/>
          <w:b/>
          <w:bCs/>
        </w:rPr>
      </w:pPr>
      <w:r w:rsidRPr="001F6031">
        <w:rPr>
          <w:rStyle w:val="hps"/>
          <w:rFonts w:cstheme="minorHAnsi"/>
        </w:rPr>
        <w:t>L</w:t>
      </w:r>
      <w:r w:rsidR="00FA42FF" w:rsidRPr="001F6031">
        <w:rPr>
          <w:rStyle w:val="hps"/>
          <w:rFonts w:cstheme="minorHAnsi"/>
        </w:rPr>
        <w:t xml:space="preserve">es parties prenantes </w:t>
      </w:r>
      <w:r w:rsidR="00FA42FF" w:rsidRPr="001C6D8C">
        <w:rPr>
          <w:rStyle w:val="hps"/>
          <w:rFonts w:cstheme="minorHAnsi"/>
        </w:rPr>
        <w:t>intervenant dans</w:t>
      </w:r>
      <w:r w:rsidRPr="001C6D8C">
        <w:rPr>
          <w:rStyle w:val="hps"/>
          <w:rFonts w:cstheme="minorHAnsi"/>
        </w:rPr>
        <w:t xml:space="preserve"> ce P</w:t>
      </w:r>
      <w:r w:rsidR="00FA42FF" w:rsidRPr="001C6D8C">
        <w:rPr>
          <w:rStyle w:val="hps"/>
          <w:rFonts w:cstheme="minorHAnsi"/>
        </w:rPr>
        <w:t>rogramme</w:t>
      </w:r>
      <w:r w:rsidRPr="00E404BF">
        <w:rPr>
          <w:rStyle w:val="hps"/>
          <w:rFonts w:cstheme="minorHAnsi"/>
        </w:rPr>
        <w:t xml:space="preserve"> ont une bonne </w:t>
      </w:r>
      <w:r w:rsidR="00CB72E2" w:rsidRPr="00F37CAC">
        <w:rPr>
          <w:rStyle w:val="hps"/>
          <w:rFonts w:cstheme="minorHAnsi"/>
        </w:rPr>
        <w:t>expérience</w:t>
      </w:r>
      <w:r w:rsidRPr="001F6031">
        <w:rPr>
          <w:rStyle w:val="hps"/>
          <w:rFonts w:cstheme="minorHAnsi"/>
        </w:rPr>
        <w:t xml:space="preserve"> de travail ave</w:t>
      </w:r>
      <w:r w:rsidR="00FA42FF" w:rsidRPr="001F6031">
        <w:rPr>
          <w:rStyle w:val="hps"/>
          <w:rFonts w:cstheme="minorHAnsi"/>
        </w:rPr>
        <w:t>c</w:t>
      </w:r>
      <w:r w:rsidRPr="001C6D8C">
        <w:rPr>
          <w:rStyle w:val="hps"/>
          <w:rFonts w:cstheme="minorHAnsi"/>
        </w:rPr>
        <w:t xml:space="preserve"> la Banque mondiale et</w:t>
      </w:r>
      <w:r w:rsidR="00FA42FF" w:rsidRPr="001C6D8C">
        <w:rPr>
          <w:rStyle w:val="hps"/>
          <w:rFonts w:cstheme="minorHAnsi"/>
        </w:rPr>
        <w:t xml:space="preserve"> sont familières</w:t>
      </w:r>
      <w:r w:rsidRPr="00E404BF">
        <w:rPr>
          <w:rStyle w:val="hps"/>
          <w:rFonts w:cstheme="minorHAnsi"/>
        </w:rPr>
        <w:t xml:space="preserve"> avec ses </w:t>
      </w:r>
      <w:r w:rsidR="00FA42FF" w:rsidRPr="00E404BF">
        <w:rPr>
          <w:rStyle w:val="hps"/>
          <w:rFonts w:cstheme="minorHAnsi"/>
        </w:rPr>
        <w:t>exigenc</w:t>
      </w:r>
      <w:r w:rsidRPr="00E404BF">
        <w:rPr>
          <w:rStyle w:val="hps"/>
          <w:rFonts w:cstheme="minorHAnsi"/>
        </w:rPr>
        <w:t xml:space="preserve">es normatives et ses </w:t>
      </w:r>
      <w:r w:rsidR="00FA42FF" w:rsidRPr="00D85E9B">
        <w:rPr>
          <w:rStyle w:val="hps"/>
          <w:rFonts w:cstheme="minorHAnsi"/>
        </w:rPr>
        <w:t>procé</w:t>
      </w:r>
      <w:r w:rsidRPr="00D85E9B">
        <w:rPr>
          <w:rStyle w:val="hps"/>
          <w:rFonts w:cstheme="minorHAnsi"/>
        </w:rPr>
        <w:t xml:space="preserve">dures en matière d’évaluation et de gestion environnementale et </w:t>
      </w:r>
      <w:r w:rsidR="00CB72E2" w:rsidRPr="00F37CAC">
        <w:rPr>
          <w:rStyle w:val="hps"/>
          <w:rFonts w:cstheme="minorHAnsi"/>
        </w:rPr>
        <w:t>sociale, y</w:t>
      </w:r>
      <w:r w:rsidRPr="001F6031">
        <w:rPr>
          <w:rStyle w:val="hps"/>
          <w:rFonts w:cstheme="minorHAnsi"/>
        </w:rPr>
        <w:t xml:space="preserve"> compris celles applicables aux </w:t>
      </w:r>
      <w:r w:rsidRPr="001C6D8C">
        <w:rPr>
          <w:rStyle w:val="hps"/>
          <w:rFonts w:cstheme="minorHAnsi"/>
        </w:rPr>
        <w:t xml:space="preserve">PPR. </w:t>
      </w:r>
    </w:p>
    <w:p w14:paraId="03E9FCC8" w14:textId="53DDDCC8" w:rsidR="00FA42FF" w:rsidRPr="008A2D29" w:rsidRDefault="00FA42FF" w:rsidP="00D85E9B">
      <w:pPr>
        <w:numPr>
          <w:ilvl w:val="0"/>
          <w:numId w:val="11"/>
        </w:numPr>
        <w:autoSpaceDE w:val="0"/>
        <w:autoSpaceDN w:val="0"/>
        <w:adjustRightInd w:val="0"/>
        <w:spacing w:before="120" w:after="0" w:line="360" w:lineRule="auto"/>
        <w:contextualSpacing/>
        <w:jc w:val="both"/>
        <w:rPr>
          <w:rStyle w:val="hps"/>
          <w:rFonts w:cstheme="minorHAnsi"/>
        </w:rPr>
      </w:pPr>
      <w:r w:rsidRPr="00D85E9B">
        <w:rPr>
          <w:rStyle w:val="hps"/>
          <w:rFonts w:cstheme="minorHAnsi"/>
        </w:rPr>
        <w:t xml:space="preserve">En effet, le MEFRA intervient dans tous les projets </w:t>
      </w:r>
      <w:r w:rsidR="00CB72E2" w:rsidRPr="00F37CAC">
        <w:rPr>
          <w:rStyle w:val="hps"/>
          <w:rFonts w:cstheme="minorHAnsi"/>
        </w:rPr>
        <w:t>financés</w:t>
      </w:r>
      <w:r w:rsidRPr="001F6031">
        <w:rPr>
          <w:rStyle w:val="hps"/>
          <w:rFonts w:cstheme="minorHAnsi"/>
        </w:rPr>
        <w:t xml:space="preserve"> par la Banque mondiale et plusieurs de ses responsables et cadres ont </w:t>
      </w:r>
      <w:r w:rsidR="00A56AEA" w:rsidRPr="001C6D8C">
        <w:rPr>
          <w:rStyle w:val="hps"/>
          <w:rFonts w:cstheme="minorHAnsi"/>
        </w:rPr>
        <w:t>bénéficié de</w:t>
      </w:r>
      <w:r w:rsidRPr="001C6D8C">
        <w:rPr>
          <w:rStyle w:val="hps"/>
          <w:rFonts w:cstheme="minorHAnsi"/>
        </w:rPr>
        <w:t xml:space="preserve"> formations sur les outils d</w:t>
      </w:r>
      <w:r w:rsidRPr="00E404BF">
        <w:rPr>
          <w:rStyle w:val="hps"/>
          <w:rFonts w:cstheme="minorHAnsi"/>
        </w:rPr>
        <w:t xml:space="preserve">’évaluation et de gestion environnementale et sociale </w:t>
      </w:r>
      <w:r w:rsidR="00A56AEA" w:rsidRPr="00D85E9B">
        <w:rPr>
          <w:rStyle w:val="hps"/>
          <w:rFonts w:cstheme="minorHAnsi"/>
        </w:rPr>
        <w:t>utilisé</w:t>
      </w:r>
      <w:r w:rsidRPr="00D85E9B">
        <w:rPr>
          <w:rStyle w:val="hps"/>
          <w:rFonts w:cstheme="minorHAnsi"/>
        </w:rPr>
        <w:t>s par la Banque et/ou</w:t>
      </w:r>
      <w:r w:rsidR="00A56AEA" w:rsidRPr="00D85E9B">
        <w:rPr>
          <w:rStyle w:val="hps"/>
          <w:rFonts w:cstheme="minorHAnsi"/>
        </w:rPr>
        <w:t xml:space="preserve"> ont pris part</w:t>
      </w:r>
      <w:r w:rsidRPr="00D85E9B">
        <w:rPr>
          <w:rStyle w:val="hps"/>
          <w:rFonts w:cstheme="minorHAnsi"/>
        </w:rPr>
        <w:t xml:space="preserve"> à des </w:t>
      </w:r>
      <w:r w:rsidR="00A56AEA" w:rsidRPr="00D85E9B">
        <w:rPr>
          <w:rStyle w:val="hps"/>
          <w:rFonts w:cstheme="minorHAnsi"/>
        </w:rPr>
        <w:t>activités de</w:t>
      </w:r>
      <w:r w:rsidRPr="00D85E9B">
        <w:rPr>
          <w:rStyle w:val="hps"/>
          <w:rFonts w:cstheme="minorHAnsi"/>
        </w:rPr>
        <w:t xml:space="preserve"> planification ou de suivi-évaluation de la gestion des risques et impacts environnementaux et sociaux</w:t>
      </w:r>
      <w:r w:rsidR="00A56AEA" w:rsidRPr="00D85E9B">
        <w:rPr>
          <w:rStyle w:val="hps"/>
          <w:rFonts w:cstheme="minorHAnsi"/>
        </w:rPr>
        <w:t xml:space="preserve"> de projets </w:t>
      </w:r>
      <w:r w:rsidR="00CB72E2" w:rsidRPr="00F37CAC">
        <w:rPr>
          <w:rStyle w:val="hps"/>
          <w:rFonts w:cstheme="minorHAnsi"/>
        </w:rPr>
        <w:t>finan</w:t>
      </w:r>
      <w:r w:rsidR="00CB72E2" w:rsidRPr="00C363E2">
        <w:rPr>
          <w:rStyle w:val="hps"/>
          <w:rFonts w:cstheme="minorHAnsi"/>
        </w:rPr>
        <w:t>cés</w:t>
      </w:r>
      <w:r w:rsidR="00A56AEA" w:rsidRPr="001F6031">
        <w:rPr>
          <w:rStyle w:val="hps"/>
          <w:rFonts w:cstheme="minorHAnsi"/>
        </w:rPr>
        <w:t xml:space="preserve"> par la Banque mondiale</w:t>
      </w:r>
      <w:r w:rsidRPr="001F6031">
        <w:rPr>
          <w:rStyle w:val="hps"/>
          <w:rFonts w:cstheme="minorHAnsi"/>
        </w:rPr>
        <w:t xml:space="preserve">. </w:t>
      </w:r>
    </w:p>
    <w:p w14:paraId="088C5D8E" w14:textId="016BB4D5" w:rsidR="00EC5FA7" w:rsidRPr="008A2D29" w:rsidRDefault="00FA42FF" w:rsidP="00D85E9B">
      <w:pPr>
        <w:numPr>
          <w:ilvl w:val="0"/>
          <w:numId w:val="11"/>
        </w:numPr>
        <w:autoSpaceDE w:val="0"/>
        <w:autoSpaceDN w:val="0"/>
        <w:adjustRightInd w:val="0"/>
        <w:spacing w:before="120" w:after="0" w:line="360" w:lineRule="auto"/>
        <w:contextualSpacing/>
        <w:jc w:val="both"/>
        <w:rPr>
          <w:rStyle w:val="hps"/>
          <w:rFonts w:cstheme="minorHAnsi"/>
        </w:rPr>
      </w:pPr>
      <w:r w:rsidRPr="001F6031">
        <w:rPr>
          <w:rStyle w:val="hps"/>
          <w:rFonts w:cstheme="minorHAnsi"/>
        </w:rPr>
        <w:lastRenderedPageBreak/>
        <w:t>Le MI</w:t>
      </w:r>
      <w:r w:rsidR="00A56AEA" w:rsidRPr="001C6D8C">
        <w:rPr>
          <w:rStyle w:val="hps"/>
          <w:rFonts w:cstheme="minorHAnsi"/>
        </w:rPr>
        <w:t xml:space="preserve"> a contribué à travers la Direction Générale des Collectiv</w:t>
      </w:r>
      <w:r w:rsidR="00A56AEA" w:rsidRPr="00E404BF">
        <w:rPr>
          <w:rStyle w:val="hps"/>
          <w:rFonts w:cstheme="minorHAnsi"/>
        </w:rPr>
        <w:t xml:space="preserve">ités Territoriales à la mise en </w:t>
      </w:r>
      <w:r w:rsidR="00CB72E2" w:rsidRPr="00F37CAC">
        <w:rPr>
          <w:rStyle w:val="hps"/>
          <w:rFonts w:cstheme="minorHAnsi"/>
        </w:rPr>
        <w:t>œuvre</w:t>
      </w:r>
      <w:r w:rsidR="00A56AEA" w:rsidRPr="001F6031">
        <w:rPr>
          <w:rStyle w:val="hps"/>
          <w:rFonts w:cstheme="minorHAnsi"/>
        </w:rPr>
        <w:t xml:space="preserve"> </w:t>
      </w:r>
      <w:r w:rsidR="00EC5FA7" w:rsidRPr="001C6D8C">
        <w:rPr>
          <w:rStyle w:val="hps"/>
          <w:rFonts w:cstheme="minorHAnsi"/>
        </w:rPr>
        <w:t xml:space="preserve">de deux PPR au Maroc. </w:t>
      </w:r>
    </w:p>
    <w:p w14:paraId="3276B08E" w14:textId="5753CD6D" w:rsidR="00EC5FA7" w:rsidRPr="008A2D29" w:rsidRDefault="00D75FB0" w:rsidP="00D85E9B">
      <w:pPr>
        <w:numPr>
          <w:ilvl w:val="0"/>
          <w:numId w:val="11"/>
        </w:numPr>
        <w:autoSpaceDE w:val="0"/>
        <w:autoSpaceDN w:val="0"/>
        <w:adjustRightInd w:val="0"/>
        <w:spacing w:before="120" w:after="0" w:line="360" w:lineRule="auto"/>
        <w:contextualSpacing/>
        <w:jc w:val="both"/>
        <w:rPr>
          <w:rStyle w:val="hps"/>
          <w:rFonts w:cstheme="minorHAnsi"/>
        </w:rPr>
      </w:pPr>
      <w:r w:rsidRPr="001F6031">
        <w:rPr>
          <w:rStyle w:val="hps"/>
          <w:rFonts w:cstheme="minorHAnsi"/>
        </w:rPr>
        <w:t>L</w:t>
      </w:r>
      <w:r w:rsidRPr="001C6D8C">
        <w:rPr>
          <w:rStyle w:val="hps"/>
          <w:rFonts w:cstheme="minorHAnsi"/>
        </w:rPr>
        <w:t xml:space="preserve">e département de la Réforme de l’Administration avait </w:t>
      </w:r>
      <w:r w:rsidR="00CB72E2" w:rsidRPr="00F37CAC">
        <w:rPr>
          <w:rStyle w:val="hps"/>
          <w:rFonts w:cstheme="minorHAnsi"/>
        </w:rPr>
        <w:t>intervenu</w:t>
      </w:r>
      <w:r w:rsidR="0011761C" w:rsidRPr="001F6031">
        <w:rPr>
          <w:rStyle w:val="hps"/>
          <w:rFonts w:cstheme="minorHAnsi"/>
        </w:rPr>
        <w:t xml:space="preserve"> activement dans l</w:t>
      </w:r>
      <w:r w:rsidR="0011761C" w:rsidRPr="001C6D8C">
        <w:rPr>
          <w:rStyle w:val="hps"/>
          <w:rFonts w:cstheme="minorHAnsi"/>
        </w:rPr>
        <w:t>a mise en place du mécanisme de gestion des plaint</w:t>
      </w:r>
      <w:r w:rsidR="0011761C" w:rsidRPr="00E404BF">
        <w:rPr>
          <w:rStyle w:val="hps"/>
          <w:rFonts w:cstheme="minorHAnsi"/>
        </w:rPr>
        <w:t xml:space="preserve">es (GRM) adressées par les </w:t>
      </w:r>
      <w:r w:rsidR="00CB72E2" w:rsidRPr="00F37CAC">
        <w:rPr>
          <w:rStyle w:val="hps"/>
          <w:rFonts w:cstheme="minorHAnsi"/>
        </w:rPr>
        <w:t>citoyens</w:t>
      </w:r>
      <w:r w:rsidR="0011761C" w:rsidRPr="001F6031">
        <w:rPr>
          <w:rStyle w:val="hps"/>
          <w:rFonts w:cstheme="minorHAnsi"/>
        </w:rPr>
        <w:t xml:space="preserve"> aux administrations régit par le décret </w:t>
      </w:r>
      <w:r w:rsidR="00E11DB8">
        <w:rPr>
          <w:rStyle w:val="hps"/>
          <w:rFonts w:cstheme="minorHAnsi"/>
        </w:rPr>
        <w:t xml:space="preserve">n°2-17-265 </w:t>
      </w:r>
      <w:r w:rsidR="0011761C" w:rsidRPr="001F6031">
        <w:rPr>
          <w:rStyle w:val="hps"/>
          <w:rFonts w:cstheme="minorHAnsi"/>
        </w:rPr>
        <w:t>.</w:t>
      </w:r>
    </w:p>
    <w:p w14:paraId="19934F94" w14:textId="11AE58C4" w:rsidR="00EC5FA7" w:rsidRPr="008A2D29" w:rsidRDefault="0011761C" w:rsidP="00D85E9B">
      <w:pPr>
        <w:numPr>
          <w:ilvl w:val="0"/>
          <w:numId w:val="11"/>
        </w:numPr>
        <w:autoSpaceDE w:val="0"/>
        <w:autoSpaceDN w:val="0"/>
        <w:adjustRightInd w:val="0"/>
        <w:spacing w:before="120" w:after="0" w:line="360" w:lineRule="auto"/>
        <w:contextualSpacing/>
        <w:jc w:val="both"/>
        <w:rPr>
          <w:rStyle w:val="hps"/>
          <w:rFonts w:cstheme="minorHAnsi"/>
        </w:rPr>
      </w:pPr>
      <w:r w:rsidRPr="001F6031">
        <w:rPr>
          <w:rStyle w:val="hps"/>
          <w:rFonts w:cstheme="minorHAnsi"/>
        </w:rPr>
        <w:t>L’ADD</w:t>
      </w:r>
      <w:r w:rsidR="003F31E0" w:rsidRPr="001C6D8C">
        <w:rPr>
          <w:rStyle w:val="hps"/>
          <w:rFonts w:cstheme="minorHAnsi"/>
        </w:rPr>
        <w:t>, de son côté,</w:t>
      </w:r>
      <w:r w:rsidRPr="001C6D8C">
        <w:rPr>
          <w:rStyle w:val="hps"/>
          <w:rFonts w:cstheme="minorHAnsi"/>
        </w:rPr>
        <w:t xml:space="preserve"> a contribué au développement de l’accès aux mécanisme</w:t>
      </w:r>
      <w:r w:rsidR="003F31E0" w:rsidRPr="00E404BF">
        <w:rPr>
          <w:rStyle w:val="hps"/>
          <w:rFonts w:cstheme="minorHAnsi"/>
        </w:rPr>
        <w:t xml:space="preserve"> national</w:t>
      </w:r>
      <w:r w:rsidRPr="00E404BF">
        <w:rPr>
          <w:rStyle w:val="hps"/>
          <w:rFonts w:cstheme="minorHAnsi"/>
        </w:rPr>
        <w:t xml:space="preserve"> de gestion des </w:t>
      </w:r>
      <w:r w:rsidR="00CB72E2" w:rsidRPr="00F37CAC">
        <w:rPr>
          <w:rStyle w:val="hps"/>
          <w:rFonts w:cstheme="minorHAnsi"/>
        </w:rPr>
        <w:t>plaintes</w:t>
      </w:r>
      <w:r w:rsidR="003F31E0" w:rsidRPr="001F6031">
        <w:rPr>
          <w:rStyle w:val="hps"/>
          <w:rFonts w:cstheme="minorHAnsi"/>
        </w:rPr>
        <w:t xml:space="preserve"> adressées aux administrations publiques</w:t>
      </w:r>
      <w:r w:rsidR="003F31E0" w:rsidRPr="001C6D8C">
        <w:rPr>
          <w:rStyle w:val="hps"/>
          <w:rFonts w:cstheme="minorHAnsi"/>
        </w:rPr>
        <w:t>, mentionné ci-dessus,</w:t>
      </w:r>
      <w:r w:rsidR="00A1443E" w:rsidRPr="001C6D8C">
        <w:rPr>
          <w:rStyle w:val="hps"/>
          <w:rFonts w:cstheme="minorHAnsi"/>
        </w:rPr>
        <w:t xml:space="preserve"> à travers </w:t>
      </w:r>
      <w:r w:rsidR="003F31E0" w:rsidRPr="00E404BF">
        <w:rPr>
          <w:rStyle w:val="hps"/>
          <w:rFonts w:cstheme="minorHAnsi"/>
        </w:rPr>
        <w:t>la mise en place de</w:t>
      </w:r>
      <w:r w:rsidRPr="00E404BF">
        <w:rPr>
          <w:rStyle w:val="hps"/>
          <w:rFonts w:cstheme="minorHAnsi"/>
        </w:rPr>
        <w:t xml:space="preserve"> la plateforme </w:t>
      </w:r>
      <w:r w:rsidRPr="00D85E9B">
        <w:rPr>
          <w:rStyle w:val="hps"/>
          <w:rFonts w:cstheme="minorHAnsi"/>
          <w:u w:val="single"/>
        </w:rPr>
        <w:t>Chikaya.</w:t>
      </w:r>
      <w:r w:rsidR="00A1443E" w:rsidRPr="00D85E9B">
        <w:rPr>
          <w:rStyle w:val="hps"/>
          <w:rFonts w:cstheme="minorHAnsi"/>
          <w:u w:val="single"/>
        </w:rPr>
        <w:t>ma</w:t>
      </w:r>
      <w:r w:rsidRPr="001F6031">
        <w:rPr>
          <w:rStyle w:val="hps"/>
          <w:rFonts w:cstheme="minorHAnsi"/>
        </w:rPr>
        <w:t xml:space="preserve"> </w:t>
      </w:r>
      <w:r w:rsidR="003F31E0" w:rsidRPr="001C6D8C">
        <w:rPr>
          <w:rStyle w:val="hps"/>
          <w:rFonts w:cstheme="minorHAnsi"/>
        </w:rPr>
        <w:t xml:space="preserve">dont elle </w:t>
      </w:r>
      <w:r w:rsidR="003F31E0" w:rsidRPr="00E404BF">
        <w:rPr>
          <w:rStyle w:val="hps"/>
          <w:rFonts w:cstheme="minorHAnsi"/>
        </w:rPr>
        <w:t>assure la gestion</w:t>
      </w:r>
      <w:r w:rsidR="00E11DB8">
        <w:rPr>
          <w:rStyle w:val="hps"/>
          <w:rFonts w:cstheme="minorHAnsi"/>
        </w:rPr>
        <w:t>, mais vu sa création relativement récente, l’ADD n’a aucune expérience avec la Banque et ne dispose pas de compétences en matière de gestion sociale.</w:t>
      </w:r>
      <w:r w:rsidR="003F31E0" w:rsidRPr="00D85E9B">
        <w:rPr>
          <w:rStyle w:val="hps"/>
          <w:rFonts w:cstheme="minorHAnsi"/>
        </w:rPr>
        <w:t xml:space="preserve"> </w:t>
      </w:r>
    </w:p>
    <w:p w14:paraId="128ADCFA" w14:textId="0EBCAFF0" w:rsidR="000B39A4" w:rsidRDefault="00EC5FA7" w:rsidP="00D85E9B">
      <w:pPr>
        <w:numPr>
          <w:ilvl w:val="0"/>
          <w:numId w:val="11"/>
        </w:numPr>
        <w:autoSpaceDE w:val="0"/>
        <w:autoSpaceDN w:val="0"/>
        <w:adjustRightInd w:val="0"/>
        <w:spacing w:before="120" w:after="0" w:line="360" w:lineRule="auto"/>
        <w:contextualSpacing/>
        <w:jc w:val="both"/>
        <w:rPr>
          <w:rStyle w:val="hps"/>
          <w:rFonts w:cstheme="minorHAnsi"/>
        </w:rPr>
      </w:pPr>
      <w:r w:rsidRPr="001F6031">
        <w:rPr>
          <w:rStyle w:val="hps"/>
          <w:rFonts w:cstheme="minorHAnsi"/>
        </w:rPr>
        <w:t xml:space="preserve">Toutes les institutions impliquées dans la mise en </w:t>
      </w:r>
      <w:r w:rsidR="00CB72E2" w:rsidRPr="00F37CAC">
        <w:rPr>
          <w:rStyle w:val="hps"/>
          <w:rFonts w:cstheme="minorHAnsi"/>
        </w:rPr>
        <w:t>œuvre</w:t>
      </w:r>
      <w:r w:rsidRPr="001F6031">
        <w:rPr>
          <w:rStyle w:val="hps"/>
          <w:rFonts w:cstheme="minorHAnsi"/>
        </w:rPr>
        <w:t xml:space="preserve"> du Programme, </w:t>
      </w:r>
      <w:r w:rsidR="00A1443E" w:rsidRPr="001C6D8C">
        <w:rPr>
          <w:rStyle w:val="hps"/>
          <w:rFonts w:cstheme="minorHAnsi"/>
        </w:rPr>
        <w:t>le MEFRA, le MICE</w:t>
      </w:r>
      <w:r w:rsidRPr="001C6D8C">
        <w:rPr>
          <w:rStyle w:val="hps"/>
          <w:rFonts w:cstheme="minorHAnsi"/>
        </w:rPr>
        <w:t>V</w:t>
      </w:r>
      <w:r w:rsidR="00A1443E" w:rsidRPr="00E404BF">
        <w:rPr>
          <w:rStyle w:val="hps"/>
          <w:rFonts w:cstheme="minorHAnsi"/>
        </w:rPr>
        <w:t xml:space="preserve">N, </w:t>
      </w:r>
      <w:r w:rsidRPr="00E404BF">
        <w:rPr>
          <w:rStyle w:val="hps"/>
          <w:rFonts w:cstheme="minorHAnsi"/>
        </w:rPr>
        <w:t xml:space="preserve">le MI et </w:t>
      </w:r>
      <w:r w:rsidR="00A1443E" w:rsidRPr="00D85E9B">
        <w:rPr>
          <w:rStyle w:val="hps"/>
          <w:rFonts w:cstheme="minorHAnsi"/>
        </w:rPr>
        <w:t xml:space="preserve">l’ADD </w:t>
      </w:r>
      <w:r w:rsidR="00AB280D">
        <w:rPr>
          <w:rStyle w:val="hps"/>
          <w:rFonts w:cstheme="minorHAnsi"/>
        </w:rPr>
        <w:t>sont toutes liées au système National Chikaya.ma</w:t>
      </w:r>
      <w:r w:rsidR="00AB280D" w:rsidRPr="008A2D29">
        <w:rPr>
          <w:rStyle w:val="hps"/>
          <w:rFonts w:cstheme="minorHAnsi"/>
        </w:rPr>
        <w:t xml:space="preserve"> </w:t>
      </w:r>
      <w:r w:rsidR="00AB280D">
        <w:rPr>
          <w:rStyle w:val="hps"/>
          <w:rFonts w:cstheme="minorHAnsi"/>
        </w:rPr>
        <w:t>et</w:t>
      </w:r>
      <w:r w:rsidR="00A1443E" w:rsidRPr="00D85E9B">
        <w:rPr>
          <w:rStyle w:val="hps"/>
          <w:rFonts w:cstheme="minorHAnsi"/>
        </w:rPr>
        <w:t xml:space="preserve"> disposent</w:t>
      </w:r>
      <w:r w:rsidRPr="00D85E9B">
        <w:rPr>
          <w:rStyle w:val="hps"/>
          <w:rFonts w:cstheme="minorHAnsi"/>
        </w:rPr>
        <w:t xml:space="preserve"> de</w:t>
      </w:r>
      <w:r w:rsidR="00A1443E" w:rsidRPr="00D85E9B">
        <w:rPr>
          <w:rStyle w:val="hps"/>
          <w:rFonts w:cstheme="minorHAnsi"/>
        </w:rPr>
        <w:t xml:space="preserve"> structures de </w:t>
      </w:r>
      <w:r w:rsidR="00CB72E2" w:rsidRPr="00F37CAC">
        <w:rPr>
          <w:rStyle w:val="hps"/>
          <w:rFonts w:cstheme="minorHAnsi"/>
        </w:rPr>
        <w:t>réception</w:t>
      </w:r>
      <w:r w:rsidR="00A1443E" w:rsidRPr="001F6031">
        <w:rPr>
          <w:rStyle w:val="hps"/>
          <w:rFonts w:cstheme="minorHAnsi"/>
        </w:rPr>
        <w:t xml:space="preserve">, de suivi et de gestion des observations et des </w:t>
      </w:r>
      <w:r w:rsidR="00A1443E" w:rsidRPr="001C6D8C">
        <w:rPr>
          <w:rStyle w:val="hps"/>
          <w:rFonts w:cstheme="minorHAnsi"/>
        </w:rPr>
        <w:t>plaint</w:t>
      </w:r>
      <w:r w:rsidRPr="001C6D8C">
        <w:rPr>
          <w:rStyle w:val="hps"/>
          <w:rFonts w:cstheme="minorHAnsi"/>
        </w:rPr>
        <w:t>es.</w:t>
      </w:r>
    </w:p>
    <w:p w14:paraId="5B292C42" w14:textId="2620EFE5" w:rsidR="005521A7" w:rsidRPr="005521A7" w:rsidRDefault="005521A7" w:rsidP="00D85E9B">
      <w:pPr>
        <w:numPr>
          <w:ilvl w:val="0"/>
          <w:numId w:val="11"/>
        </w:numPr>
        <w:autoSpaceDE w:val="0"/>
        <w:autoSpaceDN w:val="0"/>
        <w:adjustRightInd w:val="0"/>
        <w:spacing w:before="120" w:after="0" w:line="360" w:lineRule="auto"/>
        <w:contextualSpacing/>
        <w:jc w:val="both"/>
        <w:rPr>
          <w:rStyle w:val="hps"/>
          <w:rFonts w:cstheme="minorHAnsi"/>
        </w:rPr>
      </w:pPr>
      <w:r>
        <w:rPr>
          <w:rStyle w:val="hps"/>
          <w:rFonts w:cstheme="minorHAnsi"/>
        </w:rPr>
        <w:t xml:space="preserve">En plus, </w:t>
      </w:r>
      <w:r w:rsidRPr="00D85E9B">
        <w:rPr>
          <w:rStyle w:val="hps"/>
          <w:rFonts w:cstheme="minorHAnsi"/>
        </w:rPr>
        <w:t xml:space="preserve">La CNDP reçoit les plaintes de toute personne concernée estimant être lésée par un traitement de données personnelles (Article 28 de la loi 09-08). </w:t>
      </w:r>
      <w:r w:rsidRPr="001F6031">
        <w:rPr>
          <w:rStyle w:val="hps"/>
          <w:rFonts w:cstheme="minorHAnsi"/>
        </w:rPr>
        <w:t>Les plaintes</w:t>
      </w:r>
      <w:r w:rsidRPr="00D85E9B">
        <w:rPr>
          <w:rStyle w:val="hps"/>
          <w:rFonts w:cstheme="minorHAnsi"/>
        </w:rPr>
        <w:t xml:space="preserve"> peuvent être adressées à la CNDP par (i) voie postale, (ii) voie électronique (+80% des cas), (iii) dépôt sur place ou (iv) via les Réseaux Sociaux (Facebook &amp; Twitter).</w:t>
      </w:r>
    </w:p>
    <w:p w14:paraId="1FFF08F9" w14:textId="77B63A37" w:rsidR="005140DA" w:rsidRPr="00D85E9B" w:rsidRDefault="000B39A4" w:rsidP="00D85E9B">
      <w:pPr>
        <w:numPr>
          <w:ilvl w:val="0"/>
          <w:numId w:val="11"/>
        </w:numPr>
        <w:autoSpaceDE w:val="0"/>
        <w:autoSpaceDN w:val="0"/>
        <w:adjustRightInd w:val="0"/>
        <w:spacing w:before="120" w:after="0" w:line="360" w:lineRule="auto"/>
        <w:contextualSpacing/>
        <w:jc w:val="both"/>
        <w:rPr>
          <w:rStyle w:val="hps"/>
          <w:rFonts w:ascii="Times New Roman" w:hAnsi="Times New Roman" w:cstheme="minorHAnsi"/>
          <w:color w:val="000000"/>
          <w:sz w:val="24"/>
          <w:szCs w:val="20"/>
        </w:rPr>
      </w:pPr>
      <w:r w:rsidRPr="001F6031">
        <w:rPr>
          <w:rStyle w:val="hps"/>
          <w:rFonts w:cstheme="minorHAnsi"/>
        </w:rPr>
        <w:t xml:space="preserve">La </w:t>
      </w:r>
      <w:r w:rsidR="00421DC6" w:rsidRPr="00F37CAC">
        <w:rPr>
          <w:rStyle w:val="hps"/>
          <w:rFonts w:cstheme="minorHAnsi"/>
        </w:rPr>
        <w:t>capacité</w:t>
      </w:r>
      <w:r w:rsidRPr="001F6031">
        <w:rPr>
          <w:rStyle w:val="hps"/>
          <w:rFonts w:cstheme="minorHAnsi"/>
        </w:rPr>
        <w:t xml:space="preserve"> des bureau</w:t>
      </w:r>
      <w:r w:rsidR="00421DC6">
        <w:rPr>
          <w:rStyle w:val="hps"/>
          <w:rFonts w:cstheme="minorHAnsi"/>
        </w:rPr>
        <w:t>x</w:t>
      </w:r>
      <w:r w:rsidRPr="001F6031">
        <w:rPr>
          <w:rStyle w:val="hps"/>
          <w:rFonts w:cstheme="minorHAnsi"/>
        </w:rPr>
        <w:t xml:space="preserve"> d’études</w:t>
      </w:r>
      <w:r w:rsidR="00D512B3">
        <w:rPr>
          <w:rStyle w:val="hps"/>
          <w:rFonts w:cstheme="minorHAnsi"/>
        </w:rPr>
        <w:t xml:space="preserve"> et de consultance</w:t>
      </w:r>
      <w:r w:rsidRPr="001F6031">
        <w:rPr>
          <w:rStyle w:val="hps"/>
          <w:rFonts w:cstheme="minorHAnsi"/>
        </w:rPr>
        <w:t xml:space="preserve"> nationaux en matière d</w:t>
      </w:r>
      <w:r w:rsidRPr="001C6D8C">
        <w:rPr>
          <w:rStyle w:val="hps"/>
          <w:rFonts w:cstheme="minorHAnsi"/>
        </w:rPr>
        <w:t>’évaluation et de gestion sociale</w:t>
      </w:r>
      <w:r w:rsidR="001E1CD1" w:rsidRPr="001C6D8C">
        <w:rPr>
          <w:rStyle w:val="hps"/>
          <w:rFonts w:cstheme="minorHAnsi"/>
        </w:rPr>
        <w:t>, y compris ceux spécialisés dans l’évaluation environnementale,</w:t>
      </w:r>
      <w:r w:rsidRPr="00E404BF">
        <w:rPr>
          <w:rStyle w:val="hps"/>
          <w:rFonts w:cstheme="minorHAnsi"/>
        </w:rPr>
        <w:t xml:space="preserve"> demeu</w:t>
      </w:r>
      <w:r w:rsidR="001E1CD1" w:rsidRPr="00E404BF">
        <w:rPr>
          <w:rStyle w:val="hps"/>
          <w:rFonts w:cstheme="minorHAnsi"/>
        </w:rPr>
        <w:t>re</w:t>
      </w:r>
      <w:r w:rsidRPr="00E404BF">
        <w:rPr>
          <w:rStyle w:val="hps"/>
          <w:rFonts w:cstheme="minorHAnsi"/>
        </w:rPr>
        <w:t xml:space="preserve"> limitée. Les exigences de la réglementation nationale en matière d’évaluation et de gestion sociale étant limitées, les bureau</w:t>
      </w:r>
      <w:r w:rsidR="00421DC6">
        <w:rPr>
          <w:rStyle w:val="hps"/>
          <w:rFonts w:cstheme="minorHAnsi"/>
        </w:rPr>
        <w:t>x</w:t>
      </w:r>
      <w:r w:rsidRPr="001F6031">
        <w:rPr>
          <w:rStyle w:val="hps"/>
          <w:rFonts w:cstheme="minorHAnsi"/>
        </w:rPr>
        <w:t xml:space="preserve"> </w:t>
      </w:r>
      <w:r w:rsidRPr="001C6D8C">
        <w:rPr>
          <w:rStyle w:val="hps"/>
          <w:rFonts w:cstheme="minorHAnsi"/>
        </w:rPr>
        <w:t xml:space="preserve">d’études qui </w:t>
      </w:r>
      <w:r w:rsidR="00421DC6" w:rsidRPr="00F37CAC">
        <w:rPr>
          <w:rStyle w:val="hps"/>
          <w:rFonts w:cstheme="minorHAnsi"/>
        </w:rPr>
        <w:t>réalisent</w:t>
      </w:r>
      <w:r w:rsidRPr="001F6031">
        <w:rPr>
          <w:rStyle w:val="hps"/>
          <w:rFonts w:cstheme="minorHAnsi"/>
        </w:rPr>
        <w:t xml:space="preserve"> des </w:t>
      </w:r>
      <w:r w:rsidR="00421DC6" w:rsidRPr="00F37CAC">
        <w:rPr>
          <w:rStyle w:val="hps"/>
          <w:rFonts w:cstheme="minorHAnsi"/>
        </w:rPr>
        <w:t>EIE ont</w:t>
      </w:r>
      <w:r w:rsidR="001E1CD1" w:rsidRPr="001F6031">
        <w:rPr>
          <w:rStyle w:val="hps"/>
          <w:rFonts w:cstheme="minorHAnsi"/>
        </w:rPr>
        <w:t xml:space="preserve"> développé </w:t>
      </w:r>
      <w:r w:rsidR="001E1CD1" w:rsidRPr="001C6D8C">
        <w:rPr>
          <w:rStyle w:val="hps"/>
          <w:rFonts w:cstheme="minorHAnsi"/>
        </w:rPr>
        <w:t>peu de compétence</w:t>
      </w:r>
      <w:r w:rsidRPr="001C6D8C">
        <w:rPr>
          <w:rStyle w:val="hps"/>
          <w:rFonts w:cstheme="minorHAnsi"/>
        </w:rPr>
        <w:t xml:space="preserve"> dans l’évaluation et la gestion des risques et impacts sociaux</w:t>
      </w:r>
      <w:r w:rsidR="001E1CD1" w:rsidRPr="00E404BF">
        <w:rPr>
          <w:rStyle w:val="hps"/>
          <w:rFonts w:cstheme="minorHAnsi"/>
        </w:rPr>
        <w:t xml:space="preserve"> des projets de développement</w:t>
      </w:r>
      <w:r w:rsidRPr="00E404BF">
        <w:rPr>
          <w:rStyle w:val="hps"/>
          <w:rFonts w:cstheme="minorHAnsi"/>
        </w:rPr>
        <w:t xml:space="preserve">. </w:t>
      </w:r>
    </w:p>
    <w:p w14:paraId="3C546852" w14:textId="0D32E2A4" w:rsidR="007E0FB3" w:rsidRDefault="007E0FB3">
      <w:pPr>
        <w:rPr>
          <w:rStyle w:val="hps"/>
          <w:rFonts w:eastAsia="ヒラギノ角ゴ Pro W3" w:cstheme="minorHAnsi"/>
        </w:rPr>
      </w:pPr>
      <w:r>
        <w:rPr>
          <w:rStyle w:val="hps"/>
          <w:rFonts w:cstheme="minorHAnsi"/>
        </w:rPr>
        <w:br w:type="page"/>
      </w:r>
    </w:p>
    <w:p w14:paraId="3C94AA78" w14:textId="719F4D77" w:rsidR="008D79AA" w:rsidRPr="00046E7D" w:rsidRDefault="008D79AA" w:rsidP="008D79AA">
      <w:pPr>
        <w:pStyle w:val="Heading1"/>
        <w:rPr>
          <w:rFonts w:ascii="Candara" w:hAnsi="Candara"/>
          <w:sz w:val="28"/>
          <w:szCs w:val="28"/>
          <w:lang w:val="fr-FR"/>
        </w:rPr>
      </w:pPr>
      <w:bookmarkStart w:id="149" w:name="_Toc496827339"/>
      <w:bookmarkStart w:id="150" w:name="_Toc74241404"/>
      <w:r w:rsidRPr="00046E7D">
        <w:rPr>
          <w:rFonts w:ascii="Candara" w:hAnsi="Candara"/>
          <w:sz w:val="28"/>
          <w:szCs w:val="28"/>
          <w:lang w:val="fr-FR"/>
        </w:rPr>
        <w:lastRenderedPageBreak/>
        <w:t>5. Conclusions et recommandations</w:t>
      </w:r>
      <w:bookmarkEnd w:id="149"/>
      <w:bookmarkEnd w:id="150"/>
    </w:p>
    <w:p w14:paraId="44E1B9C2" w14:textId="77777777" w:rsidR="00EA38DB" w:rsidRDefault="00EA38DB" w:rsidP="00C76C27">
      <w:pPr>
        <w:spacing w:line="240" w:lineRule="auto"/>
        <w:ind w:left="1134" w:right="686"/>
        <w:jc w:val="both"/>
        <w:rPr>
          <w:rFonts w:ascii="Candara" w:hAnsi="Candara"/>
          <w:i/>
          <w:iCs/>
          <w:sz w:val="20"/>
          <w:szCs w:val="20"/>
        </w:rPr>
      </w:pPr>
    </w:p>
    <w:p w14:paraId="2E5CA49F" w14:textId="1996AFC4" w:rsidR="008D79AA" w:rsidRPr="00046E7D" w:rsidRDefault="008D79AA" w:rsidP="00046E7D">
      <w:pPr>
        <w:spacing w:line="240" w:lineRule="auto"/>
        <w:ind w:left="1134" w:right="686"/>
        <w:jc w:val="both"/>
        <w:rPr>
          <w:rFonts w:ascii="Candara" w:hAnsi="Candara"/>
          <w:i/>
          <w:iCs/>
          <w:sz w:val="20"/>
          <w:szCs w:val="20"/>
        </w:rPr>
      </w:pPr>
      <w:r w:rsidRPr="00046E7D">
        <w:rPr>
          <w:rFonts w:ascii="Candara" w:hAnsi="Candara"/>
          <w:i/>
          <w:iCs/>
          <w:sz w:val="20"/>
          <w:szCs w:val="20"/>
        </w:rPr>
        <w:t>Cette section synthétise l’ensemble des conclusions et des recommandations du présent rapport concernant les mesures et les initiatives à prendre, avant et pendant la mise en œuvre du programme proposé, en matière de gestion environnementale et sociale – mesures qui seront intégrées au Plan d’Action du Programme.</w:t>
      </w:r>
    </w:p>
    <w:p w14:paraId="3324383C" w14:textId="77777777" w:rsidR="008D79AA" w:rsidRPr="003A404D" w:rsidRDefault="008D79AA" w:rsidP="007C2C73">
      <w:pPr>
        <w:spacing w:after="0" w:line="240" w:lineRule="auto"/>
      </w:pPr>
    </w:p>
    <w:p w14:paraId="0F8E32C9" w14:textId="5927FA32" w:rsidR="008D79AA" w:rsidRDefault="008D79AA" w:rsidP="007C2C73">
      <w:pPr>
        <w:pStyle w:val="Heading2"/>
        <w:spacing w:line="240" w:lineRule="auto"/>
        <w:rPr>
          <w:rFonts w:ascii="Candara" w:hAnsi="Candara"/>
          <w:color w:val="auto"/>
          <w:lang w:val="fr-FR"/>
        </w:rPr>
      </w:pPr>
      <w:bookmarkStart w:id="151" w:name="_Toc493697845"/>
      <w:bookmarkStart w:id="152" w:name="_Toc493701336"/>
      <w:bookmarkStart w:id="153" w:name="_Toc496827340"/>
      <w:bookmarkStart w:id="154" w:name="_Toc74241405"/>
      <w:r w:rsidRPr="00046E7D">
        <w:rPr>
          <w:rFonts w:ascii="Candara" w:hAnsi="Candara"/>
          <w:color w:val="auto"/>
          <w:lang w:val="fr-FR"/>
        </w:rPr>
        <w:t xml:space="preserve">5.1 </w:t>
      </w:r>
      <w:r w:rsidR="00793923">
        <w:rPr>
          <w:rFonts w:ascii="Candara" w:hAnsi="Candara"/>
          <w:color w:val="auto"/>
          <w:lang w:val="fr-FR"/>
        </w:rPr>
        <w:t>Synthèse de l’</w:t>
      </w:r>
      <w:r w:rsidRPr="00046E7D">
        <w:rPr>
          <w:rFonts w:ascii="Candara" w:hAnsi="Candara"/>
          <w:color w:val="auto"/>
          <w:lang w:val="fr-FR"/>
        </w:rPr>
        <w:t>Évaluation d</w:t>
      </w:r>
      <w:r w:rsidR="00793923">
        <w:rPr>
          <w:rFonts w:ascii="Candara" w:hAnsi="Candara"/>
          <w:color w:val="auto"/>
          <w:lang w:val="fr-FR"/>
        </w:rPr>
        <w:t>es</w:t>
      </w:r>
      <w:r w:rsidRPr="00046E7D">
        <w:rPr>
          <w:rFonts w:ascii="Candara" w:hAnsi="Candara"/>
          <w:color w:val="auto"/>
          <w:lang w:val="fr-FR"/>
        </w:rPr>
        <w:t xml:space="preserve"> système</w:t>
      </w:r>
      <w:r w:rsidR="00793923">
        <w:rPr>
          <w:rFonts w:ascii="Candara" w:hAnsi="Candara"/>
          <w:color w:val="auto"/>
          <w:lang w:val="fr-FR"/>
        </w:rPr>
        <w:t>s applicables au</w:t>
      </w:r>
      <w:r w:rsidRPr="00046E7D">
        <w:rPr>
          <w:rFonts w:ascii="Candara" w:hAnsi="Candara"/>
          <w:color w:val="auto"/>
          <w:lang w:val="fr-FR"/>
        </w:rPr>
        <w:t xml:space="preserve"> Programme</w:t>
      </w:r>
      <w:bookmarkEnd w:id="151"/>
      <w:bookmarkEnd w:id="152"/>
      <w:bookmarkEnd w:id="153"/>
      <w:bookmarkEnd w:id="154"/>
    </w:p>
    <w:p w14:paraId="6DB644C0" w14:textId="04786BDF" w:rsidR="00793923" w:rsidRDefault="00793923" w:rsidP="00793923"/>
    <w:p w14:paraId="1ACEEFB4" w14:textId="5A1A3167" w:rsidR="00793923" w:rsidRPr="00D85E9B" w:rsidRDefault="00793923" w:rsidP="00D85E9B">
      <w:pPr>
        <w:pStyle w:val="Heading3"/>
        <w:rPr>
          <w:rFonts w:ascii="Candara" w:hAnsi="Candara" w:cstheme="minorHAnsi"/>
        </w:rPr>
      </w:pPr>
      <w:bookmarkStart w:id="155" w:name="_Toc74241406"/>
      <w:r w:rsidRPr="00D85E9B">
        <w:rPr>
          <w:rFonts w:ascii="Candara" w:hAnsi="Candara" w:cstheme="minorHAnsi"/>
          <w:color w:val="auto"/>
          <w:lang w:val="fr-FR"/>
        </w:rPr>
        <w:t>5.1.1 Systèmes de gestion environnementale</w:t>
      </w:r>
      <w:bookmarkEnd w:id="155"/>
    </w:p>
    <w:p w14:paraId="23926C14" w14:textId="77777777" w:rsidR="00A5131A" w:rsidRDefault="00A5131A">
      <w:pPr>
        <w:spacing w:line="276" w:lineRule="auto"/>
        <w:jc w:val="both"/>
      </w:pPr>
    </w:p>
    <w:p w14:paraId="295A83AA" w14:textId="2E0226AC" w:rsidR="00793923" w:rsidRPr="00D85E9B" w:rsidRDefault="00793923" w:rsidP="00D85E9B">
      <w:pPr>
        <w:numPr>
          <w:ilvl w:val="0"/>
          <w:numId w:val="11"/>
        </w:numPr>
        <w:autoSpaceDE w:val="0"/>
        <w:autoSpaceDN w:val="0"/>
        <w:adjustRightInd w:val="0"/>
        <w:spacing w:before="120" w:after="0" w:line="360" w:lineRule="auto"/>
        <w:contextualSpacing/>
        <w:jc w:val="both"/>
        <w:rPr>
          <w:rStyle w:val="hps"/>
          <w:rFonts w:cstheme="minorHAnsi"/>
        </w:rPr>
      </w:pPr>
      <w:r w:rsidRPr="00D85E9B">
        <w:rPr>
          <w:rStyle w:val="hps"/>
          <w:rFonts w:cstheme="minorHAnsi"/>
        </w:rPr>
        <w:t xml:space="preserve">Au regard des attributs de la Politique de la Banque mondiale sur le PPR, les activités inscrites dans le cadre du Programme n’entraineront aucun risque ni sur les ressources naturelles, ni sur la santé et la sécurité des acteurs concernés. </w:t>
      </w:r>
      <w:r w:rsidR="000140CE" w:rsidRPr="00D85E9B">
        <w:rPr>
          <w:rStyle w:val="hps"/>
          <w:rFonts w:cstheme="minorHAnsi"/>
        </w:rPr>
        <w:t xml:space="preserve">De ce fait, aucune gestion environnementale spécifique n’est prévue. </w:t>
      </w:r>
      <w:r w:rsidRPr="00D85E9B">
        <w:rPr>
          <w:rStyle w:val="hps"/>
          <w:rFonts w:cstheme="minorHAnsi"/>
        </w:rPr>
        <w:t xml:space="preserve">En effet, les composantes du Programme </w:t>
      </w:r>
      <w:r w:rsidR="000140CE" w:rsidRPr="00D85E9B">
        <w:rPr>
          <w:rStyle w:val="hps"/>
          <w:rFonts w:cstheme="minorHAnsi"/>
        </w:rPr>
        <w:t xml:space="preserve">sont </w:t>
      </w:r>
      <w:r w:rsidRPr="00D85E9B">
        <w:rPr>
          <w:rStyle w:val="hps"/>
          <w:rFonts w:cstheme="minorHAnsi"/>
        </w:rPr>
        <w:t xml:space="preserve">marquées par l’absence d’interventions structurelles </w:t>
      </w:r>
      <w:r w:rsidR="000140CE" w:rsidRPr="00D85E9B">
        <w:rPr>
          <w:rStyle w:val="hps"/>
          <w:rFonts w:cstheme="minorHAnsi"/>
        </w:rPr>
        <w:t xml:space="preserve">et </w:t>
      </w:r>
      <w:r w:rsidRPr="00D85E9B">
        <w:rPr>
          <w:rStyle w:val="hps"/>
          <w:rFonts w:cstheme="minorHAnsi"/>
        </w:rPr>
        <w:t xml:space="preserve">n’induisent </w:t>
      </w:r>
      <w:r w:rsidR="000140CE" w:rsidRPr="00D85E9B">
        <w:rPr>
          <w:rStyle w:val="hps"/>
          <w:rFonts w:cstheme="minorHAnsi"/>
        </w:rPr>
        <w:t xml:space="preserve">donc </w:t>
      </w:r>
      <w:r w:rsidRPr="00D85E9B">
        <w:rPr>
          <w:rStyle w:val="hps"/>
          <w:rFonts w:cstheme="minorHAnsi"/>
        </w:rPr>
        <w:t xml:space="preserve">aucune </w:t>
      </w:r>
      <w:r w:rsidR="000140CE" w:rsidRPr="00D85E9B">
        <w:rPr>
          <w:rStyle w:val="hps"/>
          <w:rFonts w:cstheme="minorHAnsi"/>
        </w:rPr>
        <w:t xml:space="preserve">activité </w:t>
      </w:r>
      <w:r w:rsidRPr="00D85E9B">
        <w:rPr>
          <w:rStyle w:val="hps"/>
          <w:rFonts w:cstheme="minorHAnsi"/>
        </w:rPr>
        <w:t xml:space="preserve">susceptible </w:t>
      </w:r>
      <w:r w:rsidR="000140CE" w:rsidRPr="00D85E9B">
        <w:rPr>
          <w:rStyle w:val="hps"/>
          <w:rFonts w:cstheme="minorHAnsi"/>
        </w:rPr>
        <w:t>de générer des impacts négatifs</w:t>
      </w:r>
      <w:r w:rsidRPr="00D85E9B">
        <w:rPr>
          <w:rStyle w:val="hps"/>
          <w:rFonts w:cstheme="minorHAnsi"/>
        </w:rPr>
        <w:t xml:space="preserve"> sur des zones écologiquement sensibles ou marquées par la présence de ressources culturelles physiques de nature archéologique ou historique nécessitant des mesures environnementales spécifiques. </w:t>
      </w:r>
    </w:p>
    <w:p w14:paraId="11BE5DBA" w14:textId="5F8ECB2A" w:rsidR="00793923" w:rsidRPr="00D85E9B" w:rsidRDefault="00793923" w:rsidP="00D85E9B">
      <w:pPr>
        <w:numPr>
          <w:ilvl w:val="0"/>
          <w:numId w:val="11"/>
        </w:numPr>
        <w:autoSpaceDE w:val="0"/>
        <w:autoSpaceDN w:val="0"/>
        <w:adjustRightInd w:val="0"/>
        <w:spacing w:before="120" w:after="0" w:line="360" w:lineRule="auto"/>
        <w:contextualSpacing/>
        <w:jc w:val="both"/>
        <w:rPr>
          <w:rStyle w:val="hps"/>
          <w:rFonts w:cstheme="minorHAnsi"/>
        </w:rPr>
      </w:pPr>
      <w:r w:rsidRPr="00D85E9B">
        <w:rPr>
          <w:rStyle w:val="hps"/>
          <w:rFonts w:cstheme="minorHAnsi"/>
        </w:rPr>
        <w:t>Par ailleurs, les activités inscrites dans les domaines de résultats du Programme sont de nature à pouvoir induire des effets bénéfiques à travers la transformation numérique des services prioritaires qui permettra de participer de manière indirecte (diminution des déplacements et du recours aux dossiers papiers) à l’effort national de réduction des gaz à effet de serre.</w:t>
      </w:r>
    </w:p>
    <w:p w14:paraId="0B9FC9EF" w14:textId="77777777" w:rsidR="00607DF8" w:rsidRPr="00607DF8" w:rsidRDefault="00607DF8" w:rsidP="00D85E9B">
      <w:pPr>
        <w:spacing w:before="120" w:line="240" w:lineRule="auto"/>
        <w:rPr>
          <w:lang w:val="fr-CA"/>
        </w:rPr>
      </w:pPr>
    </w:p>
    <w:p w14:paraId="0C129E95" w14:textId="77777777" w:rsidR="00607DF8" w:rsidRPr="00846AB1" w:rsidRDefault="00607DF8" w:rsidP="00607DF8">
      <w:pPr>
        <w:pStyle w:val="Normal141"/>
        <w:autoSpaceDE w:val="0"/>
        <w:autoSpaceDN w:val="0"/>
        <w:adjustRightInd w:val="0"/>
        <w:spacing w:after="0" w:line="240" w:lineRule="auto"/>
        <w:jc w:val="both"/>
        <w:rPr>
          <w:rFonts w:cstheme="minorHAnsi"/>
          <w:lang w:val="fr-CA"/>
        </w:rPr>
      </w:pPr>
    </w:p>
    <w:p w14:paraId="415A7BEB" w14:textId="77777777" w:rsidR="00607DF8" w:rsidRDefault="00607DF8" w:rsidP="00607DF8">
      <w:pPr>
        <w:rPr>
          <w:rFonts w:cstheme="minorHAnsi"/>
        </w:rPr>
        <w:sectPr w:rsidR="00607DF8" w:rsidSect="00C454F0">
          <w:pgSz w:w="11900" w:h="16840"/>
          <w:pgMar w:top="1417" w:right="1417" w:bottom="1417" w:left="1417" w:header="708" w:footer="708" w:gutter="0"/>
          <w:cols w:space="708"/>
          <w:docGrid w:linePitch="360"/>
        </w:sectPr>
      </w:pPr>
    </w:p>
    <w:p w14:paraId="4750AC47" w14:textId="77777777" w:rsidR="00607DF8" w:rsidRPr="0044651F" w:rsidRDefault="00607DF8" w:rsidP="00607DF8">
      <w:pPr>
        <w:rPr>
          <w:rFonts w:cstheme="minorHAnsi"/>
          <w:sz w:val="20"/>
          <w:szCs w:val="20"/>
        </w:rPr>
      </w:pPr>
      <w:r w:rsidRPr="0044651F">
        <w:rPr>
          <w:rFonts w:cstheme="minorHAnsi"/>
          <w:sz w:val="20"/>
          <w:szCs w:val="20"/>
        </w:rPr>
        <w:lastRenderedPageBreak/>
        <w:t xml:space="preserve">Conformément au paragraphe 9 de le politique de la Banque sur le Programmes pour les Résultats (Banque Policy, Program For </w:t>
      </w:r>
      <w:proofErr w:type="spellStart"/>
      <w:r w:rsidRPr="0044651F">
        <w:rPr>
          <w:rFonts w:cstheme="minorHAnsi"/>
          <w:sz w:val="20"/>
          <w:szCs w:val="20"/>
        </w:rPr>
        <w:t>Results</w:t>
      </w:r>
      <w:proofErr w:type="spellEnd"/>
      <w:r w:rsidRPr="0044651F">
        <w:rPr>
          <w:rFonts w:cstheme="minorHAnsi"/>
          <w:sz w:val="20"/>
          <w:szCs w:val="20"/>
        </w:rPr>
        <w:t xml:space="preserve"> </w:t>
      </w:r>
      <w:proofErr w:type="spellStart"/>
      <w:r w:rsidRPr="0044651F">
        <w:rPr>
          <w:rFonts w:cstheme="minorHAnsi"/>
          <w:sz w:val="20"/>
          <w:szCs w:val="20"/>
        </w:rPr>
        <w:t>Financing</w:t>
      </w:r>
      <w:proofErr w:type="spellEnd"/>
      <w:r w:rsidRPr="0044651F">
        <w:rPr>
          <w:rFonts w:cstheme="minorHAnsi"/>
          <w:sz w:val="20"/>
          <w:szCs w:val="20"/>
        </w:rPr>
        <w:t xml:space="preserve">, </w:t>
      </w:r>
      <w:proofErr w:type="spellStart"/>
      <w:r w:rsidRPr="0044651F">
        <w:rPr>
          <w:rFonts w:cstheme="minorHAnsi"/>
          <w:sz w:val="20"/>
          <w:szCs w:val="20"/>
        </w:rPr>
        <w:t>Nov</w:t>
      </w:r>
      <w:proofErr w:type="spellEnd"/>
      <w:r w:rsidRPr="0044651F">
        <w:rPr>
          <w:rFonts w:cstheme="minorHAnsi"/>
          <w:sz w:val="20"/>
          <w:szCs w:val="20"/>
        </w:rPr>
        <w:t xml:space="preserve"> 2017), l'évaluation des systèmes environnementaux et sociaux considère, dans quelles mesures les systèmes du programme permettent de :</w:t>
      </w:r>
    </w:p>
    <w:tbl>
      <w:tblPr>
        <w:tblStyle w:val="TableGrid"/>
        <w:tblW w:w="0" w:type="auto"/>
        <w:tblLook w:val="04A0" w:firstRow="1" w:lastRow="0" w:firstColumn="1" w:lastColumn="0" w:noHBand="0" w:noVBand="1"/>
      </w:tblPr>
      <w:tblGrid>
        <w:gridCol w:w="3235"/>
        <w:gridCol w:w="3409"/>
        <w:gridCol w:w="3161"/>
        <w:gridCol w:w="2251"/>
      </w:tblGrid>
      <w:tr w:rsidR="00607DF8" w:rsidRPr="0044651F" w14:paraId="42AC54A3" w14:textId="77777777" w:rsidTr="00C454F0">
        <w:tc>
          <w:tcPr>
            <w:tcW w:w="3235" w:type="dxa"/>
            <w:tcBorders>
              <w:top w:val="single" w:sz="4" w:space="0" w:color="auto"/>
              <w:left w:val="single" w:sz="4" w:space="0" w:color="auto"/>
              <w:bottom w:val="single" w:sz="4" w:space="0" w:color="auto"/>
              <w:right w:val="single" w:sz="4" w:space="0" w:color="auto"/>
            </w:tcBorders>
          </w:tcPr>
          <w:p w14:paraId="53434E5B" w14:textId="77777777" w:rsidR="00607DF8" w:rsidRPr="0044651F" w:rsidRDefault="00607DF8" w:rsidP="00C454F0">
            <w:pPr>
              <w:jc w:val="center"/>
              <w:rPr>
                <w:b/>
                <w:bCs/>
                <w:sz w:val="18"/>
                <w:szCs w:val="18"/>
                <w:lang w:val="fr-FR"/>
              </w:rPr>
            </w:pPr>
          </w:p>
        </w:tc>
        <w:tc>
          <w:tcPr>
            <w:tcW w:w="3409" w:type="dxa"/>
            <w:tcBorders>
              <w:top w:val="single" w:sz="4" w:space="0" w:color="auto"/>
              <w:left w:val="single" w:sz="4" w:space="0" w:color="auto"/>
              <w:bottom w:val="single" w:sz="4" w:space="0" w:color="auto"/>
              <w:right w:val="single" w:sz="4" w:space="0" w:color="auto"/>
            </w:tcBorders>
            <w:hideMark/>
          </w:tcPr>
          <w:p w14:paraId="5821D6CB" w14:textId="77777777" w:rsidR="00607DF8" w:rsidRPr="0044651F" w:rsidRDefault="00607DF8" w:rsidP="00C454F0">
            <w:pPr>
              <w:jc w:val="center"/>
              <w:rPr>
                <w:b/>
                <w:bCs/>
                <w:sz w:val="18"/>
                <w:szCs w:val="18"/>
                <w:lang w:val="fr-FR"/>
              </w:rPr>
            </w:pPr>
            <w:r w:rsidRPr="0044651F">
              <w:rPr>
                <w:b/>
                <w:bCs/>
                <w:sz w:val="18"/>
                <w:szCs w:val="18"/>
                <w:lang w:val="fr-FR"/>
              </w:rPr>
              <w:t>Evaluation du système</w:t>
            </w:r>
          </w:p>
        </w:tc>
        <w:tc>
          <w:tcPr>
            <w:tcW w:w="3161" w:type="dxa"/>
            <w:tcBorders>
              <w:top w:val="single" w:sz="4" w:space="0" w:color="auto"/>
              <w:left w:val="single" w:sz="4" w:space="0" w:color="auto"/>
              <w:bottom w:val="single" w:sz="4" w:space="0" w:color="auto"/>
              <w:right w:val="single" w:sz="4" w:space="0" w:color="auto"/>
            </w:tcBorders>
            <w:hideMark/>
          </w:tcPr>
          <w:p w14:paraId="253A0C81" w14:textId="77777777" w:rsidR="00607DF8" w:rsidRPr="0044651F" w:rsidRDefault="00607DF8" w:rsidP="00C454F0">
            <w:pPr>
              <w:jc w:val="center"/>
              <w:rPr>
                <w:b/>
                <w:bCs/>
                <w:sz w:val="18"/>
                <w:szCs w:val="18"/>
                <w:lang w:val="fr-FR"/>
              </w:rPr>
            </w:pPr>
            <w:r w:rsidRPr="0044651F">
              <w:rPr>
                <w:b/>
                <w:bCs/>
                <w:sz w:val="18"/>
                <w:szCs w:val="18"/>
                <w:lang w:val="fr-FR"/>
              </w:rPr>
              <w:t>Gaps identifiés</w:t>
            </w:r>
          </w:p>
        </w:tc>
        <w:tc>
          <w:tcPr>
            <w:tcW w:w="2251" w:type="dxa"/>
            <w:tcBorders>
              <w:top w:val="single" w:sz="4" w:space="0" w:color="auto"/>
              <w:left w:val="single" w:sz="4" w:space="0" w:color="auto"/>
              <w:bottom w:val="single" w:sz="4" w:space="0" w:color="auto"/>
              <w:right w:val="single" w:sz="4" w:space="0" w:color="auto"/>
            </w:tcBorders>
            <w:hideMark/>
          </w:tcPr>
          <w:p w14:paraId="3EFE73C6" w14:textId="77777777" w:rsidR="00607DF8" w:rsidRPr="0044651F" w:rsidRDefault="00607DF8" w:rsidP="00C454F0">
            <w:pPr>
              <w:jc w:val="center"/>
              <w:rPr>
                <w:b/>
                <w:bCs/>
                <w:sz w:val="18"/>
                <w:szCs w:val="18"/>
                <w:lang w:val="fr-FR"/>
              </w:rPr>
            </w:pPr>
            <w:r w:rsidRPr="0044651F">
              <w:rPr>
                <w:b/>
                <w:bCs/>
                <w:sz w:val="18"/>
                <w:szCs w:val="18"/>
                <w:lang w:val="fr-FR"/>
              </w:rPr>
              <w:t>Recommandations</w:t>
            </w:r>
          </w:p>
        </w:tc>
      </w:tr>
      <w:tr w:rsidR="00607DF8" w14:paraId="2EF17048" w14:textId="77777777" w:rsidTr="00C454F0">
        <w:tc>
          <w:tcPr>
            <w:tcW w:w="3235" w:type="dxa"/>
            <w:tcBorders>
              <w:top w:val="single" w:sz="4" w:space="0" w:color="auto"/>
              <w:left w:val="single" w:sz="4" w:space="0" w:color="auto"/>
              <w:bottom w:val="single" w:sz="4" w:space="0" w:color="auto"/>
              <w:right w:val="single" w:sz="4" w:space="0" w:color="auto"/>
            </w:tcBorders>
            <w:hideMark/>
          </w:tcPr>
          <w:p w14:paraId="6837C5A8" w14:textId="77777777" w:rsidR="00607DF8" w:rsidRDefault="00607DF8" w:rsidP="00C454F0">
            <w:pPr>
              <w:rPr>
                <w:sz w:val="18"/>
                <w:szCs w:val="18"/>
                <w:lang w:val="fr-FR"/>
              </w:rPr>
            </w:pPr>
            <w:r>
              <w:rPr>
                <w:sz w:val="18"/>
                <w:szCs w:val="18"/>
                <w:lang w:val="fr-FR"/>
              </w:rPr>
              <w:t>a) promouvoir la durabilité environnementale et sociale dans la conception du programme PPR; éviter, minimiser ou atténuer les impacts négatifs et promouvoir une prise de décision éclairée concernant les impacts environnementaux et sociaux du programme PforR;</w:t>
            </w:r>
          </w:p>
        </w:tc>
        <w:tc>
          <w:tcPr>
            <w:tcW w:w="3409" w:type="dxa"/>
            <w:tcBorders>
              <w:top w:val="single" w:sz="4" w:space="0" w:color="auto"/>
              <w:left w:val="single" w:sz="4" w:space="0" w:color="auto"/>
              <w:bottom w:val="single" w:sz="4" w:space="0" w:color="auto"/>
              <w:right w:val="single" w:sz="4" w:space="0" w:color="auto"/>
            </w:tcBorders>
            <w:hideMark/>
          </w:tcPr>
          <w:p w14:paraId="3EA6B312" w14:textId="77777777" w:rsidR="00607DF8" w:rsidRDefault="00607DF8" w:rsidP="00C454F0">
            <w:pPr>
              <w:rPr>
                <w:sz w:val="18"/>
                <w:szCs w:val="18"/>
                <w:lang w:val="fr-FR"/>
              </w:rPr>
            </w:pPr>
            <w:r>
              <w:rPr>
                <w:sz w:val="18"/>
                <w:szCs w:val="18"/>
                <w:lang w:val="fr-FR"/>
              </w:rPr>
              <w:t xml:space="preserve">En matière de contenu des EIE, les procédures et les principes sont conformes d’une manière générale aux pratiques internationales. Les procédures de gestion environnementale et d’EIE sont à la fois claires aux niveaux techniques et solides au niveau institutionnel. </w:t>
            </w:r>
          </w:p>
          <w:p w14:paraId="1C3088BE" w14:textId="77777777" w:rsidR="00607DF8" w:rsidRDefault="00607DF8" w:rsidP="00C454F0">
            <w:pPr>
              <w:rPr>
                <w:sz w:val="18"/>
                <w:szCs w:val="18"/>
                <w:lang w:val="fr-FR"/>
              </w:rPr>
            </w:pPr>
          </w:p>
          <w:p w14:paraId="0CFA9447" w14:textId="1642FEF2" w:rsidR="00607DF8" w:rsidRPr="00AF4CF8" w:rsidRDefault="00607DF8" w:rsidP="00C454F0">
            <w:pPr>
              <w:rPr>
                <w:sz w:val="18"/>
                <w:szCs w:val="18"/>
                <w:lang w:val="fr-FR"/>
              </w:rPr>
            </w:pPr>
            <w:r>
              <w:rPr>
                <w:sz w:val="18"/>
                <w:szCs w:val="18"/>
                <w:lang w:val="fr-FR"/>
              </w:rPr>
              <w:t>La loi 1</w:t>
            </w:r>
            <w:r w:rsidRPr="00D85E9B">
              <w:rPr>
                <w:sz w:val="18"/>
                <w:szCs w:val="18"/>
                <w:lang w:val="fr-FR"/>
              </w:rPr>
              <w:t>2</w:t>
            </w:r>
            <w:r>
              <w:rPr>
                <w:sz w:val="18"/>
                <w:szCs w:val="18"/>
                <w:lang w:val="fr-FR"/>
              </w:rPr>
              <w:t>-</w:t>
            </w:r>
            <w:r w:rsidRPr="00D85E9B">
              <w:rPr>
                <w:sz w:val="18"/>
                <w:szCs w:val="18"/>
                <w:lang w:val="fr-FR"/>
              </w:rPr>
              <w:t>0</w:t>
            </w:r>
            <w:r>
              <w:rPr>
                <w:sz w:val="18"/>
                <w:szCs w:val="18"/>
                <w:lang w:val="fr-FR"/>
              </w:rPr>
              <w:t xml:space="preserve">3 relative à l’EIE constitue un outil légal qui subordonne l’autorisation administrative de tout projet soumis à l’ÉIE à une décision d’acceptabilité environnementale. </w:t>
            </w:r>
            <w:r w:rsidR="00AF4CF8">
              <w:rPr>
                <w:sz w:val="18"/>
                <w:szCs w:val="18"/>
                <w:lang w:val="fr-FR"/>
              </w:rPr>
              <w:t>C</w:t>
            </w:r>
            <w:r w:rsidR="00AF4CF8" w:rsidRPr="00D85E9B">
              <w:rPr>
                <w:sz w:val="18"/>
                <w:szCs w:val="18"/>
                <w:lang w:val="fr-FR"/>
              </w:rPr>
              <w:t xml:space="preserve">ette loi a </w:t>
            </w:r>
            <w:r w:rsidR="00AF4CF8" w:rsidRPr="00AF4CF8">
              <w:rPr>
                <w:sz w:val="18"/>
                <w:szCs w:val="18"/>
                <w:lang w:val="fr-FR"/>
              </w:rPr>
              <w:t>été</w:t>
            </w:r>
            <w:r w:rsidR="00AF4CF8" w:rsidRPr="00D85E9B">
              <w:rPr>
                <w:sz w:val="18"/>
                <w:szCs w:val="18"/>
                <w:lang w:val="fr-FR"/>
              </w:rPr>
              <w:t xml:space="preserve"> </w:t>
            </w:r>
            <w:r w:rsidR="00AF4CF8" w:rsidRPr="00AF4CF8">
              <w:rPr>
                <w:sz w:val="18"/>
                <w:szCs w:val="18"/>
                <w:lang w:val="fr-FR"/>
              </w:rPr>
              <w:t>actualisée</w:t>
            </w:r>
            <w:r w:rsidR="00AF4CF8" w:rsidRPr="00D85E9B">
              <w:rPr>
                <w:sz w:val="18"/>
                <w:szCs w:val="18"/>
                <w:lang w:val="fr-FR"/>
              </w:rPr>
              <w:t xml:space="preserve"> par la loi 49-17 parue a</w:t>
            </w:r>
            <w:r w:rsidR="00AF4CF8">
              <w:rPr>
                <w:sz w:val="18"/>
                <w:szCs w:val="18"/>
                <w:lang w:val="fr-FR"/>
              </w:rPr>
              <w:t>u</w:t>
            </w:r>
            <w:r w:rsidR="00AF4CF8" w:rsidRPr="00D85E9B">
              <w:rPr>
                <w:sz w:val="18"/>
                <w:szCs w:val="18"/>
                <w:lang w:val="fr-FR"/>
              </w:rPr>
              <w:t xml:space="preserve"> </w:t>
            </w:r>
            <w:r w:rsidR="00AF4CF8" w:rsidRPr="00AF4CF8">
              <w:rPr>
                <w:sz w:val="18"/>
                <w:szCs w:val="18"/>
                <w:lang w:val="fr-FR"/>
              </w:rPr>
              <w:t>b</w:t>
            </w:r>
            <w:r w:rsidR="00AF4CF8">
              <w:rPr>
                <w:sz w:val="18"/>
                <w:szCs w:val="18"/>
                <w:lang w:val="fr-FR"/>
              </w:rPr>
              <w:t xml:space="preserve">ulletin officiel mais non encore en vigueur </w:t>
            </w:r>
            <w:proofErr w:type="spellStart"/>
            <w:r w:rsidR="00AF4CF8">
              <w:rPr>
                <w:sz w:val="18"/>
                <w:szCs w:val="18"/>
                <w:lang w:val="fr-FR"/>
              </w:rPr>
              <w:t>a</w:t>
            </w:r>
            <w:proofErr w:type="spellEnd"/>
            <w:r w:rsidR="00AF4CF8">
              <w:rPr>
                <w:sz w:val="18"/>
                <w:szCs w:val="18"/>
                <w:lang w:val="fr-FR"/>
              </w:rPr>
              <w:t xml:space="preserve"> cause de l’absence de textes d’application.</w:t>
            </w:r>
          </w:p>
          <w:p w14:paraId="04172490" w14:textId="77777777" w:rsidR="00607DF8" w:rsidRDefault="00607DF8" w:rsidP="00C454F0">
            <w:pPr>
              <w:rPr>
                <w:sz w:val="18"/>
                <w:szCs w:val="18"/>
                <w:lang w:val="fr-FR"/>
              </w:rPr>
            </w:pPr>
          </w:p>
          <w:p w14:paraId="06E267B5" w14:textId="77777777" w:rsidR="00607DF8" w:rsidRDefault="00607DF8" w:rsidP="00C454F0">
            <w:pPr>
              <w:rPr>
                <w:sz w:val="18"/>
                <w:szCs w:val="18"/>
                <w:lang w:val="fr-FR"/>
              </w:rPr>
            </w:pPr>
            <w:r>
              <w:rPr>
                <w:sz w:val="18"/>
                <w:szCs w:val="18"/>
                <w:lang w:val="fr-FR"/>
              </w:rPr>
              <w:t xml:space="preserve">Le système d’EIE national permet d'évaluer à priori les répercussions des projets d’investissement sur l'environnement en vue de prévoir les mesures nécessaires pour supprimer, atténuer ou compenser les impacts négatifs et améliorer les effets positifs du projet. </w:t>
            </w:r>
          </w:p>
          <w:p w14:paraId="36B1317E" w14:textId="77777777" w:rsidR="00607DF8" w:rsidRDefault="00607DF8" w:rsidP="00C454F0">
            <w:pPr>
              <w:rPr>
                <w:sz w:val="18"/>
                <w:szCs w:val="18"/>
                <w:lang w:val="fr-FR"/>
              </w:rPr>
            </w:pPr>
          </w:p>
          <w:p w14:paraId="46C48517" w14:textId="77777777" w:rsidR="00607DF8" w:rsidRDefault="00607DF8" w:rsidP="00C454F0">
            <w:pPr>
              <w:rPr>
                <w:sz w:val="18"/>
                <w:szCs w:val="18"/>
                <w:lang w:val="fr-FR"/>
              </w:rPr>
            </w:pPr>
            <w:r>
              <w:rPr>
                <w:sz w:val="18"/>
                <w:szCs w:val="18"/>
                <w:lang w:val="fr-FR"/>
              </w:rPr>
              <w:t>Les institutions impliquées (tant au niveau national que régional) dans la mise en œuvre et le suivi de l’application de la loi sur les études d’impact ont développé une grande expérience depuis 2012 date de la promulgation de la première loi sur les EIE.</w:t>
            </w:r>
          </w:p>
        </w:tc>
        <w:tc>
          <w:tcPr>
            <w:tcW w:w="3161" w:type="dxa"/>
            <w:tcBorders>
              <w:top w:val="single" w:sz="4" w:space="0" w:color="auto"/>
              <w:left w:val="single" w:sz="4" w:space="0" w:color="auto"/>
              <w:bottom w:val="single" w:sz="4" w:space="0" w:color="auto"/>
              <w:right w:val="single" w:sz="4" w:space="0" w:color="auto"/>
            </w:tcBorders>
          </w:tcPr>
          <w:p w14:paraId="7C32A6C8" w14:textId="2E70DD20" w:rsidR="00607DF8" w:rsidRDefault="00607DF8" w:rsidP="00C454F0">
            <w:pPr>
              <w:rPr>
                <w:sz w:val="18"/>
                <w:szCs w:val="18"/>
                <w:lang w:val="fr-FR"/>
              </w:rPr>
            </w:pPr>
            <w:r>
              <w:rPr>
                <w:sz w:val="18"/>
                <w:szCs w:val="18"/>
                <w:lang w:val="fr-FR"/>
              </w:rPr>
              <w:t>- L’analyse des risques et impacts sociaux n’est pas inscrite dans la loi 1</w:t>
            </w:r>
            <w:r w:rsidRPr="00D85E9B">
              <w:rPr>
                <w:sz w:val="18"/>
                <w:szCs w:val="18"/>
                <w:lang w:val="fr-FR"/>
              </w:rPr>
              <w:t>2-</w:t>
            </w:r>
            <w:r>
              <w:rPr>
                <w:sz w:val="18"/>
                <w:szCs w:val="18"/>
                <w:lang w:val="fr-FR"/>
              </w:rPr>
              <w:t>0</w:t>
            </w:r>
            <w:r w:rsidRPr="00D85E9B">
              <w:rPr>
                <w:sz w:val="18"/>
                <w:szCs w:val="18"/>
                <w:lang w:val="fr-FR"/>
              </w:rPr>
              <w:t>3</w:t>
            </w:r>
            <w:r>
              <w:rPr>
                <w:sz w:val="18"/>
                <w:szCs w:val="18"/>
                <w:lang w:val="fr-FR"/>
              </w:rPr>
              <w:t xml:space="preserve">, seuls les risques environnementaux y sont traités. </w:t>
            </w:r>
          </w:p>
          <w:p w14:paraId="3E354848" w14:textId="77777777" w:rsidR="00607DF8" w:rsidRDefault="00607DF8" w:rsidP="00C454F0">
            <w:pPr>
              <w:rPr>
                <w:sz w:val="18"/>
                <w:szCs w:val="18"/>
                <w:lang w:val="fr-FR"/>
              </w:rPr>
            </w:pPr>
          </w:p>
          <w:p w14:paraId="1D22D54A" w14:textId="77777777" w:rsidR="00607DF8" w:rsidRDefault="00607DF8" w:rsidP="00C454F0">
            <w:pPr>
              <w:rPr>
                <w:sz w:val="18"/>
                <w:szCs w:val="18"/>
                <w:lang w:val="fr-FR"/>
              </w:rPr>
            </w:pPr>
            <w:r>
              <w:rPr>
                <w:sz w:val="18"/>
                <w:szCs w:val="18"/>
                <w:lang w:val="fr-FR"/>
              </w:rPr>
              <w:t>- Les textes d’application de la loi 49-17 ne sont pas encore promulgués. Les listes des projets assujettis à l’évaluation environnementale et les projets assujettis à la notice d’impact ne sont pas disponibles.</w:t>
            </w:r>
          </w:p>
          <w:p w14:paraId="5C5D3745" w14:textId="77777777" w:rsidR="00607DF8" w:rsidRDefault="00607DF8" w:rsidP="00C454F0">
            <w:pPr>
              <w:rPr>
                <w:sz w:val="18"/>
                <w:szCs w:val="18"/>
                <w:lang w:val="fr-FR"/>
              </w:rPr>
            </w:pPr>
          </w:p>
          <w:p w14:paraId="7F1E4587" w14:textId="77777777" w:rsidR="00607DF8" w:rsidRDefault="00607DF8" w:rsidP="00C454F0">
            <w:pPr>
              <w:rPr>
                <w:sz w:val="18"/>
                <w:szCs w:val="18"/>
                <w:lang w:val="fr-FR"/>
              </w:rPr>
            </w:pPr>
            <w:r>
              <w:rPr>
                <w:sz w:val="18"/>
                <w:szCs w:val="18"/>
                <w:lang w:val="fr-FR"/>
              </w:rPr>
              <w:t>- Le Plan de Suivi et de Suivi Environnemental n’identifie pas les responsabilités ni les budgets nécessaires à la mise en œuvre des mesures d’atténuation.</w:t>
            </w:r>
          </w:p>
          <w:p w14:paraId="475E48B9" w14:textId="77777777" w:rsidR="00607DF8" w:rsidRDefault="00607DF8" w:rsidP="00C454F0">
            <w:pPr>
              <w:rPr>
                <w:sz w:val="18"/>
                <w:szCs w:val="18"/>
                <w:lang w:val="fr-FR"/>
              </w:rPr>
            </w:pPr>
          </w:p>
          <w:p w14:paraId="0718C4A4" w14:textId="233B4842" w:rsidR="00607DF8" w:rsidRDefault="00607DF8" w:rsidP="00C454F0">
            <w:pPr>
              <w:rPr>
                <w:sz w:val="18"/>
                <w:szCs w:val="18"/>
                <w:lang w:val="fr-FR"/>
              </w:rPr>
            </w:pPr>
            <w:r>
              <w:rPr>
                <w:sz w:val="18"/>
                <w:szCs w:val="18"/>
                <w:lang w:val="fr-FR"/>
              </w:rPr>
              <w:t>- Les Enquêtes publiques telle</w:t>
            </w:r>
            <w:r w:rsidR="00AF4CF8">
              <w:rPr>
                <w:sz w:val="18"/>
                <w:szCs w:val="18"/>
                <w:lang w:val="fr-FR"/>
              </w:rPr>
              <w:t>s</w:t>
            </w:r>
            <w:r>
              <w:rPr>
                <w:sz w:val="18"/>
                <w:szCs w:val="18"/>
                <w:lang w:val="fr-FR"/>
              </w:rPr>
              <w:t xml:space="preserve"> que définies dans la loi ne correspondent pas aux consultations publiques car elles se limitent à l’ouverture d’un registre au niveau de la commune qui accueille le projet.</w:t>
            </w:r>
          </w:p>
          <w:p w14:paraId="5C3C7C7A" w14:textId="77777777" w:rsidR="00607DF8" w:rsidRDefault="00607DF8" w:rsidP="00C454F0">
            <w:pPr>
              <w:rPr>
                <w:sz w:val="18"/>
                <w:szCs w:val="18"/>
                <w:lang w:val="fr-FR"/>
              </w:rPr>
            </w:pPr>
          </w:p>
        </w:tc>
        <w:tc>
          <w:tcPr>
            <w:tcW w:w="2251" w:type="dxa"/>
            <w:tcBorders>
              <w:top w:val="single" w:sz="4" w:space="0" w:color="auto"/>
              <w:left w:val="single" w:sz="4" w:space="0" w:color="auto"/>
              <w:bottom w:val="single" w:sz="4" w:space="0" w:color="auto"/>
              <w:right w:val="single" w:sz="4" w:space="0" w:color="auto"/>
            </w:tcBorders>
          </w:tcPr>
          <w:p w14:paraId="3CD32030" w14:textId="7F1B92B9" w:rsidR="00607DF8" w:rsidRDefault="00607DF8" w:rsidP="00AF4CF8">
            <w:pPr>
              <w:rPr>
                <w:sz w:val="18"/>
                <w:szCs w:val="18"/>
                <w:lang w:val="fr-FR"/>
              </w:rPr>
            </w:pPr>
            <w:r>
              <w:rPr>
                <w:sz w:val="18"/>
                <w:szCs w:val="18"/>
                <w:lang w:val="fr-FR"/>
              </w:rPr>
              <w:t>-</w:t>
            </w:r>
            <w:r w:rsidR="00AF4CF8">
              <w:rPr>
                <w:sz w:val="18"/>
                <w:szCs w:val="18"/>
                <w:lang w:val="fr-FR"/>
              </w:rPr>
              <w:t xml:space="preserve">Les activités du  Programme ne seront pas assujetties à cette règlementation  </w:t>
            </w:r>
          </w:p>
          <w:p w14:paraId="0A86AFA0" w14:textId="77777777" w:rsidR="00607DF8" w:rsidRDefault="00607DF8" w:rsidP="00C454F0">
            <w:pPr>
              <w:rPr>
                <w:sz w:val="18"/>
                <w:szCs w:val="18"/>
                <w:lang w:val="fr-FR"/>
              </w:rPr>
            </w:pPr>
          </w:p>
          <w:p w14:paraId="6C0C4CF6" w14:textId="77777777" w:rsidR="00607DF8" w:rsidRDefault="00607DF8" w:rsidP="00C454F0">
            <w:pPr>
              <w:rPr>
                <w:sz w:val="18"/>
                <w:szCs w:val="18"/>
                <w:lang w:val="fr-FR"/>
              </w:rPr>
            </w:pPr>
          </w:p>
        </w:tc>
      </w:tr>
      <w:tr w:rsidR="00607DF8" w14:paraId="130ABC20" w14:textId="77777777" w:rsidTr="00C454F0">
        <w:tc>
          <w:tcPr>
            <w:tcW w:w="3235" w:type="dxa"/>
            <w:tcBorders>
              <w:top w:val="single" w:sz="4" w:space="0" w:color="auto"/>
              <w:left w:val="single" w:sz="4" w:space="0" w:color="auto"/>
              <w:bottom w:val="single" w:sz="4" w:space="0" w:color="auto"/>
              <w:right w:val="single" w:sz="4" w:space="0" w:color="auto"/>
            </w:tcBorders>
            <w:hideMark/>
          </w:tcPr>
          <w:p w14:paraId="7F6D37D2" w14:textId="77777777" w:rsidR="00607DF8" w:rsidRDefault="00607DF8" w:rsidP="00C454F0">
            <w:pPr>
              <w:rPr>
                <w:sz w:val="18"/>
                <w:szCs w:val="18"/>
                <w:lang w:val="fr-FR"/>
              </w:rPr>
            </w:pPr>
            <w:r>
              <w:rPr>
                <w:sz w:val="18"/>
                <w:szCs w:val="18"/>
                <w:lang w:val="fr-FR"/>
              </w:rPr>
              <w:t>(b) éviter, minimiser ou atténuer les impacts négatifs sur les habitats naturels et les ressources culturelles physiques résultant du programme PforR;</w:t>
            </w:r>
          </w:p>
        </w:tc>
        <w:tc>
          <w:tcPr>
            <w:tcW w:w="3409" w:type="dxa"/>
            <w:tcBorders>
              <w:top w:val="single" w:sz="4" w:space="0" w:color="auto"/>
              <w:left w:val="single" w:sz="4" w:space="0" w:color="auto"/>
              <w:bottom w:val="single" w:sz="4" w:space="0" w:color="auto"/>
              <w:right w:val="single" w:sz="4" w:space="0" w:color="auto"/>
            </w:tcBorders>
          </w:tcPr>
          <w:p w14:paraId="1C035FF0" w14:textId="77777777" w:rsidR="00607DF8" w:rsidRDefault="00607DF8" w:rsidP="00C454F0">
            <w:pPr>
              <w:rPr>
                <w:lang w:val="fr-FR"/>
              </w:rPr>
            </w:pPr>
            <w:r>
              <w:rPr>
                <w:sz w:val="18"/>
                <w:szCs w:val="18"/>
                <w:lang w:val="fr-FR"/>
              </w:rPr>
              <w:t xml:space="preserve">La protection et la mise en valeur de l’environnement, la protection des aires protégées ou la conservation des monuments historiques et des sites, des Inscriptions, des objets d’art et antiquité </w:t>
            </w:r>
            <w:r>
              <w:rPr>
                <w:sz w:val="18"/>
                <w:szCs w:val="18"/>
                <w:lang w:val="fr-FR"/>
              </w:rPr>
              <w:lastRenderedPageBreak/>
              <w:t>sont inscrites dans l’arsenal juridique national à travers plusieurs lois et textes d’application.</w:t>
            </w:r>
            <w:r>
              <w:rPr>
                <w:lang w:val="fr-FR"/>
              </w:rPr>
              <w:t xml:space="preserve"> </w:t>
            </w:r>
          </w:p>
          <w:p w14:paraId="48843C59" w14:textId="77777777" w:rsidR="00607DF8" w:rsidRDefault="00607DF8" w:rsidP="00C454F0">
            <w:pPr>
              <w:rPr>
                <w:sz w:val="22"/>
                <w:szCs w:val="22"/>
                <w:lang w:val="fr-FR"/>
              </w:rPr>
            </w:pPr>
          </w:p>
          <w:p w14:paraId="25FA57AA" w14:textId="4FA82295" w:rsidR="00607DF8" w:rsidRDefault="00607DF8" w:rsidP="00C454F0">
            <w:pPr>
              <w:rPr>
                <w:sz w:val="18"/>
                <w:szCs w:val="18"/>
                <w:lang w:val="fr-FR"/>
              </w:rPr>
            </w:pPr>
            <w:r>
              <w:rPr>
                <w:sz w:val="18"/>
                <w:szCs w:val="18"/>
                <w:lang w:val="fr-FR"/>
              </w:rPr>
              <w:t xml:space="preserve">Les risques sur les habitats naturels et les ressources culturelles physiques sont </w:t>
            </w:r>
            <w:r w:rsidR="00AF4CF8">
              <w:rPr>
                <w:sz w:val="18"/>
                <w:szCs w:val="18"/>
                <w:lang w:val="fr-FR"/>
              </w:rPr>
              <w:t>absents car toutes les activités financées correspondent à des actions de renforcement des capacités et des systèmes</w:t>
            </w:r>
            <w:r>
              <w:rPr>
                <w:sz w:val="18"/>
                <w:szCs w:val="18"/>
                <w:lang w:val="fr-FR"/>
              </w:rPr>
              <w:t>.</w:t>
            </w:r>
          </w:p>
        </w:tc>
        <w:tc>
          <w:tcPr>
            <w:tcW w:w="3161" w:type="dxa"/>
            <w:tcBorders>
              <w:top w:val="single" w:sz="4" w:space="0" w:color="auto"/>
              <w:left w:val="single" w:sz="4" w:space="0" w:color="auto"/>
              <w:bottom w:val="single" w:sz="4" w:space="0" w:color="auto"/>
              <w:right w:val="single" w:sz="4" w:space="0" w:color="auto"/>
            </w:tcBorders>
            <w:hideMark/>
          </w:tcPr>
          <w:p w14:paraId="1001E0D0" w14:textId="77777777" w:rsidR="00607DF8" w:rsidRDefault="00607DF8" w:rsidP="00C454F0">
            <w:pPr>
              <w:rPr>
                <w:sz w:val="18"/>
                <w:szCs w:val="18"/>
                <w:lang w:val="fr-FR"/>
              </w:rPr>
            </w:pPr>
            <w:r>
              <w:rPr>
                <w:sz w:val="18"/>
                <w:szCs w:val="18"/>
                <w:lang w:val="fr-FR"/>
              </w:rPr>
              <w:lastRenderedPageBreak/>
              <w:t xml:space="preserve">Pas d’écarts </w:t>
            </w:r>
          </w:p>
        </w:tc>
        <w:tc>
          <w:tcPr>
            <w:tcW w:w="2251" w:type="dxa"/>
            <w:tcBorders>
              <w:top w:val="single" w:sz="4" w:space="0" w:color="auto"/>
              <w:left w:val="single" w:sz="4" w:space="0" w:color="auto"/>
              <w:bottom w:val="single" w:sz="4" w:space="0" w:color="auto"/>
              <w:right w:val="single" w:sz="4" w:space="0" w:color="auto"/>
            </w:tcBorders>
            <w:hideMark/>
          </w:tcPr>
          <w:p w14:paraId="331A4D0D" w14:textId="77777777" w:rsidR="00607DF8" w:rsidRDefault="00607DF8" w:rsidP="00C454F0">
            <w:pPr>
              <w:rPr>
                <w:sz w:val="18"/>
                <w:szCs w:val="18"/>
                <w:lang w:val="fr-FR"/>
              </w:rPr>
            </w:pPr>
            <w:r>
              <w:rPr>
                <w:sz w:val="18"/>
                <w:szCs w:val="18"/>
                <w:lang w:val="fr-FR"/>
              </w:rPr>
              <w:t>No recommandations</w:t>
            </w:r>
          </w:p>
        </w:tc>
      </w:tr>
      <w:tr w:rsidR="00607DF8" w14:paraId="0EB39AB6" w14:textId="77777777" w:rsidTr="00C454F0">
        <w:trPr>
          <w:trHeight w:val="436"/>
        </w:trPr>
        <w:tc>
          <w:tcPr>
            <w:tcW w:w="3235" w:type="dxa"/>
            <w:tcBorders>
              <w:top w:val="single" w:sz="4" w:space="0" w:color="auto"/>
              <w:left w:val="single" w:sz="4" w:space="0" w:color="auto"/>
              <w:bottom w:val="single" w:sz="4" w:space="0" w:color="auto"/>
              <w:right w:val="single" w:sz="4" w:space="0" w:color="auto"/>
            </w:tcBorders>
            <w:hideMark/>
          </w:tcPr>
          <w:p w14:paraId="1DDFC748" w14:textId="77777777" w:rsidR="00607DF8" w:rsidRDefault="00607DF8" w:rsidP="00C454F0">
            <w:pPr>
              <w:rPr>
                <w:sz w:val="18"/>
                <w:szCs w:val="18"/>
                <w:lang w:val="fr-FR"/>
              </w:rPr>
            </w:pPr>
            <w:r>
              <w:rPr>
                <w:sz w:val="18"/>
                <w:szCs w:val="18"/>
                <w:lang w:val="fr-FR"/>
              </w:rPr>
              <w:t>c) protéger la sécurité du public et des travailleurs contre les risques potentiels associés:</w:t>
            </w:r>
          </w:p>
          <w:p w14:paraId="2CECDCB7" w14:textId="77777777" w:rsidR="00607DF8" w:rsidRDefault="00607DF8" w:rsidP="00C454F0">
            <w:pPr>
              <w:ind w:left="340"/>
              <w:rPr>
                <w:sz w:val="18"/>
                <w:szCs w:val="18"/>
                <w:lang w:val="fr-FR"/>
              </w:rPr>
            </w:pPr>
            <w:r>
              <w:rPr>
                <w:sz w:val="18"/>
                <w:szCs w:val="18"/>
                <w:lang w:val="fr-FR"/>
              </w:rPr>
              <w:t xml:space="preserve">(i) la construction et / ou l'exploitation des installations ou d'autres pratiques opérationnelles dans le cadre du programme PforR; </w:t>
            </w:r>
          </w:p>
          <w:p w14:paraId="15DC1DDE" w14:textId="77777777" w:rsidR="00607DF8" w:rsidRDefault="00607DF8" w:rsidP="00C454F0">
            <w:pPr>
              <w:ind w:left="340"/>
              <w:rPr>
                <w:sz w:val="18"/>
                <w:szCs w:val="18"/>
                <w:lang w:val="fr-FR"/>
              </w:rPr>
            </w:pPr>
            <w:r>
              <w:rPr>
                <w:sz w:val="18"/>
                <w:szCs w:val="18"/>
                <w:lang w:val="fr-FR"/>
              </w:rPr>
              <w:t xml:space="preserve">(ii) l'exposition à des produits chimiques toxiques, des déchets dangereux et d'autres matières dangereuses dans le cadre du programme PforR; et </w:t>
            </w:r>
          </w:p>
          <w:p w14:paraId="387288C5" w14:textId="77777777" w:rsidR="00607DF8" w:rsidRDefault="00607DF8" w:rsidP="00C454F0">
            <w:pPr>
              <w:ind w:left="340"/>
              <w:rPr>
                <w:sz w:val="18"/>
                <w:szCs w:val="18"/>
                <w:lang w:val="fr-FR"/>
              </w:rPr>
            </w:pPr>
            <w:r>
              <w:rPr>
                <w:sz w:val="18"/>
                <w:szCs w:val="18"/>
                <w:lang w:val="fr-FR"/>
              </w:rPr>
              <w:t>(iii) la reconstruction ou la réhabilitation des infrastructures situées dans les zones sujettes aux risques naturels;</w:t>
            </w:r>
          </w:p>
        </w:tc>
        <w:tc>
          <w:tcPr>
            <w:tcW w:w="3409" w:type="dxa"/>
            <w:tcBorders>
              <w:top w:val="single" w:sz="4" w:space="0" w:color="auto"/>
              <w:left w:val="single" w:sz="4" w:space="0" w:color="auto"/>
              <w:bottom w:val="single" w:sz="4" w:space="0" w:color="auto"/>
              <w:right w:val="single" w:sz="4" w:space="0" w:color="auto"/>
            </w:tcBorders>
          </w:tcPr>
          <w:p w14:paraId="1CF5AD1C" w14:textId="77777777" w:rsidR="00607DF8" w:rsidRDefault="00607DF8" w:rsidP="00C454F0">
            <w:pPr>
              <w:rPr>
                <w:sz w:val="18"/>
                <w:szCs w:val="18"/>
                <w:lang w:val="fr-FR"/>
              </w:rPr>
            </w:pPr>
            <w:r>
              <w:rPr>
                <w:sz w:val="18"/>
                <w:szCs w:val="18"/>
                <w:lang w:val="fr-FR"/>
              </w:rPr>
              <w:t>Le cadre réglementaire du Maroc en matière d’emploi et de conditions du travail, articulé autour de la loi 65-99 portant Code du travail, répond de manière assez complète aux exigences internationales (Conditions de travail et d’emploi, Non-discrimination et égalité des chances, Organisations de travailleurs, Travail forcé, Santé et sécurité au travail).</w:t>
            </w:r>
          </w:p>
          <w:p w14:paraId="17FEBFD9" w14:textId="77777777" w:rsidR="00607DF8" w:rsidRDefault="00607DF8" w:rsidP="00C454F0">
            <w:pPr>
              <w:rPr>
                <w:sz w:val="18"/>
                <w:szCs w:val="18"/>
                <w:lang w:val="fr-FR"/>
              </w:rPr>
            </w:pPr>
          </w:p>
          <w:p w14:paraId="2312B5E9" w14:textId="77777777" w:rsidR="00607DF8" w:rsidRDefault="00607DF8" w:rsidP="00C454F0">
            <w:pPr>
              <w:rPr>
                <w:sz w:val="18"/>
                <w:szCs w:val="18"/>
                <w:lang w:val="fr-FR"/>
              </w:rPr>
            </w:pPr>
            <w:r>
              <w:rPr>
                <w:sz w:val="18"/>
                <w:szCs w:val="18"/>
                <w:lang w:val="fr-FR"/>
              </w:rPr>
              <w:t>L’âge minimum pour d’accès au travail des mineurs est fixé à 15 ans et certaines activités dangereuses tels que le travail dans les mines et l'utilisation des pesticides en agriculture sont interdites avant l'âge de 18 ans.</w:t>
            </w:r>
          </w:p>
          <w:p w14:paraId="1FD96976" w14:textId="77777777" w:rsidR="00607DF8" w:rsidRDefault="00607DF8" w:rsidP="00C454F0">
            <w:pPr>
              <w:rPr>
                <w:sz w:val="18"/>
                <w:szCs w:val="18"/>
                <w:lang w:val="fr-FR"/>
              </w:rPr>
            </w:pPr>
          </w:p>
          <w:p w14:paraId="57D03420" w14:textId="76CFE603" w:rsidR="00607DF8" w:rsidRDefault="00607DF8" w:rsidP="00C454F0">
            <w:pPr>
              <w:rPr>
                <w:sz w:val="18"/>
                <w:szCs w:val="18"/>
                <w:lang w:val="fr-FR"/>
              </w:rPr>
            </w:pPr>
            <w:r>
              <w:rPr>
                <w:sz w:val="18"/>
                <w:szCs w:val="18"/>
                <w:lang w:val="fr-FR"/>
              </w:rPr>
              <w:t>Le cadre réglementaire national traite de tous les aspects relatifs à la gestion des produits chimiques et des déchets dangereux, il s’agit notamment de : la Gestion des pesticides, la Gestion des produits chimiques et des substances dangereuses, Gestion des déchets dangereux et non dangereux, l’Utilisation rationnelle des ressources et la Prévention et la gestion de la pollution</w:t>
            </w:r>
          </w:p>
        </w:tc>
        <w:tc>
          <w:tcPr>
            <w:tcW w:w="3161" w:type="dxa"/>
            <w:tcBorders>
              <w:top w:val="single" w:sz="4" w:space="0" w:color="auto"/>
              <w:left w:val="single" w:sz="4" w:space="0" w:color="auto"/>
              <w:bottom w:val="single" w:sz="4" w:space="0" w:color="auto"/>
              <w:right w:val="single" w:sz="4" w:space="0" w:color="auto"/>
            </w:tcBorders>
            <w:hideMark/>
          </w:tcPr>
          <w:p w14:paraId="696C8B43" w14:textId="77777777" w:rsidR="00607DF8" w:rsidRDefault="00607DF8" w:rsidP="00C454F0">
            <w:pPr>
              <w:jc w:val="both"/>
              <w:rPr>
                <w:sz w:val="18"/>
                <w:szCs w:val="18"/>
                <w:lang w:val="fr-FR"/>
              </w:rPr>
            </w:pPr>
            <w:r>
              <w:rPr>
                <w:sz w:val="18"/>
                <w:szCs w:val="18"/>
                <w:lang w:val="fr-FR"/>
              </w:rPr>
              <w:t>La règlementation nationale ne prévoit pas de mécanisme de gestion des doléances au sens des normes de la Banque mondiale pour les employés et ouvriers d’un projet. Cependant elle prévoit plusieurs mécanismes pour régler les litiges individuels et collectifs entre salariés et employeurs.</w:t>
            </w:r>
          </w:p>
          <w:p w14:paraId="042768CD" w14:textId="77777777" w:rsidR="00607DF8" w:rsidRDefault="00607DF8" w:rsidP="00C454F0">
            <w:pPr>
              <w:jc w:val="both"/>
              <w:rPr>
                <w:sz w:val="18"/>
                <w:szCs w:val="18"/>
                <w:lang w:val="fr-FR"/>
              </w:rPr>
            </w:pPr>
          </w:p>
          <w:p w14:paraId="76EC43AE" w14:textId="77777777" w:rsidR="00607DF8" w:rsidRDefault="00607DF8" w:rsidP="00C454F0">
            <w:pPr>
              <w:rPr>
                <w:sz w:val="18"/>
                <w:szCs w:val="18"/>
                <w:lang w:val="fr-FR"/>
              </w:rPr>
            </w:pPr>
            <w:r>
              <w:rPr>
                <w:sz w:val="18"/>
                <w:szCs w:val="18"/>
                <w:lang w:val="fr-FR"/>
              </w:rPr>
              <w:t xml:space="preserve">En outre, les travailleurs disposent de plusieurs voies pour exprimer et faire entendre leurs doléances et réclamations : leurs représentations syndicales, leurs Délégués professionnels. </w:t>
            </w:r>
          </w:p>
        </w:tc>
        <w:tc>
          <w:tcPr>
            <w:tcW w:w="2251" w:type="dxa"/>
            <w:tcBorders>
              <w:top w:val="single" w:sz="4" w:space="0" w:color="auto"/>
              <w:left w:val="single" w:sz="4" w:space="0" w:color="auto"/>
              <w:bottom w:val="single" w:sz="4" w:space="0" w:color="auto"/>
              <w:right w:val="single" w:sz="4" w:space="0" w:color="auto"/>
            </w:tcBorders>
            <w:hideMark/>
          </w:tcPr>
          <w:p w14:paraId="60ED67CA" w14:textId="77777777" w:rsidR="00607DF8" w:rsidRDefault="00607DF8" w:rsidP="00C454F0">
            <w:pPr>
              <w:rPr>
                <w:sz w:val="18"/>
                <w:szCs w:val="18"/>
                <w:lang w:val="fr-FR"/>
              </w:rPr>
            </w:pPr>
            <w:r>
              <w:rPr>
                <w:sz w:val="18"/>
                <w:szCs w:val="18"/>
                <w:lang w:val="fr-FR"/>
              </w:rPr>
              <w:t>Un Mécanisme de gestion des doléances propre au Programme est inscrit dans le plan d’action de l’ESES. Il devrait être opérationnel au courant de la 1</w:t>
            </w:r>
            <w:r>
              <w:rPr>
                <w:sz w:val="18"/>
                <w:szCs w:val="18"/>
                <w:vertAlign w:val="superscript"/>
                <w:lang w:val="fr-FR"/>
              </w:rPr>
              <w:t>ière</w:t>
            </w:r>
            <w:r>
              <w:rPr>
                <w:sz w:val="18"/>
                <w:szCs w:val="18"/>
                <w:lang w:val="fr-FR"/>
              </w:rPr>
              <w:t xml:space="preserve"> année de mise en œuvre.</w:t>
            </w:r>
          </w:p>
        </w:tc>
      </w:tr>
      <w:tr w:rsidR="00607DF8" w14:paraId="0E3E25BE" w14:textId="77777777" w:rsidTr="00C454F0">
        <w:tc>
          <w:tcPr>
            <w:tcW w:w="3235" w:type="dxa"/>
            <w:tcBorders>
              <w:top w:val="single" w:sz="4" w:space="0" w:color="auto"/>
              <w:left w:val="single" w:sz="4" w:space="0" w:color="auto"/>
              <w:bottom w:val="single" w:sz="4" w:space="0" w:color="auto"/>
              <w:right w:val="single" w:sz="4" w:space="0" w:color="auto"/>
            </w:tcBorders>
            <w:hideMark/>
          </w:tcPr>
          <w:p w14:paraId="1B42E1EE" w14:textId="77777777" w:rsidR="00607DF8" w:rsidRDefault="00607DF8" w:rsidP="00C454F0">
            <w:pPr>
              <w:rPr>
                <w:sz w:val="18"/>
                <w:szCs w:val="18"/>
                <w:lang w:val="fr-FR"/>
              </w:rPr>
            </w:pPr>
            <w:r>
              <w:rPr>
                <w:sz w:val="18"/>
                <w:szCs w:val="18"/>
                <w:lang w:val="fr-FR"/>
              </w:rPr>
              <w:t xml:space="preserve">(d) gérer l'acquisition de terres et la perte d'accès aux ressources naturelles d'une manière qui évite ou minimise les </w:t>
            </w:r>
            <w:r>
              <w:rPr>
                <w:sz w:val="18"/>
                <w:szCs w:val="18"/>
                <w:lang w:val="fr-FR"/>
              </w:rPr>
              <w:lastRenderedPageBreak/>
              <w:t>déplacements, et aide les personnes touchées à améliorer, ou au minimum à restaurer, leurs moyens de subsistance et leur niveau de vie;</w:t>
            </w:r>
          </w:p>
        </w:tc>
        <w:tc>
          <w:tcPr>
            <w:tcW w:w="3409" w:type="dxa"/>
            <w:tcBorders>
              <w:top w:val="single" w:sz="4" w:space="0" w:color="auto"/>
              <w:left w:val="single" w:sz="4" w:space="0" w:color="auto"/>
              <w:bottom w:val="single" w:sz="4" w:space="0" w:color="auto"/>
              <w:right w:val="single" w:sz="4" w:space="0" w:color="auto"/>
            </w:tcBorders>
            <w:hideMark/>
          </w:tcPr>
          <w:p w14:paraId="6FE22892" w14:textId="77777777" w:rsidR="00607DF8" w:rsidRDefault="00607DF8" w:rsidP="00C454F0">
            <w:pPr>
              <w:rPr>
                <w:sz w:val="18"/>
                <w:szCs w:val="18"/>
                <w:lang w:val="fr-FR"/>
              </w:rPr>
            </w:pPr>
            <w:r>
              <w:rPr>
                <w:sz w:val="18"/>
                <w:szCs w:val="18"/>
                <w:lang w:val="fr-FR"/>
              </w:rPr>
              <w:lastRenderedPageBreak/>
              <w:t xml:space="preserve">La constitution du 30 juillet 2011 garantit un certain nombre de droits fondamentaux qui fixent le cadre global de la gestion des </w:t>
            </w:r>
            <w:r>
              <w:rPr>
                <w:sz w:val="18"/>
                <w:szCs w:val="18"/>
                <w:lang w:val="fr-FR"/>
              </w:rPr>
              <w:lastRenderedPageBreak/>
              <w:t xml:space="preserve">risques et impacts de l’acquisition des terres pour les besoins des projets d’utilité publique, notamment en matière de droits socioéconomiques des personnes, de droits à l’information et à la participation, de droits des personnes défavorisées ou vulnérables, d’égalité hommes/femmes et de droit au recours. </w:t>
            </w:r>
          </w:p>
          <w:p w14:paraId="523B6352" w14:textId="77777777" w:rsidR="00607DF8" w:rsidRDefault="00607DF8" w:rsidP="00C454F0">
            <w:pPr>
              <w:rPr>
                <w:sz w:val="18"/>
                <w:szCs w:val="18"/>
                <w:lang w:val="fr-FR"/>
              </w:rPr>
            </w:pPr>
          </w:p>
          <w:p w14:paraId="4B5E2B69" w14:textId="77777777" w:rsidR="00607DF8" w:rsidRDefault="00607DF8" w:rsidP="00C454F0">
            <w:pPr>
              <w:rPr>
                <w:sz w:val="18"/>
                <w:szCs w:val="18"/>
                <w:lang w:val="fr-FR"/>
              </w:rPr>
            </w:pPr>
            <w:r>
              <w:rPr>
                <w:sz w:val="18"/>
                <w:szCs w:val="18"/>
                <w:lang w:val="fr-FR"/>
              </w:rPr>
              <w:t>Le système marocain de gestion des risques sociaux liés à l’acquisition des terres repose essentiellement sur la loi 7-81 et sur son décret d’application (promulguées respectivement en 1982 et 1983, environ 30 ans avant la nouvelle constitution).</w:t>
            </w:r>
          </w:p>
        </w:tc>
        <w:tc>
          <w:tcPr>
            <w:tcW w:w="3161" w:type="dxa"/>
            <w:tcBorders>
              <w:top w:val="single" w:sz="4" w:space="0" w:color="auto"/>
              <w:left w:val="single" w:sz="4" w:space="0" w:color="auto"/>
              <w:bottom w:val="single" w:sz="4" w:space="0" w:color="auto"/>
              <w:right w:val="single" w:sz="4" w:space="0" w:color="auto"/>
            </w:tcBorders>
          </w:tcPr>
          <w:p w14:paraId="7D1BF9CA" w14:textId="336CFA6D" w:rsidR="00607DF8" w:rsidRDefault="00607DF8" w:rsidP="00C454F0">
            <w:pPr>
              <w:rPr>
                <w:sz w:val="18"/>
                <w:szCs w:val="18"/>
                <w:lang w:val="fr-FR"/>
              </w:rPr>
            </w:pPr>
            <w:r>
              <w:rPr>
                <w:sz w:val="18"/>
                <w:szCs w:val="18"/>
                <w:lang w:val="fr-FR"/>
              </w:rPr>
              <w:lastRenderedPageBreak/>
              <w:t xml:space="preserve">Sous-tendue par une approche réelle focalisée sur les biens, non sur les personnes, la loi 7-81 n’attache pas une </w:t>
            </w:r>
            <w:r>
              <w:rPr>
                <w:sz w:val="18"/>
                <w:szCs w:val="18"/>
                <w:lang w:val="fr-FR"/>
              </w:rPr>
              <w:lastRenderedPageBreak/>
              <w:t>importance suffisante à l’identification des personnes affectées, ni à l’analyse de leurs droits, de leurs statuts. De même qu’elle ne prévoit pas d’étude socioéconomique qui permette d’élaborer la base de connaissances nécessaire à la planification du processus. Une telle analyse permettrait par exemple d’identifier les régimes fonciers, les droits des personnes affectées sur les terres concernées, l’existence ou l’absence de justificatifs de ces droits et de définir les moyens les plus adéquats, les plus efficaces et les plus rapides pour établir les justificatifs de ces droits.</w:t>
            </w:r>
          </w:p>
        </w:tc>
        <w:tc>
          <w:tcPr>
            <w:tcW w:w="2251" w:type="dxa"/>
            <w:tcBorders>
              <w:top w:val="single" w:sz="4" w:space="0" w:color="auto"/>
              <w:left w:val="single" w:sz="4" w:space="0" w:color="auto"/>
              <w:bottom w:val="single" w:sz="4" w:space="0" w:color="auto"/>
              <w:right w:val="single" w:sz="4" w:space="0" w:color="auto"/>
            </w:tcBorders>
            <w:hideMark/>
          </w:tcPr>
          <w:p w14:paraId="354AB63E" w14:textId="39C6E6A3" w:rsidR="00607DF8" w:rsidRDefault="00607DF8" w:rsidP="00C454F0">
            <w:pPr>
              <w:rPr>
                <w:sz w:val="18"/>
                <w:szCs w:val="18"/>
                <w:lang w:val="fr-FR"/>
              </w:rPr>
            </w:pPr>
            <w:r>
              <w:rPr>
                <w:sz w:val="18"/>
                <w:szCs w:val="18"/>
                <w:lang w:val="fr-FR"/>
              </w:rPr>
              <w:lastRenderedPageBreak/>
              <w:t xml:space="preserve">Le Programme ne finance pas </w:t>
            </w:r>
            <w:r w:rsidR="00AF4CF8">
              <w:rPr>
                <w:sz w:val="18"/>
                <w:szCs w:val="18"/>
                <w:lang w:val="fr-FR"/>
              </w:rPr>
              <w:t>d</w:t>
            </w:r>
            <w:r>
              <w:rPr>
                <w:sz w:val="18"/>
                <w:szCs w:val="18"/>
                <w:lang w:val="fr-FR"/>
              </w:rPr>
              <w:t>es activités qui font appel à l’expropriation.</w:t>
            </w:r>
          </w:p>
        </w:tc>
      </w:tr>
      <w:tr w:rsidR="00607DF8" w14:paraId="5C07C9AC" w14:textId="77777777" w:rsidTr="00C454F0">
        <w:tc>
          <w:tcPr>
            <w:tcW w:w="3235" w:type="dxa"/>
            <w:tcBorders>
              <w:top w:val="single" w:sz="4" w:space="0" w:color="auto"/>
              <w:left w:val="single" w:sz="4" w:space="0" w:color="auto"/>
              <w:bottom w:val="single" w:sz="4" w:space="0" w:color="auto"/>
              <w:right w:val="single" w:sz="4" w:space="0" w:color="auto"/>
            </w:tcBorders>
          </w:tcPr>
          <w:p w14:paraId="013AACDD" w14:textId="77777777" w:rsidR="00607DF8" w:rsidRDefault="00607DF8" w:rsidP="00C454F0">
            <w:pPr>
              <w:rPr>
                <w:sz w:val="18"/>
                <w:szCs w:val="18"/>
                <w:lang w:val="fr-FR"/>
              </w:rPr>
            </w:pPr>
            <w:r>
              <w:rPr>
                <w:sz w:val="18"/>
                <w:szCs w:val="18"/>
                <w:lang w:val="fr-FR"/>
              </w:rPr>
              <w:t xml:space="preserve">(e) tenir dûment compte de la pertinence culturelle et de l'accès équitable aux avantages du programme PforR, en accordant une attention particulière aux droits et intérêts des peuples autochtones et aux besoins ou préoccupations des groupes vulnérables; </w:t>
            </w:r>
          </w:p>
          <w:p w14:paraId="43064EA9" w14:textId="77777777" w:rsidR="00607DF8" w:rsidRDefault="00607DF8" w:rsidP="00C454F0">
            <w:pPr>
              <w:rPr>
                <w:sz w:val="18"/>
                <w:szCs w:val="18"/>
                <w:lang w:val="fr-FR"/>
              </w:rPr>
            </w:pPr>
          </w:p>
        </w:tc>
        <w:tc>
          <w:tcPr>
            <w:tcW w:w="3409" w:type="dxa"/>
            <w:tcBorders>
              <w:top w:val="single" w:sz="4" w:space="0" w:color="auto"/>
              <w:left w:val="single" w:sz="4" w:space="0" w:color="auto"/>
              <w:bottom w:val="single" w:sz="4" w:space="0" w:color="auto"/>
              <w:right w:val="single" w:sz="4" w:space="0" w:color="auto"/>
            </w:tcBorders>
            <w:hideMark/>
          </w:tcPr>
          <w:p w14:paraId="640481F6" w14:textId="77777777" w:rsidR="00607DF8" w:rsidRDefault="00607DF8" w:rsidP="00C454F0">
            <w:pPr>
              <w:rPr>
                <w:sz w:val="18"/>
                <w:szCs w:val="18"/>
                <w:lang w:val="fr-FR"/>
              </w:rPr>
            </w:pPr>
            <w:r>
              <w:rPr>
                <w:sz w:val="18"/>
                <w:szCs w:val="18"/>
                <w:lang w:val="fr-FR"/>
              </w:rPr>
              <w:t>La constitution du Maroc appelle à « </w:t>
            </w:r>
            <w:r w:rsidRPr="0044651F">
              <w:rPr>
                <w:i/>
                <w:iCs/>
                <w:sz w:val="18"/>
                <w:szCs w:val="18"/>
                <w:lang w:val="fr-FR"/>
              </w:rPr>
              <w:t>bannir et combattre toute discrimination à l’encontre de quiconque en raison du sexe, de la couleur, des croyances, de la culture, des origines ou régionale, de la langue, du handicap ou de quelque circonstance personnelle que ce soit</w:t>
            </w:r>
            <w:r>
              <w:rPr>
                <w:sz w:val="18"/>
                <w:szCs w:val="18"/>
                <w:lang w:val="fr-FR"/>
              </w:rPr>
              <w:t xml:space="preserve"> » </w:t>
            </w:r>
          </w:p>
          <w:p w14:paraId="1BFA9422" w14:textId="77777777" w:rsidR="00607DF8" w:rsidRDefault="00607DF8" w:rsidP="00C454F0">
            <w:pPr>
              <w:rPr>
                <w:sz w:val="18"/>
                <w:szCs w:val="18"/>
                <w:lang w:val="fr-FR"/>
              </w:rPr>
            </w:pPr>
          </w:p>
          <w:p w14:paraId="7711A70D" w14:textId="77777777" w:rsidR="00607DF8" w:rsidRDefault="00607DF8" w:rsidP="00C454F0">
            <w:pPr>
              <w:rPr>
                <w:sz w:val="18"/>
                <w:szCs w:val="18"/>
                <w:lang w:val="fr-FR"/>
              </w:rPr>
            </w:pPr>
            <w:r>
              <w:rPr>
                <w:sz w:val="18"/>
                <w:szCs w:val="18"/>
                <w:lang w:val="fr-FR"/>
              </w:rPr>
              <w:t xml:space="preserve">Plusieurs politiques publiques sont déployées au niveau national pour traduire ce principe de non-discrimination : Programme gouvernemental pour l’Egalité (entre hommes et femmes), Politique publique intégrée de promotion des droits des personnes en situation de handicap, </w:t>
            </w:r>
          </w:p>
        </w:tc>
        <w:tc>
          <w:tcPr>
            <w:tcW w:w="3161" w:type="dxa"/>
            <w:tcBorders>
              <w:top w:val="single" w:sz="4" w:space="0" w:color="auto"/>
              <w:left w:val="single" w:sz="4" w:space="0" w:color="auto"/>
              <w:bottom w:val="single" w:sz="4" w:space="0" w:color="auto"/>
              <w:right w:val="single" w:sz="4" w:space="0" w:color="auto"/>
            </w:tcBorders>
            <w:hideMark/>
          </w:tcPr>
          <w:p w14:paraId="7B42A198" w14:textId="77777777" w:rsidR="00607DF8" w:rsidRDefault="00607DF8" w:rsidP="00C454F0">
            <w:pPr>
              <w:rPr>
                <w:sz w:val="18"/>
                <w:szCs w:val="18"/>
                <w:lang w:val="fr-FR"/>
              </w:rPr>
            </w:pPr>
            <w:r>
              <w:rPr>
                <w:sz w:val="18"/>
                <w:szCs w:val="18"/>
                <w:lang w:val="fr-FR"/>
              </w:rPr>
              <w:t>Il n’y a pas d’écart au niveau des exigences légales et normatives. Mais dans la pratique, la mise en œuvre de ces exigences rencontre encore des difficultés que le Programme identifie et cible par des mesures d’atténuation (voir colonne suivante)</w:t>
            </w:r>
          </w:p>
        </w:tc>
        <w:tc>
          <w:tcPr>
            <w:tcW w:w="2251" w:type="dxa"/>
            <w:tcBorders>
              <w:top w:val="single" w:sz="4" w:space="0" w:color="auto"/>
              <w:left w:val="single" w:sz="4" w:space="0" w:color="auto"/>
              <w:bottom w:val="single" w:sz="4" w:space="0" w:color="auto"/>
              <w:right w:val="single" w:sz="4" w:space="0" w:color="auto"/>
            </w:tcBorders>
            <w:hideMark/>
          </w:tcPr>
          <w:p w14:paraId="463E386F" w14:textId="48DBCDA4" w:rsidR="00607DF8" w:rsidRDefault="00AF4CF8" w:rsidP="00C454F0">
            <w:pPr>
              <w:rPr>
                <w:sz w:val="18"/>
                <w:szCs w:val="18"/>
                <w:lang w:val="fr-FR"/>
              </w:rPr>
            </w:pPr>
            <w:r>
              <w:rPr>
                <w:sz w:val="18"/>
                <w:szCs w:val="18"/>
                <w:lang w:val="fr-FR"/>
              </w:rPr>
              <w:t>Pas de recommandations</w:t>
            </w:r>
          </w:p>
        </w:tc>
      </w:tr>
      <w:tr w:rsidR="00607DF8" w14:paraId="1709A0FD" w14:textId="77777777" w:rsidTr="00C454F0">
        <w:tc>
          <w:tcPr>
            <w:tcW w:w="3235" w:type="dxa"/>
            <w:tcBorders>
              <w:top w:val="single" w:sz="4" w:space="0" w:color="auto"/>
              <w:left w:val="single" w:sz="4" w:space="0" w:color="auto"/>
              <w:bottom w:val="single" w:sz="4" w:space="0" w:color="auto"/>
              <w:right w:val="single" w:sz="4" w:space="0" w:color="auto"/>
            </w:tcBorders>
            <w:hideMark/>
          </w:tcPr>
          <w:p w14:paraId="31D0B309" w14:textId="77777777" w:rsidR="00607DF8" w:rsidRDefault="00607DF8" w:rsidP="00C454F0">
            <w:pPr>
              <w:rPr>
                <w:sz w:val="18"/>
                <w:szCs w:val="18"/>
                <w:lang w:val="fr-FR"/>
              </w:rPr>
            </w:pPr>
            <w:r>
              <w:rPr>
                <w:sz w:val="18"/>
                <w:szCs w:val="18"/>
                <w:lang w:val="fr-FR"/>
              </w:rPr>
              <w:t>(f) éviter d'exacerber les conflits sociaux, en particulier dans les États fragiles, les zones post-conflit ou les zones sujettes à des conflits territoriaux.</w:t>
            </w:r>
          </w:p>
        </w:tc>
        <w:tc>
          <w:tcPr>
            <w:tcW w:w="3409" w:type="dxa"/>
            <w:tcBorders>
              <w:top w:val="single" w:sz="4" w:space="0" w:color="auto"/>
              <w:left w:val="single" w:sz="4" w:space="0" w:color="auto"/>
              <w:bottom w:val="single" w:sz="4" w:space="0" w:color="auto"/>
              <w:right w:val="single" w:sz="4" w:space="0" w:color="auto"/>
            </w:tcBorders>
            <w:hideMark/>
          </w:tcPr>
          <w:p w14:paraId="2E713B29" w14:textId="77777777" w:rsidR="00607DF8" w:rsidRDefault="00607DF8" w:rsidP="00C454F0">
            <w:pPr>
              <w:rPr>
                <w:sz w:val="18"/>
                <w:szCs w:val="18"/>
                <w:lang w:val="fr-FR"/>
              </w:rPr>
            </w:pPr>
            <w:r>
              <w:rPr>
                <w:sz w:val="18"/>
                <w:szCs w:val="18"/>
                <w:lang w:val="fr-FR"/>
              </w:rPr>
              <w:t xml:space="preserve">La Constitution affirme bannir et combattre toute discrimination, y compris due à la couleur, au sexe, à la langue, à la culture ou à l’origine. De même qu’elle a fait de l’amazighe une langue officielle aux côtés de l’arabe. </w:t>
            </w:r>
          </w:p>
        </w:tc>
        <w:tc>
          <w:tcPr>
            <w:tcW w:w="3161" w:type="dxa"/>
            <w:tcBorders>
              <w:top w:val="single" w:sz="4" w:space="0" w:color="auto"/>
              <w:left w:val="single" w:sz="4" w:space="0" w:color="auto"/>
              <w:bottom w:val="single" w:sz="4" w:space="0" w:color="auto"/>
              <w:right w:val="single" w:sz="4" w:space="0" w:color="auto"/>
            </w:tcBorders>
            <w:hideMark/>
          </w:tcPr>
          <w:p w14:paraId="48F75408" w14:textId="77777777" w:rsidR="00607DF8" w:rsidRDefault="00607DF8" w:rsidP="00C454F0">
            <w:pPr>
              <w:rPr>
                <w:sz w:val="18"/>
                <w:szCs w:val="18"/>
                <w:lang w:val="fr-FR"/>
              </w:rPr>
            </w:pPr>
            <w:r>
              <w:rPr>
                <w:sz w:val="18"/>
                <w:szCs w:val="18"/>
                <w:lang w:val="fr-FR"/>
              </w:rPr>
              <w:t>Il n’y a pas de Gap</w:t>
            </w:r>
          </w:p>
        </w:tc>
        <w:tc>
          <w:tcPr>
            <w:tcW w:w="2251" w:type="dxa"/>
            <w:tcBorders>
              <w:top w:val="single" w:sz="4" w:space="0" w:color="auto"/>
              <w:left w:val="single" w:sz="4" w:space="0" w:color="auto"/>
              <w:bottom w:val="single" w:sz="4" w:space="0" w:color="auto"/>
              <w:right w:val="single" w:sz="4" w:space="0" w:color="auto"/>
            </w:tcBorders>
            <w:hideMark/>
          </w:tcPr>
          <w:p w14:paraId="535FA354" w14:textId="77777777" w:rsidR="00607DF8" w:rsidRDefault="00607DF8" w:rsidP="00C454F0">
            <w:pPr>
              <w:rPr>
                <w:sz w:val="18"/>
                <w:szCs w:val="18"/>
                <w:lang w:val="fr-FR"/>
              </w:rPr>
            </w:pPr>
            <w:r>
              <w:rPr>
                <w:sz w:val="18"/>
                <w:szCs w:val="18"/>
                <w:lang w:val="fr-FR"/>
              </w:rPr>
              <w:t>L’analyse du programme du point de vue environnemental et social n’a abouti à l’identification d’aucun risque de conflits ciblés par la Politique ou la Directive relatives au PforR.</w:t>
            </w:r>
          </w:p>
        </w:tc>
      </w:tr>
    </w:tbl>
    <w:p w14:paraId="6771CAB9" w14:textId="77777777" w:rsidR="00607DF8" w:rsidRDefault="00607DF8" w:rsidP="00607DF8">
      <w:pPr>
        <w:rPr>
          <w:rFonts w:cstheme="minorHAnsi"/>
        </w:rPr>
        <w:sectPr w:rsidR="00607DF8" w:rsidSect="00C454F0">
          <w:pgSz w:w="16840" w:h="11900" w:orient="landscape"/>
          <w:pgMar w:top="1417" w:right="1417" w:bottom="1417" w:left="1417" w:header="708" w:footer="708" w:gutter="0"/>
          <w:cols w:space="708"/>
          <w:docGrid w:linePitch="360"/>
        </w:sectPr>
      </w:pPr>
    </w:p>
    <w:p w14:paraId="64172E37" w14:textId="444DD6F4" w:rsidR="00BA11C4" w:rsidRPr="00D85E9B" w:rsidRDefault="000140CE" w:rsidP="00D85E9B">
      <w:pPr>
        <w:pStyle w:val="Heading3"/>
        <w:rPr>
          <w:rFonts w:ascii="Candara" w:hAnsi="Candara"/>
        </w:rPr>
      </w:pPr>
      <w:bookmarkStart w:id="156" w:name="_Toc74241407"/>
      <w:r w:rsidRPr="00D85E9B">
        <w:rPr>
          <w:rFonts w:ascii="Candara" w:hAnsi="Candara"/>
        </w:rPr>
        <w:lastRenderedPageBreak/>
        <w:t xml:space="preserve">5.1.2 </w:t>
      </w:r>
      <w:proofErr w:type="spellStart"/>
      <w:r w:rsidRPr="00D85E9B">
        <w:rPr>
          <w:rFonts w:ascii="Candara" w:hAnsi="Candara"/>
        </w:rPr>
        <w:t>Systèmes</w:t>
      </w:r>
      <w:proofErr w:type="spellEnd"/>
      <w:r w:rsidRPr="00D85E9B">
        <w:rPr>
          <w:rFonts w:ascii="Candara" w:hAnsi="Candara"/>
        </w:rPr>
        <w:t xml:space="preserve"> de gestion </w:t>
      </w:r>
      <w:proofErr w:type="spellStart"/>
      <w:r w:rsidRPr="00D85E9B">
        <w:rPr>
          <w:rFonts w:ascii="Candara" w:hAnsi="Candara"/>
        </w:rPr>
        <w:t>sociale</w:t>
      </w:r>
      <w:bookmarkEnd w:id="156"/>
      <w:proofErr w:type="spellEnd"/>
    </w:p>
    <w:p w14:paraId="05037869" w14:textId="40460274" w:rsidR="000140CE" w:rsidRPr="00046E7D" w:rsidRDefault="00B33671" w:rsidP="00D85E9B">
      <w:pPr>
        <w:numPr>
          <w:ilvl w:val="0"/>
          <w:numId w:val="11"/>
        </w:numPr>
        <w:autoSpaceDE w:val="0"/>
        <w:autoSpaceDN w:val="0"/>
        <w:adjustRightInd w:val="0"/>
        <w:spacing w:before="120" w:after="0" w:line="360" w:lineRule="auto"/>
        <w:contextualSpacing/>
        <w:jc w:val="both"/>
        <w:rPr>
          <w:rStyle w:val="hps"/>
          <w:rFonts w:ascii="Cambria" w:hAnsi="Cambria" w:cstheme="minorHAnsi"/>
          <w:b/>
          <w:bCs/>
          <w:color w:val="4F81BD"/>
          <w:szCs w:val="24"/>
        </w:rPr>
      </w:pPr>
      <w:r>
        <w:rPr>
          <w:rStyle w:val="hps"/>
          <w:rFonts w:cstheme="minorHAnsi"/>
        </w:rPr>
        <w:t>Le Programme n’est susceptible d’occasionner aucun des risques sociaux évoqués dans la Politique de la Banque mondiale relative au PPR. Ayant pour objet de renforcer les systèmes de l’administration</w:t>
      </w:r>
      <w:r w:rsidR="0014128A">
        <w:rPr>
          <w:rStyle w:val="hps"/>
          <w:rFonts w:cstheme="minorHAnsi"/>
        </w:rPr>
        <w:t xml:space="preserve"> publique marocaine</w:t>
      </w:r>
      <w:r w:rsidR="002B62BD">
        <w:rPr>
          <w:rStyle w:val="hps"/>
          <w:rFonts w:cstheme="minorHAnsi"/>
        </w:rPr>
        <w:t xml:space="preserve">, il n’affecte pas directement la population. </w:t>
      </w:r>
    </w:p>
    <w:p w14:paraId="650C5945" w14:textId="6DF4EE65" w:rsidR="00BA11C4" w:rsidRPr="00046E7D" w:rsidRDefault="00BA11C4" w:rsidP="00BA11C4">
      <w:pPr>
        <w:pStyle w:val="Heading2"/>
        <w:spacing w:line="240" w:lineRule="auto"/>
        <w:rPr>
          <w:rFonts w:ascii="Candara" w:hAnsi="Candara" w:cstheme="minorHAnsi"/>
          <w:iCs/>
          <w:color w:val="auto"/>
          <w:lang w:val="fr-FR"/>
        </w:rPr>
      </w:pPr>
      <w:bookmarkStart w:id="157" w:name="_Toc74241408"/>
      <w:r w:rsidRPr="00046E7D">
        <w:rPr>
          <w:rFonts w:ascii="Candara" w:hAnsi="Candara" w:cstheme="minorHAnsi"/>
          <w:color w:val="auto"/>
          <w:lang w:val="fr-FR"/>
        </w:rPr>
        <w:t xml:space="preserve">5.2 </w:t>
      </w:r>
      <w:r w:rsidR="000140CE" w:rsidRPr="000140CE">
        <w:rPr>
          <w:rFonts w:ascii="Candara" w:hAnsi="Candara" w:cstheme="minorHAnsi"/>
          <w:color w:val="auto"/>
          <w:lang w:val="fr-FR"/>
        </w:rPr>
        <w:t>Éléments à intégrer dans le plan d’action de l’ESES</w:t>
      </w:r>
      <w:bookmarkEnd w:id="157"/>
    </w:p>
    <w:p w14:paraId="0C1F264C" w14:textId="0C2E4790" w:rsidR="001C4564" w:rsidRPr="00D85E9B" w:rsidRDefault="001C4564" w:rsidP="00D85E9B">
      <w:pPr>
        <w:numPr>
          <w:ilvl w:val="0"/>
          <w:numId w:val="11"/>
        </w:numPr>
        <w:autoSpaceDE w:val="0"/>
        <w:autoSpaceDN w:val="0"/>
        <w:adjustRightInd w:val="0"/>
        <w:spacing w:before="120" w:after="0" w:line="360" w:lineRule="auto"/>
        <w:contextualSpacing/>
        <w:jc w:val="both"/>
        <w:rPr>
          <w:rStyle w:val="hps"/>
          <w:rFonts w:cstheme="minorHAnsi"/>
        </w:rPr>
      </w:pPr>
      <w:bookmarkStart w:id="158" w:name="_Hlk65679681"/>
      <w:r w:rsidRPr="001F6031">
        <w:rPr>
          <w:rStyle w:val="hps"/>
          <w:rFonts w:cstheme="minorHAnsi"/>
        </w:rPr>
        <w:t>L’analyse des activités qui composent ce Programme a permis de statuer sur l’absence</w:t>
      </w:r>
      <w:r w:rsidR="00032B79" w:rsidRPr="001C6D8C">
        <w:rPr>
          <w:rStyle w:val="hps"/>
          <w:rFonts w:cstheme="minorHAnsi"/>
        </w:rPr>
        <w:t xml:space="preserve"> de risques et d’impacts environnementaux</w:t>
      </w:r>
      <w:r w:rsidR="00D06CCF" w:rsidRPr="001C6D8C">
        <w:rPr>
          <w:rStyle w:val="hps"/>
          <w:rFonts w:cstheme="minorHAnsi"/>
        </w:rPr>
        <w:t xml:space="preserve"> et sociaux</w:t>
      </w:r>
      <w:r w:rsidRPr="001C6D8C">
        <w:rPr>
          <w:rStyle w:val="hps"/>
          <w:rFonts w:cstheme="minorHAnsi"/>
        </w:rPr>
        <w:t xml:space="preserve">. </w:t>
      </w:r>
    </w:p>
    <w:p w14:paraId="226818CA" w14:textId="7476D8E4" w:rsidR="00AA5A1B" w:rsidRPr="001C6D8C" w:rsidRDefault="00AA5A1B" w:rsidP="00D85E9B">
      <w:pPr>
        <w:numPr>
          <w:ilvl w:val="0"/>
          <w:numId w:val="11"/>
        </w:numPr>
        <w:autoSpaceDE w:val="0"/>
        <w:autoSpaceDN w:val="0"/>
        <w:adjustRightInd w:val="0"/>
        <w:spacing w:before="120" w:after="0" w:line="360" w:lineRule="auto"/>
        <w:contextualSpacing/>
        <w:jc w:val="both"/>
        <w:rPr>
          <w:rFonts w:cstheme="minorHAnsi"/>
          <w:lang w:val="fr-CA"/>
        </w:rPr>
      </w:pPr>
      <w:bookmarkStart w:id="159" w:name="_Hlk65754597"/>
      <w:r w:rsidRPr="001F6031">
        <w:rPr>
          <w:rFonts w:cstheme="minorHAnsi"/>
          <w:lang w:val="fr-CA"/>
        </w:rPr>
        <w:t xml:space="preserve">Le </w:t>
      </w:r>
      <w:r w:rsidRPr="00D85E9B">
        <w:rPr>
          <w:rStyle w:val="hps"/>
          <w:rFonts w:cstheme="minorHAnsi"/>
        </w:rPr>
        <w:t>Programme</w:t>
      </w:r>
      <w:r w:rsidRPr="001F6031">
        <w:rPr>
          <w:rFonts w:cstheme="minorHAnsi"/>
          <w:lang w:val="fr-CA"/>
        </w:rPr>
        <w:t xml:space="preserve"> </w:t>
      </w:r>
      <w:r w:rsidRPr="00D85E9B">
        <w:rPr>
          <w:rStyle w:val="hps"/>
        </w:rPr>
        <w:t>soutiendra</w:t>
      </w:r>
      <w:r w:rsidRPr="001F6031">
        <w:rPr>
          <w:rFonts w:cstheme="minorHAnsi"/>
          <w:lang w:val="fr-CA"/>
        </w:rPr>
        <w:t xml:space="preserve"> des mesures spécifiques visant à renforcer la qualité et la performance du système de gestion environnementale et sociale, dans 2 domaines d’intervention :</w:t>
      </w:r>
    </w:p>
    <w:p w14:paraId="0E8BB31C" w14:textId="77777777" w:rsidR="00AA5A1B" w:rsidRPr="00274A1F" w:rsidRDefault="00AA5A1B" w:rsidP="00AA5A1B">
      <w:pPr>
        <w:pStyle w:val="Normal141"/>
        <w:numPr>
          <w:ilvl w:val="0"/>
          <w:numId w:val="4"/>
        </w:numPr>
        <w:autoSpaceDE w:val="0"/>
        <w:autoSpaceDN w:val="0"/>
        <w:adjustRightInd w:val="0"/>
        <w:spacing w:after="0" w:line="240" w:lineRule="auto"/>
        <w:ind w:left="1276"/>
        <w:jc w:val="both"/>
        <w:rPr>
          <w:rFonts w:cstheme="minorHAnsi"/>
          <w:lang w:val="fr-MA"/>
        </w:rPr>
      </w:pPr>
      <w:r w:rsidRPr="00274A1F">
        <w:rPr>
          <w:rFonts w:cstheme="minorHAnsi"/>
          <w:lang w:val="fr-MA"/>
        </w:rPr>
        <w:t>Actions visant à renforcer le système de gestion environnementale et sociale ;</w:t>
      </w:r>
    </w:p>
    <w:p w14:paraId="2062F5B7" w14:textId="77777777" w:rsidR="00AA5A1B" w:rsidRPr="00274A1F" w:rsidRDefault="00AA5A1B" w:rsidP="00AA5A1B">
      <w:pPr>
        <w:pStyle w:val="Normal141"/>
        <w:numPr>
          <w:ilvl w:val="0"/>
          <w:numId w:val="4"/>
        </w:numPr>
        <w:autoSpaceDE w:val="0"/>
        <w:autoSpaceDN w:val="0"/>
        <w:adjustRightInd w:val="0"/>
        <w:spacing w:after="0" w:line="240" w:lineRule="auto"/>
        <w:ind w:left="1276"/>
        <w:jc w:val="both"/>
        <w:rPr>
          <w:rFonts w:cstheme="minorHAnsi"/>
          <w:lang w:val="fr-MA"/>
        </w:rPr>
      </w:pPr>
      <w:r w:rsidRPr="00274A1F">
        <w:rPr>
          <w:rFonts w:cstheme="minorHAnsi"/>
          <w:lang w:val="fr-MA"/>
        </w:rPr>
        <w:t xml:space="preserve">Actions visant à renforcer les capacités des acteurs en gestion environnementale et sociale. </w:t>
      </w:r>
    </w:p>
    <w:p w14:paraId="0F793E55" w14:textId="77777777" w:rsidR="00AA5A1B" w:rsidRPr="001C6D8C" w:rsidRDefault="00AA5A1B" w:rsidP="00D85E9B">
      <w:pPr>
        <w:numPr>
          <w:ilvl w:val="0"/>
          <w:numId w:val="11"/>
        </w:numPr>
        <w:autoSpaceDE w:val="0"/>
        <w:autoSpaceDN w:val="0"/>
        <w:adjustRightInd w:val="0"/>
        <w:spacing w:before="120" w:after="0" w:line="360" w:lineRule="auto"/>
        <w:contextualSpacing/>
        <w:jc w:val="both"/>
        <w:rPr>
          <w:rFonts w:cstheme="minorHAnsi"/>
          <w:lang w:val="fr-CA"/>
        </w:rPr>
      </w:pPr>
      <w:r w:rsidRPr="001F6031">
        <w:rPr>
          <w:rFonts w:cstheme="minorHAnsi"/>
          <w:lang w:val="fr-CA"/>
        </w:rPr>
        <w:t xml:space="preserve">Il est </w:t>
      </w:r>
      <w:r w:rsidRPr="00D85E9B">
        <w:rPr>
          <w:rStyle w:val="hps"/>
          <w:rFonts w:cstheme="minorHAnsi"/>
        </w:rPr>
        <w:t>recommandé</w:t>
      </w:r>
      <w:r w:rsidRPr="001F6031">
        <w:rPr>
          <w:rFonts w:cstheme="minorHAnsi"/>
          <w:lang w:val="fr-CA"/>
        </w:rPr>
        <w:t xml:space="preserve"> que l’ensemble de ces actions qui forme le Plan d'Action de l’ESES, soit incorporé dans le Plan d'action global du Programme.</w:t>
      </w:r>
    </w:p>
    <w:p w14:paraId="3021F95C" w14:textId="6DEA59F6" w:rsidR="00AA5A1B" w:rsidRPr="00274A1F" w:rsidRDefault="00AA5A1B" w:rsidP="00AA5A1B">
      <w:pPr>
        <w:pStyle w:val="Paranumbering"/>
        <w:numPr>
          <w:ilvl w:val="0"/>
          <w:numId w:val="0"/>
        </w:numPr>
        <w:ind w:right="-23"/>
        <w:rPr>
          <w:rFonts w:asciiTheme="minorHAnsi" w:hAnsiTheme="minorHAnsi" w:cstheme="minorHAnsi"/>
          <w:sz w:val="22"/>
          <w:szCs w:val="22"/>
          <w:u w:val="single"/>
          <w:lang w:val="fr-MA"/>
        </w:rPr>
      </w:pPr>
      <w:r w:rsidRPr="00D85E9B">
        <w:rPr>
          <w:rFonts w:asciiTheme="minorHAnsi" w:hAnsiTheme="minorHAnsi" w:cstheme="minorHAnsi"/>
          <w:sz w:val="22"/>
          <w:szCs w:val="22"/>
          <w:u w:val="single"/>
          <w:lang w:val="fr-MA"/>
        </w:rPr>
        <w:t>Actions visant à renforcer le système de gestion environnementale et sociale</w:t>
      </w:r>
      <w:r w:rsidR="00D06CCF" w:rsidRPr="00274A1F">
        <w:rPr>
          <w:rFonts w:asciiTheme="minorHAnsi" w:hAnsiTheme="minorHAnsi" w:cstheme="minorHAnsi"/>
          <w:sz w:val="22"/>
          <w:szCs w:val="22"/>
          <w:u w:val="single"/>
          <w:lang w:val="fr-MA"/>
        </w:rPr>
        <w:t> :</w:t>
      </w:r>
    </w:p>
    <w:p w14:paraId="6471BDCB" w14:textId="023467CC" w:rsidR="00AA5A1B" w:rsidRPr="00D85E9B" w:rsidRDefault="00AA5A1B" w:rsidP="00D85E9B">
      <w:pPr>
        <w:numPr>
          <w:ilvl w:val="0"/>
          <w:numId w:val="11"/>
        </w:numPr>
        <w:autoSpaceDE w:val="0"/>
        <w:autoSpaceDN w:val="0"/>
        <w:adjustRightInd w:val="0"/>
        <w:spacing w:before="120" w:after="0" w:line="360" w:lineRule="auto"/>
        <w:contextualSpacing/>
        <w:jc w:val="both"/>
        <w:rPr>
          <w:rStyle w:val="hps"/>
        </w:rPr>
      </w:pPr>
      <w:r w:rsidRPr="00D85E9B">
        <w:rPr>
          <w:rStyle w:val="hps"/>
        </w:rPr>
        <w:t xml:space="preserve">La désignation d’un point focal environnemental et social, qui sera rattaché à l’Unité de gestion du Programme, formé sur  la gestion environnementale et sociale,  dont les missions seront d’assurer en étroite collaboration avec toutes les parties prenantes : la coordination et le suivi de la mise en œuvre des actions de renforcement des systèmes de gestion sociale et environnementale ; la collecte et la centralisation de toutes les informations relatives aux risques sociaux et environnementaux et à leurs mesures d’atténuation ; le suivi-évaluation de la mise en œuvre des mesures d’atténuations et l’intégration des données au niveau du </w:t>
      </w:r>
      <w:proofErr w:type="spellStart"/>
      <w:r w:rsidRPr="00D85E9B">
        <w:rPr>
          <w:rStyle w:val="hps"/>
        </w:rPr>
        <w:t>reporting</w:t>
      </w:r>
      <w:proofErr w:type="spellEnd"/>
      <w:r w:rsidRPr="001F6031">
        <w:rPr>
          <w:rStyle w:val="hps"/>
          <w:rFonts w:cstheme="minorHAnsi"/>
        </w:rPr>
        <w:t xml:space="preserve"> convenu entre la banque et le client (semestriel ou  </w:t>
      </w:r>
      <w:r w:rsidRPr="001C6D8C">
        <w:rPr>
          <w:rStyle w:val="hps"/>
          <w:rFonts w:cstheme="minorHAnsi"/>
        </w:rPr>
        <w:t>annuel)</w:t>
      </w:r>
      <w:r w:rsidRPr="00D85E9B">
        <w:rPr>
          <w:rStyle w:val="hps"/>
        </w:rPr>
        <w:t>;</w:t>
      </w:r>
    </w:p>
    <w:p w14:paraId="6624BF26" w14:textId="77777777" w:rsidR="00AA5A1B" w:rsidRPr="00D85E9B" w:rsidRDefault="00AA5A1B" w:rsidP="00D85E9B">
      <w:pPr>
        <w:numPr>
          <w:ilvl w:val="0"/>
          <w:numId w:val="11"/>
        </w:numPr>
        <w:autoSpaceDE w:val="0"/>
        <w:autoSpaceDN w:val="0"/>
        <w:adjustRightInd w:val="0"/>
        <w:spacing w:before="120" w:after="0" w:line="360" w:lineRule="auto"/>
        <w:contextualSpacing/>
        <w:jc w:val="both"/>
        <w:rPr>
          <w:rStyle w:val="hps"/>
        </w:rPr>
      </w:pPr>
      <w:r w:rsidRPr="00D85E9B">
        <w:rPr>
          <w:rStyle w:val="hps"/>
        </w:rPr>
        <w:t>Le Programme implique des ministères et entités publiques qui sont habitués à la gestion des doléances. En plus le MEFRA et le MI bénéficient du support de la Banque mondiale dans d’autres Programmes ; dans ce sens et avec l’implication des points focaux E&amp;S, ces systèmes vont être appuyés et renforcés pour inclure et couvrir les activités prévues dans le cadre de ce Programme.</w:t>
      </w:r>
    </w:p>
    <w:p w14:paraId="31C85E67" w14:textId="6EDA6FB4" w:rsidR="00AA5A1B" w:rsidRPr="00D85E9B" w:rsidRDefault="00AA5A1B" w:rsidP="00D85E9B">
      <w:pPr>
        <w:pStyle w:val="Paranumbering"/>
        <w:numPr>
          <w:ilvl w:val="0"/>
          <w:numId w:val="0"/>
        </w:numPr>
        <w:ind w:left="426" w:right="-23"/>
        <w:rPr>
          <w:rStyle w:val="hps"/>
          <w:color w:val="auto"/>
          <w:lang w:val="fr-FR"/>
        </w:rPr>
      </w:pPr>
    </w:p>
    <w:p w14:paraId="4CFC47DF" w14:textId="1A895F60" w:rsidR="00AA5A1B" w:rsidRPr="00D85E9B" w:rsidRDefault="00444A25" w:rsidP="00D85E9B">
      <w:pPr>
        <w:pStyle w:val="Paranumbering"/>
        <w:numPr>
          <w:ilvl w:val="0"/>
          <w:numId w:val="0"/>
        </w:numPr>
        <w:ind w:right="-23"/>
        <w:rPr>
          <w:rStyle w:val="hps"/>
          <w:rFonts w:asciiTheme="minorHAnsi" w:hAnsiTheme="minorHAnsi" w:cstheme="minorHAnsi"/>
          <w:color w:val="auto"/>
          <w:sz w:val="22"/>
          <w:szCs w:val="22"/>
          <w:u w:val="single"/>
          <w:lang w:val="fr-FR"/>
        </w:rPr>
      </w:pPr>
      <w:r w:rsidRPr="00D85E9B">
        <w:rPr>
          <w:rFonts w:asciiTheme="minorHAnsi" w:hAnsiTheme="minorHAnsi" w:cstheme="minorHAnsi"/>
          <w:sz w:val="22"/>
          <w:szCs w:val="22"/>
          <w:u w:val="single"/>
          <w:lang w:val="fr-MA"/>
        </w:rPr>
        <w:t>Actions visant à renforcer les capacités des acteurs en gestion environnementale et sociale</w:t>
      </w:r>
      <w:r w:rsidR="00D06CCF" w:rsidRPr="00274A1F">
        <w:rPr>
          <w:rFonts w:asciiTheme="minorHAnsi" w:hAnsiTheme="minorHAnsi" w:cstheme="minorHAnsi"/>
          <w:sz w:val="22"/>
          <w:szCs w:val="22"/>
          <w:u w:val="single"/>
          <w:lang w:val="fr-MA"/>
        </w:rPr>
        <w:t> :</w:t>
      </w:r>
    </w:p>
    <w:p w14:paraId="5795F31E" w14:textId="39203E91" w:rsidR="000140CE" w:rsidRPr="00D85E9B" w:rsidRDefault="009F6EC9" w:rsidP="00D85E9B">
      <w:pPr>
        <w:numPr>
          <w:ilvl w:val="0"/>
          <w:numId w:val="11"/>
        </w:numPr>
        <w:autoSpaceDE w:val="0"/>
        <w:autoSpaceDN w:val="0"/>
        <w:adjustRightInd w:val="0"/>
        <w:spacing w:before="120" w:after="0" w:line="360" w:lineRule="auto"/>
        <w:contextualSpacing/>
        <w:jc w:val="both"/>
        <w:rPr>
          <w:rStyle w:val="hps"/>
          <w:rFonts w:cstheme="minorHAnsi"/>
        </w:rPr>
      </w:pPr>
      <w:r w:rsidRPr="001F6031">
        <w:rPr>
          <w:rStyle w:val="hps"/>
          <w:rFonts w:cstheme="minorHAnsi"/>
        </w:rPr>
        <w:t>L</w:t>
      </w:r>
      <w:r w:rsidR="00032B79" w:rsidRPr="001C6D8C">
        <w:rPr>
          <w:rStyle w:val="hps"/>
          <w:rFonts w:cstheme="minorHAnsi"/>
        </w:rPr>
        <w:t xml:space="preserve">e Programme présente une opportunité pour développer et mettre en œuvre un système de gestion E&amp;S. Le montage de ce système débute par des </w:t>
      </w:r>
      <w:r w:rsidR="00421DC6" w:rsidRPr="00E404BF">
        <w:rPr>
          <w:rStyle w:val="hps"/>
          <w:rFonts w:cstheme="minorHAnsi"/>
        </w:rPr>
        <w:t>s</w:t>
      </w:r>
      <w:r w:rsidR="00032B79" w:rsidRPr="00E404BF">
        <w:rPr>
          <w:rStyle w:val="hps"/>
          <w:rFonts w:cstheme="minorHAnsi"/>
        </w:rPr>
        <w:t>essions de formation sur les outils de gestion E&amp;S adressées aux représentants des parties prenantes tel</w:t>
      </w:r>
      <w:r w:rsidR="001C4564" w:rsidRPr="00D85E9B">
        <w:rPr>
          <w:rStyle w:val="hps"/>
          <w:rFonts w:cstheme="minorHAnsi"/>
        </w:rPr>
        <w:t>s</w:t>
      </w:r>
      <w:r w:rsidR="00032B79" w:rsidRPr="00D85E9B">
        <w:rPr>
          <w:rStyle w:val="hps"/>
          <w:rFonts w:cstheme="minorHAnsi"/>
        </w:rPr>
        <w:t xml:space="preserve"> que MEFRA, </w:t>
      </w:r>
      <w:r w:rsidR="00D512B3" w:rsidRPr="00D85E9B">
        <w:rPr>
          <w:rStyle w:val="hps"/>
          <w:rFonts w:cstheme="minorHAnsi"/>
        </w:rPr>
        <w:t>MI</w:t>
      </w:r>
      <w:r w:rsidR="00032B79" w:rsidRPr="00D85E9B">
        <w:rPr>
          <w:rStyle w:val="hps"/>
          <w:rFonts w:cstheme="minorHAnsi"/>
        </w:rPr>
        <w:t xml:space="preserve"> et ADD. Ces représentants</w:t>
      </w:r>
      <w:r w:rsidR="001C4564" w:rsidRPr="00D85E9B">
        <w:rPr>
          <w:rStyle w:val="hps"/>
          <w:rFonts w:cstheme="minorHAnsi"/>
        </w:rPr>
        <w:t xml:space="preserve"> agiront comme points focaux E&amp;S et seront outillés et formés sur l’identification des </w:t>
      </w:r>
      <w:r w:rsidR="001C4564" w:rsidRPr="00D85E9B">
        <w:rPr>
          <w:rStyle w:val="hps"/>
          <w:rFonts w:cstheme="minorHAnsi"/>
        </w:rPr>
        <w:lastRenderedPageBreak/>
        <w:t xml:space="preserve">risques et impacts E&amp;S au regard de la règlementation nationale et des pratiques internationales, sur la définition, la mise en œuvre et le suivi des mesures d’atténuation ainsi que sur le </w:t>
      </w:r>
      <w:proofErr w:type="spellStart"/>
      <w:r w:rsidR="001C4564" w:rsidRPr="00D85E9B">
        <w:rPr>
          <w:rStyle w:val="hps"/>
          <w:rFonts w:cstheme="minorHAnsi"/>
        </w:rPr>
        <w:t>reporting</w:t>
      </w:r>
      <w:proofErr w:type="spellEnd"/>
      <w:r w:rsidR="001C4564" w:rsidRPr="00D85E9B">
        <w:rPr>
          <w:rStyle w:val="hps"/>
          <w:rFonts w:cstheme="minorHAnsi"/>
        </w:rPr>
        <w:t xml:space="preserve"> et l’évaluation du SGE&amp;S. </w:t>
      </w:r>
    </w:p>
    <w:bookmarkEnd w:id="158"/>
    <w:bookmarkEnd w:id="159"/>
    <w:p w14:paraId="18F199A7" w14:textId="478F8820" w:rsidR="008D79AA" w:rsidRPr="00274A1F" w:rsidRDefault="008D79AA" w:rsidP="00D85E9B">
      <w:pPr>
        <w:numPr>
          <w:ilvl w:val="0"/>
          <w:numId w:val="11"/>
        </w:numPr>
        <w:autoSpaceDE w:val="0"/>
        <w:autoSpaceDN w:val="0"/>
        <w:adjustRightInd w:val="0"/>
        <w:spacing w:before="120" w:after="0" w:line="360" w:lineRule="auto"/>
        <w:contextualSpacing/>
        <w:jc w:val="both"/>
        <w:rPr>
          <w:rStyle w:val="hps"/>
          <w:rFonts w:cstheme="minorHAnsi"/>
        </w:rPr>
      </w:pPr>
      <w:r w:rsidRPr="00D85E9B">
        <w:rPr>
          <w:rStyle w:val="hps"/>
          <w:rFonts w:cstheme="minorHAnsi"/>
        </w:rPr>
        <w:t xml:space="preserve">Le Tableau ci-dessous présente l’ensemble des éléments du Plan d’action de l’ESES qui </w:t>
      </w:r>
      <w:r w:rsidRPr="00D85E9B">
        <w:rPr>
          <w:rStyle w:val="hps"/>
          <w:rFonts w:cstheme="minorHAnsi"/>
          <w:b/>
          <w:bCs/>
        </w:rPr>
        <w:t>feront partie intégrante du Plan d’Action du Programme.</w:t>
      </w:r>
      <w:r w:rsidRPr="00D85E9B">
        <w:rPr>
          <w:rStyle w:val="hps"/>
          <w:rFonts w:cstheme="minorHAnsi"/>
        </w:rPr>
        <w:t xml:space="preserve"> Le coût de toutes les actions identifiées, concernant le volet social de l’ESES, sera intégré dans le budget global du Programme.</w:t>
      </w:r>
    </w:p>
    <w:p w14:paraId="22BA24E6" w14:textId="483C9C2A" w:rsidR="008D79AA" w:rsidRDefault="008D79AA" w:rsidP="008D79AA"/>
    <w:tbl>
      <w:tblPr>
        <w:tblStyle w:val="Grilledutableau42"/>
        <w:tblW w:w="5000" w:type="pct"/>
        <w:tblLook w:val="04A0" w:firstRow="1" w:lastRow="0" w:firstColumn="1" w:lastColumn="0" w:noHBand="0" w:noVBand="1"/>
      </w:tblPr>
      <w:tblGrid>
        <w:gridCol w:w="1801"/>
        <w:gridCol w:w="2066"/>
        <w:gridCol w:w="2204"/>
        <w:gridCol w:w="1249"/>
        <w:gridCol w:w="1742"/>
      </w:tblGrid>
      <w:tr w:rsidR="00444A25" w:rsidRPr="00846AB1" w14:paraId="600FC76C" w14:textId="77777777" w:rsidTr="0012189B">
        <w:trPr>
          <w:trHeight w:val="376"/>
        </w:trPr>
        <w:tc>
          <w:tcPr>
            <w:tcW w:w="994" w:type="pct"/>
            <w:hideMark/>
          </w:tcPr>
          <w:p w14:paraId="22D562CD" w14:textId="77777777" w:rsidR="00444A25" w:rsidRPr="00846AB1" w:rsidRDefault="00444A25" w:rsidP="0012189B">
            <w:pPr>
              <w:spacing w:line="276" w:lineRule="auto"/>
              <w:jc w:val="center"/>
              <w:rPr>
                <w:rFonts w:asciiTheme="minorHAnsi" w:hAnsiTheme="minorHAnsi" w:cstheme="minorHAnsi"/>
                <w:b/>
                <w:color w:val="000000" w:themeColor="text1"/>
                <w:sz w:val="18"/>
                <w:szCs w:val="18"/>
                <w:lang w:val="fr-FR"/>
              </w:rPr>
            </w:pPr>
            <w:r w:rsidRPr="00846AB1">
              <w:rPr>
                <w:rFonts w:asciiTheme="minorHAnsi" w:hAnsiTheme="minorHAnsi" w:cstheme="minorHAnsi"/>
                <w:b/>
                <w:color w:val="000000" w:themeColor="text1"/>
                <w:sz w:val="18"/>
                <w:szCs w:val="18"/>
                <w:lang w:val="fr-FR"/>
              </w:rPr>
              <w:t>Action</w:t>
            </w:r>
          </w:p>
        </w:tc>
        <w:tc>
          <w:tcPr>
            <w:tcW w:w="1140" w:type="pct"/>
          </w:tcPr>
          <w:p w14:paraId="6F3C0CC4" w14:textId="77777777" w:rsidR="00444A25" w:rsidRPr="00846AB1" w:rsidRDefault="00444A25" w:rsidP="0012189B">
            <w:pPr>
              <w:spacing w:line="276" w:lineRule="auto"/>
              <w:jc w:val="center"/>
              <w:rPr>
                <w:rFonts w:asciiTheme="minorHAnsi" w:hAnsiTheme="minorHAnsi" w:cstheme="minorHAnsi"/>
                <w:b/>
                <w:color w:val="000000" w:themeColor="text1"/>
                <w:sz w:val="18"/>
                <w:szCs w:val="18"/>
                <w:lang w:val="fr-FR"/>
              </w:rPr>
            </w:pPr>
            <w:r w:rsidRPr="00846AB1">
              <w:rPr>
                <w:rFonts w:asciiTheme="minorHAnsi" w:hAnsiTheme="minorHAnsi" w:cstheme="minorHAnsi"/>
                <w:b/>
                <w:color w:val="000000" w:themeColor="text1"/>
                <w:sz w:val="18"/>
                <w:szCs w:val="18"/>
                <w:lang w:val="fr-FR"/>
              </w:rPr>
              <w:t xml:space="preserve">Activités </w:t>
            </w:r>
          </w:p>
        </w:tc>
        <w:tc>
          <w:tcPr>
            <w:tcW w:w="1216" w:type="pct"/>
            <w:hideMark/>
          </w:tcPr>
          <w:p w14:paraId="6DC2A12E" w14:textId="77777777" w:rsidR="00444A25" w:rsidRPr="00846AB1" w:rsidRDefault="00444A25" w:rsidP="0012189B">
            <w:pPr>
              <w:spacing w:line="276" w:lineRule="auto"/>
              <w:jc w:val="center"/>
              <w:rPr>
                <w:rFonts w:asciiTheme="minorHAnsi" w:hAnsiTheme="minorHAnsi" w:cstheme="minorHAnsi"/>
                <w:b/>
                <w:color w:val="000000" w:themeColor="text1"/>
                <w:sz w:val="18"/>
                <w:szCs w:val="18"/>
                <w:lang w:val="fr-FR"/>
              </w:rPr>
            </w:pPr>
            <w:r w:rsidRPr="00846AB1">
              <w:rPr>
                <w:rFonts w:asciiTheme="minorHAnsi" w:hAnsiTheme="minorHAnsi" w:cstheme="minorHAnsi"/>
                <w:b/>
                <w:color w:val="000000" w:themeColor="text1"/>
                <w:sz w:val="18"/>
                <w:szCs w:val="18"/>
                <w:lang w:val="fr-FR"/>
              </w:rPr>
              <w:t>Responsables</w:t>
            </w:r>
          </w:p>
        </w:tc>
        <w:tc>
          <w:tcPr>
            <w:tcW w:w="689" w:type="pct"/>
            <w:hideMark/>
          </w:tcPr>
          <w:p w14:paraId="5EAE43CA" w14:textId="77777777" w:rsidR="00444A25" w:rsidRPr="00846AB1" w:rsidRDefault="00444A25" w:rsidP="0012189B">
            <w:pPr>
              <w:spacing w:line="276" w:lineRule="auto"/>
              <w:jc w:val="center"/>
              <w:rPr>
                <w:rFonts w:asciiTheme="minorHAnsi" w:hAnsiTheme="minorHAnsi" w:cstheme="minorHAnsi"/>
                <w:b/>
                <w:color w:val="000000" w:themeColor="text1"/>
                <w:sz w:val="18"/>
                <w:szCs w:val="18"/>
                <w:lang w:val="fr-FR"/>
              </w:rPr>
            </w:pPr>
            <w:r w:rsidRPr="00846AB1">
              <w:rPr>
                <w:rFonts w:asciiTheme="minorHAnsi" w:hAnsiTheme="minorHAnsi" w:cstheme="minorHAnsi"/>
                <w:b/>
                <w:color w:val="000000" w:themeColor="text1"/>
                <w:sz w:val="18"/>
                <w:szCs w:val="18"/>
                <w:lang w:val="fr-FR"/>
              </w:rPr>
              <w:t>Échéances</w:t>
            </w:r>
          </w:p>
        </w:tc>
        <w:tc>
          <w:tcPr>
            <w:tcW w:w="961" w:type="pct"/>
            <w:hideMark/>
          </w:tcPr>
          <w:p w14:paraId="5E6B93BE" w14:textId="77777777" w:rsidR="00444A25" w:rsidRPr="00846AB1" w:rsidRDefault="00444A25" w:rsidP="0012189B">
            <w:pPr>
              <w:spacing w:line="276" w:lineRule="auto"/>
              <w:jc w:val="center"/>
              <w:rPr>
                <w:rFonts w:asciiTheme="minorHAnsi" w:hAnsiTheme="minorHAnsi" w:cstheme="minorHAnsi"/>
                <w:b/>
                <w:color w:val="000000" w:themeColor="text1"/>
                <w:sz w:val="18"/>
                <w:szCs w:val="18"/>
                <w:lang w:val="fr-FR"/>
              </w:rPr>
            </w:pPr>
            <w:r w:rsidRPr="00846AB1">
              <w:rPr>
                <w:rFonts w:asciiTheme="minorHAnsi" w:hAnsiTheme="minorHAnsi" w:cstheme="minorHAnsi"/>
                <w:b/>
                <w:color w:val="000000" w:themeColor="text1"/>
                <w:sz w:val="18"/>
                <w:szCs w:val="18"/>
                <w:lang w:val="fr-FR"/>
              </w:rPr>
              <w:t xml:space="preserve">Mesures </w:t>
            </w:r>
            <w:r w:rsidRPr="00846AB1">
              <w:rPr>
                <w:rFonts w:asciiTheme="minorHAnsi" w:hAnsiTheme="minorHAnsi" w:cstheme="minorHAnsi"/>
                <w:color w:val="555555"/>
                <w:sz w:val="18"/>
                <w:szCs w:val="18"/>
                <w:shd w:val="clear" w:color="auto" w:fill="EEF9FA"/>
                <w:lang w:val="fr-FR"/>
              </w:rPr>
              <w:t> </w:t>
            </w:r>
          </w:p>
        </w:tc>
      </w:tr>
      <w:tr w:rsidR="00444A25" w:rsidRPr="00846AB1" w14:paraId="5311829A" w14:textId="77777777" w:rsidTr="0012189B">
        <w:tc>
          <w:tcPr>
            <w:tcW w:w="5000" w:type="pct"/>
            <w:gridSpan w:val="5"/>
            <w:shd w:val="clear" w:color="auto" w:fill="D9E2F3" w:themeFill="accent1" w:themeFillTint="33"/>
          </w:tcPr>
          <w:p w14:paraId="58626D8C" w14:textId="77777777" w:rsidR="00444A25" w:rsidRPr="00846AB1" w:rsidRDefault="00444A25" w:rsidP="0012189B">
            <w:pPr>
              <w:spacing w:line="276" w:lineRule="auto"/>
              <w:jc w:val="center"/>
              <w:rPr>
                <w:rFonts w:asciiTheme="minorHAnsi" w:hAnsiTheme="minorHAnsi" w:cstheme="minorHAnsi"/>
                <w:b/>
                <w:color w:val="000000" w:themeColor="text1"/>
                <w:sz w:val="18"/>
                <w:szCs w:val="18"/>
                <w:lang w:val="fr-FR"/>
              </w:rPr>
            </w:pPr>
            <w:r w:rsidRPr="00851CEC">
              <w:rPr>
                <w:rFonts w:asciiTheme="minorHAnsi" w:hAnsiTheme="minorHAnsi" w:cstheme="minorHAnsi"/>
                <w:b/>
                <w:color w:val="000000" w:themeColor="text1"/>
                <w:sz w:val="18"/>
                <w:szCs w:val="18"/>
                <w:lang w:val="fr-FR"/>
              </w:rPr>
              <w:t>Actions pour renforcer le système de gestion environnemental et social</w:t>
            </w:r>
          </w:p>
        </w:tc>
      </w:tr>
      <w:tr w:rsidR="00444A25" w:rsidRPr="00846AB1" w14:paraId="4F6099E1" w14:textId="77777777" w:rsidTr="0012189B">
        <w:trPr>
          <w:trHeight w:val="1048"/>
        </w:trPr>
        <w:tc>
          <w:tcPr>
            <w:tcW w:w="994" w:type="pct"/>
          </w:tcPr>
          <w:p w14:paraId="61CC399E" w14:textId="77777777" w:rsidR="00444A25" w:rsidRPr="00846AB1" w:rsidRDefault="00444A25" w:rsidP="0012189B">
            <w:pPr>
              <w:spacing w:line="276" w:lineRule="auto"/>
              <w:rPr>
                <w:rFonts w:asciiTheme="minorHAnsi" w:eastAsia="ヒラギノ角ゴ Pro W3" w:hAnsiTheme="minorHAnsi" w:cstheme="minorHAnsi"/>
                <w:color w:val="000000" w:themeColor="text1"/>
                <w:sz w:val="18"/>
                <w:szCs w:val="18"/>
                <w:lang w:val="fr-FR"/>
              </w:rPr>
            </w:pPr>
            <w:r w:rsidRPr="00846AB1">
              <w:rPr>
                <w:rFonts w:asciiTheme="minorHAnsi" w:eastAsia="ヒラギノ角ゴ Pro W3" w:hAnsiTheme="minorHAnsi" w:cstheme="minorHAnsi"/>
                <w:color w:val="000000" w:themeColor="text1"/>
                <w:sz w:val="18"/>
                <w:szCs w:val="18"/>
                <w:lang w:val="fr-FR"/>
              </w:rPr>
              <w:t>Point Focal Environnemental et social / UGP</w:t>
            </w:r>
          </w:p>
        </w:tc>
        <w:tc>
          <w:tcPr>
            <w:tcW w:w="1140" w:type="pct"/>
          </w:tcPr>
          <w:p w14:paraId="72CB3CE9" w14:textId="77777777" w:rsidR="00444A25" w:rsidRPr="00846AB1" w:rsidRDefault="00444A25" w:rsidP="0012189B">
            <w:pPr>
              <w:spacing w:line="276" w:lineRule="auto"/>
              <w:rPr>
                <w:rFonts w:asciiTheme="minorHAnsi" w:eastAsia="ヒラギノ角ゴ Pro W3" w:hAnsiTheme="minorHAnsi" w:cstheme="minorHAnsi"/>
                <w:color w:val="000000" w:themeColor="text1"/>
                <w:sz w:val="18"/>
                <w:szCs w:val="18"/>
                <w:lang w:val="fr-FR"/>
              </w:rPr>
            </w:pPr>
            <w:r w:rsidRPr="00846AB1">
              <w:rPr>
                <w:rFonts w:asciiTheme="minorHAnsi" w:hAnsiTheme="minorHAnsi" w:cstheme="minorHAnsi"/>
                <w:color w:val="000000" w:themeColor="text1"/>
                <w:sz w:val="18"/>
                <w:szCs w:val="18"/>
                <w:lang w:val="fr-FR"/>
              </w:rPr>
              <w:t xml:space="preserve">Désignation et rattachement à l’Unité de Gestion du Programme </w:t>
            </w:r>
          </w:p>
        </w:tc>
        <w:tc>
          <w:tcPr>
            <w:tcW w:w="1216" w:type="pct"/>
          </w:tcPr>
          <w:p w14:paraId="05DC9ADD" w14:textId="5AF70808" w:rsidR="00444A25" w:rsidRPr="00846AB1" w:rsidRDefault="00444A25" w:rsidP="0012189B">
            <w:pPr>
              <w:spacing w:line="276" w:lineRule="auto"/>
              <w:jc w:val="center"/>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M</w:t>
            </w:r>
            <w:r>
              <w:rPr>
                <w:rFonts w:cstheme="minorHAnsi"/>
                <w:color w:val="000000" w:themeColor="text1"/>
                <w:sz w:val="18"/>
                <w:szCs w:val="18"/>
              </w:rPr>
              <w:t>EFRA</w:t>
            </w:r>
          </w:p>
        </w:tc>
        <w:tc>
          <w:tcPr>
            <w:tcW w:w="689" w:type="pct"/>
          </w:tcPr>
          <w:p w14:paraId="7B2DC28F" w14:textId="77777777" w:rsidR="00444A25" w:rsidRPr="00846AB1" w:rsidRDefault="00444A25" w:rsidP="0012189B">
            <w:pPr>
              <w:spacing w:line="276" w:lineRule="auto"/>
              <w:rPr>
                <w:rFonts w:asciiTheme="minorHAnsi" w:hAnsiTheme="minorHAnsi" w:cstheme="minorHAnsi"/>
                <w:color w:val="000000" w:themeColor="text1"/>
                <w:sz w:val="18"/>
                <w:szCs w:val="18"/>
                <w:lang w:val="fr-FR"/>
              </w:rPr>
            </w:pPr>
            <w:r w:rsidRPr="00846AB1">
              <w:rPr>
                <w:rFonts w:asciiTheme="minorHAnsi" w:hAnsiTheme="minorHAnsi" w:cstheme="minorHAnsi"/>
                <w:color w:val="000000" w:themeColor="text1"/>
                <w:sz w:val="18"/>
                <w:szCs w:val="18"/>
                <w:lang w:val="fr-FR"/>
              </w:rPr>
              <w:t xml:space="preserve">Avant l’entrée en vigueur du Programme  </w:t>
            </w:r>
          </w:p>
        </w:tc>
        <w:tc>
          <w:tcPr>
            <w:tcW w:w="961" w:type="pct"/>
          </w:tcPr>
          <w:p w14:paraId="258DE395" w14:textId="77777777" w:rsidR="00444A25" w:rsidRPr="00846AB1" w:rsidRDefault="00444A25" w:rsidP="0012189B">
            <w:pPr>
              <w:spacing w:line="276" w:lineRule="auto"/>
              <w:rPr>
                <w:rFonts w:asciiTheme="minorHAnsi" w:hAnsiTheme="minorHAnsi" w:cstheme="minorHAnsi"/>
                <w:color w:val="000000" w:themeColor="text1"/>
                <w:sz w:val="18"/>
                <w:szCs w:val="18"/>
                <w:lang w:val="fr-FR"/>
              </w:rPr>
            </w:pPr>
            <w:r w:rsidRPr="00846AB1">
              <w:rPr>
                <w:rFonts w:asciiTheme="minorHAnsi" w:hAnsiTheme="minorHAnsi" w:cstheme="minorHAnsi"/>
                <w:color w:val="000000" w:themeColor="text1"/>
                <w:sz w:val="18"/>
                <w:szCs w:val="18"/>
                <w:lang w:val="fr-FR"/>
              </w:rPr>
              <w:t>Nomination du Point focal environnemental</w:t>
            </w:r>
            <w:r w:rsidRPr="00846AB1">
              <w:rPr>
                <w:rFonts w:asciiTheme="minorHAnsi" w:eastAsia="ヒラギノ角ゴ Pro W3" w:hAnsiTheme="minorHAnsi" w:cstheme="minorHAnsi"/>
                <w:color w:val="000000" w:themeColor="text1"/>
                <w:sz w:val="18"/>
                <w:szCs w:val="18"/>
                <w:lang w:val="fr-FR"/>
              </w:rPr>
              <w:t xml:space="preserve"> et social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066"/>
        <w:gridCol w:w="2204"/>
        <w:gridCol w:w="1249"/>
        <w:gridCol w:w="1742"/>
      </w:tblGrid>
      <w:tr w:rsidR="00444A25" w:rsidRPr="00846AB1" w14:paraId="669BFE30" w14:textId="77777777" w:rsidTr="0012189B">
        <w:trPr>
          <w:trHeight w:val="1120"/>
        </w:trPr>
        <w:tc>
          <w:tcPr>
            <w:tcW w:w="994" w:type="pct"/>
            <w:tcBorders>
              <w:left w:val="single" w:sz="4" w:space="0" w:color="auto"/>
              <w:right w:val="single" w:sz="4" w:space="0" w:color="auto"/>
            </w:tcBorders>
          </w:tcPr>
          <w:p w14:paraId="3971C785" w14:textId="77777777" w:rsidR="00444A25" w:rsidRPr="00A81F37" w:rsidRDefault="00444A25" w:rsidP="0012189B">
            <w:pPr>
              <w:spacing w:line="276" w:lineRule="auto"/>
              <w:rPr>
                <w:rFonts w:eastAsia="ヒラギノ角ゴ Pro W3" w:cstheme="minorHAnsi"/>
                <w:color w:val="000000" w:themeColor="text1"/>
                <w:sz w:val="18"/>
                <w:szCs w:val="18"/>
              </w:rPr>
            </w:pPr>
            <w:r w:rsidRPr="00A81F37">
              <w:rPr>
                <w:rFonts w:cstheme="minorHAnsi"/>
                <w:sz w:val="18"/>
                <w:szCs w:val="18"/>
              </w:rPr>
              <w:t>Mécanisme de gestion des doléances</w:t>
            </w:r>
          </w:p>
        </w:tc>
        <w:tc>
          <w:tcPr>
            <w:tcW w:w="1140" w:type="pct"/>
            <w:tcBorders>
              <w:top w:val="single" w:sz="4" w:space="0" w:color="auto"/>
              <w:left w:val="single" w:sz="4" w:space="0" w:color="auto"/>
              <w:right w:val="single" w:sz="4" w:space="0" w:color="auto"/>
            </w:tcBorders>
          </w:tcPr>
          <w:p w14:paraId="24C2A748" w14:textId="77777777" w:rsidR="00773CA6" w:rsidRDefault="00773CA6">
            <w:pPr>
              <w:widowControl w:val="0"/>
              <w:autoSpaceDE w:val="0"/>
              <w:autoSpaceDN w:val="0"/>
              <w:adjustRightInd w:val="0"/>
              <w:spacing w:after="200" w:line="276" w:lineRule="auto"/>
              <w:ind w:left="-97"/>
              <w:contextualSpacing/>
              <w:jc w:val="both"/>
              <w:textAlignment w:val="baseline"/>
              <w:rPr>
                <w:rFonts w:cstheme="minorHAnsi"/>
                <w:color w:val="000000"/>
                <w:sz w:val="18"/>
                <w:szCs w:val="18"/>
              </w:rPr>
            </w:pPr>
            <w:r>
              <w:rPr>
                <w:rFonts w:cstheme="minorHAnsi"/>
                <w:color w:val="000000"/>
                <w:sz w:val="18"/>
                <w:szCs w:val="18"/>
              </w:rPr>
              <w:t>Si les parties conviennent d’adopter un autre système autre que Chikaya.ma :</w:t>
            </w:r>
          </w:p>
          <w:p w14:paraId="632BA265" w14:textId="3CAF1B9A" w:rsidR="00444A25" w:rsidRPr="00A81F37" w:rsidRDefault="00444A25">
            <w:pPr>
              <w:widowControl w:val="0"/>
              <w:autoSpaceDE w:val="0"/>
              <w:autoSpaceDN w:val="0"/>
              <w:adjustRightInd w:val="0"/>
              <w:spacing w:after="200" w:line="276" w:lineRule="auto"/>
              <w:ind w:left="-97"/>
              <w:contextualSpacing/>
              <w:jc w:val="both"/>
              <w:textAlignment w:val="baseline"/>
              <w:rPr>
                <w:rFonts w:cstheme="minorHAnsi"/>
                <w:color w:val="000000"/>
                <w:sz w:val="18"/>
                <w:szCs w:val="18"/>
              </w:rPr>
            </w:pPr>
            <w:r>
              <w:rPr>
                <w:rFonts w:cstheme="minorHAnsi"/>
                <w:color w:val="000000"/>
                <w:sz w:val="18"/>
                <w:szCs w:val="18"/>
              </w:rPr>
              <w:t>Evaluation puis Renforcement</w:t>
            </w:r>
            <w:r w:rsidRPr="00A81F37">
              <w:rPr>
                <w:rFonts w:cstheme="minorHAnsi"/>
                <w:color w:val="000000"/>
                <w:sz w:val="18"/>
                <w:szCs w:val="18"/>
              </w:rPr>
              <w:t xml:space="preserve"> des</w:t>
            </w:r>
            <w:r>
              <w:rPr>
                <w:rFonts w:cstheme="minorHAnsi"/>
                <w:color w:val="000000"/>
                <w:sz w:val="18"/>
                <w:szCs w:val="18"/>
              </w:rPr>
              <w:t xml:space="preserve"> systèmes de</w:t>
            </w:r>
            <w:r w:rsidRPr="00A81F37">
              <w:rPr>
                <w:rFonts w:cstheme="minorHAnsi"/>
                <w:color w:val="000000"/>
                <w:sz w:val="18"/>
                <w:szCs w:val="18"/>
              </w:rPr>
              <w:t xml:space="preserve"> doléances </w:t>
            </w:r>
            <w:r>
              <w:rPr>
                <w:rFonts w:cstheme="minorHAnsi"/>
                <w:color w:val="000000"/>
                <w:sz w:val="18"/>
                <w:szCs w:val="18"/>
              </w:rPr>
              <w:t>existants ;</w:t>
            </w:r>
          </w:p>
          <w:p w14:paraId="08EC6001" w14:textId="77777777" w:rsidR="00444A25" w:rsidRDefault="00444A25" w:rsidP="0012189B">
            <w:pPr>
              <w:widowControl w:val="0"/>
              <w:autoSpaceDE w:val="0"/>
              <w:autoSpaceDN w:val="0"/>
              <w:adjustRightInd w:val="0"/>
              <w:spacing w:after="200" w:line="276" w:lineRule="auto"/>
              <w:ind w:left="-97"/>
              <w:contextualSpacing/>
              <w:jc w:val="both"/>
              <w:textAlignment w:val="baseline"/>
              <w:rPr>
                <w:rFonts w:cstheme="minorHAnsi"/>
                <w:color w:val="000000"/>
                <w:sz w:val="18"/>
                <w:szCs w:val="18"/>
              </w:rPr>
            </w:pPr>
          </w:p>
          <w:p w14:paraId="1C01F7CD" w14:textId="16D5CDA2" w:rsidR="00444A25" w:rsidRPr="00A81F37" w:rsidRDefault="00444A25" w:rsidP="0012189B">
            <w:pPr>
              <w:widowControl w:val="0"/>
              <w:autoSpaceDE w:val="0"/>
              <w:autoSpaceDN w:val="0"/>
              <w:adjustRightInd w:val="0"/>
              <w:spacing w:after="200" w:line="276" w:lineRule="auto"/>
              <w:ind w:left="-97"/>
              <w:contextualSpacing/>
              <w:jc w:val="both"/>
              <w:textAlignment w:val="baseline"/>
              <w:rPr>
                <w:rFonts w:cstheme="minorHAnsi"/>
                <w:color w:val="000000" w:themeColor="text1"/>
                <w:sz w:val="18"/>
                <w:szCs w:val="18"/>
              </w:rPr>
            </w:pPr>
          </w:p>
        </w:tc>
        <w:tc>
          <w:tcPr>
            <w:tcW w:w="1216" w:type="pct"/>
            <w:tcBorders>
              <w:top w:val="single" w:sz="4" w:space="0" w:color="auto"/>
              <w:left w:val="single" w:sz="4" w:space="0" w:color="auto"/>
              <w:right w:val="single" w:sz="4" w:space="0" w:color="auto"/>
            </w:tcBorders>
          </w:tcPr>
          <w:p w14:paraId="128C37A9" w14:textId="58FD59A9" w:rsidR="00444A25" w:rsidRPr="00A81F37" w:rsidRDefault="00444A25" w:rsidP="0012189B">
            <w:pPr>
              <w:spacing w:line="276" w:lineRule="auto"/>
              <w:jc w:val="center"/>
              <w:rPr>
                <w:rFonts w:cstheme="minorHAnsi"/>
                <w:sz w:val="18"/>
                <w:szCs w:val="18"/>
                <w:lang w:val="en-US"/>
              </w:rPr>
            </w:pPr>
            <w:r w:rsidRPr="00D06CCF">
              <w:rPr>
                <w:rFonts w:cstheme="minorHAnsi"/>
                <w:color w:val="000000" w:themeColor="text1"/>
                <w:sz w:val="18"/>
                <w:szCs w:val="18"/>
                <w:lang w:val="en-US"/>
              </w:rPr>
              <w:t>MEFRA</w:t>
            </w:r>
            <w:r w:rsidRPr="00A81F37">
              <w:rPr>
                <w:rFonts w:cstheme="minorHAnsi"/>
                <w:sz w:val="18"/>
                <w:szCs w:val="18"/>
                <w:lang w:val="en-US"/>
              </w:rPr>
              <w:t xml:space="preserve"> /Point focal E&amp;S</w:t>
            </w:r>
          </w:p>
          <w:p w14:paraId="28400D1C" w14:textId="77777777" w:rsidR="00444A25" w:rsidRPr="00A81F37" w:rsidRDefault="00444A25" w:rsidP="0012189B">
            <w:pPr>
              <w:spacing w:line="276" w:lineRule="auto"/>
              <w:jc w:val="center"/>
              <w:rPr>
                <w:rFonts w:cstheme="minorHAnsi"/>
                <w:color w:val="000000" w:themeColor="text1"/>
                <w:sz w:val="18"/>
                <w:szCs w:val="18"/>
                <w:lang w:val="en-US"/>
              </w:rPr>
            </w:pPr>
          </w:p>
        </w:tc>
        <w:tc>
          <w:tcPr>
            <w:tcW w:w="689" w:type="pct"/>
            <w:tcBorders>
              <w:top w:val="single" w:sz="4" w:space="0" w:color="auto"/>
              <w:left w:val="single" w:sz="4" w:space="0" w:color="auto"/>
              <w:right w:val="single" w:sz="4" w:space="0" w:color="auto"/>
            </w:tcBorders>
          </w:tcPr>
          <w:p w14:paraId="3C43C649" w14:textId="77777777" w:rsidR="00444A25" w:rsidRPr="00A81F37" w:rsidRDefault="00444A25" w:rsidP="0012189B">
            <w:pPr>
              <w:spacing w:line="276" w:lineRule="auto"/>
              <w:rPr>
                <w:rFonts w:cstheme="minorHAnsi"/>
                <w:color w:val="000000" w:themeColor="text1"/>
                <w:sz w:val="18"/>
                <w:szCs w:val="18"/>
              </w:rPr>
            </w:pPr>
            <w:r w:rsidRPr="00A81F37">
              <w:rPr>
                <w:rFonts w:cstheme="minorHAnsi"/>
                <w:sz w:val="18"/>
                <w:szCs w:val="18"/>
              </w:rPr>
              <w:t>Durant la 1</w:t>
            </w:r>
            <w:r w:rsidRPr="00A81F37">
              <w:rPr>
                <w:rFonts w:cstheme="minorHAnsi"/>
                <w:sz w:val="18"/>
                <w:szCs w:val="18"/>
                <w:vertAlign w:val="superscript"/>
              </w:rPr>
              <w:t xml:space="preserve">ere </w:t>
            </w:r>
            <w:r w:rsidRPr="00A81F37">
              <w:rPr>
                <w:rFonts w:cstheme="minorHAnsi"/>
                <w:sz w:val="18"/>
                <w:szCs w:val="18"/>
              </w:rPr>
              <w:t>année de l’entrée en vigueur du Programme</w:t>
            </w:r>
          </w:p>
        </w:tc>
        <w:tc>
          <w:tcPr>
            <w:tcW w:w="961" w:type="pct"/>
            <w:tcBorders>
              <w:left w:val="single" w:sz="4" w:space="0" w:color="auto"/>
              <w:right w:val="single" w:sz="4" w:space="0" w:color="auto"/>
            </w:tcBorders>
          </w:tcPr>
          <w:p w14:paraId="0EA6FC8D" w14:textId="77777777" w:rsidR="005314F1" w:rsidRDefault="00444A25" w:rsidP="0012189B">
            <w:pPr>
              <w:widowControl w:val="0"/>
              <w:autoSpaceDE w:val="0"/>
              <w:autoSpaceDN w:val="0"/>
              <w:adjustRightInd w:val="0"/>
              <w:spacing w:after="200" w:line="276" w:lineRule="auto"/>
              <w:contextualSpacing/>
              <w:jc w:val="both"/>
              <w:textAlignment w:val="baseline"/>
              <w:rPr>
                <w:color w:val="000000"/>
                <w:sz w:val="18"/>
                <w:szCs w:val="18"/>
              </w:rPr>
            </w:pPr>
            <w:r>
              <w:rPr>
                <w:rFonts w:cstheme="minorHAnsi"/>
                <w:color w:val="000000"/>
                <w:sz w:val="18"/>
                <w:szCs w:val="18"/>
              </w:rPr>
              <w:t>-évaluation</w:t>
            </w:r>
            <w:r w:rsidR="005314F1">
              <w:rPr>
                <w:rFonts w:cstheme="minorHAnsi"/>
                <w:color w:val="000000"/>
                <w:sz w:val="18"/>
                <w:szCs w:val="18"/>
              </w:rPr>
              <w:t xml:space="preserve"> </w:t>
            </w:r>
            <w:r w:rsidR="005314F1">
              <w:rPr>
                <w:color w:val="000000"/>
                <w:sz w:val="18"/>
                <w:szCs w:val="18"/>
              </w:rPr>
              <w:t>de l’existant</w:t>
            </w:r>
          </w:p>
          <w:p w14:paraId="0E677B60" w14:textId="645F46E1" w:rsidR="00444A25" w:rsidRPr="00A81F37" w:rsidRDefault="00444A25" w:rsidP="0012189B">
            <w:pPr>
              <w:widowControl w:val="0"/>
              <w:autoSpaceDE w:val="0"/>
              <w:autoSpaceDN w:val="0"/>
              <w:adjustRightInd w:val="0"/>
              <w:spacing w:after="200" w:line="276" w:lineRule="auto"/>
              <w:contextualSpacing/>
              <w:jc w:val="both"/>
              <w:textAlignment w:val="baseline"/>
              <w:rPr>
                <w:rFonts w:cstheme="minorHAnsi"/>
                <w:color w:val="000000"/>
                <w:sz w:val="18"/>
                <w:szCs w:val="18"/>
              </w:rPr>
            </w:pPr>
            <w:r>
              <w:rPr>
                <w:rFonts w:cstheme="minorHAnsi"/>
                <w:color w:val="000000"/>
                <w:sz w:val="18"/>
                <w:szCs w:val="18"/>
              </w:rPr>
              <w:t>-</w:t>
            </w:r>
            <w:r w:rsidRPr="00A81F37">
              <w:rPr>
                <w:rFonts w:cstheme="minorHAnsi"/>
                <w:color w:val="000000"/>
                <w:sz w:val="18"/>
                <w:szCs w:val="18"/>
              </w:rPr>
              <w:t>Nombre de parties prenantes adoptant le système ;</w:t>
            </w:r>
          </w:p>
          <w:p w14:paraId="32F4C01B" w14:textId="362F0D97" w:rsidR="00444A25" w:rsidRPr="00A81F37" w:rsidRDefault="00444A25" w:rsidP="0012189B">
            <w:pPr>
              <w:widowControl w:val="0"/>
              <w:autoSpaceDE w:val="0"/>
              <w:autoSpaceDN w:val="0"/>
              <w:adjustRightInd w:val="0"/>
              <w:spacing w:after="200" w:line="276" w:lineRule="auto"/>
              <w:contextualSpacing/>
              <w:jc w:val="both"/>
              <w:textAlignment w:val="baseline"/>
              <w:rPr>
                <w:rFonts w:cstheme="minorHAnsi"/>
                <w:color w:val="000000"/>
                <w:sz w:val="18"/>
                <w:szCs w:val="18"/>
              </w:rPr>
            </w:pPr>
            <w:r>
              <w:rPr>
                <w:rFonts w:cstheme="minorHAnsi"/>
                <w:color w:val="000000"/>
                <w:sz w:val="18"/>
                <w:szCs w:val="18"/>
              </w:rPr>
              <w:t>-</w:t>
            </w:r>
            <w:r w:rsidRPr="00A81F37">
              <w:rPr>
                <w:rFonts w:cstheme="minorHAnsi"/>
                <w:color w:val="000000"/>
                <w:sz w:val="18"/>
                <w:szCs w:val="18"/>
              </w:rPr>
              <w:t xml:space="preserve">Modèle de </w:t>
            </w:r>
            <w:proofErr w:type="spellStart"/>
            <w:r w:rsidRPr="00A81F37">
              <w:rPr>
                <w:rFonts w:cstheme="minorHAnsi"/>
                <w:color w:val="000000"/>
                <w:sz w:val="18"/>
                <w:szCs w:val="18"/>
              </w:rPr>
              <w:t>reporting</w:t>
            </w:r>
            <w:proofErr w:type="spellEnd"/>
            <w:r w:rsidRPr="00A81F37">
              <w:rPr>
                <w:rFonts w:cstheme="minorHAnsi"/>
                <w:color w:val="000000"/>
                <w:sz w:val="18"/>
                <w:szCs w:val="18"/>
              </w:rPr>
              <w:t xml:space="preserve"> soumis et approuvé par la Banque Mondiale</w:t>
            </w:r>
          </w:p>
          <w:p w14:paraId="727AA86B" w14:textId="77777777" w:rsidR="00444A25" w:rsidRPr="00A81F37" w:rsidRDefault="00444A25" w:rsidP="0012189B">
            <w:pPr>
              <w:spacing w:line="276" w:lineRule="auto"/>
              <w:rPr>
                <w:rFonts w:cstheme="minorHAnsi"/>
                <w:color w:val="000000" w:themeColor="text1"/>
                <w:sz w:val="18"/>
                <w:szCs w:val="18"/>
              </w:rPr>
            </w:pPr>
          </w:p>
        </w:tc>
      </w:tr>
    </w:tbl>
    <w:tbl>
      <w:tblPr>
        <w:tblStyle w:val="Grilledutableau42"/>
        <w:tblW w:w="5000" w:type="pct"/>
        <w:tblLook w:val="04A0" w:firstRow="1" w:lastRow="0" w:firstColumn="1" w:lastColumn="0" w:noHBand="0" w:noVBand="1"/>
      </w:tblPr>
      <w:tblGrid>
        <w:gridCol w:w="9062"/>
      </w:tblGrid>
      <w:tr w:rsidR="00444A25" w:rsidRPr="00846AB1" w14:paraId="5C73838E" w14:textId="77777777" w:rsidTr="0012189B">
        <w:trPr>
          <w:trHeight w:val="354"/>
        </w:trPr>
        <w:tc>
          <w:tcPr>
            <w:tcW w:w="5000" w:type="pct"/>
            <w:shd w:val="clear" w:color="auto" w:fill="D9E2F3" w:themeFill="accent1" w:themeFillTint="33"/>
          </w:tcPr>
          <w:p w14:paraId="038690F4" w14:textId="77777777" w:rsidR="00444A25" w:rsidRPr="00846AB1" w:rsidRDefault="00444A25" w:rsidP="0012189B">
            <w:pPr>
              <w:spacing w:before="100" w:beforeAutospacing="1" w:after="100" w:afterAutospacing="1"/>
              <w:ind w:left="250"/>
              <w:jc w:val="center"/>
              <w:rPr>
                <w:rFonts w:asciiTheme="minorHAnsi" w:hAnsiTheme="minorHAnsi" w:cstheme="minorHAnsi"/>
                <w:b/>
                <w:bCs/>
                <w:sz w:val="18"/>
                <w:szCs w:val="18"/>
                <w:lang w:val="fr-FR"/>
              </w:rPr>
            </w:pPr>
            <w:r w:rsidRPr="00846AB1">
              <w:rPr>
                <w:rFonts w:asciiTheme="minorHAnsi" w:hAnsiTheme="minorHAnsi" w:cstheme="minorHAnsi"/>
                <w:b/>
                <w:bCs/>
                <w:sz w:val="18"/>
                <w:szCs w:val="18"/>
                <w:lang w:val="fr-FR"/>
              </w:rPr>
              <w:t>Mesures visant à renforcer les capacités et le suivi évaluation/monitoring en gestion environnementale et sociale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066"/>
        <w:gridCol w:w="2204"/>
        <w:gridCol w:w="1249"/>
        <w:gridCol w:w="1742"/>
      </w:tblGrid>
      <w:tr w:rsidR="00D06CCF" w:rsidRPr="0044651F" w14:paraId="2624BC50" w14:textId="77777777" w:rsidTr="0012189B">
        <w:trPr>
          <w:trHeight w:val="2056"/>
        </w:trPr>
        <w:tc>
          <w:tcPr>
            <w:tcW w:w="994" w:type="pct"/>
            <w:tcBorders>
              <w:left w:val="single" w:sz="4" w:space="0" w:color="auto"/>
              <w:right w:val="single" w:sz="4" w:space="0" w:color="auto"/>
            </w:tcBorders>
            <w:shd w:val="clear" w:color="auto" w:fill="auto"/>
          </w:tcPr>
          <w:p w14:paraId="568AD126" w14:textId="77777777" w:rsidR="00D06CCF" w:rsidRPr="0044651F" w:rsidRDefault="00D06CCF" w:rsidP="0012189B">
            <w:pPr>
              <w:spacing w:line="276" w:lineRule="auto"/>
              <w:rPr>
                <w:rFonts w:cstheme="minorHAnsi"/>
                <w:b/>
                <w:bCs/>
                <w:sz w:val="18"/>
                <w:szCs w:val="18"/>
              </w:rPr>
            </w:pPr>
            <w:r w:rsidRPr="0044651F">
              <w:rPr>
                <w:rFonts w:cstheme="minorHAnsi"/>
                <w:bCs/>
                <w:sz w:val="18"/>
                <w:szCs w:val="18"/>
              </w:rPr>
              <w:t xml:space="preserve">Renforcement des capacités des parties prenantes concernées </w:t>
            </w:r>
          </w:p>
          <w:p w14:paraId="26869498" w14:textId="77777777" w:rsidR="00D06CCF" w:rsidRPr="0044651F" w:rsidRDefault="00D06CCF" w:rsidP="0012189B">
            <w:pPr>
              <w:spacing w:line="276" w:lineRule="auto"/>
              <w:rPr>
                <w:rFonts w:cstheme="minorHAnsi"/>
                <w:b/>
                <w:bCs/>
                <w:sz w:val="18"/>
                <w:szCs w:val="18"/>
              </w:rPr>
            </w:pPr>
          </w:p>
        </w:tc>
        <w:tc>
          <w:tcPr>
            <w:tcW w:w="1140" w:type="pct"/>
            <w:tcBorders>
              <w:left w:val="single" w:sz="4" w:space="0" w:color="auto"/>
              <w:right w:val="single" w:sz="4" w:space="0" w:color="auto"/>
            </w:tcBorders>
            <w:shd w:val="clear" w:color="auto" w:fill="auto"/>
          </w:tcPr>
          <w:p w14:paraId="13FF5361" w14:textId="77777777" w:rsidR="00D06CCF" w:rsidRPr="0044651F" w:rsidRDefault="00D06CCF" w:rsidP="0012189B">
            <w:pPr>
              <w:rPr>
                <w:rFonts w:cstheme="minorHAnsi"/>
                <w:color w:val="000000" w:themeColor="text1"/>
                <w:sz w:val="18"/>
                <w:szCs w:val="18"/>
              </w:rPr>
            </w:pPr>
            <w:r w:rsidRPr="0044651F">
              <w:rPr>
                <w:rFonts w:cstheme="minorHAnsi"/>
                <w:color w:val="000000" w:themeColor="text1"/>
                <w:sz w:val="18"/>
                <w:szCs w:val="18"/>
              </w:rPr>
              <w:t xml:space="preserve">Développement du module de formation sur la gestion environnementale et sociale comprenant les outils de suivi </w:t>
            </w:r>
          </w:p>
          <w:p w14:paraId="452E60A4" w14:textId="77777777" w:rsidR="00D06CCF" w:rsidRPr="0044651F" w:rsidRDefault="00D06CCF" w:rsidP="0012189B">
            <w:pPr>
              <w:rPr>
                <w:rFonts w:cstheme="minorHAnsi"/>
                <w:color w:val="000000" w:themeColor="text1"/>
                <w:sz w:val="18"/>
                <w:szCs w:val="18"/>
              </w:rPr>
            </w:pPr>
          </w:p>
          <w:p w14:paraId="1F3E5A75" w14:textId="77777777" w:rsidR="00D06CCF" w:rsidRPr="0044651F" w:rsidRDefault="00D06CCF" w:rsidP="0012189B">
            <w:pPr>
              <w:rPr>
                <w:rFonts w:cstheme="minorHAnsi"/>
                <w:b/>
                <w:bCs/>
                <w:sz w:val="18"/>
                <w:szCs w:val="18"/>
              </w:rPr>
            </w:pPr>
            <w:r w:rsidRPr="0044651F">
              <w:rPr>
                <w:rFonts w:cstheme="minorHAnsi"/>
                <w:color w:val="000000" w:themeColor="text1"/>
                <w:sz w:val="18"/>
                <w:szCs w:val="18"/>
              </w:rPr>
              <w:t>Organisation de sessions de formation  </w:t>
            </w:r>
          </w:p>
        </w:tc>
        <w:tc>
          <w:tcPr>
            <w:tcW w:w="1216" w:type="pct"/>
            <w:tcBorders>
              <w:left w:val="single" w:sz="4" w:space="0" w:color="auto"/>
              <w:right w:val="single" w:sz="4" w:space="0" w:color="auto"/>
            </w:tcBorders>
            <w:shd w:val="clear" w:color="auto" w:fill="auto"/>
          </w:tcPr>
          <w:p w14:paraId="3620FD0B" w14:textId="77777777" w:rsidR="00D06CCF" w:rsidRPr="0044651F" w:rsidRDefault="00D06CCF" w:rsidP="0012189B">
            <w:pPr>
              <w:spacing w:line="276" w:lineRule="auto"/>
              <w:jc w:val="center"/>
              <w:rPr>
                <w:rFonts w:cstheme="minorHAnsi"/>
                <w:color w:val="000000" w:themeColor="text1"/>
                <w:sz w:val="18"/>
                <w:szCs w:val="18"/>
              </w:rPr>
            </w:pPr>
          </w:p>
          <w:p w14:paraId="2A984DDD" w14:textId="77777777" w:rsidR="00D06CCF" w:rsidRPr="0044651F" w:rsidRDefault="00D06CCF" w:rsidP="0012189B">
            <w:pPr>
              <w:spacing w:line="276" w:lineRule="auto"/>
              <w:jc w:val="center"/>
              <w:rPr>
                <w:rFonts w:cstheme="minorHAnsi"/>
                <w:b/>
                <w:color w:val="000000" w:themeColor="text1"/>
                <w:sz w:val="18"/>
                <w:szCs w:val="18"/>
              </w:rPr>
            </w:pPr>
          </w:p>
          <w:p w14:paraId="0A1FAECA" w14:textId="77777777" w:rsidR="00D06CCF" w:rsidRPr="0044651F" w:rsidRDefault="00D06CCF" w:rsidP="0012189B">
            <w:pPr>
              <w:spacing w:line="276" w:lineRule="auto"/>
              <w:jc w:val="center"/>
              <w:rPr>
                <w:rFonts w:cstheme="minorHAnsi"/>
                <w:b/>
                <w:color w:val="000000" w:themeColor="text1"/>
                <w:sz w:val="18"/>
                <w:szCs w:val="18"/>
              </w:rPr>
            </w:pPr>
          </w:p>
          <w:p w14:paraId="7C812291" w14:textId="77777777" w:rsidR="00D06CCF" w:rsidRPr="0044651F" w:rsidRDefault="00D06CCF" w:rsidP="0012189B">
            <w:pPr>
              <w:spacing w:line="276" w:lineRule="auto"/>
              <w:jc w:val="center"/>
              <w:rPr>
                <w:rFonts w:cstheme="minorHAnsi"/>
                <w:b/>
                <w:color w:val="000000" w:themeColor="text1"/>
                <w:sz w:val="18"/>
                <w:szCs w:val="18"/>
              </w:rPr>
            </w:pPr>
          </w:p>
          <w:p w14:paraId="13E2EDB1" w14:textId="561E3CFD" w:rsidR="00D06CCF" w:rsidRPr="0044651F" w:rsidRDefault="00D06CCF" w:rsidP="0012189B">
            <w:pPr>
              <w:spacing w:line="276" w:lineRule="auto"/>
              <w:jc w:val="center"/>
              <w:rPr>
                <w:rFonts w:cstheme="minorHAnsi"/>
                <w:sz w:val="18"/>
                <w:szCs w:val="18"/>
              </w:rPr>
            </w:pPr>
            <w:r>
              <w:rPr>
                <w:rFonts w:cstheme="minorHAnsi"/>
                <w:sz w:val="18"/>
                <w:szCs w:val="18"/>
              </w:rPr>
              <w:t>MEFRA</w:t>
            </w:r>
          </w:p>
        </w:tc>
        <w:tc>
          <w:tcPr>
            <w:tcW w:w="689" w:type="pct"/>
            <w:tcBorders>
              <w:left w:val="single" w:sz="4" w:space="0" w:color="auto"/>
              <w:right w:val="single" w:sz="4" w:space="0" w:color="auto"/>
            </w:tcBorders>
            <w:shd w:val="clear" w:color="auto" w:fill="auto"/>
          </w:tcPr>
          <w:p w14:paraId="03C56464" w14:textId="77777777" w:rsidR="00D06CCF" w:rsidRPr="0044651F" w:rsidRDefault="00D06CCF" w:rsidP="0012189B">
            <w:pPr>
              <w:spacing w:line="276" w:lineRule="auto"/>
              <w:rPr>
                <w:rFonts w:cstheme="minorHAnsi"/>
                <w:color w:val="000000" w:themeColor="text1"/>
                <w:sz w:val="18"/>
                <w:szCs w:val="18"/>
              </w:rPr>
            </w:pPr>
            <w:r w:rsidRPr="0044651F">
              <w:rPr>
                <w:rFonts w:cstheme="minorHAnsi"/>
                <w:color w:val="000000" w:themeColor="text1"/>
                <w:sz w:val="18"/>
                <w:szCs w:val="18"/>
              </w:rPr>
              <w:t>1</w:t>
            </w:r>
            <w:r w:rsidRPr="0044651F">
              <w:rPr>
                <w:rFonts w:cstheme="minorHAnsi"/>
                <w:color w:val="000000" w:themeColor="text1"/>
                <w:sz w:val="18"/>
                <w:szCs w:val="18"/>
                <w:vertAlign w:val="superscript"/>
              </w:rPr>
              <w:t>er</w:t>
            </w:r>
            <w:r w:rsidRPr="0044651F">
              <w:rPr>
                <w:rFonts w:cstheme="minorHAnsi"/>
                <w:color w:val="000000" w:themeColor="text1"/>
                <w:sz w:val="18"/>
                <w:szCs w:val="18"/>
              </w:rPr>
              <w:t xml:space="preserve"> trimestre de mise en œuvre du Programme</w:t>
            </w:r>
          </w:p>
          <w:p w14:paraId="46A8FB13" w14:textId="77777777" w:rsidR="00D06CCF" w:rsidRPr="0044651F" w:rsidRDefault="00D06CCF" w:rsidP="0012189B">
            <w:pPr>
              <w:spacing w:line="276" w:lineRule="auto"/>
              <w:rPr>
                <w:rFonts w:cstheme="minorHAnsi"/>
                <w:color w:val="000000" w:themeColor="text1"/>
                <w:sz w:val="18"/>
                <w:szCs w:val="18"/>
              </w:rPr>
            </w:pPr>
          </w:p>
          <w:p w14:paraId="5BB4E693" w14:textId="77777777" w:rsidR="00D06CCF" w:rsidRPr="0044651F" w:rsidRDefault="00D06CCF" w:rsidP="0012189B">
            <w:pPr>
              <w:spacing w:line="276" w:lineRule="auto"/>
              <w:rPr>
                <w:rFonts w:cstheme="minorHAnsi"/>
                <w:color w:val="000000" w:themeColor="text1"/>
                <w:sz w:val="18"/>
                <w:szCs w:val="18"/>
              </w:rPr>
            </w:pPr>
          </w:p>
          <w:p w14:paraId="45FE6F51" w14:textId="77777777" w:rsidR="00D06CCF" w:rsidRPr="0044651F" w:rsidRDefault="00D06CCF" w:rsidP="0012189B">
            <w:pPr>
              <w:spacing w:line="276" w:lineRule="auto"/>
              <w:rPr>
                <w:rFonts w:cstheme="minorHAnsi"/>
                <w:b/>
                <w:bCs/>
                <w:sz w:val="18"/>
                <w:szCs w:val="18"/>
              </w:rPr>
            </w:pPr>
            <w:r w:rsidRPr="0044651F">
              <w:rPr>
                <w:rFonts w:cstheme="minorHAnsi"/>
                <w:color w:val="000000" w:themeColor="text1"/>
                <w:sz w:val="18"/>
                <w:szCs w:val="18"/>
              </w:rPr>
              <w:t>A partir du 1</w:t>
            </w:r>
            <w:r w:rsidRPr="0044651F">
              <w:rPr>
                <w:rFonts w:cstheme="minorHAnsi"/>
                <w:color w:val="000000" w:themeColor="text1"/>
                <w:sz w:val="18"/>
                <w:szCs w:val="18"/>
                <w:vertAlign w:val="superscript"/>
              </w:rPr>
              <w:t xml:space="preserve">ier </w:t>
            </w:r>
            <w:r w:rsidRPr="0044651F">
              <w:rPr>
                <w:rFonts w:cstheme="minorHAnsi"/>
                <w:color w:val="000000" w:themeColor="text1"/>
                <w:sz w:val="18"/>
                <w:szCs w:val="18"/>
              </w:rPr>
              <w:t>semestre de la mise en œuvre du Programme</w:t>
            </w:r>
          </w:p>
        </w:tc>
        <w:tc>
          <w:tcPr>
            <w:tcW w:w="961" w:type="pct"/>
            <w:tcBorders>
              <w:left w:val="single" w:sz="4" w:space="0" w:color="auto"/>
              <w:right w:val="single" w:sz="4" w:space="0" w:color="auto"/>
            </w:tcBorders>
            <w:shd w:val="clear" w:color="auto" w:fill="auto"/>
          </w:tcPr>
          <w:p w14:paraId="4D014F11" w14:textId="77777777" w:rsidR="00D06CCF" w:rsidRPr="0044651F" w:rsidRDefault="00D06CCF" w:rsidP="0012189B">
            <w:pPr>
              <w:spacing w:before="100" w:beforeAutospacing="1" w:after="100" w:afterAutospacing="1"/>
              <w:rPr>
                <w:rFonts w:cstheme="minorHAnsi"/>
                <w:sz w:val="18"/>
                <w:szCs w:val="18"/>
              </w:rPr>
            </w:pPr>
            <w:r w:rsidRPr="0044651F">
              <w:rPr>
                <w:rFonts w:cstheme="minorHAnsi"/>
                <w:sz w:val="18"/>
                <w:szCs w:val="18"/>
              </w:rPr>
              <w:t>Module de formation développé</w:t>
            </w:r>
          </w:p>
          <w:p w14:paraId="46431472" w14:textId="77777777" w:rsidR="00D06CCF" w:rsidRPr="0044651F" w:rsidRDefault="00D06CCF" w:rsidP="0012189B">
            <w:pPr>
              <w:spacing w:before="100" w:beforeAutospacing="1" w:after="100" w:afterAutospacing="1"/>
              <w:rPr>
                <w:rFonts w:cstheme="minorHAnsi"/>
                <w:sz w:val="18"/>
                <w:szCs w:val="18"/>
              </w:rPr>
            </w:pPr>
          </w:p>
          <w:p w14:paraId="43825DC6" w14:textId="77777777" w:rsidR="00D06CCF" w:rsidRDefault="00D06CCF" w:rsidP="0012189B">
            <w:pPr>
              <w:spacing w:before="100" w:beforeAutospacing="1" w:after="100" w:afterAutospacing="1"/>
              <w:rPr>
                <w:rFonts w:cstheme="minorHAnsi"/>
                <w:sz w:val="18"/>
                <w:szCs w:val="18"/>
              </w:rPr>
            </w:pPr>
          </w:p>
          <w:p w14:paraId="16742804" w14:textId="448F2B71" w:rsidR="00D06CCF" w:rsidRPr="0044651F" w:rsidRDefault="00D06CCF" w:rsidP="0012189B">
            <w:pPr>
              <w:spacing w:before="100" w:beforeAutospacing="1" w:after="100" w:afterAutospacing="1"/>
              <w:rPr>
                <w:rFonts w:cstheme="minorHAnsi"/>
                <w:sz w:val="18"/>
                <w:szCs w:val="18"/>
              </w:rPr>
            </w:pPr>
            <w:r w:rsidRPr="0044651F">
              <w:rPr>
                <w:rFonts w:cstheme="minorHAnsi"/>
                <w:sz w:val="18"/>
                <w:szCs w:val="18"/>
              </w:rPr>
              <w:t>Plan de formation</w:t>
            </w:r>
          </w:p>
          <w:p w14:paraId="012FE9B0" w14:textId="77777777" w:rsidR="00D06CCF" w:rsidRPr="0044651F" w:rsidRDefault="00D06CCF" w:rsidP="0012189B">
            <w:pPr>
              <w:spacing w:before="100" w:beforeAutospacing="1" w:after="100" w:afterAutospacing="1"/>
              <w:rPr>
                <w:rFonts w:cstheme="minorHAnsi"/>
                <w:sz w:val="18"/>
                <w:szCs w:val="18"/>
              </w:rPr>
            </w:pPr>
            <w:r w:rsidRPr="0044651F">
              <w:rPr>
                <w:rFonts w:cstheme="minorHAnsi"/>
                <w:sz w:val="18"/>
                <w:szCs w:val="18"/>
              </w:rPr>
              <w:t>Rapports sur les formations réalisées</w:t>
            </w:r>
          </w:p>
        </w:tc>
      </w:tr>
    </w:tbl>
    <w:p w14:paraId="583FCE2C" w14:textId="77777777" w:rsidR="00444A25" w:rsidRPr="003A404D" w:rsidRDefault="00444A25" w:rsidP="008D79AA"/>
    <w:p w14:paraId="12CA2FA3" w14:textId="51BCE45A" w:rsidR="002476A5" w:rsidRDefault="002476A5" w:rsidP="00382D65">
      <w:pPr>
        <w:widowControl w:val="0"/>
        <w:adjustRightInd w:val="0"/>
        <w:spacing w:before="120" w:after="120" w:line="360" w:lineRule="atLeast"/>
        <w:ind w:left="360" w:hanging="360"/>
        <w:jc w:val="both"/>
        <w:textAlignment w:val="baseline"/>
      </w:pPr>
    </w:p>
    <w:bookmarkEnd w:id="0"/>
    <w:p w14:paraId="1207B807" w14:textId="380EBA44" w:rsidR="00C709C0" w:rsidRPr="003770FF" w:rsidRDefault="00C709C0" w:rsidP="003770FF"/>
    <w:sectPr w:rsidR="00C709C0" w:rsidRPr="003770FF" w:rsidSect="00193602">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0961E" w14:textId="77777777" w:rsidR="00D9010D" w:rsidRDefault="00D9010D" w:rsidP="00610DC6">
      <w:pPr>
        <w:spacing w:after="0" w:line="240" w:lineRule="auto"/>
      </w:pPr>
      <w:r>
        <w:separator/>
      </w:r>
    </w:p>
  </w:endnote>
  <w:endnote w:type="continuationSeparator" w:id="0">
    <w:p w14:paraId="2B4D4AE3" w14:textId="77777777" w:rsidR="00D9010D" w:rsidRDefault="00D9010D" w:rsidP="0061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00000000"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deal Sans">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E770E" w14:textId="77777777" w:rsidR="00066405" w:rsidRDefault="00066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ndara" w:hAnsi="Candara"/>
        <w:sz w:val="20"/>
        <w:szCs w:val="20"/>
      </w:rPr>
      <w:id w:val="-2072180121"/>
      <w:docPartObj>
        <w:docPartGallery w:val="Page Numbers (Bottom of Page)"/>
        <w:docPartUnique/>
      </w:docPartObj>
    </w:sdtPr>
    <w:sdtEndPr>
      <w:rPr>
        <w:noProof/>
      </w:rPr>
    </w:sdtEndPr>
    <w:sdtContent>
      <w:p w14:paraId="0C54BEFB" w14:textId="75DA1A87" w:rsidR="00066405" w:rsidRPr="00D85E9B" w:rsidRDefault="00066405">
        <w:pPr>
          <w:pStyle w:val="Footer"/>
          <w:jc w:val="right"/>
          <w:rPr>
            <w:rFonts w:ascii="Candara" w:hAnsi="Candara"/>
            <w:sz w:val="20"/>
            <w:szCs w:val="20"/>
          </w:rPr>
        </w:pPr>
        <w:r w:rsidRPr="00D85E9B">
          <w:rPr>
            <w:rFonts w:ascii="Candara" w:hAnsi="Candara"/>
            <w:sz w:val="20"/>
            <w:szCs w:val="20"/>
          </w:rPr>
          <w:fldChar w:fldCharType="begin"/>
        </w:r>
        <w:r w:rsidRPr="00D85E9B">
          <w:rPr>
            <w:rFonts w:ascii="Candara" w:hAnsi="Candara"/>
            <w:sz w:val="20"/>
            <w:szCs w:val="20"/>
          </w:rPr>
          <w:instrText xml:space="preserve"> PAGE   \* MERGEFORMAT </w:instrText>
        </w:r>
        <w:r w:rsidRPr="00D85E9B">
          <w:rPr>
            <w:rFonts w:ascii="Candara" w:hAnsi="Candara"/>
            <w:sz w:val="20"/>
            <w:szCs w:val="20"/>
          </w:rPr>
          <w:fldChar w:fldCharType="separate"/>
        </w:r>
        <w:r w:rsidRPr="00D85E9B">
          <w:rPr>
            <w:rFonts w:ascii="Candara" w:hAnsi="Candara"/>
            <w:noProof/>
            <w:sz w:val="20"/>
            <w:szCs w:val="20"/>
          </w:rPr>
          <w:t>2</w:t>
        </w:r>
        <w:r w:rsidRPr="00D85E9B">
          <w:rPr>
            <w:rFonts w:ascii="Candara" w:hAnsi="Candara"/>
            <w:noProof/>
            <w:sz w:val="20"/>
            <w:szCs w:val="20"/>
          </w:rPr>
          <w:fldChar w:fldCharType="end"/>
        </w:r>
      </w:p>
    </w:sdtContent>
  </w:sdt>
  <w:p w14:paraId="431DEB35" w14:textId="77777777" w:rsidR="00066405" w:rsidRDefault="00066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4C9E8" w14:textId="77777777" w:rsidR="00066405" w:rsidRDefault="000664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480824"/>
      <w:docPartObj>
        <w:docPartGallery w:val="Page Numbers (Bottom of Page)"/>
        <w:docPartUnique/>
      </w:docPartObj>
    </w:sdtPr>
    <w:sdtEndPr>
      <w:rPr>
        <w:rFonts w:ascii="Candara" w:hAnsi="Candara" w:cs="Tahoma"/>
        <w:noProof/>
        <w:sz w:val="22"/>
        <w:szCs w:val="22"/>
      </w:rPr>
    </w:sdtEndPr>
    <w:sdtContent>
      <w:p w14:paraId="5B2CA7CB" w14:textId="0FD4B53D" w:rsidR="00066405" w:rsidRPr="00D85E9B" w:rsidRDefault="00066405">
        <w:pPr>
          <w:pStyle w:val="Footer"/>
          <w:jc w:val="right"/>
        </w:pPr>
        <w:r w:rsidRPr="00193602">
          <w:rPr>
            <w:rFonts w:ascii="Candara" w:hAnsi="Candara"/>
            <w:sz w:val="22"/>
            <w:szCs w:val="22"/>
          </w:rPr>
          <w:fldChar w:fldCharType="begin"/>
        </w:r>
        <w:r w:rsidRPr="00193602">
          <w:rPr>
            <w:rFonts w:ascii="Candara" w:hAnsi="Candara"/>
            <w:sz w:val="22"/>
            <w:szCs w:val="22"/>
          </w:rPr>
          <w:instrText xml:space="preserve"> PAGE   \* MERGEFORMAT </w:instrText>
        </w:r>
        <w:r w:rsidRPr="00193602">
          <w:rPr>
            <w:rFonts w:ascii="Candara" w:hAnsi="Candara"/>
            <w:sz w:val="22"/>
            <w:szCs w:val="22"/>
          </w:rPr>
          <w:fldChar w:fldCharType="separate"/>
        </w:r>
        <w:r w:rsidRPr="00193602">
          <w:rPr>
            <w:rFonts w:ascii="Candara" w:hAnsi="Candara"/>
            <w:noProof/>
            <w:sz w:val="22"/>
            <w:szCs w:val="22"/>
          </w:rPr>
          <w:t>38</w:t>
        </w:r>
        <w:r w:rsidRPr="00193602">
          <w:rPr>
            <w:rFonts w:ascii="Candara" w:hAnsi="Candara"/>
            <w:noProof/>
            <w:sz w:val="22"/>
            <w:szCs w:val="22"/>
          </w:rPr>
          <w:fldChar w:fldCharType="end"/>
        </w:r>
      </w:p>
    </w:sdtContent>
  </w:sdt>
  <w:p w14:paraId="4E9931B8" w14:textId="77777777" w:rsidR="00066405" w:rsidRDefault="00066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E87D0" w14:textId="77777777" w:rsidR="00D9010D" w:rsidRDefault="00D9010D" w:rsidP="00610DC6">
      <w:pPr>
        <w:spacing w:after="0" w:line="240" w:lineRule="auto"/>
      </w:pPr>
      <w:r>
        <w:separator/>
      </w:r>
    </w:p>
  </w:footnote>
  <w:footnote w:type="continuationSeparator" w:id="0">
    <w:p w14:paraId="77753BDA" w14:textId="77777777" w:rsidR="00D9010D" w:rsidRDefault="00D9010D" w:rsidP="00610DC6">
      <w:pPr>
        <w:spacing w:after="0" w:line="240" w:lineRule="auto"/>
      </w:pPr>
      <w:r>
        <w:continuationSeparator/>
      </w:r>
    </w:p>
  </w:footnote>
  <w:footnote w:id="1">
    <w:p w14:paraId="64C7392A" w14:textId="77777777" w:rsidR="00066405" w:rsidRPr="00E27564" w:rsidRDefault="00066405" w:rsidP="003770FF">
      <w:pPr>
        <w:pStyle w:val="FootnoteText"/>
        <w:rPr>
          <w:lang w:val="fr-FR"/>
        </w:rPr>
      </w:pPr>
      <w:r>
        <w:rPr>
          <w:rStyle w:val="FootnoteReference"/>
        </w:rPr>
        <w:footnoteRef/>
      </w:r>
      <w:r w:rsidRPr="00E27564">
        <w:rPr>
          <w:lang w:val="fr-FR"/>
        </w:rPr>
        <w:t xml:space="preserve"> </w:t>
      </w:r>
      <w:hyperlink r:id="rId1" w:history="1">
        <w:r w:rsidRPr="005B74EF">
          <w:rPr>
            <w:rStyle w:val="Hyperlink"/>
            <w:lang w:val="fr-FR"/>
          </w:rPr>
          <w:t>http://www.ammc.ma/sites/default/files/Med_Paper_RFA_2019.pdf</w:t>
        </w:r>
      </w:hyperlink>
      <w:r>
        <w:rPr>
          <w:lang w:val="fr-FR"/>
        </w:rPr>
        <w:t xml:space="preserve"> </w:t>
      </w:r>
    </w:p>
  </w:footnote>
  <w:footnote w:id="2">
    <w:p w14:paraId="434E093F" w14:textId="6950B7F2" w:rsidR="00066405" w:rsidRPr="00D85E9B" w:rsidRDefault="00066405" w:rsidP="00D85E9B">
      <w:pPr>
        <w:pStyle w:val="FootnoteText"/>
        <w:spacing w:line="240" w:lineRule="auto"/>
        <w:rPr>
          <w:rFonts w:asciiTheme="minorHAnsi" w:hAnsiTheme="minorHAnsi" w:cstheme="minorHAnsi"/>
          <w:sz w:val="16"/>
          <w:szCs w:val="16"/>
          <w:lang w:val="fr-FR"/>
        </w:rPr>
      </w:pPr>
      <w:r>
        <w:rPr>
          <w:rStyle w:val="FootnoteReference"/>
        </w:rPr>
        <w:footnoteRef/>
      </w:r>
      <w:r w:rsidRPr="00D85E9B">
        <w:rPr>
          <w:lang w:val="fr-FR"/>
        </w:rPr>
        <w:t xml:space="preserve"> </w:t>
      </w:r>
      <w:r w:rsidRPr="00D85E9B">
        <w:rPr>
          <w:rFonts w:asciiTheme="minorHAnsi" w:hAnsiTheme="minorHAnsi" w:cstheme="minorHAnsi"/>
          <w:sz w:val="16"/>
          <w:szCs w:val="16"/>
          <w:lang w:val="fr-FR"/>
        </w:rPr>
        <w:t>Les activités structurelles font référence aux activités qui comprennent des travaux de construction ou des travaux de réhabilitation de constructions existantes. En outre, aucune acquisition de matériel informatique n’est financée dans le cadre de ce Programme,</w:t>
      </w:r>
    </w:p>
  </w:footnote>
  <w:footnote w:id="3">
    <w:p w14:paraId="3DC249D4" w14:textId="3E9A9357" w:rsidR="00066405" w:rsidRPr="000E72BE" w:rsidRDefault="00066405">
      <w:pPr>
        <w:pStyle w:val="FootnoteText"/>
        <w:rPr>
          <w:lang w:val="fr-FR"/>
        </w:rPr>
      </w:pPr>
      <w:r>
        <w:rPr>
          <w:rStyle w:val="FootnoteReference"/>
        </w:rPr>
        <w:footnoteRef/>
      </w:r>
      <w:r w:rsidRPr="000E72BE">
        <w:rPr>
          <w:lang w:val="fr-FR"/>
        </w:rPr>
        <w:t xml:space="preserve"> </w:t>
      </w:r>
      <w:hyperlink r:id="rId2" w:history="1">
        <w:r w:rsidRPr="00D9778C">
          <w:rPr>
            <w:rStyle w:val="Hyperlink"/>
            <w:lang w:val="fr-FR"/>
          </w:rPr>
          <w:t>http://www.ammc.ma/sites/default/files/Med_Paper_RFA_2019.pdf</w:t>
        </w:r>
      </w:hyperlink>
      <w:r>
        <w:rPr>
          <w:lang w:val="fr-FR"/>
        </w:rPr>
        <w:t xml:space="preserve"> </w:t>
      </w:r>
    </w:p>
  </w:footnote>
  <w:footnote w:id="4">
    <w:p w14:paraId="6DA25CC3" w14:textId="77777777" w:rsidR="00066405" w:rsidRPr="004F6A21" w:rsidRDefault="00066405" w:rsidP="007B16C4">
      <w:pPr>
        <w:rPr>
          <w:b/>
          <w:sz w:val="18"/>
          <w:szCs w:val="18"/>
          <w:lang w:val="fr-MA"/>
        </w:rPr>
      </w:pPr>
      <w:r w:rsidRPr="009E6123">
        <w:rPr>
          <w:rStyle w:val="FootnoteReference"/>
          <w:sz w:val="18"/>
          <w:szCs w:val="18"/>
        </w:rPr>
        <w:footnoteRef/>
      </w:r>
      <w:r w:rsidRPr="004F6A21">
        <w:rPr>
          <w:sz w:val="18"/>
          <w:szCs w:val="18"/>
          <w:lang w:val="fr-MA"/>
        </w:rPr>
        <w:t xml:space="preserve"> Pour tous ces tableaux et graphiques, Source : </w:t>
      </w:r>
      <w:r w:rsidRPr="004F6A21">
        <w:rPr>
          <w:rStyle w:val="Strong"/>
          <w:sz w:val="18"/>
          <w:szCs w:val="18"/>
          <w:shd w:val="clear" w:color="auto" w:fill="FFFFFF"/>
          <w:lang w:val="fr-MA"/>
        </w:rPr>
        <w:t xml:space="preserve">Secrétariat d’État chargé du développement durable </w:t>
      </w:r>
      <w:hyperlink r:id="rId3" w:history="1">
        <w:r w:rsidRPr="004F6A21">
          <w:rPr>
            <w:rStyle w:val="Hyperlink1"/>
            <w:sz w:val="18"/>
            <w:szCs w:val="18"/>
            <w:lang w:val="fr-MA"/>
          </w:rPr>
          <w:t>http://environnement.gov.ma/index.php/fr/ministere</w:t>
        </w:r>
      </w:hyperlink>
      <w:r w:rsidRPr="004F6A21">
        <w:rPr>
          <w:sz w:val="18"/>
          <w:szCs w:val="18"/>
          <w:lang w:val="fr-MA"/>
        </w:rPr>
        <w:t>).</w:t>
      </w:r>
    </w:p>
    <w:p w14:paraId="08CD879A" w14:textId="77777777" w:rsidR="00066405" w:rsidRPr="00114B95" w:rsidRDefault="00066405" w:rsidP="007B16C4">
      <w:pPr>
        <w:pStyle w:val="FootnoteText1"/>
        <w:rPr>
          <w:sz w:val="18"/>
          <w:szCs w:val="18"/>
          <w:lang w:val="fr-FR"/>
        </w:rPr>
      </w:pPr>
    </w:p>
  </w:footnote>
  <w:footnote w:id="5">
    <w:p w14:paraId="5DDC5064" w14:textId="77777777" w:rsidR="00066405" w:rsidRPr="00846AB1" w:rsidRDefault="00066405" w:rsidP="00A71D85">
      <w:pPr>
        <w:pStyle w:val="FootnoteText"/>
        <w:rPr>
          <w:rFonts w:asciiTheme="minorHAnsi" w:hAnsiTheme="minorHAnsi" w:cstheme="minorHAnsi"/>
          <w:sz w:val="16"/>
          <w:szCs w:val="16"/>
          <w:lang w:val="fr-FR"/>
        </w:rPr>
      </w:pPr>
      <w:r w:rsidRPr="00846AB1">
        <w:rPr>
          <w:rStyle w:val="FootnoteReference"/>
          <w:rFonts w:cstheme="minorHAnsi"/>
          <w:sz w:val="16"/>
          <w:szCs w:val="16"/>
        </w:rPr>
        <w:footnoteRef/>
      </w:r>
      <w:r w:rsidRPr="00846AB1">
        <w:rPr>
          <w:rFonts w:asciiTheme="minorHAnsi" w:hAnsiTheme="minorHAnsi" w:cstheme="minorHAnsi"/>
          <w:sz w:val="16"/>
          <w:szCs w:val="16"/>
          <w:lang w:val="fr-MA"/>
        </w:rPr>
        <w:t xml:space="preserve"> </w:t>
      </w:r>
      <w:r w:rsidRPr="00846AB1">
        <w:rPr>
          <w:rFonts w:asciiTheme="minorHAnsi" w:hAnsiTheme="minorHAnsi" w:cstheme="minorHAnsi"/>
          <w:sz w:val="16"/>
          <w:szCs w:val="16"/>
          <w:lang w:val="fr-FR"/>
        </w:rPr>
        <w:t xml:space="preserve">Dahir 1-18-15 du 5 joumada II 1439 (22 février 2018) portant promulgation de la loi 31-13 relative au droit d’accès à l’information, </w:t>
      </w:r>
      <w:r w:rsidRPr="00846AB1">
        <w:rPr>
          <w:rFonts w:asciiTheme="minorHAnsi" w:hAnsiTheme="minorHAnsi" w:cstheme="minorHAnsi"/>
          <w:color w:val="000000" w:themeColor="text1"/>
          <w:sz w:val="16"/>
          <w:szCs w:val="16"/>
          <w:lang w:val="fr-MA"/>
        </w:rPr>
        <w:t>publié au B.O n° 6670 du 03-05- 2018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DFD1F" w14:textId="77777777" w:rsidR="00066405" w:rsidRDefault="00066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54002" w14:textId="77777777" w:rsidR="00066405" w:rsidRDefault="00066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EF77E" w14:textId="77777777" w:rsidR="00066405" w:rsidRDefault="00066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37D"/>
    <w:multiLevelType w:val="hybridMultilevel"/>
    <w:tmpl w:val="40CEA900"/>
    <w:lvl w:ilvl="0" w:tplc="BB08AA3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46C81"/>
    <w:multiLevelType w:val="hybridMultilevel"/>
    <w:tmpl w:val="59324C8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0F2C2D07"/>
    <w:multiLevelType w:val="hybridMultilevel"/>
    <w:tmpl w:val="28B612F6"/>
    <w:lvl w:ilvl="0" w:tplc="040C0003">
      <w:start w:val="1"/>
      <w:numFmt w:val="bullet"/>
      <w:lvlText w:val="o"/>
      <w:lvlJc w:val="left"/>
      <w:pPr>
        <w:ind w:left="2497" w:hanging="360"/>
      </w:pPr>
      <w:rPr>
        <w:rFonts w:ascii="Courier New" w:hAnsi="Courier New" w:cs="Courier New" w:hint="default"/>
      </w:rPr>
    </w:lvl>
    <w:lvl w:ilvl="1" w:tplc="040C0003" w:tentative="1">
      <w:start w:val="1"/>
      <w:numFmt w:val="bullet"/>
      <w:lvlText w:val="o"/>
      <w:lvlJc w:val="left"/>
      <w:pPr>
        <w:ind w:left="3217" w:hanging="360"/>
      </w:pPr>
      <w:rPr>
        <w:rFonts w:ascii="Courier New" w:hAnsi="Courier New" w:cs="Courier New" w:hint="default"/>
      </w:rPr>
    </w:lvl>
    <w:lvl w:ilvl="2" w:tplc="040C0005" w:tentative="1">
      <w:start w:val="1"/>
      <w:numFmt w:val="bullet"/>
      <w:lvlText w:val=""/>
      <w:lvlJc w:val="left"/>
      <w:pPr>
        <w:ind w:left="3937" w:hanging="360"/>
      </w:pPr>
      <w:rPr>
        <w:rFonts w:ascii="Wingdings" w:hAnsi="Wingdings" w:hint="default"/>
      </w:rPr>
    </w:lvl>
    <w:lvl w:ilvl="3" w:tplc="040C0001" w:tentative="1">
      <w:start w:val="1"/>
      <w:numFmt w:val="bullet"/>
      <w:lvlText w:val=""/>
      <w:lvlJc w:val="left"/>
      <w:pPr>
        <w:ind w:left="4657" w:hanging="360"/>
      </w:pPr>
      <w:rPr>
        <w:rFonts w:ascii="Symbol" w:hAnsi="Symbol" w:hint="default"/>
      </w:rPr>
    </w:lvl>
    <w:lvl w:ilvl="4" w:tplc="040C0003" w:tentative="1">
      <w:start w:val="1"/>
      <w:numFmt w:val="bullet"/>
      <w:lvlText w:val="o"/>
      <w:lvlJc w:val="left"/>
      <w:pPr>
        <w:ind w:left="5377" w:hanging="360"/>
      </w:pPr>
      <w:rPr>
        <w:rFonts w:ascii="Courier New" w:hAnsi="Courier New" w:cs="Courier New" w:hint="default"/>
      </w:rPr>
    </w:lvl>
    <w:lvl w:ilvl="5" w:tplc="040C0005" w:tentative="1">
      <w:start w:val="1"/>
      <w:numFmt w:val="bullet"/>
      <w:lvlText w:val=""/>
      <w:lvlJc w:val="left"/>
      <w:pPr>
        <w:ind w:left="6097" w:hanging="360"/>
      </w:pPr>
      <w:rPr>
        <w:rFonts w:ascii="Wingdings" w:hAnsi="Wingdings" w:hint="default"/>
      </w:rPr>
    </w:lvl>
    <w:lvl w:ilvl="6" w:tplc="040C0001" w:tentative="1">
      <w:start w:val="1"/>
      <w:numFmt w:val="bullet"/>
      <w:lvlText w:val=""/>
      <w:lvlJc w:val="left"/>
      <w:pPr>
        <w:ind w:left="6817" w:hanging="360"/>
      </w:pPr>
      <w:rPr>
        <w:rFonts w:ascii="Symbol" w:hAnsi="Symbol" w:hint="default"/>
      </w:rPr>
    </w:lvl>
    <w:lvl w:ilvl="7" w:tplc="040C0003" w:tentative="1">
      <w:start w:val="1"/>
      <w:numFmt w:val="bullet"/>
      <w:lvlText w:val="o"/>
      <w:lvlJc w:val="left"/>
      <w:pPr>
        <w:ind w:left="7537" w:hanging="360"/>
      </w:pPr>
      <w:rPr>
        <w:rFonts w:ascii="Courier New" w:hAnsi="Courier New" w:cs="Courier New" w:hint="default"/>
      </w:rPr>
    </w:lvl>
    <w:lvl w:ilvl="8" w:tplc="040C0005" w:tentative="1">
      <w:start w:val="1"/>
      <w:numFmt w:val="bullet"/>
      <w:lvlText w:val=""/>
      <w:lvlJc w:val="left"/>
      <w:pPr>
        <w:ind w:left="8257" w:hanging="360"/>
      </w:pPr>
      <w:rPr>
        <w:rFonts w:ascii="Wingdings" w:hAnsi="Wingdings" w:hint="default"/>
      </w:rPr>
    </w:lvl>
  </w:abstractNum>
  <w:abstractNum w:abstractNumId="3" w15:restartNumberingAfterBreak="0">
    <w:nsid w:val="10AB1F9A"/>
    <w:multiLevelType w:val="hybridMultilevel"/>
    <w:tmpl w:val="928C7CD0"/>
    <w:lvl w:ilvl="0" w:tplc="D374A0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D0BD3"/>
    <w:multiLevelType w:val="hybridMultilevel"/>
    <w:tmpl w:val="AA948330"/>
    <w:lvl w:ilvl="0" w:tplc="040C0001">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5" w15:restartNumberingAfterBreak="0">
    <w:nsid w:val="1C9A69E6"/>
    <w:multiLevelType w:val="hybridMultilevel"/>
    <w:tmpl w:val="E048AE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9F3465"/>
    <w:multiLevelType w:val="hybridMultilevel"/>
    <w:tmpl w:val="993E46C0"/>
    <w:lvl w:ilvl="0" w:tplc="380C0001">
      <w:start w:val="1"/>
      <w:numFmt w:val="bullet"/>
      <w:lvlText w:val=""/>
      <w:lvlJc w:val="left"/>
      <w:pPr>
        <w:ind w:left="720" w:hanging="360"/>
      </w:pPr>
      <w:rPr>
        <w:rFonts w:ascii="Symbol" w:hAnsi="Symbol"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D8C2855"/>
    <w:multiLevelType w:val="hybridMultilevel"/>
    <w:tmpl w:val="E5F43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4901C4"/>
    <w:multiLevelType w:val="hybridMultilevel"/>
    <w:tmpl w:val="D83C2F18"/>
    <w:lvl w:ilvl="0" w:tplc="380C0001">
      <w:start w:val="1"/>
      <w:numFmt w:val="bullet"/>
      <w:lvlText w:val=""/>
      <w:lvlJc w:val="left"/>
      <w:pPr>
        <w:ind w:left="720" w:hanging="360"/>
      </w:pPr>
      <w:rPr>
        <w:rFonts w:ascii="Symbol" w:hAnsi="Symbol"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0E20F1B"/>
    <w:multiLevelType w:val="multilevel"/>
    <w:tmpl w:val="380C001F"/>
    <w:styleLink w:val="Style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9439E6"/>
    <w:multiLevelType w:val="multilevel"/>
    <w:tmpl w:val="007026EA"/>
    <w:lvl w:ilvl="0">
      <w:start w:val="1"/>
      <w:numFmt w:val="none"/>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i w:val="0"/>
      </w:rPr>
    </w:lvl>
    <w:lvl w:ilvl="2">
      <w:start w:val="1"/>
      <w:numFmt w:val="lowerLetter"/>
      <w:lvlText w:val="(%3)"/>
      <w:lvlJc w:val="left"/>
      <w:pPr>
        <w:tabs>
          <w:tab w:val="num" w:pos="1080"/>
        </w:tabs>
        <w:ind w:left="720" w:hanging="360"/>
      </w:pPr>
      <w:rPr>
        <w:rFonts w:cs="Times New Roman" w:hint="default"/>
      </w:rPr>
    </w:lvl>
    <w:lvl w:ilvl="3">
      <w:start w:val="1"/>
      <w:numFmt w:val="lowerRoman"/>
      <w:lvlText w:val="(%4)"/>
      <w:lvlJc w:val="left"/>
      <w:pPr>
        <w:tabs>
          <w:tab w:val="num" w:pos="180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350256DA"/>
    <w:multiLevelType w:val="hybridMultilevel"/>
    <w:tmpl w:val="4680273A"/>
    <w:lvl w:ilvl="0" w:tplc="6746425E">
      <w:start w:val="1"/>
      <w:numFmt w:val="bullet"/>
      <w:lvlText w:val="•"/>
      <w:lvlJc w:val="left"/>
      <w:pPr>
        <w:tabs>
          <w:tab w:val="num" w:pos="720"/>
        </w:tabs>
        <w:ind w:left="720" w:hanging="360"/>
      </w:pPr>
      <w:rPr>
        <w:rFonts w:ascii="Arial" w:hAnsi="Arial" w:hint="default"/>
      </w:rPr>
    </w:lvl>
    <w:lvl w:ilvl="1" w:tplc="8C6A5F8A" w:tentative="1">
      <w:start w:val="1"/>
      <w:numFmt w:val="bullet"/>
      <w:lvlText w:val="•"/>
      <w:lvlJc w:val="left"/>
      <w:pPr>
        <w:tabs>
          <w:tab w:val="num" w:pos="1440"/>
        </w:tabs>
        <w:ind w:left="1440" w:hanging="360"/>
      </w:pPr>
      <w:rPr>
        <w:rFonts w:ascii="Arial" w:hAnsi="Arial" w:hint="default"/>
      </w:rPr>
    </w:lvl>
    <w:lvl w:ilvl="2" w:tplc="C0DE92DC" w:tentative="1">
      <w:start w:val="1"/>
      <w:numFmt w:val="bullet"/>
      <w:lvlText w:val="•"/>
      <w:lvlJc w:val="left"/>
      <w:pPr>
        <w:tabs>
          <w:tab w:val="num" w:pos="2160"/>
        </w:tabs>
        <w:ind w:left="2160" w:hanging="360"/>
      </w:pPr>
      <w:rPr>
        <w:rFonts w:ascii="Arial" w:hAnsi="Arial" w:hint="default"/>
      </w:rPr>
    </w:lvl>
    <w:lvl w:ilvl="3" w:tplc="9120EEA4" w:tentative="1">
      <w:start w:val="1"/>
      <w:numFmt w:val="bullet"/>
      <w:lvlText w:val="•"/>
      <w:lvlJc w:val="left"/>
      <w:pPr>
        <w:tabs>
          <w:tab w:val="num" w:pos="2880"/>
        </w:tabs>
        <w:ind w:left="2880" w:hanging="360"/>
      </w:pPr>
      <w:rPr>
        <w:rFonts w:ascii="Arial" w:hAnsi="Arial" w:hint="default"/>
      </w:rPr>
    </w:lvl>
    <w:lvl w:ilvl="4" w:tplc="CB90CA7E" w:tentative="1">
      <w:start w:val="1"/>
      <w:numFmt w:val="bullet"/>
      <w:lvlText w:val="•"/>
      <w:lvlJc w:val="left"/>
      <w:pPr>
        <w:tabs>
          <w:tab w:val="num" w:pos="3600"/>
        </w:tabs>
        <w:ind w:left="3600" w:hanging="360"/>
      </w:pPr>
      <w:rPr>
        <w:rFonts w:ascii="Arial" w:hAnsi="Arial" w:hint="default"/>
      </w:rPr>
    </w:lvl>
    <w:lvl w:ilvl="5" w:tplc="F2E62588" w:tentative="1">
      <w:start w:val="1"/>
      <w:numFmt w:val="bullet"/>
      <w:lvlText w:val="•"/>
      <w:lvlJc w:val="left"/>
      <w:pPr>
        <w:tabs>
          <w:tab w:val="num" w:pos="4320"/>
        </w:tabs>
        <w:ind w:left="4320" w:hanging="360"/>
      </w:pPr>
      <w:rPr>
        <w:rFonts w:ascii="Arial" w:hAnsi="Arial" w:hint="default"/>
      </w:rPr>
    </w:lvl>
    <w:lvl w:ilvl="6" w:tplc="143CA020" w:tentative="1">
      <w:start w:val="1"/>
      <w:numFmt w:val="bullet"/>
      <w:lvlText w:val="•"/>
      <w:lvlJc w:val="left"/>
      <w:pPr>
        <w:tabs>
          <w:tab w:val="num" w:pos="5040"/>
        </w:tabs>
        <w:ind w:left="5040" w:hanging="360"/>
      </w:pPr>
      <w:rPr>
        <w:rFonts w:ascii="Arial" w:hAnsi="Arial" w:hint="default"/>
      </w:rPr>
    </w:lvl>
    <w:lvl w:ilvl="7" w:tplc="5A6AF5C6" w:tentative="1">
      <w:start w:val="1"/>
      <w:numFmt w:val="bullet"/>
      <w:lvlText w:val="•"/>
      <w:lvlJc w:val="left"/>
      <w:pPr>
        <w:tabs>
          <w:tab w:val="num" w:pos="5760"/>
        </w:tabs>
        <w:ind w:left="5760" w:hanging="360"/>
      </w:pPr>
      <w:rPr>
        <w:rFonts w:ascii="Arial" w:hAnsi="Arial" w:hint="default"/>
      </w:rPr>
    </w:lvl>
    <w:lvl w:ilvl="8" w:tplc="484842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497093"/>
    <w:multiLevelType w:val="hybridMultilevel"/>
    <w:tmpl w:val="EF760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D42F4"/>
    <w:multiLevelType w:val="hybridMultilevel"/>
    <w:tmpl w:val="C008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9429D"/>
    <w:multiLevelType w:val="hybridMultilevel"/>
    <w:tmpl w:val="64545F36"/>
    <w:lvl w:ilvl="0" w:tplc="87B6D800">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EF6775"/>
    <w:multiLevelType w:val="hybridMultilevel"/>
    <w:tmpl w:val="D80E2A56"/>
    <w:lvl w:ilvl="0" w:tplc="78E455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A6E34"/>
    <w:multiLevelType w:val="hybridMultilevel"/>
    <w:tmpl w:val="0524A0E0"/>
    <w:lvl w:ilvl="0" w:tplc="380C0001">
      <w:start w:val="1"/>
      <w:numFmt w:val="bullet"/>
      <w:lvlText w:val=""/>
      <w:lvlJc w:val="left"/>
      <w:pPr>
        <w:ind w:left="720" w:hanging="360"/>
      </w:pPr>
      <w:rPr>
        <w:rFonts w:ascii="Symbol" w:hAnsi="Symbol"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44665055"/>
    <w:multiLevelType w:val="hybridMultilevel"/>
    <w:tmpl w:val="D1D67E0A"/>
    <w:lvl w:ilvl="0" w:tplc="AF945492">
      <w:start w:val="1"/>
      <w:numFmt w:val="decimal"/>
      <w:lvlText w:val="%1."/>
      <w:lvlJc w:val="left"/>
      <w:pPr>
        <w:ind w:left="360" w:hanging="360"/>
      </w:pPr>
      <w:rPr>
        <w:rFonts w:ascii="Candara" w:hAnsi="Candara" w:cstheme="minorHAnsi" w:hint="default"/>
        <w:b w:val="0"/>
        <w:i w:val="0"/>
        <w:iCs/>
        <w:sz w:val="20"/>
        <w:szCs w:val="2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69804C4"/>
    <w:multiLevelType w:val="hybridMultilevel"/>
    <w:tmpl w:val="8E32AA06"/>
    <w:lvl w:ilvl="0" w:tplc="7310C8F4">
      <w:start w:val="1"/>
      <w:numFmt w:val="decimal"/>
      <w:pStyle w:val="Style7"/>
      <w:lvlText w:val="%1."/>
      <w:lvlJc w:val="left"/>
      <w:pPr>
        <w:ind w:left="502" w:hanging="360"/>
      </w:pPr>
      <w:rPr>
        <w:b w:val="0"/>
        <w:bCs/>
        <w:i w:val="0"/>
        <w:iCs w:val="0"/>
      </w:rPr>
    </w:lvl>
    <w:lvl w:ilvl="1" w:tplc="6742E1A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E3B66CF"/>
    <w:multiLevelType w:val="multilevel"/>
    <w:tmpl w:val="A40CC80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177FDA"/>
    <w:multiLevelType w:val="hybridMultilevel"/>
    <w:tmpl w:val="14E4CCBC"/>
    <w:lvl w:ilvl="0" w:tplc="FD7E6530">
      <w:start w:val="1"/>
      <w:numFmt w:val="lowerLetter"/>
      <w:lvlText w:val="%1)"/>
      <w:lvlJc w:val="left"/>
      <w:pPr>
        <w:ind w:left="1428" w:hanging="360"/>
      </w:pPr>
      <w:rPr>
        <w:rFonts w:asciiTheme="minorHAnsi" w:hAnsiTheme="minorHAnsi" w:cstheme="minorHAnsi" w:hint="default"/>
        <w:sz w:val="22"/>
        <w:szCs w:val="22"/>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15:restartNumberingAfterBreak="0">
    <w:nsid w:val="64530ECB"/>
    <w:multiLevelType w:val="hybridMultilevel"/>
    <w:tmpl w:val="5100F286"/>
    <w:lvl w:ilvl="0" w:tplc="380C0001">
      <w:start w:val="1"/>
      <w:numFmt w:val="bullet"/>
      <w:lvlText w:val=""/>
      <w:lvlJc w:val="left"/>
      <w:pPr>
        <w:ind w:left="720" w:hanging="360"/>
      </w:pPr>
      <w:rPr>
        <w:rFonts w:ascii="Symbol" w:hAnsi="Symbol"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65665071"/>
    <w:multiLevelType w:val="hybridMultilevel"/>
    <w:tmpl w:val="61E2A536"/>
    <w:lvl w:ilvl="0" w:tplc="04090001">
      <w:start w:val="1"/>
      <w:numFmt w:val="bullet"/>
      <w:lvlText w:val=""/>
      <w:lvlJc w:val="left"/>
      <w:pPr>
        <w:ind w:left="2487" w:hanging="360"/>
      </w:pPr>
      <w:rPr>
        <w:rFonts w:ascii="Symbol" w:hAnsi="Symbol" w:hint="default"/>
        <w:b w:val="0"/>
        <w:bCs/>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6E70142"/>
    <w:multiLevelType w:val="hybridMultilevel"/>
    <w:tmpl w:val="DC0C6B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7234F"/>
    <w:multiLevelType w:val="hybridMultilevel"/>
    <w:tmpl w:val="23969C28"/>
    <w:lvl w:ilvl="0" w:tplc="040C000F">
      <w:start w:val="1"/>
      <w:numFmt w:val="decimal"/>
      <w:lvlText w:val="%1."/>
      <w:lvlJc w:val="left"/>
      <w:pPr>
        <w:ind w:left="720" w:hanging="360"/>
      </w:pPr>
      <w:rPr>
        <w:rFonts w:hint="default"/>
        <w:b w:val="0"/>
        <w:i w:val="0"/>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D867E82"/>
    <w:multiLevelType w:val="hybridMultilevel"/>
    <w:tmpl w:val="DC16C404"/>
    <w:lvl w:ilvl="0" w:tplc="EEE8FE8E">
      <w:start w:val="1"/>
      <w:numFmt w:val="decimal"/>
      <w:pStyle w:val="Paranumbering"/>
      <w:lvlText w:val="%1."/>
      <w:lvlJc w:val="left"/>
      <w:pPr>
        <w:ind w:left="360" w:hanging="360"/>
      </w:pPr>
      <w:rPr>
        <w:rFonts w:asciiTheme="majorBidi" w:hAnsiTheme="majorBidi" w:cstheme="majorBid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start w:val="1"/>
      <w:numFmt w:val="bullet"/>
      <w:lvlText w:val="o"/>
      <w:lvlJc w:val="left"/>
      <w:pPr>
        <w:ind w:left="1440" w:hanging="360"/>
      </w:pPr>
      <w:rPr>
        <w:rFonts w:ascii="Courier New" w:hAnsi="Courier New" w:cs="Courier New" w:hint="default"/>
      </w:rPr>
    </w:lvl>
    <w:lvl w:ilvl="2" w:tplc="840C4158">
      <w:start w:val="1"/>
      <w:numFmt w:val="lowerRoman"/>
      <w:lvlText w:val="(%3)"/>
      <w:lvlJc w:val="left"/>
      <w:pPr>
        <w:ind w:left="2520" w:hanging="720"/>
      </w:pPr>
      <w:rPr>
        <w:rFont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FF96430"/>
    <w:multiLevelType w:val="hybridMultilevel"/>
    <w:tmpl w:val="C76E7AB2"/>
    <w:lvl w:ilvl="0" w:tplc="380C0001">
      <w:start w:val="1"/>
      <w:numFmt w:val="bullet"/>
      <w:lvlText w:val=""/>
      <w:lvlJc w:val="left"/>
      <w:pPr>
        <w:ind w:left="720" w:hanging="360"/>
      </w:pPr>
      <w:rPr>
        <w:rFonts w:ascii="Symbol" w:hAnsi="Symbol"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726A1515"/>
    <w:multiLevelType w:val="hybridMultilevel"/>
    <w:tmpl w:val="253841CC"/>
    <w:lvl w:ilvl="0" w:tplc="0409000F">
      <w:start w:val="1"/>
      <w:numFmt w:val="decimal"/>
      <w:lvlText w:val="%1."/>
      <w:lvlJc w:val="left"/>
      <w:pPr>
        <w:ind w:left="708" w:hanging="708"/>
      </w:pPr>
      <w:rPr>
        <w:rFonts w:hint="default"/>
        <w:b w:val="0"/>
        <w:bCs w:val="0"/>
        <w:color w:val="auto"/>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FB1684"/>
    <w:multiLevelType w:val="multilevel"/>
    <w:tmpl w:val="380C001F"/>
    <w:numStyleLink w:val="Style10"/>
  </w:abstractNum>
  <w:abstractNum w:abstractNumId="29" w15:restartNumberingAfterBreak="0">
    <w:nsid w:val="7E4A28A7"/>
    <w:multiLevelType w:val="multilevel"/>
    <w:tmpl w:val="011AA1CC"/>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3"/>
  </w:num>
  <w:num w:numId="3">
    <w:abstractNumId w:val="12"/>
  </w:num>
  <w:num w:numId="4">
    <w:abstractNumId w:val="4"/>
  </w:num>
  <w:num w:numId="5">
    <w:abstractNumId w:val="11"/>
  </w:num>
  <w:num w:numId="6">
    <w:abstractNumId w:val="18"/>
  </w:num>
  <w:num w:numId="7">
    <w:abstractNumId w:val="5"/>
  </w:num>
  <w:num w:numId="8">
    <w:abstractNumId w:val="25"/>
  </w:num>
  <w:num w:numId="9">
    <w:abstractNumId w:val="27"/>
  </w:num>
  <w:num w:numId="10">
    <w:abstractNumId w:val="20"/>
  </w:num>
  <w:num w:numId="11">
    <w:abstractNumId w:val="17"/>
  </w:num>
  <w:num w:numId="12">
    <w:abstractNumId w:val="7"/>
  </w:num>
  <w:num w:numId="13">
    <w:abstractNumId w:val="28"/>
  </w:num>
  <w:num w:numId="14">
    <w:abstractNumId w:val="14"/>
  </w:num>
  <w:num w:numId="15">
    <w:abstractNumId w:val="8"/>
  </w:num>
  <w:num w:numId="16">
    <w:abstractNumId w:val="16"/>
  </w:num>
  <w:num w:numId="17">
    <w:abstractNumId w:val="6"/>
  </w:num>
  <w:num w:numId="18">
    <w:abstractNumId w:val="21"/>
  </w:num>
  <w:num w:numId="19">
    <w:abstractNumId w:val="26"/>
  </w:num>
  <w:num w:numId="20">
    <w:abstractNumId w:val="9"/>
  </w:num>
  <w:num w:numId="21">
    <w:abstractNumId w:val="23"/>
  </w:num>
  <w:num w:numId="22">
    <w:abstractNumId w:val="0"/>
  </w:num>
  <w:num w:numId="23">
    <w:abstractNumId w:val="1"/>
  </w:num>
  <w:num w:numId="24">
    <w:abstractNumId w:val="29"/>
  </w:num>
  <w:num w:numId="25">
    <w:abstractNumId w:val="25"/>
  </w:num>
  <w:num w:numId="26">
    <w:abstractNumId w:val="25"/>
  </w:num>
  <w:num w:numId="27">
    <w:abstractNumId w:val="22"/>
  </w:num>
  <w:num w:numId="28">
    <w:abstractNumId w:val="25"/>
  </w:num>
  <w:num w:numId="29">
    <w:abstractNumId w:val="24"/>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15"/>
  </w:num>
  <w:num w:numId="44">
    <w:abstractNumId w:val="3"/>
  </w:num>
  <w:num w:numId="45">
    <w:abstractNumId w:val="25"/>
  </w:num>
  <w:num w:numId="46">
    <w:abstractNumId w:val="25"/>
  </w:num>
  <w:num w:numId="47">
    <w:abstractNumId w:val="25"/>
  </w:num>
  <w:num w:numId="48">
    <w:abstractNumId w:val="25"/>
  </w:num>
  <w:num w:numId="49">
    <w:abstractNumId w:val="25"/>
  </w:num>
  <w:num w:numId="50">
    <w:abstractNumId w:val="25"/>
  </w:num>
  <w:num w:numId="51">
    <w:abstractNumId w:val="25"/>
  </w:num>
  <w:num w:numId="52">
    <w:abstractNumId w:val="25"/>
  </w:num>
  <w:num w:numId="53">
    <w:abstractNumId w:val="25"/>
  </w:num>
  <w:num w:numId="54">
    <w:abstractNumId w:val="25"/>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25"/>
  </w:num>
  <w:num w:numId="64">
    <w:abstractNumId w:val="25"/>
  </w:num>
  <w:num w:numId="65">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DC6"/>
    <w:rsid w:val="0000044E"/>
    <w:rsid w:val="000004B9"/>
    <w:rsid w:val="00001962"/>
    <w:rsid w:val="00001DA3"/>
    <w:rsid w:val="000037BE"/>
    <w:rsid w:val="00011AF2"/>
    <w:rsid w:val="000120F1"/>
    <w:rsid w:val="000140CE"/>
    <w:rsid w:val="00014F59"/>
    <w:rsid w:val="00016326"/>
    <w:rsid w:val="0001689B"/>
    <w:rsid w:val="00016A1A"/>
    <w:rsid w:val="0002197E"/>
    <w:rsid w:val="00021FBF"/>
    <w:rsid w:val="00025D81"/>
    <w:rsid w:val="0002713F"/>
    <w:rsid w:val="00027695"/>
    <w:rsid w:val="00030215"/>
    <w:rsid w:val="00032B79"/>
    <w:rsid w:val="00035B2A"/>
    <w:rsid w:val="00037507"/>
    <w:rsid w:val="00037551"/>
    <w:rsid w:val="00037E59"/>
    <w:rsid w:val="000466C7"/>
    <w:rsid w:val="00046E7D"/>
    <w:rsid w:val="000550E9"/>
    <w:rsid w:val="00055385"/>
    <w:rsid w:val="00055CFD"/>
    <w:rsid w:val="00056905"/>
    <w:rsid w:val="000573D5"/>
    <w:rsid w:val="00061918"/>
    <w:rsid w:val="0006458B"/>
    <w:rsid w:val="00066405"/>
    <w:rsid w:val="00071805"/>
    <w:rsid w:val="00071B2A"/>
    <w:rsid w:val="00073577"/>
    <w:rsid w:val="0008066A"/>
    <w:rsid w:val="000846EA"/>
    <w:rsid w:val="00090166"/>
    <w:rsid w:val="00093501"/>
    <w:rsid w:val="0009593A"/>
    <w:rsid w:val="000964A0"/>
    <w:rsid w:val="000A30BF"/>
    <w:rsid w:val="000A51F2"/>
    <w:rsid w:val="000B11F4"/>
    <w:rsid w:val="000B39A4"/>
    <w:rsid w:val="000C0A21"/>
    <w:rsid w:val="000C4DEC"/>
    <w:rsid w:val="000C56A9"/>
    <w:rsid w:val="000D1789"/>
    <w:rsid w:val="000D1C04"/>
    <w:rsid w:val="000D3348"/>
    <w:rsid w:val="000E4790"/>
    <w:rsid w:val="000E5993"/>
    <w:rsid w:val="000E59A3"/>
    <w:rsid w:val="000E69C9"/>
    <w:rsid w:val="000E72BE"/>
    <w:rsid w:val="000F08DE"/>
    <w:rsid w:val="000F1DCD"/>
    <w:rsid w:val="000F1DEF"/>
    <w:rsid w:val="000F2C0F"/>
    <w:rsid w:val="000F5DFA"/>
    <w:rsid w:val="00105E48"/>
    <w:rsid w:val="001159AC"/>
    <w:rsid w:val="00115AE7"/>
    <w:rsid w:val="0011761C"/>
    <w:rsid w:val="00117C68"/>
    <w:rsid w:val="00120BB9"/>
    <w:rsid w:val="0012189B"/>
    <w:rsid w:val="00124E7D"/>
    <w:rsid w:val="00125E98"/>
    <w:rsid w:val="001276FB"/>
    <w:rsid w:val="00130878"/>
    <w:rsid w:val="00137D49"/>
    <w:rsid w:val="001410DD"/>
    <w:rsid w:val="0014128A"/>
    <w:rsid w:val="0014310A"/>
    <w:rsid w:val="00143562"/>
    <w:rsid w:val="00143ED7"/>
    <w:rsid w:val="00143EF0"/>
    <w:rsid w:val="00145D6F"/>
    <w:rsid w:val="00153DCD"/>
    <w:rsid w:val="001542A8"/>
    <w:rsid w:val="00157788"/>
    <w:rsid w:val="001614AF"/>
    <w:rsid w:val="001634D4"/>
    <w:rsid w:val="0016419A"/>
    <w:rsid w:val="00165E37"/>
    <w:rsid w:val="00170841"/>
    <w:rsid w:val="00173399"/>
    <w:rsid w:val="00175259"/>
    <w:rsid w:val="001815E0"/>
    <w:rsid w:val="0018234F"/>
    <w:rsid w:val="0018370C"/>
    <w:rsid w:val="00190371"/>
    <w:rsid w:val="0019115F"/>
    <w:rsid w:val="00191730"/>
    <w:rsid w:val="00191B5B"/>
    <w:rsid w:val="00193602"/>
    <w:rsid w:val="00196B3F"/>
    <w:rsid w:val="001B0931"/>
    <w:rsid w:val="001B7ED6"/>
    <w:rsid w:val="001C1CF1"/>
    <w:rsid w:val="001C4564"/>
    <w:rsid w:val="001C6D8C"/>
    <w:rsid w:val="001D09A8"/>
    <w:rsid w:val="001D1E65"/>
    <w:rsid w:val="001D2E41"/>
    <w:rsid w:val="001D47CE"/>
    <w:rsid w:val="001D5593"/>
    <w:rsid w:val="001E0AE3"/>
    <w:rsid w:val="001E1CD1"/>
    <w:rsid w:val="001E30A1"/>
    <w:rsid w:val="001E42F1"/>
    <w:rsid w:val="001E6A5F"/>
    <w:rsid w:val="001E6E41"/>
    <w:rsid w:val="001E7F7D"/>
    <w:rsid w:val="001F0393"/>
    <w:rsid w:val="001F0DB6"/>
    <w:rsid w:val="001F6031"/>
    <w:rsid w:val="002006BA"/>
    <w:rsid w:val="00200E13"/>
    <w:rsid w:val="00212333"/>
    <w:rsid w:val="002156A1"/>
    <w:rsid w:val="0021592A"/>
    <w:rsid w:val="00215FB0"/>
    <w:rsid w:val="0022179C"/>
    <w:rsid w:val="00232B6F"/>
    <w:rsid w:val="00233DA1"/>
    <w:rsid w:val="00237651"/>
    <w:rsid w:val="00237EB2"/>
    <w:rsid w:val="00244062"/>
    <w:rsid w:val="0024513A"/>
    <w:rsid w:val="002476A5"/>
    <w:rsid w:val="00247D9C"/>
    <w:rsid w:val="0025427A"/>
    <w:rsid w:val="002616F4"/>
    <w:rsid w:val="00263576"/>
    <w:rsid w:val="00263ADB"/>
    <w:rsid w:val="00267ED3"/>
    <w:rsid w:val="00270601"/>
    <w:rsid w:val="0027148C"/>
    <w:rsid w:val="0027178D"/>
    <w:rsid w:val="00271897"/>
    <w:rsid w:val="00273573"/>
    <w:rsid w:val="00274A1F"/>
    <w:rsid w:val="00275CC2"/>
    <w:rsid w:val="00276DC3"/>
    <w:rsid w:val="00277C6B"/>
    <w:rsid w:val="002815E2"/>
    <w:rsid w:val="0028523B"/>
    <w:rsid w:val="00286024"/>
    <w:rsid w:val="0029117A"/>
    <w:rsid w:val="0029405C"/>
    <w:rsid w:val="00294947"/>
    <w:rsid w:val="00296267"/>
    <w:rsid w:val="00296E5A"/>
    <w:rsid w:val="002A58F1"/>
    <w:rsid w:val="002A5E86"/>
    <w:rsid w:val="002B1E2E"/>
    <w:rsid w:val="002B2811"/>
    <w:rsid w:val="002B4C1A"/>
    <w:rsid w:val="002B62BD"/>
    <w:rsid w:val="002B6366"/>
    <w:rsid w:val="002C0420"/>
    <w:rsid w:val="002D1D51"/>
    <w:rsid w:val="002E3770"/>
    <w:rsid w:val="002E4D7E"/>
    <w:rsid w:val="002F097C"/>
    <w:rsid w:val="002F0E5B"/>
    <w:rsid w:val="002F1D2C"/>
    <w:rsid w:val="002F2029"/>
    <w:rsid w:val="002F3DEB"/>
    <w:rsid w:val="002F626B"/>
    <w:rsid w:val="00300BFE"/>
    <w:rsid w:val="00301C6E"/>
    <w:rsid w:val="00301E50"/>
    <w:rsid w:val="00307691"/>
    <w:rsid w:val="00312899"/>
    <w:rsid w:val="00313B29"/>
    <w:rsid w:val="00315091"/>
    <w:rsid w:val="00315765"/>
    <w:rsid w:val="00320177"/>
    <w:rsid w:val="00320888"/>
    <w:rsid w:val="00323319"/>
    <w:rsid w:val="0032480C"/>
    <w:rsid w:val="00325492"/>
    <w:rsid w:val="00332142"/>
    <w:rsid w:val="00342060"/>
    <w:rsid w:val="003430B8"/>
    <w:rsid w:val="00344595"/>
    <w:rsid w:val="00345EB1"/>
    <w:rsid w:val="00346108"/>
    <w:rsid w:val="00347D69"/>
    <w:rsid w:val="00353192"/>
    <w:rsid w:val="00355D2D"/>
    <w:rsid w:val="003710A8"/>
    <w:rsid w:val="0037246B"/>
    <w:rsid w:val="00373DAF"/>
    <w:rsid w:val="003744B9"/>
    <w:rsid w:val="003753AC"/>
    <w:rsid w:val="003770FF"/>
    <w:rsid w:val="00380C84"/>
    <w:rsid w:val="00382D65"/>
    <w:rsid w:val="00392937"/>
    <w:rsid w:val="0039657F"/>
    <w:rsid w:val="003A2577"/>
    <w:rsid w:val="003A404D"/>
    <w:rsid w:val="003A5437"/>
    <w:rsid w:val="003A56EC"/>
    <w:rsid w:val="003B23C6"/>
    <w:rsid w:val="003B263D"/>
    <w:rsid w:val="003B7580"/>
    <w:rsid w:val="003C32FE"/>
    <w:rsid w:val="003C7A15"/>
    <w:rsid w:val="003D3979"/>
    <w:rsid w:val="003D609F"/>
    <w:rsid w:val="003E0F03"/>
    <w:rsid w:val="003E2EFA"/>
    <w:rsid w:val="003F31E0"/>
    <w:rsid w:val="003F6C10"/>
    <w:rsid w:val="004010A2"/>
    <w:rsid w:val="004019A5"/>
    <w:rsid w:val="004029F9"/>
    <w:rsid w:val="004116F8"/>
    <w:rsid w:val="004131E4"/>
    <w:rsid w:val="004132A5"/>
    <w:rsid w:val="00421766"/>
    <w:rsid w:val="00421DC6"/>
    <w:rsid w:val="004434E5"/>
    <w:rsid w:val="00444A25"/>
    <w:rsid w:val="00444F5A"/>
    <w:rsid w:val="00453E1C"/>
    <w:rsid w:val="004559D9"/>
    <w:rsid w:val="0045789A"/>
    <w:rsid w:val="004601AF"/>
    <w:rsid w:val="00464576"/>
    <w:rsid w:val="00470479"/>
    <w:rsid w:val="004722AA"/>
    <w:rsid w:val="00481520"/>
    <w:rsid w:val="00481AF7"/>
    <w:rsid w:val="00485135"/>
    <w:rsid w:val="00487995"/>
    <w:rsid w:val="004931F2"/>
    <w:rsid w:val="00493551"/>
    <w:rsid w:val="00495206"/>
    <w:rsid w:val="004A21AB"/>
    <w:rsid w:val="004B1319"/>
    <w:rsid w:val="004B2B65"/>
    <w:rsid w:val="004C3E12"/>
    <w:rsid w:val="004C753D"/>
    <w:rsid w:val="004D5EAF"/>
    <w:rsid w:val="004D63BB"/>
    <w:rsid w:val="004E1254"/>
    <w:rsid w:val="004F0EE8"/>
    <w:rsid w:val="004F2FDE"/>
    <w:rsid w:val="00503460"/>
    <w:rsid w:val="00507B23"/>
    <w:rsid w:val="005122B5"/>
    <w:rsid w:val="005128B9"/>
    <w:rsid w:val="00513314"/>
    <w:rsid w:val="00513FBA"/>
    <w:rsid w:val="005140DA"/>
    <w:rsid w:val="00514DAE"/>
    <w:rsid w:val="00515019"/>
    <w:rsid w:val="005159AF"/>
    <w:rsid w:val="005230DA"/>
    <w:rsid w:val="00524D09"/>
    <w:rsid w:val="00525841"/>
    <w:rsid w:val="00530059"/>
    <w:rsid w:val="005314F1"/>
    <w:rsid w:val="00531B91"/>
    <w:rsid w:val="0053564E"/>
    <w:rsid w:val="00541558"/>
    <w:rsid w:val="00542CDF"/>
    <w:rsid w:val="00543D25"/>
    <w:rsid w:val="00544375"/>
    <w:rsid w:val="005521A7"/>
    <w:rsid w:val="00553570"/>
    <w:rsid w:val="005562C6"/>
    <w:rsid w:val="005610E7"/>
    <w:rsid w:val="005717DB"/>
    <w:rsid w:val="00572F4F"/>
    <w:rsid w:val="00575055"/>
    <w:rsid w:val="005909AA"/>
    <w:rsid w:val="00590BEB"/>
    <w:rsid w:val="00591866"/>
    <w:rsid w:val="00591AFC"/>
    <w:rsid w:val="00596704"/>
    <w:rsid w:val="005B3981"/>
    <w:rsid w:val="005B62A9"/>
    <w:rsid w:val="005C145B"/>
    <w:rsid w:val="005C5D31"/>
    <w:rsid w:val="005D0F2E"/>
    <w:rsid w:val="005D479E"/>
    <w:rsid w:val="005D5B02"/>
    <w:rsid w:val="005D78C3"/>
    <w:rsid w:val="005E4CB3"/>
    <w:rsid w:val="005E7DB2"/>
    <w:rsid w:val="005F1054"/>
    <w:rsid w:val="005F2717"/>
    <w:rsid w:val="005F2B0E"/>
    <w:rsid w:val="005F315A"/>
    <w:rsid w:val="005F6491"/>
    <w:rsid w:val="0060031A"/>
    <w:rsid w:val="006025FC"/>
    <w:rsid w:val="00603BB2"/>
    <w:rsid w:val="00607DF8"/>
    <w:rsid w:val="006105C3"/>
    <w:rsid w:val="00610B29"/>
    <w:rsid w:val="00610DC6"/>
    <w:rsid w:val="00613BC3"/>
    <w:rsid w:val="006149D2"/>
    <w:rsid w:val="00615395"/>
    <w:rsid w:val="00617C44"/>
    <w:rsid w:val="00620375"/>
    <w:rsid w:val="006209DC"/>
    <w:rsid w:val="00624F96"/>
    <w:rsid w:val="0063209E"/>
    <w:rsid w:val="006324D0"/>
    <w:rsid w:val="00634316"/>
    <w:rsid w:val="00634424"/>
    <w:rsid w:val="006413E9"/>
    <w:rsid w:val="006436C5"/>
    <w:rsid w:val="0064506F"/>
    <w:rsid w:val="0064732A"/>
    <w:rsid w:val="00650053"/>
    <w:rsid w:val="006512E8"/>
    <w:rsid w:val="00652067"/>
    <w:rsid w:val="00653EFA"/>
    <w:rsid w:val="00654CE5"/>
    <w:rsid w:val="00654D7A"/>
    <w:rsid w:val="00660C12"/>
    <w:rsid w:val="006613D5"/>
    <w:rsid w:val="006626EF"/>
    <w:rsid w:val="006726F3"/>
    <w:rsid w:val="00676FE5"/>
    <w:rsid w:val="0068058D"/>
    <w:rsid w:val="00681C52"/>
    <w:rsid w:val="00683DC8"/>
    <w:rsid w:val="0068584D"/>
    <w:rsid w:val="00697ACA"/>
    <w:rsid w:val="006B3501"/>
    <w:rsid w:val="006B3B8A"/>
    <w:rsid w:val="006B5F8C"/>
    <w:rsid w:val="006C4506"/>
    <w:rsid w:val="006D0271"/>
    <w:rsid w:val="006D0640"/>
    <w:rsid w:val="006D0B7C"/>
    <w:rsid w:val="006D1214"/>
    <w:rsid w:val="006D42FB"/>
    <w:rsid w:val="006D6745"/>
    <w:rsid w:val="006D67D1"/>
    <w:rsid w:val="006D746E"/>
    <w:rsid w:val="006E0641"/>
    <w:rsid w:val="006E2371"/>
    <w:rsid w:val="006E2AA3"/>
    <w:rsid w:val="006E2EE7"/>
    <w:rsid w:val="006F0189"/>
    <w:rsid w:val="006F69EC"/>
    <w:rsid w:val="007012A1"/>
    <w:rsid w:val="00707C89"/>
    <w:rsid w:val="00710BCB"/>
    <w:rsid w:val="00713CF9"/>
    <w:rsid w:val="00716DF4"/>
    <w:rsid w:val="0072317C"/>
    <w:rsid w:val="00726128"/>
    <w:rsid w:val="007279DD"/>
    <w:rsid w:val="00741D3A"/>
    <w:rsid w:val="007432F7"/>
    <w:rsid w:val="00743C57"/>
    <w:rsid w:val="007546D2"/>
    <w:rsid w:val="00766671"/>
    <w:rsid w:val="007701A5"/>
    <w:rsid w:val="0077096E"/>
    <w:rsid w:val="00773CA6"/>
    <w:rsid w:val="00783ECD"/>
    <w:rsid w:val="00791490"/>
    <w:rsid w:val="00791D83"/>
    <w:rsid w:val="00793923"/>
    <w:rsid w:val="00796078"/>
    <w:rsid w:val="00797898"/>
    <w:rsid w:val="007A14C4"/>
    <w:rsid w:val="007A2626"/>
    <w:rsid w:val="007A4B90"/>
    <w:rsid w:val="007B16C4"/>
    <w:rsid w:val="007C2C73"/>
    <w:rsid w:val="007C3FF9"/>
    <w:rsid w:val="007C4D9C"/>
    <w:rsid w:val="007C75EF"/>
    <w:rsid w:val="007D082E"/>
    <w:rsid w:val="007D1009"/>
    <w:rsid w:val="007D153A"/>
    <w:rsid w:val="007D1B86"/>
    <w:rsid w:val="007D58C6"/>
    <w:rsid w:val="007D7ED0"/>
    <w:rsid w:val="007E0FB3"/>
    <w:rsid w:val="007E637B"/>
    <w:rsid w:val="007E7494"/>
    <w:rsid w:val="007F1324"/>
    <w:rsid w:val="007F17F6"/>
    <w:rsid w:val="007F41D0"/>
    <w:rsid w:val="007F61D4"/>
    <w:rsid w:val="00802971"/>
    <w:rsid w:val="00805E9E"/>
    <w:rsid w:val="00810F3D"/>
    <w:rsid w:val="00811DEB"/>
    <w:rsid w:val="00812D15"/>
    <w:rsid w:val="0081524B"/>
    <w:rsid w:val="00815476"/>
    <w:rsid w:val="00815890"/>
    <w:rsid w:val="00816AC3"/>
    <w:rsid w:val="00817FAB"/>
    <w:rsid w:val="0082051C"/>
    <w:rsid w:val="008242BB"/>
    <w:rsid w:val="0082735D"/>
    <w:rsid w:val="00831A42"/>
    <w:rsid w:val="0083784C"/>
    <w:rsid w:val="00841F84"/>
    <w:rsid w:val="00845148"/>
    <w:rsid w:val="00847C14"/>
    <w:rsid w:val="00850695"/>
    <w:rsid w:val="008512EC"/>
    <w:rsid w:val="008530A9"/>
    <w:rsid w:val="00861B23"/>
    <w:rsid w:val="0088234A"/>
    <w:rsid w:val="008835D4"/>
    <w:rsid w:val="00891CE5"/>
    <w:rsid w:val="008936D5"/>
    <w:rsid w:val="00894F92"/>
    <w:rsid w:val="00895C1C"/>
    <w:rsid w:val="00897497"/>
    <w:rsid w:val="008A0813"/>
    <w:rsid w:val="008A1107"/>
    <w:rsid w:val="008A2D29"/>
    <w:rsid w:val="008A48E2"/>
    <w:rsid w:val="008A5A7C"/>
    <w:rsid w:val="008A7974"/>
    <w:rsid w:val="008A7CD6"/>
    <w:rsid w:val="008B2DEC"/>
    <w:rsid w:val="008B3FBC"/>
    <w:rsid w:val="008B5ED0"/>
    <w:rsid w:val="008C0E8B"/>
    <w:rsid w:val="008C1879"/>
    <w:rsid w:val="008C24C3"/>
    <w:rsid w:val="008C6525"/>
    <w:rsid w:val="008C71A7"/>
    <w:rsid w:val="008C7B9E"/>
    <w:rsid w:val="008D79AA"/>
    <w:rsid w:val="008E082D"/>
    <w:rsid w:val="008E2921"/>
    <w:rsid w:val="008E2B0D"/>
    <w:rsid w:val="008E4F29"/>
    <w:rsid w:val="008F234B"/>
    <w:rsid w:val="008F3B21"/>
    <w:rsid w:val="008F41BA"/>
    <w:rsid w:val="008F477D"/>
    <w:rsid w:val="008F4DF5"/>
    <w:rsid w:val="008F752A"/>
    <w:rsid w:val="009014CF"/>
    <w:rsid w:val="00903C48"/>
    <w:rsid w:val="00905624"/>
    <w:rsid w:val="0090714E"/>
    <w:rsid w:val="00910233"/>
    <w:rsid w:val="0091693C"/>
    <w:rsid w:val="00917665"/>
    <w:rsid w:val="00921BA9"/>
    <w:rsid w:val="00924EA7"/>
    <w:rsid w:val="0092536B"/>
    <w:rsid w:val="00926329"/>
    <w:rsid w:val="00933C17"/>
    <w:rsid w:val="00933D58"/>
    <w:rsid w:val="0094306A"/>
    <w:rsid w:val="00951848"/>
    <w:rsid w:val="00957F2E"/>
    <w:rsid w:val="00964D5B"/>
    <w:rsid w:val="00965C90"/>
    <w:rsid w:val="00972AE7"/>
    <w:rsid w:val="009736F2"/>
    <w:rsid w:val="009774E7"/>
    <w:rsid w:val="009816D1"/>
    <w:rsid w:val="00983554"/>
    <w:rsid w:val="00985319"/>
    <w:rsid w:val="009873A1"/>
    <w:rsid w:val="0099191E"/>
    <w:rsid w:val="00994A76"/>
    <w:rsid w:val="00994DAC"/>
    <w:rsid w:val="00996D44"/>
    <w:rsid w:val="009A709C"/>
    <w:rsid w:val="009A74B2"/>
    <w:rsid w:val="009B10C6"/>
    <w:rsid w:val="009B1CDD"/>
    <w:rsid w:val="009B4CC4"/>
    <w:rsid w:val="009C0E1A"/>
    <w:rsid w:val="009C0FFB"/>
    <w:rsid w:val="009C386A"/>
    <w:rsid w:val="009C5F73"/>
    <w:rsid w:val="009D0C6D"/>
    <w:rsid w:val="009D5A87"/>
    <w:rsid w:val="009D7993"/>
    <w:rsid w:val="009E0995"/>
    <w:rsid w:val="009E1D11"/>
    <w:rsid w:val="009E502F"/>
    <w:rsid w:val="009E5EF3"/>
    <w:rsid w:val="009E7038"/>
    <w:rsid w:val="009F0867"/>
    <w:rsid w:val="009F110F"/>
    <w:rsid w:val="009F6EC9"/>
    <w:rsid w:val="00A01103"/>
    <w:rsid w:val="00A029CD"/>
    <w:rsid w:val="00A10B93"/>
    <w:rsid w:val="00A10D30"/>
    <w:rsid w:val="00A1443E"/>
    <w:rsid w:val="00A20031"/>
    <w:rsid w:val="00A2079A"/>
    <w:rsid w:val="00A215EF"/>
    <w:rsid w:val="00A21AE6"/>
    <w:rsid w:val="00A24BDE"/>
    <w:rsid w:val="00A24E4A"/>
    <w:rsid w:val="00A27371"/>
    <w:rsid w:val="00A30D62"/>
    <w:rsid w:val="00A400C5"/>
    <w:rsid w:val="00A42C50"/>
    <w:rsid w:val="00A42E7D"/>
    <w:rsid w:val="00A50AE0"/>
    <w:rsid w:val="00A5131A"/>
    <w:rsid w:val="00A528D5"/>
    <w:rsid w:val="00A53422"/>
    <w:rsid w:val="00A55293"/>
    <w:rsid w:val="00A5596E"/>
    <w:rsid w:val="00A5684E"/>
    <w:rsid w:val="00A56AEA"/>
    <w:rsid w:val="00A56DC9"/>
    <w:rsid w:val="00A63CFF"/>
    <w:rsid w:val="00A6411B"/>
    <w:rsid w:val="00A648A8"/>
    <w:rsid w:val="00A71D85"/>
    <w:rsid w:val="00A73F8B"/>
    <w:rsid w:val="00A74907"/>
    <w:rsid w:val="00A80928"/>
    <w:rsid w:val="00A81DAF"/>
    <w:rsid w:val="00A82CAF"/>
    <w:rsid w:val="00A83495"/>
    <w:rsid w:val="00A85994"/>
    <w:rsid w:val="00A94763"/>
    <w:rsid w:val="00AA0A57"/>
    <w:rsid w:val="00AA2367"/>
    <w:rsid w:val="00AA2E4C"/>
    <w:rsid w:val="00AA4B82"/>
    <w:rsid w:val="00AA5A1B"/>
    <w:rsid w:val="00AB280D"/>
    <w:rsid w:val="00AB5243"/>
    <w:rsid w:val="00AC05C4"/>
    <w:rsid w:val="00AC31E3"/>
    <w:rsid w:val="00AC71D1"/>
    <w:rsid w:val="00AC764A"/>
    <w:rsid w:val="00AD069C"/>
    <w:rsid w:val="00AD09DD"/>
    <w:rsid w:val="00AD3CEE"/>
    <w:rsid w:val="00AD58C5"/>
    <w:rsid w:val="00AE5084"/>
    <w:rsid w:val="00AF1970"/>
    <w:rsid w:val="00AF1CB5"/>
    <w:rsid w:val="00AF49FE"/>
    <w:rsid w:val="00AF4CF8"/>
    <w:rsid w:val="00AF5A84"/>
    <w:rsid w:val="00AF5DE3"/>
    <w:rsid w:val="00B00805"/>
    <w:rsid w:val="00B021F0"/>
    <w:rsid w:val="00B02E33"/>
    <w:rsid w:val="00B03853"/>
    <w:rsid w:val="00B03AE9"/>
    <w:rsid w:val="00B0783B"/>
    <w:rsid w:val="00B07AC0"/>
    <w:rsid w:val="00B10D8F"/>
    <w:rsid w:val="00B11D47"/>
    <w:rsid w:val="00B123E0"/>
    <w:rsid w:val="00B12DE8"/>
    <w:rsid w:val="00B13008"/>
    <w:rsid w:val="00B277BF"/>
    <w:rsid w:val="00B33671"/>
    <w:rsid w:val="00B33704"/>
    <w:rsid w:val="00B34FD1"/>
    <w:rsid w:val="00B358C8"/>
    <w:rsid w:val="00B459D5"/>
    <w:rsid w:val="00B47D2A"/>
    <w:rsid w:val="00B51A7B"/>
    <w:rsid w:val="00B51E7E"/>
    <w:rsid w:val="00B554CD"/>
    <w:rsid w:val="00B62C4C"/>
    <w:rsid w:val="00B63625"/>
    <w:rsid w:val="00B66F5F"/>
    <w:rsid w:val="00B7345D"/>
    <w:rsid w:val="00B737EB"/>
    <w:rsid w:val="00B75254"/>
    <w:rsid w:val="00B75F3C"/>
    <w:rsid w:val="00B76223"/>
    <w:rsid w:val="00B81887"/>
    <w:rsid w:val="00B82467"/>
    <w:rsid w:val="00B85ECA"/>
    <w:rsid w:val="00B9613F"/>
    <w:rsid w:val="00B97937"/>
    <w:rsid w:val="00BA0C95"/>
    <w:rsid w:val="00BA11C4"/>
    <w:rsid w:val="00BA70C5"/>
    <w:rsid w:val="00BB0A35"/>
    <w:rsid w:val="00BC0457"/>
    <w:rsid w:val="00BC0CC2"/>
    <w:rsid w:val="00BC2B18"/>
    <w:rsid w:val="00BC39C8"/>
    <w:rsid w:val="00BD16A8"/>
    <w:rsid w:val="00BD17AE"/>
    <w:rsid w:val="00BD49A0"/>
    <w:rsid w:val="00BD5323"/>
    <w:rsid w:val="00BD5605"/>
    <w:rsid w:val="00BD692A"/>
    <w:rsid w:val="00BD7B49"/>
    <w:rsid w:val="00BE009F"/>
    <w:rsid w:val="00BE202C"/>
    <w:rsid w:val="00BE369A"/>
    <w:rsid w:val="00BF04AF"/>
    <w:rsid w:val="00BF31E9"/>
    <w:rsid w:val="00C006A2"/>
    <w:rsid w:val="00C02A16"/>
    <w:rsid w:val="00C02D8F"/>
    <w:rsid w:val="00C036A1"/>
    <w:rsid w:val="00C0600C"/>
    <w:rsid w:val="00C1084A"/>
    <w:rsid w:val="00C13350"/>
    <w:rsid w:val="00C16D4C"/>
    <w:rsid w:val="00C16F96"/>
    <w:rsid w:val="00C24AF5"/>
    <w:rsid w:val="00C30703"/>
    <w:rsid w:val="00C3197C"/>
    <w:rsid w:val="00C363E2"/>
    <w:rsid w:val="00C4287E"/>
    <w:rsid w:val="00C454F0"/>
    <w:rsid w:val="00C4609C"/>
    <w:rsid w:val="00C62177"/>
    <w:rsid w:val="00C623D9"/>
    <w:rsid w:val="00C63DE9"/>
    <w:rsid w:val="00C709C0"/>
    <w:rsid w:val="00C73F25"/>
    <w:rsid w:val="00C757CF"/>
    <w:rsid w:val="00C75FC7"/>
    <w:rsid w:val="00C7629A"/>
    <w:rsid w:val="00C76C27"/>
    <w:rsid w:val="00C80068"/>
    <w:rsid w:val="00C80269"/>
    <w:rsid w:val="00C8213D"/>
    <w:rsid w:val="00C83FD3"/>
    <w:rsid w:val="00C84F25"/>
    <w:rsid w:val="00C91554"/>
    <w:rsid w:val="00C93B83"/>
    <w:rsid w:val="00C97846"/>
    <w:rsid w:val="00CA0098"/>
    <w:rsid w:val="00CA11C7"/>
    <w:rsid w:val="00CA6274"/>
    <w:rsid w:val="00CA797B"/>
    <w:rsid w:val="00CB32EC"/>
    <w:rsid w:val="00CB6D54"/>
    <w:rsid w:val="00CB72E2"/>
    <w:rsid w:val="00CC24C4"/>
    <w:rsid w:val="00CC46F5"/>
    <w:rsid w:val="00CC643A"/>
    <w:rsid w:val="00CD71AC"/>
    <w:rsid w:val="00CE17F8"/>
    <w:rsid w:val="00CE3747"/>
    <w:rsid w:val="00CE395E"/>
    <w:rsid w:val="00CE7E27"/>
    <w:rsid w:val="00CF07BA"/>
    <w:rsid w:val="00CF3BE3"/>
    <w:rsid w:val="00CF5473"/>
    <w:rsid w:val="00CF6C0E"/>
    <w:rsid w:val="00CF6F75"/>
    <w:rsid w:val="00D06CCF"/>
    <w:rsid w:val="00D12361"/>
    <w:rsid w:val="00D1274E"/>
    <w:rsid w:val="00D22326"/>
    <w:rsid w:val="00D223F4"/>
    <w:rsid w:val="00D24663"/>
    <w:rsid w:val="00D3252D"/>
    <w:rsid w:val="00D32D3E"/>
    <w:rsid w:val="00D341AE"/>
    <w:rsid w:val="00D36113"/>
    <w:rsid w:val="00D36A5F"/>
    <w:rsid w:val="00D3722A"/>
    <w:rsid w:val="00D40833"/>
    <w:rsid w:val="00D414BE"/>
    <w:rsid w:val="00D44420"/>
    <w:rsid w:val="00D4472C"/>
    <w:rsid w:val="00D46A30"/>
    <w:rsid w:val="00D50649"/>
    <w:rsid w:val="00D512B3"/>
    <w:rsid w:val="00D62EE4"/>
    <w:rsid w:val="00D70CCF"/>
    <w:rsid w:val="00D7141A"/>
    <w:rsid w:val="00D75715"/>
    <w:rsid w:val="00D75FB0"/>
    <w:rsid w:val="00D80715"/>
    <w:rsid w:val="00D81AF5"/>
    <w:rsid w:val="00D82D16"/>
    <w:rsid w:val="00D85E9B"/>
    <w:rsid w:val="00D9010D"/>
    <w:rsid w:val="00D908C7"/>
    <w:rsid w:val="00D9367B"/>
    <w:rsid w:val="00D94F24"/>
    <w:rsid w:val="00D96A56"/>
    <w:rsid w:val="00DA0477"/>
    <w:rsid w:val="00DA227F"/>
    <w:rsid w:val="00DA63D0"/>
    <w:rsid w:val="00DB75C8"/>
    <w:rsid w:val="00DC1E00"/>
    <w:rsid w:val="00DC31FC"/>
    <w:rsid w:val="00DC4B64"/>
    <w:rsid w:val="00DD1196"/>
    <w:rsid w:val="00DD2593"/>
    <w:rsid w:val="00DD3A5F"/>
    <w:rsid w:val="00DD3AC9"/>
    <w:rsid w:val="00DE3799"/>
    <w:rsid w:val="00DE6348"/>
    <w:rsid w:val="00DF7B5B"/>
    <w:rsid w:val="00E00D2B"/>
    <w:rsid w:val="00E0324E"/>
    <w:rsid w:val="00E055EE"/>
    <w:rsid w:val="00E0728A"/>
    <w:rsid w:val="00E114DC"/>
    <w:rsid w:val="00E11DB8"/>
    <w:rsid w:val="00E141DD"/>
    <w:rsid w:val="00E24B40"/>
    <w:rsid w:val="00E34E40"/>
    <w:rsid w:val="00E34E67"/>
    <w:rsid w:val="00E35136"/>
    <w:rsid w:val="00E37732"/>
    <w:rsid w:val="00E404BF"/>
    <w:rsid w:val="00E40E49"/>
    <w:rsid w:val="00E513B6"/>
    <w:rsid w:val="00E533C4"/>
    <w:rsid w:val="00E5410F"/>
    <w:rsid w:val="00E54BEC"/>
    <w:rsid w:val="00E5584D"/>
    <w:rsid w:val="00E60682"/>
    <w:rsid w:val="00E63BF5"/>
    <w:rsid w:val="00E64883"/>
    <w:rsid w:val="00E64E20"/>
    <w:rsid w:val="00E66818"/>
    <w:rsid w:val="00E748BB"/>
    <w:rsid w:val="00E74ED2"/>
    <w:rsid w:val="00E7797E"/>
    <w:rsid w:val="00E87E88"/>
    <w:rsid w:val="00E910B0"/>
    <w:rsid w:val="00E94E80"/>
    <w:rsid w:val="00E96FF5"/>
    <w:rsid w:val="00EA0306"/>
    <w:rsid w:val="00EA38DB"/>
    <w:rsid w:val="00EB43A4"/>
    <w:rsid w:val="00EC026C"/>
    <w:rsid w:val="00EC5FA7"/>
    <w:rsid w:val="00ED185F"/>
    <w:rsid w:val="00ED68F6"/>
    <w:rsid w:val="00EF3F5C"/>
    <w:rsid w:val="00EF6694"/>
    <w:rsid w:val="00EF7C63"/>
    <w:rsid w:val="00F033C8"/>
    <w:rsid w:val="00F0519B"/>
    <w:rsid w:val="00F052C2"/>
    <w:rsid w:val="00F063B3"/>
    <w:rsid w:val="00F073E1"/>
    <w:rsid w:val="00F07713"/>
    <w:rsid w:val="00F23BBD"/>
    <w:rsid w:val="00F25740"/>
    <w:rsid w:val="00F25A84"/>
    <w:rsid w:val="00F30208"/>
    <w:rsid w:val="00F302AC"/>
    <w:rsid w:val="00F3142B"/>
    <w:rsid w:val="00F317A7"/>
    <w:rsid w:val="00F325E6"/>
    <w:rsid w:val="00F34AA0"/>
    <w:rsid w:val="00F37A16"/>
    <w:rsid w:val="00F37CAC"/>
    <w:rsid w:val="00F444AD"/>
    <w:rsid w:val="00F45424"/>
    <w:rsid w:val="00F46D6E"/>
    <w:rsid w:val="00F479D1"/>
    <w:rsid w:val="00F528C2"/>
    <w:rsid w:val="00F61479"/>
    <w:rsid w:val="00F63347"/>
    <w:rsid w:val="00F636EF"/>
    <w:rsid w:val="00F64A30"/>
    <w:rsid w:val="00F67CC1"/>
    <w:rsid w:val="00F71F9E"/>
    <w:rsid w:val="00F7539A"/>
    <w:rsid w:val="00F804E8"/>
    <w:rsid w:val="00F82B4A"/>
    <w:rsid w:val="00F94271"/>
    <w:rsid w:val="00F95397"/>
    <w:rsid w:val="00F963C6"/>
    <w:rsid w:val="00F97CB8"/>
    <w:rsid w:val="00FA18EF"/>
    <w:rsid w:val="00FA42FF"/>
    <w:rsid w:val="00FA5276"/>
    <w:rsid w:val="00FA6603"/>
    <w:rsid w:val="00FA6DF5"/>
    <w:rsid w:val="00FB1844"/>
    <w:rsid w:val="00FB1A14"/>
    <w:rsid w:val="00FB2514"/>
    <w:rsid w:val="00FB3A18"/>
    <w:rsid w:val="00FB772B"/>
    <w:rsid w:val="00FC5868"/>
    <w:rsid w:val="00FC6C65"/>
    <w:rsid w:val="00FD0369"/>
    <w:rsid w:val="00FD58F9"/>
    <w:rsid w:val="00FD6E02"/>
    <w:rsid w:val="00FD7E90"/>
    <w:rsid w:val="00FE1315"/>
    <w:rsid w:val="00FE6181"/>
    <w:rsid w:val="00FE77F1"/>
    <w:rsid w:val="00FF6F2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ECF5FF"/>
  <w15:chartTrackingRefBased/>
  <w15:docId w15:val="{C1D2A232-393F-45D5-9282-0D207547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84D"/>
  </w:style>
  <w:style w:type="paragraph" w:styleId="Heading1">
    <w:name w:val="heading 1"/>
    <w:basedOn w:val="Normal"/>
    <w:next w:val="Normal"/>
    <w:link w:val="Heading1Char"/>
    <w:qFormat/>
    <w:rsid w:val="00610DC6"/>
    <w:pPr>
      <w:keepNext/>
      <w:widowControl w:val="0"/>
      <w:adjustRightInd w:val="0"/>
      <w:spacing w:before="240" w:after="60" w:line="360" w:lineRule="atLeast"/>
      <w:jc w:val="both"/>
      <w:textAlignment w:val="baseline"/>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unhideWhenUsed/>
    <w:qFormat/>
    <w:rsid w:val="00610DC6"/>
    <w:pPr>
      <w:keepNext/>
      <w:keepLines/>
      <w:widowControl w:val="0"/>
      <w:adjustRightInd w:val="0"/>
      <w:spacing w:before="200" w:after="0" w:line="276" w:lineRule="auto"/>
      <w:jc w:val="both"/>
      <w:textAlignment w:val="baseline"/>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unhideWhenUsed/>
    <w:qFormat/>
    <w:rsid w:val="00610DC6"/>
    <w:pPr>
      <w:keepNext/>
      <w:keepLines/>
      <w:widowControl w:val="0"/>
      <w:adjustRightInd w:val="0"/>
      <w:spacing w:before="200" w:after="0" w:line="360" w:lineRule="atLeast"/>
      <w:jc w:val="both"/>
      <w:textAlignment w:val="baseline"/>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610DC6"/>
    <w:pPr>
      <w:keepNext/>
      <w:widowControl w:val="0"/>
      <w:adjustRightInd w:val="0"/>
      <w:spacing w:before="240" w:after="60" w:line="360" w:lineRule="atLeast"/>
      <w:jc w:val="both"/>
      <w:textAlignment w:val="baseline"/>
      <w:outlineLvl w:val="3"/>
    </w:pPr>
    <w:rPr>
      <w:rFonts w:ascii="Calibri" w:eastAsia="Times New Roman" w:hAnsi="Calibri"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DC6"/>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610DC6"/>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610DC6"/>
    <w:rPr>
      <w:rFonts w:ascii="Cambria" w:eastAsia="Times New Roman"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610DC6"/>
    <w:rPr>
      <w:rFonts w:ascii="Calibri" w:eastAsia="Times New Roman" w:hAnsi="Calibri" w:cs="Arial"/>
      <w:b/>
      <w:bCs/>
      <w:sz w:val="28"/>
      <w:szCs w:val="28"/>
      <w:lang w:val="en-US"/>
    </w:rPr>
  </w:style>
  <w:style w:type="character" w:customStyle="1" w:styleId="ListParagraphChar">
    <w:name w:val="List Paragraph Char"/>
    <w:aliases w:val="List Paragraph (numbered (a)) Char1,List Paragraph1 Char,Numbered List Paragraph Char,Main numbered paragraph Char,List Paragraph (numbered (a)) Char Char,List Paragraph Char Char Char Char,Use Case List Paragraph Char,Bullets Char"/>
    <w:link w:val="ListParagraph"/>
    <w:uiPriority w:val="34"/>
    <w:qFormat/>
    <w:locked/>
    <w:rsid w:val="00610DC6"/>
    <w:rPr>
      <w:rFonts w:ascii="Arial" w:hAnsi="Arial" w:cs="Arial"/>
      <w:color w:val="000000"/>
      <w:sz w:val="24"/>
      <w:szCs w:val="24"/>
    </w:rPr>
  </w:style>
  <w:style w:type="paragraph" w:styleId="ListParagraph">
    <w:name w:val="List Paragraph"/>
    <w:aliases w:val="List Paragraph (numbered (a)),List Paragraph1,Numbered List Paragraph,Main numbered paragraph,List Paragraph (numbered (a)) Char,List Paragraph Char Char Char,Use Case List Paragraph,List Paragraph2,List Bullet Mary,Bullets,Ss titre"/>
    <w:basedOn w:val="Normal"/>
    <w:link w:val="ListParagraphChar"/>
    <w:uiPriority w:val="34"/>
    <w:qFormat/>
    <w:rsid w:val="00610DC6"/>
    <w:pPr>
      <w:widowControl w:val="0"/>
      <w:autoSpaceDE w:val="0"/>
      <w:autoSpaceDN w:val="0"/>
      <w:adjustRightInd w:val="0"/>
      <w:spacing w:after="0" w:line="360" w:lineRule="atLeast"/>
      <w:ind w:left="720"/>
      <w:contextualSpacing/>
      <w:jc w:val="both"/>
      <w:textAlignment w:val="baseline"/>
    </w:pPr>
    <w:rPr>
      <w:rFonts w:ascii="Arial" w:hAnsi="Arial" w:cs="Arial"/>
      <w:color w:val="000000"/>
      <w:sz w:val="24"/>
      <w:szCs w:val="24"/>
    </w:rPr>
  </w:style>
  <w:style w:type="paragraph" w:customStyle="1" w:styleId="Default">
    <w:name w:val="Default"/>
    <w:rsid w:val="00610DC6"/>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rPr>
  </w:style>
  <w:style w:type="table" w:styleId="TableGrid">
    <w:name w:val="Table Grid"/>
    <w:aliases w:val="Table Grid CFAA,表格样式"/>
    <w:basedOn w:val="TableNormal"/>
    <w:uiPriority w:val="39"/>
    <w:rsid w:val="00610DC6"/>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Footnote Text BP,ft,(NECG) Footnote Text,Footnote Text Char Char Char Char Char,Footnote Text Char Char Char Char Char Char,(NECG) Footnote Text Char Char Char Char Char,single space,footnote text,FOOTNOTES,fn,Fußnote,~FootnoteText,A,ADB"/>
    <w:basedOn w:val="Normal"/>
    <w:link w:val="FootnoteTextChar"/>
    <w:uiPriority w:val="99"/>
    <w:unhideWhenUsed/>
    <w:qFormat/>
    <w:rsid w:val="00610DC6"/>
    <w:pPr>
      <w:widowControl w:val="0"/>
      <w:adjustRightInd w:val="0"/>
      <w:spacing w:after="0" w:line="360" w:lineRule="atLeast"/>
      <w:jc w:val="both"/>
      <w:textAlignment w:val="baseline"/>
    </w:pPr>
    <w:rPr>
      <w:rFonts w:ascii="Times New Roman" w:eastAsia="Times New Roman" w:hAnsi="Times New Roman" w:cs="Times New Roman"/>
      <w:sz w:val="20"/>
      <w:szCs w:val="20"/>
      <w:lang w:val="en-US"/>
    </w:rPr>
  </w:style>
  <w:style w:type="character" w:customStyle="1" w:styleId="FootnoteTextChar">
    <w:name w:val="Footnote Text Char"/>
    <w:aliases w:val="Footnote Text BP Char,ft Char,(NECG) Footnote Text Char,Footnote Text Char Char Char Char Char Char1,Footnote Text Char Char Char Char Char Char Char,(NECG) Footnote Text Char Char Char Char Char Char,single space Char,FOOTNOTES Char"/>
    <w:basedOn w:val="DefaultParagraphFont"/>
    <w:link w:val="FootnoteText"/>
    <w:uiPriority w:val="99"/>
    <w:rsid w:val="00610DC6"/>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 BVI fnr,Error-Fußnotenzeichen5,Error-Fußnotenzeichen6,Error-Fußnotenzeichen3,Footnote Reference1,BVI fnr,Error-Fu?notenzeichen5,Error-Fu?notenzeichen6,Footnotes refss,Ref"/>
    <w:link w:val="BVIfnrCarCarCarCarChar"/>
    <w:uiPriority w:val="99"/>
    <w:unhideWhenUsed/>
    <w:qFormat/>
    <w:rsid w:val="00610DC6"/>
    <w:rPr>
      <w:vertAlign w:val="superscript"/>
    </w:rPr>
  </w:style>
  <w:style w:type="character" w:styleId="Strong">
    <w:name w:val="Strong"/>
    <w:uiPriority w:val="22"/>
    <w:qFormat/>
    <w:rsid w:val="00610DC6"/>
    <w:rPr>
      <w:b/>
      <w:bCs/>
    </w:rPr>
  </w:style>
  <w:style w:type="paragraph" w:styleId="NormalWeb">
    <w:name w:val="Normal (Web)"/>
    <w:basedOn w:val="Normal"/>
    <w:uiPriority w:val="99"/>
    <w:unhideWhenUsed/>
    <w:rsid w:val="00610DC6"/>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fr-FR"/>
    </w:rPr>
  </w:style>
  <w:style w:type="character" w:styleId="Hyperlink">
    <w:name w:val="Hyperlink"/>
    <w:uiPriority w:val="99"/>
    <w:unhideWhenUsed/>
    <w:rsid w:val="00610DC6"/>
    <w:rPr>
      <w:color w:val="0000FF"/>
      <w:u w:val="single"/>
    </w:rPr>
  </w:style>
  <w:style w:type="character" w:customStyle="1" w:styleId="apple-converted-space">
    <w:name w:val="apple-converted-space"/>
    <w:basedOn w:val="DefaultParagraphFont"/>
    <w:rsid w:val="00610DC6"/>
  </w:style>
  <w:style w:type="character" w:styleId="Emphasis">
    <w:name w:val="Emphasis"/>
    <w:uiPriority w:val="20"/>
    <w:qFormat/>
    <w:rsid w:val="00610DC6"/>
    <w:rPr>
      <w:i/>
      <w:iCs/>
    </w:rPr>
  </w:style>
  <w:style w:type="paragraph" w:styleId="Subtitle">
    <w:name w:val="Subtitle"/>
    <w:basedOn w:val="Normal"/>
    <w:next w:val="Normal"/>
    <w:link w:val="SubtitleChar"/>
    <w:uiPriority w:val="11"/>
    <w:qFormat/>
    <w:rsid w:val="00610DC6"/>
    <w:pPr>
      <w:widowControl w:val="0"/>
      <w:numPr>
        <w:ilvl w:val="1"/>
      </w:numPr>
      <w:adjustRightInd w:val="0"/>
      <w:spacing w:after="120" w:line="360" w:lineRule="atLeast"/>
      <w:ind w:left="714" w:hanging="357"/>
      <w:jc w:val="both"/>
      <w:textAlignment w:val="baseline"/>
    </w:pPr>
    <w:rPr>
      <w:rFonts w:ascii="Cambria" w:eastAsia="Times New Roman" w:hAnsi="Cambria" w:cs="Times New Roman"/>
      <w:i/>
      <w:iCs/>
      <w:color w:val="4F81BD"/>
      <w:spacing w:val="15"/>
      <w:sz w:val="24"/>
      <w:szCs w:val="24"/>
      <w:lang w:val="en-US"/>
    </w:rPr>
  </w:style>
  <w:style w:type="character" w:customStyle="1" w:styleId="SubtitleChar">
    <w:name w:val="Subtitle Char"/>
    <w:basedOn w:val="DefaultParagraphFont"/>
    <w:link w:val="Subtitle"/>
    <w:uiPriority w:val="11"/>
    <w:rsid w:val="00610DC6"/>
    <w:rPr>
      <w:rFonts w:ascii="Cambria" w:eastAsia="Times New Roman" w:hAnsi="Cambria" w:cs="Times New Roman"/>
      <w:i/>
      <w:iCs/>
      <w:color w:val="4F81BD"/>
      <w:spacing w:val="15"/>
      <w:sz w:val="24"/>
      <w:szCs w:val="24"/>
      <w:lang w:val="en-US"/>
    </w:rPr>
  </w:style>
  <w:style w:type="paragraph" w:styleId="BodyText">
    <w:name w:val="Body Text"/>
    <w:basedOn w:val="Normal"/>
    <w:link w:val="BodyTextChar"/>
    <w:uiPriority w:val="99"/>
    <w:unhideWhenUsed/>
    <w:rsid w:val="00610DC6"/>
    <w:pPr>
      <w:widowControl w:val="0"/>
      <w:suppressAutoHyphens/>
      <w:adjustRightInd w:val="0"/>
      <w:spacing w:after="120" w:line="276" w:lineRule="auto"/>
      <w:jc w:val="both"/>
      <w:textAlignment w:val="baseline"/>
    </w:pPr>
    <w:rPr>
      <w:rFonts w:ascii="Times New Roman" w:eastAsia="Times New Roman" w:hAnsi="Times New Roman" w:cs="Times New Roman"/>
      <w:kern w:val="1"/>
      <w:sz w:val="20"/>
      <w:szCs w:val="20"/>
      <w:lang w:val="en-US" w:eastAsia="ar-SA"/>
    </w:rPr>
  </w:style>
  <w:style w:type="character" w:customStyle="1" w:styleId="BodyTextChar">
    <w:name w:val="Body Text Char"/>
    <w:basedOn w:val="DefaultParagraphFont"/>
    <w:link w:val="BodyText"/>
    <w:uiPriority w:val="99"/>
    <w:rsid w:val="00610DC6"/>
    <w:rPr>
      <w:rFonts w:ascii="Times New Roman" w:eastAsia="Times New Roman" w:hAnsi="Times New Roman" w:cs="Times New Roman"/>
      <w:kern w:val="1"/>
      <w:sz w:val="20"/>
      <w:szCs w:val="20"/>
      <w:lang w:val="en-US" w:eastAsia="ar-SA"/>
    </w:rPr>
  </w:style>
  <w:style w:type="paragraph" w:customStyle="1" w:styleId="0">
    <w:name w:val="0"/>
    <w:rsid w:val="00610DC6"/>
    <w:pPr>
      <w:widowControl w:val="0"/>
      <w:tabs>
        <w:tab w:val="left" w:pos="1843"/>
        <w:tab w:val="right" w:pos="9072"/>
      </w:tabs>
      <w:adjustRightInd w:val="0"/>
      <w:spacing w:after="100" w:line="360" w:lineRule="atLeast"/>
      <w:ind w:left="1418"/>
      <w:jc w:val="both"/>
      <w:textAlignment w:val="baseline"/>
    </w:pPr>
    <w:rPr>
      <w:rFonts w:ascii="Times New Roman" w:eastAsia="Times New Roman" w:hAnsi="Times New Roman" w:cs="Times New Roman"/>
      <w:sz w:val="24"/>
      <w:szCs w:val="24"/>
      <w:lang w:eastAsia="fr-FR"/>
    </w:rPr>
  </w:style>
  <w:style w:type="paragraph" w:customStyle="1" w:styleId="3">
    <w:name w:val="3"/>
    <w:basedOn w:val="Normal"/>
    <w:next w:val="Normal"/>
    <w:uiPriority w:val="99"/>
    <w:rsid w:val="00610DC6"/>
    <w:pPr>
      <w:keepNext/>
      <w:keepLines/>
      <w:widowControl w:val="0"/>
      <w:pBdr>
        <w:bottom w:val="single" w:sz="4" w:space="1" w:color="auto"/>
      </w:pBdr>
      <w:tabs>
        <w:tab w:val="left" w:pos="426"/>
        <w:tab w:val="right" w:pos="9000"/>
      </w:tabs>
      <w:suppressAutoHyphens/>
      <w:adjustRightInd w:val="0"/>
      <w:spacing w:before="240" w:after="240" w:line="360" w:lineRule="atLeast"/>
      <w:jc w:val="both"/>
      <w:textAlignment w:val="baseline"/>
      <w:outlineLvl w:val="2"/>
    </w:pPr>
    <w:rPr>
      <w:rFonts w:ascii="Arial Narrow" w:eastAsia="SimSun" w:hAnsi="Arial Narrow" w:cs="Arial"/>
      <w:b/>
      <w:bCs/>
      <w:caps/>
      <w:noProof/>
      <w:color w:val="000090"/>
      <w:sz w:val="24"/>
      <w:szCs w:val="20"/>
    </w:rPr>
  </w:style>
  <w:style w:type="paragraph" w:customStyle="1" w:styleId="MainParanoChapter">
    <w:name w:val="Main Para no Chapter #"/>
    <w:basedOn w:val="Normal"/>
    <w:uiPriority w:val="99"/>
    <w:rsid w:val="00610DC6"/>
    <w:pPr>
      <w:widowControl w:val="0"/>
      <w:numPr>
        <w:ilvl w:val="1"/>
        <w:numId w:val="1"/>
      </w:numPr>
      <w:adjustRightInd w:val="0"/>
      <w:spacing w:after="240" w:line="360" w:lineRule="atLeast"/>
      <w:jc w:val="both"/>
      <w:textAlignment w:val="baseline"/>
      <w:outlineLvl w:val="1"/>
    </w:pPr>
    <w:rPr>
      <w:rFonts w:ascii="Calibri" w:eastAsia="Times New Roman" w:hAnsi="Calibri" w:cs="Times New Roman"/>
    </w:rPr>
  </w:style>
  <w:style w:type="paragraph" w:styleId="Caption">
    <w:name w:val="caption"/>
    <w:aliases w:val="Légende Car"/>
    <w:basedOn w:val="Normal"/>
    <w:next w:val="Normal"/>
    <w:link w:val="CaptionChar"/>
    <w:uiPriority w:val="35"/>
    <w:unhideWhenUsed/>
    <w:qFormat/>
    <w:rsid w:val="00610DC6"/>
    <w:pPr>
      <w:widowControl w:val="0"/>
      <w:adjustRightInd w:val="0"/>
      <w:spacing w:after="200" w:line="360" w:lineRule="atLeast"/>
      <w:ind w:left="714" w:hanging="357"/>
      <w:jc w:val="both"/>
      <w:textAlignment w:val="baseline"/>
    </w:pPr>
    <w:rPr>
      <w:rFonts w:ascii="Calibri" w:eastAsia="Calibri" w:hAnsi="Calibri" w:cs="Arial"/>
      <w:b/>
      <w:bCs/>
      <w:color w:val="4F81BD"/>
      <w:sz w:val="18"/>
      <w:szCs w:val="18"/>
    </w:rPr>
  </w:style>
  <w:style w:type="paragraph" w:styleId="Header">
    <w:name w:val="header"/>
    <w:basedOn w:val="Normal"/>
    <w:link w:val="HeaderChar"/>
    <w:uiPriority w:val="99"/>
    <w:unhideWhenUsed/>
    <w:rsid w:val="00610DC6"/>
    <w:pPr>
      <w:widowControl w:val="0"/>
      <w:tabs>
        <w:tab w:val="center" w:pos="4536"/>
        <w:tab w:val="right" w:pos="9072"/>
      </w:tabs>
      <w:adjustRightInd w:val="0"/>
      <w:spacing w:after="0" w:line="360" w:lineRule="atLeast"/>
      <w:jc w:val="both"/>
      <w:textAlignment w:val="baseline"/>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0DC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10DC6"/>
    <w:pPr>
      <w:widowControl w:val="0"/>
      <w:tabs>
        <w:tab w:val="center" w:pos="4536"/>
        <w:tab w:val="right" w:pos="9072"/>
      </w:tabs>
      <w:adjustRightInd w:val="0"/>
      <w:spacing w:after="0" w:line="360" w:lineRule="atLeast"/>
      <w:jc w:val="both"/>
      <w:textAlignment w:val="baseline"/>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610DC6"/>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7D7ED0"/>
    <w:pPr>
      <w:widowControl w:val="0"/>
      <w:tabs>
        <w:tab w:val="left" w:pos="960"/>
        <w:tab w:val="right" w:leader="dot" w:pos="9062"/>
      </w:tabs>
      <w:adjustRightInd w:val="0"/>
      <w:spacing w:after="0" w:line="360" w:lineRule="atLeast"/>
      <w:ind w:left="240"/>
      <w:jc w:val="both"/>
      <w:textAlignment w:val="baseline"/>
    </w:pPr>
    <w:rPr>
      <w:rFonts w:ascii="Candara" w:eastAsia="Times New Roman" w:hAnsi="Candara" w:cs="Calibri"/>
      <w:b/>
      <w:i/>
      <w:iCs/>
      <w:noProof/>
      <w:sz w:val="20"/>
      <w:szCs w:val="24"/>
      <w:lang w:eastAsia="fr-FR"/>
    </w:rPr>
  </w:style>
  <w:style w:type="paragraph" w:styleId="EndnoteText">
    <w:name w:val="endnote text"/>
    <w:basedOn w:val="Normal"/>
    <w:link w:val="EndnoteTextChar"/>
    <w:uiPriority w:val="99"/>
    <w:semiHidden/>
    <w:unhideWhenUsed/>
    <w:rsid w:val="00610DC6"/>
    <w:pPr>
      <w:widowControl w:val="0"/>
      <w:adjustRightInd w:val="0"/>
      <w:spacing w:after="0" w:line="360" w:lineRule="atLeast"/>
      <w:jc w:val="both"/>
      <w:textAlignment w:val="baseline"/>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610DC6"/>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610DC6"/>
    <w:rPr>
      <w:vertAlign w:val="superscript"/>
    </w:rPr>
  </w:style>
  <w:style w:type="paragraph" w:styleId="TOC1">
    <w:name w:val="toc 1"/>
    <w:basedOn w:val="Normal"/>
    <w:next w:val="Normal"/>
    <w:autoRedefine/>
    <w:uiPriority w:val="39"/>
    <w:unhideWhenUsed/>
    <w:rsid w:val="00610DC6"/>
    <w:pPr>
      <w:widowControl w:val="0"/>
      <w:tabs>
        <w:tab w:val="right" w:leader="dot" w:pos="9039"/>
      </w:tabs>
      <w:adjustRightInd w:val="0"/>
      <w:spacing w:before="120" w:after="120" w:line="360" w:lineRule="atLeast"/>
      <w:jc w:val="both"/>
      <w:textAlignment w:val="baseline"/>
    </w:pPr>
    <w:rPr>
      <w:rFonts w:ascii="Calibri" w:eastAsia="Times New Roman" w:hAnsi="Calibri" w:cs="Times New Roman"/>
      <w:b/>
      <w:bCs/>
      <w:caps/>
      <w:sz w:val="20"/>
      <w:szCs w:val="24"/>
      <w:lang w:val="en-US"/>
    </w:rPr>
  </w:style>
  <w:style w:type="paragraph" w:styleId="TOC3">
    <w:name w:val="toc 3"/>
    <w:basedOn w:val="Normal"/>
    <w:next w:val="Normal"/>
    <w:autoRedefine/>
    <w:uiPriority w:val="39"/>
    <w:unhideWhenUsed/>
    <w:rsid w:val="00610DC6"/>
    <w:pPr>
      <w:widowControl w:val="0"/>
      <w:adjustRightInd w:val="0"/>
      <w:spacing w:after="0" w:line="360" w:lineRule="atLeast"/>
      <w:ind w:left="480"/>
      <w:jc w:val="both"/>
      <w:textAlignment w:val="baseline"/>
    </w:pPr>
    <w:rPr>
      <w:rFonts w:ascii="Calibri" w:eastAsia="Times New Roman" w:hAnsi="Calibri" w:cs="Times New Roman"/>
      <w:i/>
      <w:iCs/>
      <w:sz w:val="20"/>
      <w:szCs w:val="24"/>
      <w:lang w:val="en-US"/>
    </w:rPr>
  </w:style>
  <w:style w:type="paragraph" w:styleId="TOC4">
    <w:name w:val="toc 4"/>
    <w:basedOn w:val="Normal"/>
    <w:next w:val="Normal"/>
    <w:autoRedefine/>
    <w:uiPriority w:val="39"/>
    <w:unhideWhenUsed/>
    <w:rsid w:val="00610DC6"/>
    <w:pPr>
      <w:widowControl w:val="0"/>
      <w:adjustRightInd w:val="0"/>
      <w:spacing w:after="0" w:line="360" w:lineRule="atLeast"/>
      <w:ind w:left="720"/>
      <w:jc w:val="both"/>
      <w:textAlignment w:val="baseline"/>
    </w:pPr>
    <w:rPr>
      <w:rFonts w:ascii="Calibri" w:eastAsia="Times New Roman" w:hAnsi="Calibri" w:cs="Times New Roman"/>
      <w:sz w:val="18"/>
      <w:szCs w:val="21"/>
      <w:lang w:val="en-US"/>
    </w:rPr>
  </w:style>
  <w:style w:type="paragraph" w:styleId="TOC5">
    <w:name w:val="toc 5"/>
    <w:basedOn w:val="Normal"/>
    <w:next w:val="Normal"/>
    <w:autoRedefine/>
    <w:uiPriority w:val="39"/>
    <w:unhideWhenUsed/>
    <w:rsid w:val="00610DC6"/>
    <w:pPr>
      <w:widowControl w:val="0"/>
      <w:adjustRightInd w:val="0"/>
      <w:spacing w:after="0" w:line="360" w:lineRule="atLeast"/>
      <w:ind w:left="960"/>
      <w:jc w:val="both"/>
      <w:textAlignment w:val="baseline"/>
    </w:pPr>
    <w:rPr>
      <w:rFonts w:ascii="Calibri" w:eastAsia="Times New Roman" w:hAnsi="Calibri" w:cs="Times New Roman"/>
      <w:sz w:val="18"/>
      <w:szCs w:val="21"/>
      <w:lang w:val="en-US"/>
    </w:rPr>
  </w:style>
  <w:style w:type="paragraph" w:styleId="TOC6">
    <w:name w:val="toc 6"/>
    <w:basedOn w:val="Normal"/>
    <w:next w:val="Normal"/>
    <w:autoRedefine/>
    <w:uiPriority w:val="39"/>
    <w:unhideWhenUsed/>
    <w:rsid w:val="00610DC6"/>
    <w:pPr>
      <w:widowControl w:val="0"/>
      <w:adjustRightInd w:val="0"/>
      <w:spacing w:after="0" w:line="360" w:lineRule="atLeast"/>
      <w:ind w:left="1200"/>
      <w:jc w:val="both"/>
      <w:textAlignment w:val="baseline"/>
    </w:pPr>
    <w:rPr>
      <w:rFonts w:ascii="Calibri" w:eastAsia="Times New Roman" w:hAnsi="Calibri" w:cs="Times New Roman"/>
      <w:sz w:val="18"/>
      <w:szCs w:val="21"/>
      <w:lang w:val="en-US"/>
    </w:rPr>
  </w:style>
  <w:style w:type="paragraph" w:styleId="TOC7">
    <w:name w:val="toc 7"/>
    <w:basedOn w:val="Normal"/>
    <w:next w:val="Normal"/>
    <w:autoRedefine/>
    <w:uiPriority w:val="39"/>
    <w:unhideWhenUsed/>
    <w:rsid w:val="00610DC6"/>
    <w:pPr>
      <w:widowControl w:val="0"/>
      <w:adjustRightInd w:val="0"/>
      <w:spacing w:after="0" w:line="360" w:lineRule="atLeast"/>
      <w:ind w:left="1440"/>
      <w:jc w:val="both"/>
      <w:textAlignment w:val="baseline"/>
    </w:pPr>
    <w:rPr>
      <w:rFonts w:ascii="Calibri" w:eastAsia="Times New Roman" w:hAnsi="Calibri" w:cs="Times New Roman"/>
      <w:sz w:val="18"/>
      <w:szCs w:val="21"/>
      <w:lang w:val="en-US"/>
    </w:rPr>
  </w:style>
  <w:style w:type="paragraph" w:styleId="TOC8">
    <w:name w:val="toc 8"/>
    <w:basedOn w:val="Normal"/>
    <w:next w:val="Normal"/>
    <w:autoRedefine/>
    <w:uiPriority w:val="39"/>
    <w:unhideWhenUsed/>
    <w:rsid w:val="00610DC6"/>
    <w:pPr>
      <w:widowControl w:val="0"/>
      <w:adjustRightInd w:val="0"/>
      <w:spacing w:after="0" w:line="360" w:lineRule="atLeast"/>
      <w:ind w:left="1680"/>
      <w:jc w:val="both"/>
      <w:textAlignment w:val="baseline"/>
    </w:pPr>
    <w:rPr>
      <w:rFonts w:ascii="Calibri" w:eastAsia="Times New Roman" w:hAnsi="Calibri" w:cs="Times New Roman"/>
      <w:sz w:val="18"/>
      <w:szCs w:val="21"/>
      <w:lang w:val="en-US"/>
    </w:rPr>
  </w:style>
  <w:style w:type="paragraph" w:styleId="TOC9">
    <w:name w:val="toc 9"/>
    <w:basedOn w:val="Normal"/>
    <w:next w:val="Normal"/>
    <w:autoRedefine/>
    <w:uiPriority w:val="39"/>
    <w:unhideWhenUsed/>
    <w:rsid w:val="00610DC6"/>
    <w:pPr>
      <w:widowControl w:val="0"/>
      <w:adjustRightInd w:val="0"/>
      <w:spacing w:after="0" w:line="360" w:lineRule="atLeast"/>
      <w:ind w:left="1920"/>
      <w:jc w:val="both"/>
      <w:textAlignment w:val="baseline"/>
    </w:pPr>
    <w:rPr>
      <w:rFonts w:ascii="Calibri" w:eastAsia="Times New Roman" w:hAnsi="Calibri" w:cs="Times New Roman"/>
      <w:sz w:val="18"/>
      <w:szCs w:val="21"/>
      <w:lang w:val="en-US"/>
    </w:rPr>
  </w:style>
  <w:style w:type="paragraph" w:styleId="BodyText2">
    <w:name w:val="Body Text 2"/>
    <w:basedOn w:val="Normal"/>
    <w:link w:val="BodyText2Char"/>
    <w:uiPriority w:val="99"/>
    <w:semiHidden/>
    <w:unhideWhenUsed/>
    <w:rsid w:val="00610DC6"/>
    <w:pPr>
      <w:widowControl w:val="0"/>
      <w:adjustRightInd w:val="0"/>
      <w:spacing w:after="120" w:line="480" w:lineRule="auto"/>
      <w:jc w:val="both"/>
      <w:textAlignment w:val="baseline"/>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semiHidden/>
    <w:rsid w:val="00610DC6"/>
    <w:rPr>
      <w:rFonts w:ascii="Times New Roman" w:eastAsia="Times New Roman" w:hAnsi="Times New Roman" w:cs="Times New Roman"/>
      <w:sz w:val="24"/>
      <w:szCs w:val="24"/>
      <w:lang w:val="en-US"/>
    </w:rPr>
  </w:style>
  <w:style w:type="character" w:customStyle="1" w:styleId="text">
    <w:name w:val="text"/>
    <w:basedOn w:val="DefaultParagraphFont"/>
    <w:rsid w:val="00610DC6"/>
  </w:style>
  <w:style w:type="character" w:styleId="CommentReference">
    <w:name w:val="annotation reference"/>
    <w:uiPriority w:val="99"/>
    <w:unhideWhenUsed/>
    <w:rsid w:val="00610DC6"/>
    <w:rPr>
      <w:sz w:val="16"/>
      <w:szCs w:val="16"/>
    </w:rPr>
  </w:style>
  <w:style w:type="paragraph" w:styleId="CommentText">
    <w:name w:val="annotation text"/>
    <w:basedOn w:val="Normal"/>
    <w:link w:val="CommentTextChar"/>
    <w:uiPriority w:val="99"/>
    <w:unhideWhenUsed/>
    <w:rsid w:val="00610DC6"/>
    <w:pPr>
      <w:widowControl w:val="0"/>
      <w:adjustRightInd w:val="0"/>
      <w:spacing w:after="0" w:line="360" w:lineRule="atLeast"/>
      <w:jc w:val="both"/>
      <w:textAlignment w:val="baseline"/>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610DC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10DC6"/>
    <w:rPr>
      <w:b/>
      <w:bCs/>
    </w:rPr>
  </w:style>
  <w:style w:type="character" w:customStyle="1" w:styleId="CommentSubjectChar">
    <w:name w:val="Comment Subject Char"/>
    <w:basedOn w:val="CommentTextChar"/>
    <w:link w:val="CommentSubject"/>
    <w:uiPriority w:val="99"/>
    <w:semiHidden/>
    <w:rsid w:val="00610DC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10DC6"/>
    <w:pPr>
      <w:widowControl w:val="0"/>
      <w:adjustRightInd w:val="0"/>
      <w:spacing w:after="0" w:line="360" w:lineRule="atLeast"/>
      <w:jc w:val="both"/>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610DC6"/>
    <w:rPr>
      <w:rFonts w:ascii="Tahoma" w:eastAsia="Times New Roman" w:hAnsi="Tahoma" w:cs="Tahoma"/>
      <w:sz w:val="16"/>
      <w:szCs w:val="16"/>
      <w:lang w:val="en-US"/>
    </w:rPr>
  </w:style>
  <w:style w:type="paragraph" w:styleId="Revision">
    <w:name w:val="Revision"/>
    <w:hidden/>
    <w:uiPriority w:val="99"/>
    <w:semiHidden/>
    <w:rsid w:val="00610DC6"/>
    <w:pPr>
      <w:widowControl w:val="0"/>
      <w:adjustRightInd w:val="0"/>
      <w:spacing w:after="0" w:line="360" w:lineRule="atLeast"/>
      <w:jc w:val="both"/>
      <w:textAlignment w:val="baseline"/>
    </w:pPr>
    <w:rPr>
      <w:rFonts w:ascii="Times New Roman" w:eastAsia="Times New Roman" w:hAnsi="Times New Roman" w:cs="Times New Roman"/>
      <w:sz w:val="24"/>
      <w:szCs w:val="24"/>
      <w:lang w:val="en-US"/>
    </w:rPr>
  </w:style>
  <w:style w:type="paragraph" w:customStyle="1" w:styleId="CM8">
    <w:name w:val="CM8"/>
    <w:basedOn w:val="Default"/>
    <w:next w:val="Default"/>
    <w:uiPriority w:val="99"/>
    <w:rsid w:val="00610DC6"/>
    <w:pPr>
      <w:spacing w:line="300" w:lineRule="atLeast"/>
    </w:pPr>
    <w:rPr>
      <w:rFonts w:ascii="Times New Roman" w:hAnsi="Times New Roman"/>
      <w:color w:val="auto"/>
      <w:lang w:eastAsia="fr-FR"/>
    </w:rPr>
  </w:style>
  <w:style w:type="paragraph" w:customStyle="1" w:styleId="CM68">
    <w:name w:val="CM68"/>
    <w:basedOn w:val="Default"/>
    <w:next w:val="Default"/>
    <w:uiPriority w:val="99"/>
    <w:rsid w:val="00610DC6"/>
    <w:rPr>
      <w:rFonts w:ascii="Times New Roman" w:hAnsi="Times New Roman"/>
      <w:color w:val="auto"/>
      <w:lang w:eastAsia="fr-FR"/>
    </w:rPr>
  </w:style>
  <w:style w:type="paragraph" w:styleId="NoSpacing">
    <w:name w:val="No Spacing"/>
    <w:aliases w:val="Numbered Para"/>
    <w:link w:val="NoSpacingChar"/>
    <w:uiPriority w:val="1"/>
    <w:qFormat/>
    <w:rsid w:val="00610DC6"/>
    <w:pPr>
      <w:widowControl w:val="0"/>
      <w:adjustRightInd w:val="0"/>
      <w:spacing w:after="0" w:line="360" w:lineRule="atLeast"/>
      <w:jc w:val="both"/>
      <w:textAlignment w:val="baseline"/>
    </w:pPr>
    <w:rPr>
      <w:rFonts w:ascii="Lucida Grande" w:eastAsia="ヒラギノ角ゴ Pro W3" w:hAnsi="Lucida Grande" w:cs="Times New Roman"/>
      <w:color w:val="000000"/>
      <w:szCs w:val="20"/>
      <w:lang w:val="en-US"/>
    </w:rPr>
  </w:style>
  <w:style w:type="character" w:customStyle="1" w:styleId="NoSpacingChar">
    <w:name w:val="No Spacing Char"/>
    <w:aliases w:val="Numbered Para Char"/>
    <w:link w:val="NoSpacing"/>
    <w:uiPriority w:val="1"/>
    <w:locked/>
    <w:rsid w:val="00610DC6"/>
    <w:rPr>
      <w:rFonts w:ascii="Lucida Grande" w:eastAsia="ヒラギノ角ゴ Pro W3" w:hAnsi="Lucida Grande" w:cs="Times New Roman"/>
      <w:color w:val="000000"/>
      <w:szCs w:val="20"/>
      <w:lang w:val="en-US"/>
    </w:rPr>
  </w:style>
  <w:style w:type="paragraph" w:customStyle="1" w:styleId="MainParanoChapter-Ch3">
    <w:name w:val="Main Para no Chapter #-Ch 3"/>
    <w:uiPriority w:val="99"/>
    <w:qFormat/>
    <w:rsid w:val="00610DC6"/>
    <w:pPr>
      <w:widowControl w:val="0"/>
      <w:adjustRightInd w:val="0"/>
      <w:spacing w:before="240" w:after="0" w:line="360" w:lineRule="atLeast"/>
      <w:jc w:val="both"/>
      <w:textAlignment w:val="baseline"/>
    </w:pPr>
    <w:rPr>
      <w:rFonts w:ascii="Times New Roman" w:eastAsia="ヒラギノ角ゴ Pro W3" w:hAnsi="Times New Roman" w:cs="Times New Roman"/>
      <w:color w:val="000000"/>
      <w:szCs w:val="20"/>
      <w:lang w:val="en-US"/>
    </w:rPr>
  </w:style>
  <w:style w:type="character" w:customStyle="1" w:styleId="CaptionChar">
    <w:name w:val="Caption Char"/>
    <w:aliases w:val="Légende Car Char"/>
    <w:link w:val="Caption"/>
    <w:uiPriority w:val="35"/>
    <w:locked/>
    <w:rsid w:val="00610DC6"/>
    <w:rPr>
      <w:rFonts w:ascii="Calibri" w:eastAsia="Calibri" w:hAnsi="Calibri" w:cs="Arial"/>
      <w:b/>
      <w:bCs/>
      <w:color w:val="4F81BD"/>
      <w:sz w:val="18"/>
      <w:szCs w:val="18"/>
    </w:rPr>
  </w:style>
  <w:style w:type="paragraph" w:customStyle="1" w:styleId="Heading1a">
    <w:name w:val="Heading 1a"/>
    <w:basedOn w:val="Normal"/>
    <w:next w:val="Normal"/>
    <w:rsid w:val="00610DC6"/>
    <w:pPr>
      <w:keepNext/>
      <w:keepLines/>
      <w:widowControl w:val="0"/>
      <w:adjustRightInd w:val="0"/>
      <w:spacing w:before="1440" w:after="240" w:line="360" w:lineRule="atLeast"/>
      <w:jc w:val="center"/>
      <w:textAlignment w:val="baseline"/>
      <w:outlineLvl w:val="0"/>
    </w:pPr>
    <w:rPr>
      <w:rFonts w:ascii="Calibri" w:eastAsia="Calibri" w:hAnsi="Calibri" w:cs="Times New Roman"/>
      <w:b/>
      <w:caps/>
      <w:sz w:val="32"/>
    </w:rPr>
  </w:style>
  <w:style w:type="paragraph" w:customStyle="1" w:styleId="Sub-Para1underX">
    <w:name w:val="Sub-Para 1 under X."/>
    <w:basedOn w:val="Normal"/>
    <w:rsid w:val="00610DC6"/>
    <w:pPr>
      <w:widowControl w:val="0"/>
      <w:tabs>
        <w:tab w:val="num" w:pos="1080"/>
      </w:tabs>
      <w:adjustRightInd w:val="0"/>
      <w:spacing w:after="240" w:line="360" w:lineRule="atLeast"/>
      <w:ind w:left="720" w:hanging="360"/>
      <w:jc w:val="both"/>
      <w:textAlignment w:val="baseline"/>
      <w:outlineLvl w:val="2"/>
    </w:pPr>
    <w:rPr>
      <w:rFonts w:ascii="Calibri" w:eastAsia="Calibri" w:hAnsi="Calibri" w:cs="Times New Roman"/>
    </w:rPr>
  </w:style>
  <w:style w:type="paragraph" w:customStyle="1" w:styleId="Sub-Para2underX">
    <w:name w:val="Sub-Para 2 under X."/>
    <w:basedOn w:val="Normal"/>
    <w:rsid w:val="00610DC6"/>
    <w:pPr>
      <w:widowControl w:val="0"/>
      <w:tabs>
        <w:tab w:val="num" w:pos="1800"/>
      </w:tabs>
      <w:adjustRightInd w:val="0"/>
      <w:spacing w:after="240" w:line="360" w:lineRule="atLeast"/>
      <w:ind w:left="1080" w:hanging="360"/>
      <w:jc w:val="both"/>
      <w:textAlignment w:val="baseline"/>
      <w:outlineLvl w:val="3"/>
    </w:pPr>
    <w:rPr>
      <w:rFonts w:ascii="Calibri" w:eastAsia="Calibri" w:hAnsi="Calibri" w:cs="Times New Roman"/>
    </w:rPr>
  </w:style>
  <w:style w:type="paragraph" w:customStyle="1" w:styleId="Sub-Para3underX">
    <w:name w:val="Sub-Para 3 under X."/>
    <w:basedOn w:val="Normal"/>
    <w:rsid w:val="00610DC6"/>
    <w:pPr>
      <w:widowControl w:val="0"/>
      <w:tabs>
        <w:tab w:val="num" w:pos="1440"/>
      </w:tabs>
      <w:adjustRightInd w:val="0"/>
      <w:spacing w:after="240" w:line="360" w:lineRule="atLeast"/>
      <w:ind w:left="1440" w:hanging="360"/>
      <w:jc w:val="both"/>
      <w:textAlignment w:val="baseline"/>
      <w:outlineLvl w:val="4"/>
    </w:pPr>
    <w:rPr>
      <w:rFonts w:ascii="Calibri" w:eastAsia="Calibri" w:hAnsi="Calibri" w:cs="Times New Roman"/>
    </w:rPr>
  </w:style>
  <w:style w:type="paragraph" w:customStyle="1" w:styleId="Sub-Para4underX">
    <w:name w:val="Sub-Para 4 under X."/>
    <w:basedOn w:val="Normal"/>
    <w:rsid w:val="00610DC6"/>
    <w:pPr>
      <w:widowControl w:val="0"/>
      <w:tabs>
        <w:tab w:val="num" w:pos="2160"/>
      </w:tabs>
      <w:adjustRightInd w:val="0"/>
      <w:spacing w:after="240" w:line="360" w:lineRule="atLeast"/>
      <w:ind w:left="1800" w:hanging="360"/>
      <w:jc w:val="both"/>
      <w:textAlignment w:val="baseline"/>
      <w:outlineLvl w:val="5"/>
    </w:pPr>
    <w:rPr>
      <w:rFonts w:ascii="Calibri" w:eastAsia="Calibri" w:hAnsi="Calibri" w:cs="Times New Roman"/>
    </w:rPr>
  </w:style>
  <w:style w:type="paragraph" w:customStyle="1" w:styleId="LightList-Accent31">
    <w:name w:val="Light List - Accent 31"/>
    <w:rsid w:val="00610DC6"/>
    <w:pPr>
      <w:widowControl w:val="0"/>
      <w:adjustRightInd w:val="0"/>
      <w:spacing w:after="0" w:line="360" w:lineRule="atLeast"/>
      <w:jc w:val="both"/>
      <w:textAlignment w:val="baseline"/>
    </w:pPr>
    <w:rPr>
      <w:rFonts w:ascii="Lucida Grande" w:eastAsia="ヒラギノ角ゴ Pro W3" w:hAnsi="Lucida Grande" w:cs="Times New Roman"/>
      <w:color w:val="000000"/>
      <w:szCs w:val="20"/>
      <w:lang w:val="en-US"/>
    </w:rPr>
  </w:style>
  <w:style w:type="paragraph" w:customStyle="1" w:styleId="Pa55">
    <w:name w:val="Pa55"/>
    <w:basedOn w:val="Normal"/>
    <w:next w:val="Normal"/>
    <w:uiPriority w:val="99"/>
    <w:rsid w:val="00610DC6"/>
    <w:pPr>
      <w:widowControl w:val="0"/>
      <w:autoSpaceDE w:val="0"/>
      <w:autoSpaceDN w:val="0"/>
      <w:adjustRightInd w:val="0"/>
      <w:spacing w:after="0" w:line="241" w:lineRule="atLeast"/>
      <w:jc w:val="both"/>
      <w:textAlignment w:val="baseline"/>
    </w:pPr>
    <w:rPr>
      <w:rFonts w:ascii="Times" w:eastAsia="Calibri" w:hAnsi="Times" w:cs="Times"/>
      <w:sz w:val="24"/>
      <w:szCs w:val="24"/>
      <w:lang w:val="en-US"/>
    </w:rPr>
  </w:style>
  <w:style w:type="character" w:customStyle="1" w:styleId="A12">
    <w:name w:val="A12"/>
    <w:uiPriority w:val="99"/>
    <w:rsid w:val="00610DC6"/>
    <w:rPr>
      <w:rFonts w:ascii="Calibri" w:hAnsi="Calibri" w:cs="Calibri"/>
      <w:color w:val="000000"/>
    </w:rPr>
  </w:style>
  <w:style w:type="paragraph" w:customStyle="1" w:styleId="Pa33">
    <w:name w:val="Pa33"/>
    <w:basedOn w:val="Normal"/>
    <w:next w:val="Normal"/>
    <w:uiPriority w:val="99"/>
    <w:rsid w:val="00610DC6"/>
    <w:pPr>
      <w:widowControl w:val="0"/>
      <w:autoSpaceDE w:val="0"/>
      <w:autoSpaceDN w:val="0"/>
      <w:adjustRightInd w:val="0"/>
      <w:spacing w:after="0" w:line="221" w:lineRule="atLeast"/>
      <w:jc w:val="both"/>
      <w:textAlignment w:val="baseline"/>
    </w:pPr>
    <w:rPr>
      <w:rFonts w:ascii="Times" w:eastAsia="Calibri" w:hAnsi="Times" w:cs="Times"/>
      <w:sz w:val="24"/>
      <w:szCs w:val="24"/>
      <w:lang w:val="en-US"/>
    </w:rPr>
  </w:style>
  <w:style w:type="paragraph" w:customStyle="1" w:styleId="Pa10">
    <w:name w:val="Pa10"/>
    <w:basedOn w:val="Normal"/>
    <w:next w:val="Normal"/>
    <w:uiPriority w:val="99"/>
    <w:rsid w:val="00610DC6"/>
    <w:pPr>
      <w:widowControl w:val="0"/>
      <w:autoSpaceDE w:val="0"/>
      <w:autoSpaceDN w:val="0"/>
      <w:adjustRightInd w:val="0"/>
      <w:spacing w:after="0" w:line="221" w:lineRule="atLeast"/>
      <w:jc w:val="both"/>
      <w:textAlignment w:val="baseline"/>
    </w:pPr>
    <w:rPr>
      <w:rFonts w:ascii="Times" w:eastAsia="Calibri" w:hAnsi="Times" w:cs="Times"/>
      <w:sz w:val="24"/>
      <w:szCs w:val="24"/>
      <w:lang w:val="en-US"/>
    </w:rPr>
  </w:style>
  <w:style w:type="paragraph" w:customStyle="1" w:styleId="Pa6">
    <w:name w:val="Pa6"/>
    <w:basedOn w:val="Normal"/>
    <w:next w:val="Normal"/>
    <w:uiPriority w:val="99"/>
    <w:rsid w:val="00610DC6"/>
    <w:pPr>
      <w:widowControl w:val="0"/>
      <w:autoSpaceDE w:val="0"/>
      <w:autoSpaceDN w:val="0"/>
      <w:adjustRightInd w:val="0"/>
      <w:spacing w:after="0" w:line="221" w:lineRule="atLeast"/>
      <w:jc w:val="both"/>
      <w:textAlignment w:val="baseline"/>
    </w:pPr>
    <w:rPr>
      <w:rFonts w:ascii="Times" w:eastAsia="Calibri" w:hAnsi="Times" w:cs="Times"/>
      <w:sz w:val="24"/>
      <w:szCs w:val="24"/>
      <w:lang w:val="en-US"/>
    </w:rPr>
  </w:style>
  <w:style w:type="character" w:customStyle="1" w:styleId="A10">
    <w:name w:val="A10"/>
    <w:uiPriority w:val="99"/>
    <w:rsid w:val="00610DC6"/>
    <w:rPr>
      <w:color w:val="000000"/>
      <w:sz w:val="21"/>
      <w:szCs w:val="21"/>
    </w:rPr>
  </w:style>
  <w:style w:type="paragraph" w:customStyle="1" w:styleId="Pa25">
    <w:name w:val="Pa25"/>
    <w:basedOn w:val="Normal"/>
    <w:next w:val="Normal"/>
    <w:uiPriority w:val="99"/>
    <w:rsid w:val="00610DC6"/>
    <w:pPr>
      <w:widowControl w:val="0"/>
      <w:autoSpaceDE w:val="0"/>
      <w:autoSpaceDN w:val="0"/>
      <w:adjustRightInd w:val="0"/>
      <w:spacing w:after="0" w:line="221" w:lineRule="atLeast"/>
      <w:jc w:val="both"/>
      <w:textAlignment w:val="baseline"/>
    </w:pPr>
    <w:rPr>
      <w:rFonts w:ascii="Times" w:eastAsia="Calibri" w:hAnsi="Times" w:cs="Times"/>
      <w:sz w:val="24"/>
      <w:szCs w:val="24"/>
      <w:lang w:val="en-US"/>
    </w:rPr>
  </w:style>
  <w:style w:type="paragraph" w:customStyle="1" w:styleId="Pa26">
    <w:name w:val="Pa26"/>
    <w:basedOn w:val="Normal"/>
    <w:next w:val="Normal"/>
    <w:uiPriority w:val="99"/>
    <w:rsid w:val="00610DC6"/>
    <w:pPr>
      <w:widowControl w:val="0"/>
      <w:autoSpaceDE w:val="0"/>
      <w:autoSpaceDN w:val="0"/>
      <w:adjustRightInd w:val="0"/>
      <w:spacing w:after="0" w:line="221" w:lineRule="atLeast"/>
      <w:jc w:val="both"/>
      <w:textAlignment w:val="baseline"/>
    </w:pPr>
    <w:rPr>
      <w:rFonts w:ascii="Times" w:eastAsia="Calibri" w:hAnsi="Times" w:cs="Times"/>
      <w:sz w:val="24"/>
      <w:szCs w:val="24"/>
      <w:lang w:val="en-US"/>
    </w:rPr>
  </w:style>
  <w:style w:type="paragraph" w:customStyle="1" w:styleId="Pa27">
    <w:name w:val="Pa27"/>
    <w:basedOn w:val="Normal"/>
    <w:next w:val="Normal"/>
    <w:uiPriority w:val="99"/>
    <w:rsid w:val="00610DC6"/>
    <w:pPr>
      <w:widowControl w:val="0"/>
      <w:autoSpaceDE w:val="0"/>
      <w:autoSpaceDN w:val="0"/>
      <w:adjustRightInd w:val="0"/>
      <w:spacing w:after="0" w:line="221" w:lineRule="atLeast"/>
      <w:jc w:val="both"/>
      <w:textAlignment w:val="baseline"/>
    </w:pPr>
    <w:rPr>
      <w:rFonts w:ascii="Times" w:eastAsia="Calibri" w:hAnsi="Times" w:cs="Times"/>
      <w:sz w:val="24"/>
      <w:szCs w:val="24"/>
      <w:lang w:val="en-US"/>
    </w:rPr>
  </w:style>
  <w:style w:type="character" w:customStyle="1" w:styleId="A8">
    <w:name w:val="A8"/>
    <w:uiPriority w:val="99"/>
    <w:rsid w:val="00610DC6"/>
    <w:rPr>
      <w:color w:val="000000"/>
      <w:sz w:val="21"/>
      <w:szCs w:val="21"/>
    </w:rPr>
  </w:style>
  <w:style w:type="paragraph" w:customStyle="1" w:styleId="Pa1">
    <w:name w:val="Pa1"/>
    <w:basedOn w:val="Normal"/>
    <w:next w:val="Normal"/>
    <w:uiPriority w:val="99"/>
    <w:rsid w:val="00610DC6"/>
    <w:pPr>
      <w:widowControl w:val="0"/>
      <w:autoSpaceDE w:val="0"/>
      <w:autoSpaceDN w:val="0"/>
      <w:adjustRightInd w:val="0"/>
      <w:spacing w:after="0" w:line="221" w:lineRule="atLeast"/>
      <w:jc w:val="both"/>
      <w:textAlignment w:val="baseline"/>
    </w:pPr>
    <w:rPr>
      <w:rFonts w:ascii="Times" w:eastAsia="Calibri" w:hAnsi="Times" w:cs="Times"/>
      <w:sz w:val="24"/>
      <w:szCs w:val="24"/>
      <w:lang w:val="en-US"/>
    </w:rPr>
  </w:style>
  <w:style w:type="character" w:customStyle="1" w:styleId="A9">
    <w:name w:val="A9"/>
    <w:uiPriority w:val="99"/>
    <w:rsid w:val="00610DC6"/>
    <w:rPr>
      <w:b/>
      <w:bCs/>
      <w:color w:val="000000"/>
      <w:sz w:val="26"/>
      <w:szCs w:val="26"/>
    </w:rPr>
  </w:style>
  <w:style w:type="paragraph" w:customStyle="1" w:styleId="Pa11">
    <w:name w:val="Pa11"/>
    <w:basedOn w:val="Default"/>
    <w:next w:val="Default"/>
    <w:uiPriority w:val="99"/>
    <w:rsid w:val="00610DC6"/>
    <w:pPr>
      <w:spacing w:line="241" w:lineRule="atLeast"/>
    </w:pPr>
    <w:rPr>
      <w:rFonts w:ascii="Times" w:hAnsi="Times" w:cs="Times"/>
      <w:color w:val="auto"/>
      <w:lang w:eastAsia="fr-FR"/>
    </w:rPr>
  </w:style>
  <w:style w:type="paragraph" w:customStyle="1" w:styleId="Pa36">
    <w:name w:val="Pa36"/>
    <w:basedOn w:val="Default"/>
    <w:next w:val="Default"/>
    <w:uiPriority w:val="99"/>
    <w:rsid w:val="00610DC6"/>
    <w:pPr>
      <w:spacing w:line="221" w:lineRule="atLeast"/>
    </w:pPr>
    <w:rPr>
      <w:rFonts w:ascii="Times" w:hAnsi="Times" w:cs="Times"/>
      <w:color w:val="auto"/>
      <w:lang w:eastAsia="fr-FR"/>
    </w:rPr>
  </w:style>
  <w:style w:type="paragraph" w:customStyle="1" w:styleId="Pa37">
    <w:name w:val="Pa37"/>
    <w:basedOn w:val="Default"/>
    <w:next w:val="Default"/>
    <w:uiPriority w:val="99"/>
    <w:rsid w:val="00610DC6"/>
    <w:pPr>
      <w:spacing w:line="241" w:lineRule="atLeast"/>
    </w:pPr>
    <w:rPr>
      <w:rFonts w:ascii="Times" w:hAnsi="Times" w:cs="Times"/>
      <w:color w:val="auto"/>
      <w:lang w:eastAsia="fr-FR"/>
    </w:rPr>
  </w:style>
  <w:style w:type="paragraph" w:customStyle="1" w:styleId="Pa0">
    <w:name w:val="Pa0"/>
    <w:basedOn w:val="Default"/>
    <w:next w:val="Default"/>
    <w:uiPriority w:val="99"/>
    <w:rsid w:val="00610DC6"/>
    <w:pPr>
      <w:spacing w:line="221" w:lineRule="atLeast"/>
    </w:pPr>
    <w:rPr>
      <w:rFonts w:ascii="Times" w:hAnsi="Times" w:cs="Times"/>
      <w:color w:val="auto"/>
      <w:lang w:eastAsia="fr-FR"/>
    </w:rPr>
  </w:style>
  <w:style w:type="paragraph" w:customStyle="1" w:styleId="Pa38">
    <w:name w:val="Pa38"/>
    <w:basedOn w:val="Default"/>
    <w:next w:val="Default"/>
    <w:uiPriority w:val="99"/>
    <w:rsid w:val="00610DC6"/>
    <w:pPr>
      <w:spacing w:line="221" w:lineRule="atLeast"/>
    </w:pPr>
    <w:rPr>
      <w:rFonts w:ascii="Times" w:hAnsi="Times" w:cs="Times"/>
      <w:color w:val="auto"/>
      <w:lang w:eastAsia="fr-FR"/>
    </w:rPr>
  </w:style>
  <w:style w:type="character" w:customStyle="1" w:styleId="in-widget">
    <w:name w:val="in-widget"/>
    <w:rsid w:val="00610DC6"/>
  </w:style>
  <w:style w:type="character" w:customStyle="1" w:styleId="in-top">
    <w:name w:val="in-top"/>
    <w:rsid w:val="00610DC6"/>
  </w:style>
  <w:style w:type="character" w:customStyle="1" w:styleId="titrepro">
    <w:name w:val="titrepro"/>
    <w:rsid w:val="00610DC6"/>
  </w:style>
  <w:style w:type="table" w:customStyle="1" w:styleId="TableGrid0">
    <w:name w:val="TableGrid"/>
    <w:rsid w:val="00610DC6"/>
    <w:pPr>
      <w:spacing w:after="0" w:line="240" w:lineRule="auto"/>
    </w:pPr>
    <w:rPr>
      <w:rFonts w:ascii="Calibri" w:eastAsia="Times New Roman" w:hAnsi="Calibri" w:cs="Times New Roman"/>
      <w:lang w:eastAsia="fr-FR"/>
    </w:rPr>
    <w:tblPr>
      <w:tblCellMar>
        <w:top w:w="0" w:type="dxa"/>
        <w:left w:w="0" w:type="dxa"/>
        <w:bottom w:w="0" w:type="dxa"/>
        <w:right w:w="0" w:type="dxa"/>
      </w:tblCellMar>
    </w:tblPr>
  </w:style>
  <w:style w:type="paragraph" w:customStyle="1" w:styleId="Pa19">
    <w:name w:val="Pa19"/>
    <w:basedOn w:val="Default"/>
    <w:next w:val="Default"/>
    <w:uiPriority w:val="99"/>
    <w:rsid w:val="00610DC6"/>
    <w:pPr>
      <w:spacing w:line="281" w:lineRule="atLeast"/>
    </w:pPr>
    <w:rPr>
      <w:rFonts w:ascii="Times" w:hAnsi="Times" w:cs="Times"/>
      <w:color w:val="auto"/>
      <w:lang w:eastAsia="fr-FR"/>
    </w:rPr>
  </w:style>
  <w:style w:type="table" w:customStyle="1" w:styleId="Grilledutableau1">
    <w:name w:val="Grille du tableau1"/>
    <w:basedOn w:val="TableNormal"/>
    <w:next w:val="TableGrid"/>
    <w:uiPriority w:val="59"/>
    <w:rsid w:val="00610DC6"/>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Normal"/>
    <w:next w:val="TableGrid"/>
    <w:uiPriority w:val="59"/>
    <w:rsid w:val="00610DC6"/>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8">
    <w:name w:val="Pa18"/>
    <w:basedOn w:val="Default"/>
    <w:next w:val="Default"/>
    <w:uiPriority w:val="99"/>
    <w:rsid w:val="00610DC6"/>
    <w:pPr>
      <w:spacing w:line="401" w:lineRule="atLeast"/>
    </w:pPr>
    <w:rPr>
      <w:rFonts w:ascii="Times" w:hAnsi="Times" w:cs="Times"/>
      <w:color w:val="auto"/>
      <w:lang w:eastAsia="fr-FR"/>
    </w:rPr>
  </w:style>
  <w:style w:type="character" w:customStyle="1" w:styleId="A16">
    <w:name w:val="A16"/>
    <w:uiPriority w:val="99"/>
    <w:rsid w:val="00610DC6"/>
    <w:rPr>
      <w:b/>
      <w:bCs/>
      <w:color w:val="000000"/>
      <w:sz w:val="32"/>
      <w:szCs w:val="32"/>
    </w:rPr>
  </w:style>
  <w:style w:type="paragraph" w:customStyle="1" w:styleId="Pa41">
    <w:name w:val="Pa41"/>
    <w:basedOn w:val="Default"/>
    <w:next w:val="Default"/>
    <w:uiPriority w:val="99"/>
    <w:rsid w:val="00610DC6"/>
    <w:pPr>
      <w:spacing w:line="221" w:lineRule="atLeast"/>
    </w:pPr>
    <w:rPr>
      <w:rFonts w:ascii="Times" w:hAnsi="Times" w:cs="Times"/>
      <w:color w:val="auto"/>
      <w:lang w:eastAsia="fr-FR"/>
    </w:rPr>
  </w:style>
  <w:style w:type="paragraph" w:customStyle="1" w:styleId="Pa8">
    <w:name w:val="Pa8"/>
    <w:basedOn w:val="Default"/>
    <w:next w:val="Default"/>
    <w:uiPriority w:val="99"/>
    <w:rsid w:val="00610DC6"/>
    <w:pPr>
      <w:spacing w:line="241" w:lineRule="atLeast"/>
    </w:pPr>
    <w:rPr>
      <w:rFonts w:ascii="Times" w:hAnsi="Times" w:cs="Times"/>
      <w:color w:val="auto"/>
      <w:lang w:eastAsia="fr-FR"/>
    </w:rPr>
  </w:style>
  <w:style w:type="paragraph" w:customStyle="1" w:styleId="Pa42">
    <w:name w:val="Pa42"/>
    <w:basedOn w:val="Default"/>
    <w:next w:val="Default"/>
    <w:uiPriority w:val="99"/>
    <w:rsid w:val="00610DC6"/>
    <w:pPr>
      <w:spacing w:line="241" w:lineRule="atLeast"/>
    </w:pPr>
    <w:rPr>
      <w:rFonts w:ascii="Times" w:hAnsi="Times" w:cs="Times"/>
      <w:color w:val="auto"/>
      <w:lang w:eastAsia="fr-FR"/>
    </w:rPr>
  </w:style>
  <w:style w:type="paragraph" w:customStyle="1" w:styleId="Pa34">
    <w:name w:val="Pa34"/>
    <w:basedOn w:val="Default"/>
    <w:next w:val="Default"/>
    <w:uiPriority w:val="99"/>
    <w:rsid w:val="00610DC6"/>
    <w:pPr>
      <w:spacing w:line="241" w:lineRule="atLeast"/>
    </w:pPr>
    <w:rPr>
      <w:rFonts w:ascii="Times" w:hAnsi="Times" w:cs="Times"/>
      <w:color w:val="auto"/>
      <w:lang w:eastAsia="fr-FR"/>
    </w:rPr>
  </w:style>
  <w:style w:type="paragraph" w:customStyle="1" w:styleId="Pa47">
    <w:name w:val="Pa47"/>
    <w:basedOn w:val="Default"/>
    <w:next w:val="Default"/>
    <w:uiPriority w:val="99"/>
    <w:rsid w:val="00610DC6"/>
    <w:pPr>
      <w:spacing w:line="241" w:lineRule="atLeast"/>
    </w:pPr>
    <w:rPr>
      <w:rFonts w:ascii="Times" w:hAnsi="Times" w:cs="Times"/>
      <w:color w:val="auto"/>
      <w:lang w:eastAsia="fr-FR"/>
    </w:rPr>
  </w:style>
  <w:style w:type="paragraph" w:customStyle="1" w:styleId="Pa48">
    <w:name w:val="Pa48"/>
    <w:basedOn w:val="Default"/>
    <w:next w:val="Default"/>
    <w:uiPriority w:val="99"/>
    <w:rsid w:val="00610DC6"/>
    <w:pPr>
      <w:spacing w:line="241" w:lineRule="atLeast"/>
    </w:pPr>
    <w:rPr>
      <w:rFonts w:ascii="Times" w:hAnsi="Times" w:cs="Times"/>
      <w:color w:val="auto"/>
      <w:lang w:eastAsia="fr-FR"/>
    </w:rPr>
  </w:style>
  <w:style w:type="numbering" w:customStyle="1" w:styleId="ImportedStyle10">
    <w:name w:val="Imported Style 10"/>
    <w:rsid w:val="00610DC6"/>
  </w:style>
  <w:style w:type="table" w:customStyle="1" w:styleId="Grilledutableau3">
    <w:name w:val="Grille du tableau3"/>
    <w:basedOn w:val="TableNormal"/>
    <w:next w:val="TableGrid"/>
    <w:uiPriority w:val="59"/>
    <w:rsid w:val="00610DC6"/>
    <w:pPr>
      <w:spacing w:after="0" w:line="240" w:lineRule="auto"/>
    </w:pPr>
    <w:rPr>
      <w:rFonts w:ascii="Calibri" w:eastAsia="MS Mincho"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610DC6"/>
  </w:style>
  <w:style w:type="paragraph" w:styleId="ListBullet">
    <w:name w:val="List Bullet"/>
    <w:basedOn w:val="Normal"/>
    <w:rsid w:val="00610DC6"/>
    <w:pPr>
      <w:widowControl w:val="0"/>
      <w:suppressAutoHyphens/>
      <w:autoSpaceDN w:val="0"/>
      <w:adjustRightInd w:val="0"/>
      <w:spacing w:after="200" w:line="276" w:lineRule="auto"/>
      <w:jc w:val="both"/>
      <w:textAlignment w:val="baseline"/>
    </w:pPr>
    <w:rPr>
      <w:rFonts w:ascii="Calibri" w:eastAsia="Calibri" w:hAnsi="Calibri" w:cs="Calibri"/>
      <w:kern w:val="3"/>
      <w:lang w:val="nl-NL"/>
    </w:rPr>
  </w:style>
  <w:style w:type="paragraph" w:customStyle="1" w:styleId="Paranumbering">
    <w:name w:val="Para numbering"/>
    <w:basedOn w:val="NoSpacing"/>
    <w:link w:val="ParanumberingChar"/>
    <w:qFormat/>
    <w:rsid w:val="00610DC6"/>
    <w:pPr>
      <w:numPr>
        <w:numId w:val="8"/>
      </w:numPr>
      <w:spacing w:before="120" w:after="120"/>
    </w:pPr>
    <w:rPr>
      <w:rFonts w:ascii="Times New Roman" w:hAnsi="Times New Roman"/>
      <w:sz w:val="24"/>
    </w:rPr>
  </w:style>
  <w:style w:type="character" w:customStyle="1" w:styleId="ParanumberingChar">
    <w:name w:val="Para numbering Char"/>
    <w:basedOn w:val="NoSpacingChar"/>
    <w:link w:val="Paranumbering"/>
    <w:rsid w:val="00610DC6"/>
    <w:rPr>
      <w:rFonts w:ascii="Times New Roman" w:eastAsia="ヒラギノ角ゴ Pro W3" w:hAnsi="Times New Roman" w:cs="Times New Roman"/>
      <w:color w:val="000000"/>
      <w:sz w:val="24"/>
      <w:szCs w:val="20"/>
      <w:lang w:val="en-US"/>
    </w:rPr>
  </w:style>
  <w:style w:type="table" w:customStyle="1" w:styleId="Grilledutableau4">
    <w:name w:val="Grille du tableau4"/>
    <w:basedOn w:val="TableNormal"/>
    <w:uiPriority w:val="59"/>
    <w:rsid w:val="00610DC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
    <w:name w:val="Grille du tableau42"/>
    <w:basedOn w:val="TableNormal"/>
    <w:uiPriority w:val="59"/>
    <w:rsid w:val="00610DC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610DC6"/>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10DC6"/>
    <w:pPr>
      <w:widowControl w:val="0"/>
      <w:pBdr>
        <w:top w:val="nil"/>
        <w:left w:val="nil"/>
        <w:bottom w:val="nil"/>
        <w:right w:val="nil"/>
        <w:between w:val="nil"/>
        <w:bar w:val="nil"/>
      </w:pBdr>
      <w:adjustRightInd w:val="0"/>
      <w:spacing w:after="0" w:line="360" w:lineRule="atLeast"/>
      <w:jc w:val="both"/>
      <w:textAlignment w:val="baseline"/>
    </w:pPr>
    <w:rPr>
      <w:rFonts w:ascii="Helvetica" w:eastAsia="Arial Unicode MS" w:hAnsi="Arial Unicode MS" w:cs="Times New Roman"/>
      <w:color w:val="000000"/>
      <w:bdr w:val="nil"/>
      <w:lang w:val="en-US" w:eastAsia="fr-FR"/>
    </w:rPr>
  </w:style>
  <w:style w:type="paragraph" w:customStyle="1" w:styleId="Style7">
    <w:name w:val="Style7"/>
    <w:basedOn w:val="ListParagraph"/>
    <w:link w:val="Style7Car"/>
    <w:qFormat/>
    <w:rsid w:val="00610DC6"/>
    <w:pPr>
      <w:numPr>
        <w:numId w:val="6"/>
      </w:numPr>
      <w:ind w:left="360"/>
    </w:pPr>
    <w:rPr>
      <w:rFonts w:asciiTheme="majorHAnsi" w:eastAsia="Times New Roman" w:hAnsiTheme="majorHAnsi" w:cstheme="majorBidi"/>
      <w:color w:val="auto"/>
      <w:sz w:val="22"/>
      <w:szCs w:val="22"/>
      <w:lang w:eastAsia="fr-FR"/>
    </w:rPr>
  </w:style>
  <w:style w:type="character" w:customStyle="1" w:styleId="Style7Car">
    <w:name w:val="Style7 Car"/>
    <w:basedOn w:val="DefaultParagraphFont"/>
    <w:link w:val="Style7"/>
    <w:rsid w:val="00610DC6"/>
    <w:rPr>
      <w:rFonts w:asciiTheme="majorHAnsi" w:eastAsia="Times New Roman" w:hAnsiTheme="majorHAnsi" w:cstheme="majorBidi"/>
      <w:lang w:eastAsia="fr-FR"/>
    </w:rPr>
  </w:style>
  <w:style w:type="table" w:customStyle="1" w:styleId="Grilledutableau6">
    <w:name w:val="Grille du tableau6"/>
    <w:basedOn w:val="TableNormal"/>
    <w:next w:val="TableGrid"/>
    <w:uiPriority w:val="39"/>
    <w:rsid w:val="00610DC6"/>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Normal"/>
    <w:next w:val="TableGrid"/>
    <w:uiPriority w:val="39"/>
    <w:rsid w:val="00610DC6"/>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样式1"/>
    <w:basedOn w:val="TableNormal"/>
    <w:next w:val="TableGrid"/>
    <w:uiPriority w:val="39"/>
    <w:rsid w:val="00610DC6"/>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610DC6"/>
    <w:pPr>
      <w:widowControl w:val="0"/>
      <w:adjustRightInd w:val="0"/>
      <w:spacing w:after="200" w:line="276" w:lineRule="auto"/>
      <w:ind w:left="720"/>
      <w:jc w:val="both"/>
      <w:textAlignment w:val="baseline"/>
    </w:pPr>
    <w:rPr>
      <w:rFonts w:ascii="Calibri" w:eastAsia="Calibri" w:hAnsi="Calibri" w:cs="Calibri"/>
    </w:rPr>
  </w:style>
  <w:style w:type="paragraph" w:customStyle="1" w:styleId="Sansinterligne1">
    <w:name w:val="Sans interligne1"/>
    <w:uiPriority w:val="99"/>
    <w:rsid w:val="00610DC6"/>
    <w:pPr>
      <w:widowControl w:val="0"/>
      <w:adjustRightInd w:val="0"/>
      <w:spacing w:after="0" w:line="360" w:lineRule="atLeast"/>
      <w:jc w:val="both"/>
      <w:textAlignment w:val="baseline"/>
    </w:pPr>
    <w:rPr>
      <w:rFonts w:ascii="Times New Roman" w:eastAsia="Times New Roman" w:hAnsi="Times New Roman" w:cs="Times New Roman"/>
    </w:rPr>
  </w:style>
  <w:style w:type="character" w:customStyle="1" w:styleId="longtext1">
    <w:name w:val="long_text1"/>
    <w:basedOn w:val="DefaultParagraphFont"/>
    <w:rsid w:val="00610DC6"/>
    <w:rPr>
      <w:sz w:val="26"/>
      <w:szCs w:val="26"/>
    </w:rPr>
  </w:style>
  <w:style w:type="character" w:customStyle="1" w:styleId="shorttext">
    <w:name w:val="short_text"/>
    <w:basedOn w:val="DefaultParagraphFont"/>
    <w:rsid w:val="00610DC6"/>
  </w:style>
  <w:style w:type="paragraph" w:customStyle="1" w:styleId="Attachmenttitle">
    <w:name w:val="Attachment title"/>
    <w:basedOn w:val="Normal"/>
    <w:qFormat/>
    <w:rsid w:val="00610DC6"/>
    <w:pPr>
      <w:spacing w:after="240" w:line="240" w:lineRule="auto"/>
    </w:pPr>
    <w:rPr>
      <w:rFonts w:ascii="Times New Roman" w:eastAsia="Times New Roman" w:hAnsi="Times New Roman" w:cs="Times New Roman"/>
      <w:b/>
      <w:spacing w:val="4"/>
      <w:sz w:val="24"/>
      <w:szCs w:val="24"/>
      <w:lang w:val="en-US"/>
    </w:rPr>
  </w:style>
  <w:style w:type="table" w:customStyle="1" w:styleId="TableauGrille1Clair-Accentuation11">
    <w:name w:val="Tableau Grille 1 Clair - Accentuation 11"/>
    <w:basedOn w:val="TableNormal"/>
    <w:next w:val="TableauGrille1Clair-Accentuation12"/>
    <w:uiPriority w:val="46"/>
    <w:rsid w:val="00610DC6"/>
    <w:pPr>
      <w:spacing w:after="0" w:line="240" w:lineRule="auto"/>
    </w:pPr>
    <w:rPr>
      <w:rFonts w:ascii="Calibri" w:eastAsia="Calibri" w:hAnsi="Calibri" w:cs="Arial"/>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auGrille1Clair-Accentuation12">
    <w:name w:val="Tableau Grille 1 Clair - Accentuation 12"/>
    <w:basedOn w:val="TableNormal"/>
    <w:uiPriority w:val="46"/>
    <w:rsid w:val="00610DC6"/>
    <w:pPr>
      <w:spacing w:after="0" w:line="240" w:lineRule="auto"/>
    </w:pPr>
    <w:rPr>
      <w:rFonts w:ascii="Calibri" w:eastAsia="Calibri" w:hAnsi="Calibri" w:cs="Arial"/>
      <w:sz w:val="20"/>
      <w:szCs w:val="20"/>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610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10DC6"/>
    <w:rPr>
      <w:rFonts w:ascii="Courier New" w:eastAsia="Times New Roman" w:hAnsi="Courier New" w:cs="Courier New"/>
      <w:sz w:val="20"/>
      <w:szCs w:val="20"/>
      <w:lang w:val="en-US"/>
    </w:rPr>
  </w:style>
  <w:style w:type="paragraph" w:customStyle="1" w:styleId="BVIfnrCarCarCarCarChar">
    <w:name w:val="BVI fnr Car Car Car Car Char"/>
    <w:aliases w:val="BVI fnr Car Car, BVI fnr Car Car Car Car Char,BVI fnr Car"/>
    <w:basedOn w:val="Normal"/>
    <w:link w:val="FootnoteReference"/>
    <w:rsid w:val="006436C5"/>
    <w:pPr>
      <w:widowControl w:val="0"/>
      <w:adjustRightInd w:val="0"/>
      <w:spacing w:line="240" w:lineRule="exact"/>
      <w:jc w:val="both"/>
    </w:pPr>
    <w:rPr>
      <w:vertAlign w:val="superscript"/>
    </w:rPr>
  </w:style>
  <w:style w:type="paragraph" w:customStyle="1" w:styleId="Pa311">
    <w:name w:val="Pa3++11"/>
    <w:basedOn w:val="Normal"/>
    <w:next w:val="Normal"/>
    <w:uiPriority w:val="99"/>
    <w:rsid w:val="006436C5"/>
    <w:pPr>
      <w:autoSpaceDE w:val="0"/>
      <w:autoSpaceDN w:val="0"/>
      <w:adjustRightInd w:val="0"/>
      <w:spacing w:after="0" w:line="201" w:lineRule="atLeast"/>
    </w:pPr>
    <w:rPr>
      <w:rFonts w:ascii="Ideal Sans" w:hAnsi="Ideal Sans"/>
      <w:sz w:val="24"/>
      <w:szCs w:val="24"/>
      <w:lang w:val="en-US"/>
    </w:rPr>
  </w:style>
  <w:style w:type="character" w:customStyle="1" w:styleId="Date1">
    <w:name w:val="Date1"/>
    <w:basedOn w:val="DefaultParagraphFont"/>
    <w:rsid w:val="00E533C4"/>
  </w:style>
  <w:style w:type="character" w:customStyle="1" w:styleId="PSCar">
    <w:name w:val="PS Car"/>
    <w:link w:val="PS"/>
    <w:locked/>
    <w:rsid w:val="00861B23"/>
    <w:rPr>
      <w:rFonts w:ascii="Arial" w:hAnsi="Arial" w:cs="Arial"/>
      <w:sz w:val="24"/>
    </w:rPr>
  </w:style>
  <w:style w:type="paragraph" w:customStyle="1" w:styleId="PS">
    <w:name w:val="PS"/>
    <w:basedOn w:val="Normal"/>
    <w:link w:val="PSCar"/>
    <w:rsid w:val="00861B23"/>
    <w:pPr>
      <w:spacing w:before="240" w:after="120" w:line="240" w:lineRule="auto"/>
      <w:jc w:val="both"/>
    </w:pPr>
    <w:rPr>
      <w:rFonts w:ascii="Arial" w:hAnsi="Arial" w:cs="Arial"/>
      <w:sz w:val="24"/>
    </w:rPr>
  </w:style>
  <w:style w:type="table" w:customStyle="1" w:styleId="2">
    <w:name w:val="表格样式2"/>
    <w:basedOn w:val="TableNormal"/>
    <w:next w:val="TableGrid"/>
    <w:uiPriority w:val="39"/>
    <w:rsid w:val="00382D65"/>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2476A5"/>
    <w:pPr>
      <w:keepLines/>
      <w:widowControl/>
      <w:adjustRightInd/>
      <w:spacing w:after="0" w:line="259" w:lineRule="auto"/>
      <w:jc w:val="left"/>
      <w:textAlignment w:val="auto"/>
      <w:outlineLvl w:val="9"/>
    </w:pPr>
    <w:rPr>
      <w:rFonts w:asciiTheme="majorHAnsi" w:eastAsiaTheme="majorEastAsia" w:hAnsiTheme="majorHAnsi" w:cstheme="majorBidi"/>
      <w:b w:val="0"/>
      <w:bCs w:val="0"/>
      <w:color w:val="2F5496" w:themeColor="accent1" w:themeShade="BF"/>
      <w:kern w:val="0"/>
    </w:rPr>
  </w:style>
  <w:style w:type="table" w:customStyle="1" w:styleId="Grilledutableau421">
    <w:name w:val="Grille du tableau421"/>
    <w:basedOn w:val="TableNormal"/>
    <w:uiPriority w:val="59"/>
    <w:rsid w:val="00B737E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06458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normaltextrun">
    <w:name w:val="normaltextrun"/>
    <w:basedOn w:val="DefaultParagraphFont"/>
    <w:rsid w:val="00514DAE"/>
  </w:style>
  <w:style w:type="character" w:customStyle="1" w:styleId="UnresolvedMention1">
    <w:name w:val="Unresolved Mention1"/>
    <w:basedOn w:val="DefaultParagraphFont"/>
    <w:uiPriority w:val="99"/>
    <w:semiHidden/>
    <w:unhideWhenUsed/>
    <w:rsid w:val="000E72BE"/>
    <w:rPr>
      <w:color w:val="605E5C"/>
      <w:shd w:val="clear" w:color="auto" w:fill="E1DFDD"/>
    </w:rPr>
  </w:style>
  <w:style w:type="paragraph" w:customStyle="1" w:styleId="FootnoteText1">
    <w:name w:val="~FootnoteText1"/>
    <w:basedOn w:val="Normal"/>
    <w:next w:val="FootnoteText"/>
    <w:unhideWhenUsed/>
    <w:qFormat/>
    <w:rsid w:val="007B16C4"/>
    <w:pPr>
      <w:spacing w:after="0" w:line="240" w:lineRule="auto"/>
      <w:jc w:val="both"/>
    </w:pPr>
    <w:rPr>
      <w:rFonts w:ascii="Times New Roman" w:hAnsi="Times New Roman"/>
      <w:sz w:val="20"/>
      <w:szCs w:val="20"/>
      <w:lang w:val="en-US"/>
    </w:rPr>
  </w:style>
  <w:style w:type="character" w:customStyle="1" w:styleId="Hyperlink1">
    <w:name w:val="Hyperlink1"/>
    <w:basedOn w:val="DefaultParagraphFont"/>
    <w:uiPriority w:val="99"/>
    <w:unhideWhenUsed/>
    <w:rsid w:val="007B16C4"/>
    <w:rPr>
      <w:color w:val="0000FF"/>
      <w:u w:val="single"/>
    </w:rPr>
  </w:style>
  <w:style w:type="numbering" w:customStyle="1" w:styleId="Style10">
    <w:name w:val="Style10"/>
    <w:uiPriority w:val="99"/>
    <w:rsid w:val="007B16C4"/>
    <w:pPr>
      <w:numPr>
        <w:numId w:val="20"/>
      </w:numPr>
    </w:pPr>
  </w:style>
  <w:style w:type="paragraph" w:customStyle="1" w:styleId="Normal141">
    <w:name w:val="Normal_14_1"/>
    <w:qFormat/>
    <w:rsid w:val="00812D15"/>
    <w:rPr>
      <w:lang w:val="en-US"/>
    </w:rPr>
  </w:style>
  <w:style w:type="table" w:styleId="GridTable4-Accent5">
    <w:name w:val="Grid Table 4 Accent 5"/>
    <w:basedOn w:val="TableNormal"/>
    <w:uiPriority w:val="49"/>
    <w:rsid w:val="00697AC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089002">
      <w:bodyDiv w:val="1"/>
      <w:marLeft w:val="0"/>
      <w:marRight w:val="0"/>
      <w:marTop w:val="0"/>
      <w:marBottom w:val="0"/>
      <w:divBdr>
        <w:top w:val="none" w:sz="0" w:space="0" w:color="auto"/>
        <w:left w:val="none" w:sz="0" w:space="0" w:color="auto"/>
        <w:bottom w:val="none" w:sz="0" w:space="0" w:color="auto"/>
        <w:right w:val="none" w:sz="0" w:space="0" w:color="auto"/>
      </w:divBdr>
      <w:divsChild>
        <w:div w:id="1155029679">
          <w:marLeft w:val="0"/>
          <w:marRight w:val="0"/>
          <w:marTop w:val="0"/>
          <w:marBottom w:val="0"/>
          <w:divBdr>
            <w:top w:val="none" w:sz="0" w:space="0" w:color="auto"/>
            <w:left w:val="none" w:sz="0" w:space="0" w:color="auto"/>
            <w:bottom w:val="none" w:sz="0" w:space="0" w:color="auto"/>
            <w:right w:val="none" w:sz="0" w:space="0" w:color="auto"/>
          </w:divBdr>
        </w:div>
      </w:divsChild>
    </w:div>
    <w:div w:id="824660725">
      <w:bodyDiv w:val="1"/>
      <w:marLeft w:val="0"/>
      <w:marRight w:val="0"/>
      <w:marTop w:val="0"/>
      <w:marBottom w:val="0"/>
      <w:divBdr>
        <w:top w:val="none" w:sz="0" w:space="0" w:color="auto"/>
        <w:left w:val="none" w:sz="0" w:space="0" w:color="auto"/>
        <w:bottom w:val="none" w:sz="0" w:space="0" w:color="auto"/>
        <w:right w:val="none" w:sz="0" w:space="0" w:color="auto"/>
      </w:divBdr>
    </w:div>
    <w:div w:id="888688800">
      <w:bodyDiv w:val="1"/>
      <w:marLeft w:val="0"/>
      <w:marRight w:val="0"/>
      <w:marTop w:val="0"/>
      <w:marBottom w:val="0"/>
      <w:divBdr>
        <w:top w:val="none" w:sz="0" w:space="0" w:color="auto"/>
        <w:left w:val="none" w:sz="0" w:space="0" w:color="auto"/>
        <w:bottom w:val="none" w:sz="0" w:space="0" w:color="auto"/>
        <w:right w:val="none" w:sz="0" w:space="0" w:color="auto"/>
      </w:divBdr>
    </w:div>
    <w:div w:id="950824667">
      <w:bodyDiv w:val="1"/>
      <w:marLeft w:val="0"/>
      <w:marRight w:val="0"/>
      <w:marTop w:val="0"/>
      <w:marBottom w:val="0"/>
      <w:divBdr>
        <w:top w:val="none" w:sz="0" w:space="0" w:color="auto"/>
        <w:left w:val="none" w:sz="0" w:space="0" w:color="auto"/>
        <w:bottom w:val="none" w:sz="0" w:space="0" w:color="auto"/>
        <w:right w:val="none" w:sz="0" w:space="0" w:color="auto"/>
      </w:divBdr>
      <w:divsChild>
        <w:div w:id="513349449">
          <w:marLeft w:val="0"/>
          <w:marRight w:val="0"/>
          <w:marTop w:val="0"/>
          <w:marBottom w:val="0"/>
          <w:divBdr>
            <w:top w:val="none" w:sz="0" w:space="0" w:color="auto"/>
            <w:left w:val="none" w:sz="0" w:space="0" w:color="auto"/>
            <w:bottom w:val="none" w:sz="0" w:space="0" w:color="auto"/>
            <w:right w:val="none" w:sz="0" w:space="0" w:color="auto"/>
          </w:divBdr>
          <w:divsChild>
            <w:div w:id="1030375970">
              <w:marLeft w:val="0"/>
              <w:marRight w:val="0"/>
              <w:marTop w:val="0"/>
              <w:marBottom w:val="0"/>
              <w:divBdr>
                <w:top w:val="none" w:sz="0" w:space="0" w:color="auto"/>
                <w:left w:val="none" w:sz="0" w:space="0" w:color="auto"/>
                <w:bottom w:val="none" w:sz="0" w:space="0" w:color="auto"/>
                <w:right w:val="none" w:sz="0" w:space="0" w:color="auto"/>
              </w:divBdr>
            </w:div>
          </w:divsChild>
        </w:div>
        <w:div w:id="632058221">
          <w:marLeft w:val="0"/>
          <w:marRight w:val="0"/>
          <w:marTop w:val="0"/>
          <w:marBottom w:val="0"/>
          <w:divBdr>
            <w:top w:val="none" w:sz="0" w:space="0" w:color="auto"/>
            <w:left w:val="none" w:sz="0" w:space="0" w:color="auto"/>
            <w:bottom w:val="none" w:sz="0" w:space="0" w:color="auto"/>
            <w:right w:val="none" w:sz="0" w:space="0" w:color="auto"/>
          </w:divBdr>
          <w:divsChild>
            <w:div w:id="1666668561">
              <w:marLeft w:val="0"/>
              <w:marRight w:val="0"/>
              <w:marTop w:val="0"/>
              <w:marBottom w:val="0"/>
              <w:divBdr>
                <w:top w:val="none" w:sz="0" w:space="0" w:color="auto"/>
                <w:left w:val="none" w:sz="0" w:space="0" w:color="auto"/>
                <w:bottom w:val="none" w:sz="0" w:space="0" w:color="auto"/>
                <w:right w:val="none" w:sz="0" w:space="0" w:color="auto"/>
              </w:divBdr>
            </w:div>
          </w:divsChild>
        </w:div>
        <w:div w:id="2099713670">
          <w:marLeft w:val="0"/>
          <w:marRight w:val="0"/>
          <w:marTop w:val="0"/>
          <w:marBottom w:val="0"/>
          <w:divBdr>
            <w:top w:val="none" w:sz="0" w:space="0" w:color="auto"/>
            <w:left w:val="none" w:sz="0" w:space="0" w:color="auto"/>
            <w:bottom w:val="none" w:sz="0" w:space="0" w:color="auto"/>
            <w:right w:val="none" w:sz="0" w:space="0" w:color="auto"/>
          </w:divBdr>
          <w:divsChild>
            <w:div w:id="2079548666">
              <w:marLeft w:val="0"/>
              <w:marRight w:val="0"/>
              <w:marTop w:val="0"/>
              <w:marBottom w:val="0"/>
              <w:divBdr>
                <w:top w:val="none" w:sz="0" w:space="0" w:color="auto"/>
                <w:left w:val="none" w:sz="0" w:space="0" w:color="auto"/>
                <w:bottom w:val="none" w:sz="0" w:space="0" w:color="auto"/>
                <w:right w:val="none" w:sz="0" w:space="0" w:color="auto"/>
              </w:divBdr>
            </w:div>
          </w:divsChild>
        </w:div>
        <w:div w:id="951085811">
          <w:marLeft w:val="0"/>
          <w:marRight w:val="0"/>
          <w:marTop w:val="0"/>
          <w:marBottom w:val="0"/>
          <w:divBdr>
            <w:top w:val="none" w:sz="0" w:space="0" w:color="auto"/>
            <w:left w:val="none" w:sz="0" w:space="0" w:color="auto"/>
            <w:bottom w:val="none" w:sz="0" w:space="0" w:color="auto"/>
            <w:right w:val="none" w:sz="0" w:space="0" w:color="auto"/>
          </w:divBdr>
          <w:divsChild>
            <w:div w:id="804276487">
              <w:marLeft w:val="0"/>
              <w:marRight w:val="0"/>
              <w:marTop w:val="0"/>
              <w:marBottom w:val="0"/>
              <w:divBdr>
                <w:top w:val="none" w:sz="0" w:space="0" w:color="auto"/>
                <w:left w:val="none" w:sz="0" w:space="0" w:color="auto"/>
                <w:bottom w:val="none" w:sz="0" w:space="0" w:color="auto"/>
                <w:right w:val="none" w:sz="0" w:space="0" w:color="auto"/>
              </w:divBdr>
            </w:div>
          </w:divsChild>
        </w:div>
        <w:div w:id="1799453767">
          <w:marLeft w:val="0"/>
          <w:marRight w:val="0"/>
          <w:marTop w:val="0"/>
          <w:marBottom w:val="0"/>
          <w:divBdr>
            <w:top w:val="none" w:sz="0" w:space="0" w:color="auto"/>
            <w:left w:val="none" w:sz="0" w:space="0" w:color="auto"/>
            <w:bottom w:val="none" w:sz="0" w:space="0" w:color="auto"/>
            <w:right w:val="none" w:sz="0" w:space="0" w:color="auto"/>
          </w:divBdr>
          <w:divsChild>
            <w:div w:id="189421920">
              <w:marLeft w:val="0"/>
              <w:marRight w:val="0"/>
              <w:marTop w:val="0"/>
              <w:marBottom w:val="0"/>
              <w:divBdr>
                <w:top w:val="none" w:sz="0" w:space="0" w:color="auto"/>
                <w:left w:val="none" w:sz="0" w:space="0" w:color="auto"/>
                <w:bottom w:val="none" w:sz="0" w:space="0" w:color="auto"/>
                <w:right w:val="none" w:sz="0" w:space="0" w:color="auto"/>
              </w:divBdr>
            </w:div>
          </w:divsChild>
        </w:div>
        <w:div w:id="2035301961">
          <w:marLeft w:val="0"/>
          <w:marRight w:val="0"/>
          <w:marTop w:val="0"/>
          <w:marBottom w:val="0"/>
          <w:divBdr>
            <w:top w:val="none" w:sz="0" w:space="0" w:color="auto"/>
            <w:left w:val="none" w:sz="0" w:space="0" w:color="auto"/>
            <w:bottom w:val="none" w:sz="0" w:space="0" w:color="auto"/>
            <w:right w:val="none" w:sz="0" w:space="0" w:color="auto"/>
          </w:divBdr>
          <w:divsChild>
            <w:div w:id="1353460432">
              <w:marLeft w:val="0"/>
              <w:marRight w:val="0"/>
              <w:marTop w:val="0"/>
              <w:marBottom w:val="0"/>
              <w:divBdr>
                <w:top w:val="none" w:sz="0" w:space="0" w:color="auto"/>
                <w:left w:val="none" w:sz="0" w:space="0" w:color="auto"/>
                <w:bottom w:val="none" w:sz="0" w:space="0" w:color="auto"/>
                <w:right w:val="none" w:sz="0" w:space="0" w:color="auto"/>
              </w:divBdr>
            </w:div>
          </w:divsChild>
        </w:div>
        <w:div w:id="1909145681">
          <w:marLeft w:val="0"/>
          <w:marRight w:val="0"/>
          <w:marTop w:val="0"/>
          <w:marBottom w:val="0"/>
          <w:divBdr>
            <w:top w:val="none" w:sz="0" w:space="0" w:color="auto"/>
            <w:left w:val="none" w:sz="0" w:space="0" w:color="auto"/>
            <w:bottom w:val="none" w:sz="0" w:space="0" w:color="auto"/>
            <w:right w:val="none" w:sz="0" w:space="0" w:color="auto"/>
          </w:divBdr>
          <w:divsChild>
            <w:div w:id="294261841">
              <w:marLeft w:val="0"/>
              <w:marRight w:val="0"/>
              <w:marTop w:val="0"/>
              <w:marBottom w:val="0"/>
              <w:divBdr>
                <w:top w:val="none" w:sz="0" w:space="0" w:color="auto"/>
                <w:left w:val="none" w:sz="0" w:space="0" w:color="auto"/>
                <w:bottom w:val="none" w:sz="0" w:space="0" w:color="auto"/>
                <w:right w:val="none" w:sz="0" w:space="0" w:color="auto"/>
              </w:divBdr>
            </w:div>
          </w:divsChild>
        </w:div>
        <w:div w:id="1007295872">
          <w:marLeft w:val="0"/>
          <w:marRight w:val="0"/>
          <w:marTop w:val="0"/>
          <w:marBottom w:val="0"/>
          <w:divBdr>
            <w:top w:val="none" w:sz="0" w:space="0" w:color="auto"/>
            <w:left w:val="none" w:sz="0" w:space="0" w:color="auto"/>
            <w:bottom w:val="none" w:sz="0" w:space="0" w:color="auto"/>
            <w:right w:val="none" w:sz="0" w:space="0" w:color="auto"/>
          </w:divBdr>
          <w:divsChild>
            <w:div w:id="1855412625">
              <w:marLeft w:val="0"/>
              <w:marRight w:val="0"/>
              <w:marTop w:val="0"/>
              <w:marBottom w:val="0"/>
              <w:divBdr>
                <w:top w:val="none" w:sz="0" w:space="0" w:color="auto"/>
                <w:left w:val="none" w:sz="0" w:space="0" w:color="auto"/>
                <w:bottom w:val="none" w:sz="0" w:space="0" w:color="auto"/>
                <w:right w:val="none" w:sz="0" w:space="0" w:color="auto"/>
              </w:divBdr>
            </w:div>
          </w:divsChild>
        </w:div>
        <w:div w:id="456721477">
          <w:marLeft w:val="0"/>
          <w:marRight w:val="0"/>
          <w:marTop w:val="0"/>
          <w:marBottom w:val="0"/>
          <w:divBdr>
            <w:top w:val="none" w:sz="0" w:space="0" w:color="auto"/>
            <w:left w:val="none" w:sz="0" w:space="0" w:color="auto"/>
            <w:bottom w:val="none" w:sz="0" w:space="0" w:color="auto"/>
            <w:right w:val="none" w:sz="0" w:space="0" w:color="auto"/>
          </w:divBdr>
          <w:divsChild>
            <w:div w:id="1407722606">
              <w:marLeft w:val="0"/>
              <w:marRight w:val="0"/>
              <w:marTop w:val="0"/>
              <w:marBottom w:val="0"/>
              <w:divBdr>
                <w:top w:val="none" w:sz="0" w:space="0" w:color="auto"/>
                <w:left w:val="none" w:sz="0" w:space="0" w:color="auto"/>
                <w:bottom w:val="none" w:sz="0" w:space="0" w:color="auto"/>
                <w:right w:val="none" w:sz="0" w:space="0" w:color="auto"/>
              </w:divBdr>
            </w:div>
          </w:divsChild>
        </w:div>
        <w:div w:id="1272275243">
          <w:marLeft w:val="0"/>
          <w:marRight w:val="0"/>
          <w:marTop w:val="0"/>
          <w:marBottom w:val="0"/>
          <w:divBdr>
            <w:top w:val="none" w:sz="0" w:space="0" w:color="auto"/>
            <w:left w:val="none" w:sz="0" w:space="0" w:color="auto"/>
            <w:bottom w:val="none" w:sz="0" w:space="0" w:color="auto"/>
            <w:right w:val="none" w:sz="0" w:space="0" w:color="auto"/>
          </w:divBdr>
          <w:divsChild>
            <w:div w:id="1319385357">
              <w:marLeft w:val="0"/>
              <w:marRight w:val="0"/>
              <w:marTop w:val="0"/>
              <w:marBottom w:val="0"/>
              <w:divBdr>
                <w:top w:val="none" w:sz="0" w:space="0" w:color="auto"/>
                <w:left w:val="none" w:sz="0" w:space="0" w:color="auto"/>
                <w:bottom w:val="none" w:sz="0" w:space="0" w:color="auto"/>
                <w:right w:val="none" w:sz="0" w:space="0" w:color="auto"/>
              </w:divBdr>
            </w:div>
          </w:divsChild>
        </w:div>
        <w:div w:id="2040085341">
          <w:marLeft w:val="0"/>
          <w:marRight w:val="0"/>
          <w:marTop w:val="0"/>
          <w:marBottom w:val="0"/>
          <w:divBdr>
            <w:top w:val="none" w:sz="0" w:space="0" w:color="auto"/>
            <w:left w:val="none" w:sz="0" w:space="0" w:color="auto"/>
            <w:bottom w:val="none" w:sz="0" w:space="0" w:color="auto"/>
            <w:right w:val="none" w:sz="0" w:space="0" w:color="auto"/>
          </w:divBdr>
          <w:divsChild>
            <w:div w:id="14172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7490">
      <w:bodyDiv w:val="1"/>
      <w:marLeft w:val="0"/>
      <w:marRight w:val="0"/>
      <w:marTop w:val="0"/>
      <w:marBottom w:val="0"/>
      <w:divBdr>
        <w:top w:val="none" w:sz="0" w:space="0" w:color="auto"/>
        <w:left w:val="none" w:sz="0" w:space="0" w:color="auto"/>
        <w:bottom w:val="none" w:sz="0" w:space="0" w:color="auto"/>
        <w:right w:val="none" w:sz="0" w:space="0" w:color="auto"/>
      </w:divBdr>
      <w:divsChild>
        <w:div w:id="852454976">
          <w:marLeft w:val="0"/>
          <w:marRight w:val="0"/>
          <w:marTop w:val="0"/>
          <w:marBottom w:val="60"/>
          <w:divBdr>
            <w:top w:val="none" w:sz="0" w:space="0" w:color="auto"/>
            <w:left w:val="none" w:sz="0" w:space="0" w:color="auto"/>
            <w:bottom w:val="none" w:sz="0" w:space="0" w:color="auto"/>
            <w:right w:val="none" w:sz="0" w:space="0" w:color="auto"/>
          </w:divBdr>
          <w:divsChild>
            <w:div w:id="1907102112">
              <w:marLeft w:val="0"/>
              <w:marRight w:val="0"/>
              <w:marTop w:val="0"/>
              <w:marBottom w:val="0"/>
              <w:divBdr>
                <w:top w:val="none" w:sz="0" w:space="0" w:color="auto"/>
                <w:left w:val="none" w:sz="0" w:space="0" w:color="auto"/>
                <w:bottom w:val="none" w:sz="0" w:space="0" w:color="auto"/>
                <w:right w:val="none" w:sz="0" w:space="0" w:color="auto"/>
              </w:divBdr>
              <w:divsChild>
                <w:div w:id="1410544753">
                  <w:marLeft w:val="0"/>
                  <w:marRight w:val="0"/>
                  <w:marTop w:val="0"/>
                  <w:marBottom w:val="0"/>
                  <w:divBdr>
                    <w:top w:val="none" w:sz="0" w:space="0" w:color="auto"/>
                    <w:left w:val="none" w:sz="0" w:space="0" w:color="auto"/>
                    <w:bottom w:val="none" w:sz="0" w:space="0" w:color="auto"/>
                    <w:right w:val="none" w:sz="0" w:space="0" w:color="auto"/>
                  </w:divBdr>
                  <w:divsChild>
                    <w:div w:id="2062751588">
                      <w:marLeft w:val="0"/>
                      <w:marRight w:val="150"/>
                      <w:marTop w:val="30"/>
                      <w:marBottom w:val="0"/>
                      <w:divBdr>
                        <w:top w:val="none" w:sz="0" w:space="0" w:color="auto"/>
                        <w:left w:val="none" w:sz="0" w:space="0" w:color="auto"/>
                        <w:bottom w:val="none" w:sz="0" w:space="0" w:color="auto"/>
                        <w:right w:val="none" w:sz="0" w:space="0" w:color="auto"/>
                      </w:divBdr>
                      <w:divsChild>
                        <w:div w:id="782454532">
                          <w:marLeft w:val="0"/>
                          <w:marRight w:val="0"/>
                          <w:marTop w:val="0"/>
                          <w:marBottom w:val="0"/>
                          <w:divBdr>
                            <w:top w:val="none" w:sz="0" w:space="0" w:color="auto"/>
                            <w:left w:val="none" w:sz="0" w:space="0" w:color="auto"/>
                            <w:bottom w:val="none" w:sz="0" w:space="0" w:color="auto"/>
                            <w:right w:val="none" w:sz="0" w:space="0" w:color="auto"/>
                          </w:divBdr>
                        </w:div>
                      </w:divsChild>
                    </w:div>
                    <w:div w:id="1969819881">
                      <w:marLeft w:val="0"/>
                      <w:marRight w:val="150"/>
                      <w:marTop w:val="30"/>
                      <w:marBottom w:val="0"/>
                      <w:divBdr>
                        <w:top w:val="none" w:sz="0" w:space="0" w:color="auto"/>
                        <w:left w:val="none" w:sz="0" w:space="0" w:color="auto"/>
                        <w:bottom w:val="none" w:sz="0" w:space="0" w:color="auto"/>
                        <w:right w:val="none" w:sz="0" w:space="0" w:color="auto"/>
                      </w:divBdr>
                      <w:divsChild>
                        <w:div w:id="628508630">
                          <w:marLeft w:val="0"/>
                          <w:marRight w:val="0"/>
                          <w:marTop w:val="0"/>
                          <w:marBottom w:val="0"/>
                          <w:divBdr>
                            <w:top w:val="none" w:sz="0" w:space="0" w:color="auto"/>
                            <w:left w:val="none" w:sz="0" w:space="0" w:color="auto"/>
                            <w:bottom w:val="none" w:sz="0" w:space="0" w:color="auto"/>
                            <w:right w:val="none" w:sz="0" w:space="0" w:color="auto"/>
                          </w:divBdr>
                        </w:div>
                      </w:divsChild>
                    </w:div>
                    <w:div w:id="1084955719">
                      <w:marLeft w:val="0"/>
                      <w:marRight w:val="0"/>
                      <w:marTop w:val="0"/>
                      <w:marBottom w:val="0"/>
                      <w:divBdr>
                        <w:top w:val="none" w:sz="0" w:space="0" w:color="auto"/>
                        <w:left w:val="none" w:sz="0" w:space="0" w:color="auto"/>
                        <w:bottom w:val="none" w:sz="0" w:space="0" w:color="auto"/>
                        <w:right w:val="none" w:sz="0" w:space="0" w:color="auto"/>
                      </w:divBdr>
                      <w:divsChild>
                        <w:div w:id="2046711257">
                          <w:marLeft w:val="0"/>
                          <w:marRight w:val="0"/>
                          <w:marTop w:val="0"/>
                          <w:marBottom w:val="0"/>
                          <w:divBdr>
                            <w:top w:val="none" w:sz="0" w:space="0" w:color="auto"/>
                            <w:left w:val="none" w:sz="0" w:space="0" w:color="auto"/>
                            <w:bottom w:val="none" w:sz="0" w:space="0" w:color="auto"/>
                            <w:right w:val="none" w:sz="0" w:space="0" w:color="auto"/>
                          </w:divBdr>
                          <w:divsChild>
                            <w:div w:id="1076170372">
                              <w:marLeft w:val="0"/>
                              <w:marRight w:val="0"/>
                              <w:marTop w:val="0"/>
                              <w:marBottom w:val="0"/>
                              <w:divBdr>
                                <w:top w:val="none" w:sz="0" w:space="0" w:color="auto"/>
                                <w:left w:val="none" w:sz="0" w:space="0" w:color="auto"/>
                                <w:bottom w:val="none" w:sz="0" w:space="0" w:color="auto"/>
                                <w:right w:val="none" w:sz="0" w:space="0" w:color="auto"/>
                              </w:divBdr>
                              <w:divsChild>
                                <w:div w:id="199824340">
                                  <w:marLeft w:val="0"/>
                                  <w:marRight w:val="0"/>
                                  <w:marTop w:val="0"/>
                                  <w:marBottom w:val="0"/>
                                  <w:divBdr>
                                    <w:top w:val="none" w:sz="0" w:space="0" w:color="auto"/>
                                    <w:left w:val="none" w:sz="0" w:space="0" w:color="auto"/>
                                    <w:bottom w:val="none" w:sz="0" w:space="0" w:color="auto"/>
                                    <w:right w:val="none" w:sz="0" w:space="0" w:color="auto"/>
                                  </w:divBdr>
                                  <w:divsChild>
                                    <w:div w:id="645551767">
                                      <w:marLeft w:val="360"/>
                                      <w:marRight w:val="360"/>
                                      <w:marTop w:val="360"/>
                                      <w:marBottom w:val="360"/>
                                      <w:divBdr>
                                        <w:top w:val="none" w:sz="0" w:space="0" w:color="auto"/>
                                        <w:left w:val="none" w:sz="0" w:space="0" w:color="auto"/>
                                        <w:bottom w:val="none" w:sz="0" w:space="0" w:color="auto"/>
                                        <w:right w:val="none" w:sz="0" w:space="0" w:color="auto"/>
                                      </w:divBdr>
                                      <w:divsChild>
                                        <w:div w:id="1224291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113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637599">
      <w:bodyDiv w:val="1"/>
      <w:marLeft w:val="0"/>
      <w:marRight w:val="0"/>
      <w:marTop w:val="0"/>
      <w:marBottom w:val="0"/>
      <w:divBdr>
        <w:top w:val="none" w:sz="0" w:space="0" w:color="auto"/>
        <w:left w:val="none" w:sz="0" w:space="0" w:color="auto"/>
        <w:bottom w:val="none" w:sz="0" w:space="0" w:color="auto"/>
        <w:right w:val="none" w:sz="0" w:space="0" w:color="auto"/>
      </w:divBdr>
    </w:div>
    <w:div w:id="1587615950">
      <w:bodyDiv w:val="1"/>
      <w:marLeft w:val="0"/>
      <w:marRight w:val="0"/>
      <w:marTop w:val="0"/>
      <w:marBottom w:val="0"/>
      <w:divBdr>
        <w:top w:val="none" w:sz="0" w:space="0" w:color="auto"/>
        <w:left w:val="none" w:sz="0" w:space="0" w:color="auto"/>
        <w:bottom w:val="none" w:sz="0" w:space="0" w:color="auto"/>
        <w:right w:val="none" w:sz="0" w:space="0" w:color="auto"/>
      </w:divBdr>
    </w:div>
    <w:div w:id="1752579721">
      <w:bodyDiv w:val="1"/>
      <w:marLeft w:val="0"/>
      <w:marRight w:val="0"/>
      <w:marTop w:val="0"/>
      <w:marBottom w:val="0"/>
      <w:divBdr>
        <w:top w:val="none" w:sz="0" w:space="0" w:color="auto"/>
        <w:left w:val="none" w:sz="0" w:space="0" w:color="auto"/>
        <w:bottom w:val="none" w:sz="0" w:space="0" w:color="auto"/>
        <w:right w:val="none" w:sz="0" w:space="0" w:color="auto"/>
      </w:divBdr>
    </w:div>
    <w:div w:id="2045593085">
      <w:bodyDiv w:val="1"/>
      <w:marLeft w:val="0"/>
      <w:marRight w:val="0"/>
      <w:marTop w:val="0"/>
      <w:marBottom w:val="0"/>
      <w:divBdr>
        <w:top w:val="none" w:sz="0" w:space="0" w:color="auto"/>
        <w:left w:val="none" w:sz="0" w:space="0" w:color="auto"/>
        <w:bottom w:val="none" w:sz="0" w:space="0" w:color="auto"/>
        <w:right w:val="none" w:sz="0" w:space="0" w:color="auto"/>
      </w:divBdr>
    </w:div>
    <w:div w:id="2065252019">
      <w:bodyDiv w:val="1"/>
      <w:marLeft w:val="0"/>
      <w:marRight w:val="0"/>
      <w:marTop w:val="0"/>
      <w:marBottom w:val="0"/>
      <w:divBdr>
        <w:top w:val="none" w:sz="0" w:space="0" w:color="auto"/>
        <w:left w:val="none" w:sz="0" w:space="0" w:color="auto"/>
        <w:bottom w:val="none" w:sz="0" w:space="0" w:color="auto"/>
        <w:right w:val="none" w:sz="0" w:space="0" w:color="auto"/>
      </w:divBdr>
    </w:div>
    <w:div w:id="210823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environnement.gov.ma/index.php/fr/minister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environnement.gov.ma/index.php/fr/ministere" TargetMode="External"/><Relationship Id="rId2" Type="http://schemas.openxmlformats.org/officeDocument/2006/relationships/hyperlink" Target="http://www.ammc.ma/sites/default/files/Med_Paper_RFA_2019.pdf" TargetMode="External"/><Relationship Id="rId1" Type="http://schemas.openxmlformats.org/officeDocument/2006/relationships/hyperlink" Target="http://www.ammc.ma/sites/default/files/Med_Paper_RFA_201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Authors xmlns="b99a068c-3844-4a16-badd-77233eea0529">000245558:Klaus Decker:kdecker@worldbank.org;</DocAuthors>
    <DocStatus xmlns="b99a068c-3844-4a16-badd-77233eea0529">23</DocStatus>
    <Authors xmlns="b99a068c-3844-4a16-badd-77233eea0529">
      <UserInfo>
        <DisplayName>i:0#.w|wb\wb245558</DisplayName>
        <AccountId>1412</AccountId>
        <AccountType/>
      </UserInfo>
    </Authors>
    <SequenceNum xmlns="b99a068c-3844-4a16-badd-77233eea0529" xsi:nil="true"/>
    <Cordis_x0020_ID xmlns="b99a068c-3844-4a16-badd-77233eea0529">ITM00360</Cordis_x0020_ID>
    <Stage xmlns="b99a068c-3844-4a16-badd-77233eea0529">APR</Stage>
    <PolicyExceptions xmlns="b99a068c-3844-4a16-badd-77233eea0529" xsi:nil="true"/>
    <IsTemplate xmlns="b99a068c-3844-4a16-badd-77233eea0529">false</IsTemplate>
    <IsHidden xmlns="b99a068c-3844-4a16-badd-77233eea0529">false</IsHidden>
    <WBDocType xmlns="b99a068c-3844-4a16-badd-77233eea0529">Draft Environmental and Social Systems Assessment</WBDocType>
    <SecurityClassification xmlns="b99a068c-3844-4a16-badd-77233eea0529">Public</SecurityClassification>
    <IsMandatory xmlns="b99a068c-3844-4a16-badd-77233eea0529">false</IsMandatory>
    <ProjectID xmlns="b99a068c-3844-4a16-badd-77233eea0529">P169330</ProjectID>
    <Task_x0020_ID xmlns="b99a068c-3844-4a16-badd-77233eea0529">TSK7838233</Task_x0020_ID>
    <Package xmlns="b99a068c-3844-4a16-badd-77233eea0529">true</Package>
    <HasUserUploaded xmlns="b99a068c-3844-4a16-badd-77233eea0529">true</HasUserUploaded>
    <DocumentDate xmlns="b99a068c-3844-4a16-badd-77233eea0529">2021-06-07T04:00:00+00:00</DocumentDate>
    <TemplateDocVersion xmlns="b99a068c-3844-4a16-badd-77233eea0529" xsi:nil="true"/>
    <RefreshDate xmlns="b99a068c-3844-4a16-badd-77233eea0529" xsi:nil="true"/>
    <SortOrder xmlns="b99a068c-3844-4a16-badd-77233eea0529" xsi:nil="true"/>
    <AttachmentType xmlns="b99a068c-3844-4a16-badd-77233eea0529" xsi:nil="true"/>
    <DisclosedVersion xmlns="b99a068c-3844-4a16-badd-77233eea0529">APR:6.0,APR:17.0</DisclosedVersion>
    <DocumentType xmlns="b99a068c-3844-4a16-badd-77233eea0529" xsi:nil="true"/>
    <ApprovedVersion xmlns="b99a068c-3844-4a16-badd-77233eea0529">APR:5.0,APR:16.0</ApprovedVersion>
    <DependentDoc xmlns="b99a068c-3844-4a16-badd-77233eea0529" xsi:nil="true"/>
    <SAPStage xmlns="b99a068c-3844-4a16-badd-77233eea0529" xsi:nil="true"/>
    <LockStatus xmlns="b99a068c-3844-4a16-badd-77233eea0529" xsi:nil="true"/>
    <Abstract xmlns="b99a068c-3844-4a16-badd-77233eea0529" xsi:nil="true"/>
    <DeliverableID xmlns="b99a068c-3844-4a16-badd-77233eea0529" xsi:nil="true"/>
    <DocumentAction xmlns="b99a068c-3844-4a16-badd-77233eea052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E3D295648216154BAB29C7B5E556FC61" ma:contentTypeVersion="3" ma:contentTypeDescription="" ma:contentTypeScope="" ma:versionID="5123f95a52e0f3c29277e6716263c09d">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A288091C-1233-4842-8759-39333833329D}">
  <ds:schemaRefs>
    <ds:schemaRef ds:uri="http://schemas.microsoft.com/office/2006/metadata/properties"/>
    <ds:schemaRef ds:uri="http://schemas.microsoft.com/office/infopath/2007/PartnerControls"/>
    <ds:schemaRef ds:uri="b99a068c-3844-4a16-badd-77233eea0529"/>
  </ds:schemaRefs>
</ds:datastoreItem>
</file>

<file path=customXml/itemProps2.xml><?xml version="1.0" encoding="utf-8"?>
<ds:datastoreItem xmlns:ds="http://schemas.openxmlformats.org/officeDocument/2006/customXml" ds:itemID="{68A10C85-F056-448F-83C9-82556BE7DE1F}">
  <ds:schemaRefs>
    <ds:schemaRef ds:uri="http://schemas.openxmlformats.org/officeDocument/2006/bibliography"/>
  </ds:schemaRefs>
</ds:datastoreItem>
</file>

<file path=customXml/itemProps3.xml><?xml version="1.0" encoding="utf-8"?>
<ds:datastoreItem xmlns:ds="http://schemas.openxmlformats.org/officeDocument/2006/customXml" ds:itemID="{3156AAE6-98A1-4EF6-93E7-6FA3FCB93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CF104-AAAB-42E7-8837-1E653DE6E02D}">
  <ds:schemaRefs>
    <ds:schemaRef ds:uri="http://schemas.microsoft.com/sharepoint/v3/contenttype/forms"/>
  </ds:schemaRefs>
</ds:datastoreItem>
</file>

<file path=customXml/itemProps5.xml><?xml version="1.0" encoding="utf-8"?>
<ds:datastoreItem xmlns:ds="http://schemas.openxmlformats.org/officeDocument/2006/customXml" ds:itemID="{6055130B-9173-45BD-ABC6-E420BD8DAE9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21317</Words>
  <Characters>121512</Characters>
  <Application>Microsoft Office Word</Application>
  <DocSecurity>0</DocSecurity>
  <Lines>1012</Lines>
  <Paragraphs>285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ESSA ENNAJAA P169330 DRAFT FRENCH 06 10 2021</vt:lpstr>
      <vt:lpstr>PforR Green Generation -- Draft ESSA</vt:lpstr>
    </vt:vector>
  </TitlesOfParts>
  <Company/>
  <LinksUpToDate>false</LinksUpToDate>
  <CharactersWithSpaces>142544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ENNAJAA P169330 DRAFT FRENCH RSA Comments Addressed 2021 06 24</dc:title>
  <dc:subject/>
  <dc:creator>Hassan KRIM</dc:creator>
  <cp:keywords/>
  <dc:description/>
  <cp:lastModifiedBy>Klaus Decker</cp:lastModifiedBy>
  <cp:revision>10</cp:revision>
  <cp:lastPrinted>2021-03-30T09:19:00Z</cp:lastPrinted>
  <dcterms:created xsi:type="dcterms:W3CDTF">2021-06-25T13:32:00Z</dcterms:created>
  <dcterms:modified xsi:type="dcterms:W3CDTF">2021-06-25T13:55:00Z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0x01010054E0FEF4951F9D49A6F48A35419983C700E3D295648216154BAB29C7B5E556FC61</vt:lpwstr>
  </property>
  <property fmtid="{D5CDD505-2E9C-101B-9397-08002B2CF9AE}" pid="3" name="RatedBy">
    <vt:lpwstr/>
  </property>
  <property fmtid="{D5CDD505-2E9C-101B-9397-08002B2CF9AE}" pid="4" name="LikedBy">
    <vt:lpwstr/>
  </property>
  <property fmtid="{D5CDD505-2E9C-101B-9397-08002B2CF9AE}" pid="5" name="Ratings">
    <vt:lpwstr/>
  </property>
  <property fmtid="{D5CDD505-2E9C-101B-9397-08002B2CF9AE}" pid="6" name="DocAuthors">
    <vt:lpwstr>000379863:David Olivier Treguer:dtreguer@worldbank.org;000356630:Khalid Anouar:kanouar@worldbank.org;000530140:Houcine Gabi:hgabi@worldbank.org;000257798:Markus Friedrich Vorpahl:mvorpahl@worldbank.org;</vt:lpwstr>
  </property>
  <property fmtid="{D5CDD505-2E9C-101B-9397-08002B2CF9AE}" pid="7" name="Authors">
    <vt:lpwstr>7110;#i:0#.w|wb\wb379863;#17309;#i:0#.w|wb\wb356630;#17310;#i:0#.w|wb\wb530140;#8099;#i:0#.w|wb\wb257798</vt:lpwstr>
  </property>
  <property fmtid="{D5CDD505-2E9C-101B-9397-08002B2CF9AE}" pid="8" name="Cordis ID">
    <vt:lpwstr>ITM00360</vt:lpwstr>
  </property>
  <property fmtid="{D5CDD505-2E9C-101B-9397-08002B2CF9AE}" pid="9" name="Stage">
    <vt:lpwstr>APR</vt:lpwstr>
  </property>
  <property fmtid="{D5CDD505-2E9C-101B-9397-08002B2CF9AE}" pid="10" name="IsHidden">
    <vt:bool>false</vt:bool>
  </property>
  <property fmtid="{D5CDD505-2E9C-101B-9397-08002B2CF9AE}" pid="11" name="IsTemplate">
    <vt:bool>false</vt:bool>
  </property>
  <property fmtid="{D5CDD505-2E9C-101B-9397-08002B2CF9AE}" pid="12" name="WBDocType">
    <vt:lpwstr>Draft Environmental and Social Systems Assessment</vt:lpwstr>
  </property>
  <property fmtid="{D5CDD505-2E9C-101B-9397-08002B2CF9AE}" pid="13" name="SecurityClassification">
    <vt:lpwstr>Public</vt:lpwstr>
  </property>
  <property fmtid="{D5CDD505-2E9C-101B-9397-08002B2CF9AE}" pid="14" name="IsMandatory">
    <vt:bool>false</vt:bool>
  </property>
  <property fmtid="{D5CDD505-2E9C-101B-9397-08002B2CF9AE}" pid="15" name="ProjectID">
    <vt:lpwstr>P170419</vt:lpwstr>
  </property>
  <property fmtid="{D5CDD505-2E9C-101B-9397-08002B2CF9AE}" pid="16" name="Task ID">
    <vt:lpwstr>TSK8035215</vt:lpwstr>
  </property>
  <property fmtid="{D5CDD505-2E9C-101B-9397-08002B2CF9AE}" pid="17" name="Package">
    <vt:bool>true</vt:bool>
  </property>
  <property fmtid="{D5CDD505-2E9C-101B-9397-08002B2CF9AE}" pid="18" name="HasUserUploaded">
    <vt:bool>true</vt:bool>
  </property>
  <property fmtid="{D5CDD505-2E9C-101B-9397-08002B2CF9AE}" pid="19" name="DocumentDate">
    <vt:filetime>2020-08-17T04:00:00Z</vt:filetime>
  </property>
  <property fmtid="{D5CDD505-2E9C-101B-9397-08002B2CF9AE}" pid="20" name="DocStatus">
    <vt:lpwstr>21</vt:lpwstr>
  </property>
  <property fmtid="{D5CDD505-2E9C-101B-9397-08002B2CF9AE}" pid="21" name="LastSaved">
    <vt:filetime>2021-05-27T00:00:00Z</vt:filetime>
  </property>
  <property fmtid="{D5CDD505-2E9C-101B-9397-08002B2CF9AE}" pid="22" name="ProofOfDelivery">
    <vt:lpwstr/>
  </property>
  <property fmtid="{D5CDD505-2E9C-101B-9397-08002B2CF9AE}" pid="23" name="Created">
    <vt:filetime>2021-05-27T00:00:00Z</vt:filetime>
  </property>
  <property fmtid="{D5CDD505-2E9C-101B-9397-08002B2CF9AE}" pid="24" name="WbDocsObjectId">
    <vt:lpwstr/>
  </property>
  <property fmtid="{D5CDD505-2E9C-101B-9397-08002B2CF9AE}" pid="25" name="IsDocumentTagged">
    <vt:lpwstr/>
  </property>
  <property fmtid="{D5CDD505-2E9C-101B-9397-08002B2CF9AE}" pid="26" name="Creator">
    <vt:lpwstr>Microsoft® Word for Microsoft 365</vt:lpwstr>
  </property>
</Properties>
</file>