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F2AA0" w14:paraId="46F2BCDC" w14:textId="77777777" w:rsidTr="002F22D0">
        <w:tc>
          <w:tcPr>
            <w:tcW w:w="9090" w:type="dxa"/>
          </w:tcPr>
          <w:p w14:paraId="506B005A" w14:textId="77777777" w:rsidR="00432389" w:rsidRDefault="00432389" w:rsidP="00432389">
            <w:pPr>
              <w:jc w:val="center"/>
              <w:rPr>
                <w:b/>
                <w:bCs/>
              </w:rPr>
            </w:pPr>
            <w:bookmarkStart w:id="0" w:name="_GoBack"/>
            <w:bookmarkEnd w:id="0"/>
            <w:r>
              <w:rPr>
                <w:b/>
                <w:bCs/>
              </w:rPr>
              <w:t>PROGRAM-FOR-RESULTS INFORMATION DOCUMENT (PID)</w:t>
            </w:r>
          </w:p>
          <w:p w14:paraId="33F956C3" w14:textId="77777777" w:rsidR="00432389" w:rsidRDefault="00432389" w:rsidP="00432389">
            <w:pPr>
              <w:jc w:val="center"/>
              <w:rPr>
                <w:b/>
                <w:bCs/>
              </w:rPr>
            </w:pPr>
            <w:r>
              <w:rPr>
                <w:b/>
                <w:bCs/>
              </w:rPr>
              <w:t>CONCEPT STAGE</w:t>
            </w:r>
          </w:p>
          <w:p w14:paraId="7F82370D" w14:textId="77777777" w:rsidR="00432389" w:rsidRDefault="00432389" w:rsidP="00432389">
            <w:pPr>
              <w:jc w:val="right"/>
            </w:pPr>
            <w:r w:rsidRPr="00C82216">
              <w:t>Report No.:</w:t>
            </w:r>
            <w:r>
              <w:t>PIDC0104003</w:t>
            </w:r>
          </w:p>
          <w:p w14:paraId="4186E11D" w14:textId="77777777" w:rsidR="00432389" w:rsidRDefault="00432389" w:rsidP="00432389">
            <w:pPr>
              <w:jc w:val="right"/>
            </w:pPr>
            <w:r>
              <w:rPr>
                <w:sz w:val="16"/>
                <w:szCs w:val="16"/>
              </w:rPr>
              <w:t>(</w:t>
            </w:r>
            <w:r w:rsidRPr="00C82216">
              <w:rPr>
                <w:sz w:val="16"/>
                <w:szCs w:val="16"/>
              </w:rPr>
              <w:t xml:space="preserve">The report </w:t>
            </w:r>
            <w:r>
              <w:rPr>
                <w:sz w:val="16"/>
                <w:szCs w:val="16"/>
              </w:rPr>
              <w:t># is automatically generated by IDU and should not be changed)</w:t>
            </w:r>
          </w:p>
          <w:p w14:paraId="6E76E4E2" w14:textId="77777777" w:rsidR="00432389" w:rsidRDefault="00432389" w:rsidP="00432389">
            <w:pPr>
              <w:jc w:val="center"/>
              <w:rPr>
                <w:b/>
                <w:bCs/>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5732"/>
            </w:tblGrid>
            <w:tr w:rsidR="00432389" w14:paraId="67ECCBD4" w14:textId="77777777" w:rsidTr="00D73C1C">
              <w:trPr>
                <w:trHeight w:val="269"/>
              </w:trPr>
              <w:tc>
                <w:tcPr>
                  <w:tcW w:w="3364" w:type="dxa"/>
                </w:tcPr>
                <w:p w14:paraId="623799A7" w14:textId="77777777" w:rsidR="00432389" w:rsidRDefault="00432389" w:rsidP="00CF2578">
                  <w:pPr>
                    <w:rPr>
                      <w:b/>
                      <w:bCs/>
                    </w:rPr>
                  </w:pPr>
                  <w:r>
                    <w:rPr>
                      <w:b/>
                      <w:bCs/>
                    </w:rPr>
                    <w:t>Program Name</w:t>
                  </w:r>
                </w:p>
              </w:tc>
              <w:tc>
                <w:tcPr>
                  <w:tcW w:w="5732" w:type="dxa"/>
                </w:tcPr>
                <w:p w14:paraId="0A0E76B6" w14:textId="77777777" w:rsidR="00432389" w:rsidRDefault="00D66D81" w:rsidP="00CF2578">
                  <w:pPr>
                    <w:jc w:val="center"/>
                  </w:pPr>
                  <w:r>
                    <w:rPr>
                      <w:i/>
                    </w:rPr>
                    <w:t>Program for Supporting Rural Bridges (SUPRB)</w:t>
                  </w:r>
                </w:p>
              </w:tc>
            </w:tr>
            <w:tr w:rsidR="00432389" w14:paraId="32B701BD" w14:textId="77777777" w:rsidTr="00D73C1C">
              <w:trPr>
                <w:trHeight w:val="269"/>
              </w:trPr>
              <w:tc>
                <w:tcPr>
                  <w:tcW w:w="3364" w:type="dxa"/>
                </w:tcPr>
                <w:p w14:paraId="02546833" w14:textId="77777777" w:rsidR="00432389" w:rsidRDefault="00432389" w:rsidP="00CF2578">
                  <w:pPr>
                    <w:rPr>
                      <w:b/>
                      <w:bCs/>
                    </w:rPr>
                  </w:pPr>
                  <w:r>
                    <w:rPr>
                      <w:b/>
                      <w:bCs/>
                    </w:rPr>
                    <w:t>Region</w:t>
                  </w:r>
                </w:p>
              </w:tc>
              <w:tc>
                <w:tcPr>
                  <w:tcW w:w="5732" w:type="dxa"/>
                </w:tcPr>
                <w:p w14:paraId="7B2E1A61" w14:textId="77777777" w:rsidR="00432389" w:rsidRDefault="00D66D81" w:rsidP="00CF2578">
                  <w:pPr>
                    <w:jc w:val="center"/>
                  </w:pPr>
                  <w:r>
                    <w:rPr>
                      <w:i/>
                    </w:rPr>
                    <w:t>South Asia</w:t>
                  </w:r>
                </w:p>
              </w:tc>
            </w:tr>
            <w:tr w:rsidR="00432389" w14:paraId="25CEBA46" w14:textId="77777777" w:rsidTr="00D73C1C">
              <w:trPr>
                <w:trHeight w:val="269"/>
              </w:trPr>
              <w:tc>
                <w:tcPr>
                  <w:tcW w:w="3364" w:type="dxa"/>
                </w:tcPr>
                <w:p w14:paraId="31CA7BDD" w14:textId="77777777" w:rsidR="00432389" w:rsidRDefault="00432389" w:rsidP="00CF2578">
                  <w:pPr>
                    <w:rPr>
                      <w:b/>
                      <w:bCs/>
                    </w:rPr>
                  </w:pPr>
                  <w:r>
                    <w:rPr>
                      <w:b/>
                      <w:bCs/>
                    </w:rPr>
                    <w:t>Country</w:t>
                  </w:r>
                </w:p>
              </w:tc>
              <w:tc>
                <w:tcPr>
                  <w:tcW w:w="5732" w:type="dxa"/>
                </w:tcPr>
                <w:p w14:paraId="3FFE9CB6" w14:textId="77777777" w:rsidR="00432389" w:rsidRDefault="00D66D81" w:rsidP="00CF2578">
                  <w:pPr>
                    <w:jc w:val="center"/>
                  </w:pPr>
                  <w:r>
                    <w:rPr>
                      <w:i/>
                    </w:rPr>
                    <w:t>Bangladesh</w:t>
                  </w:r>
                </w:p>
              </w:tc>
            </w:tr>
            <w:tr w:rsidR="00432389" w14:paraId="2F23AF89" w14:textId="77777777" w:rsidTr="00D73C1C">
              <w:trPr>
                <w:trHeight w:val="269"/>
              </w:trPr>
              <w:tc>
                <w:tcPr>
                  <w:tcW w:w="3364" w:type="dxa"/>
                </w:tcPr>
                <w:p w14:paraId="06CCE633" w14:textId="77777777" w:rsidR="00432389" w:rsidRDefault="00432389" w:rsidP="00CF2578">
                  <w:pPr>
                    <w:rPr>
                      <w:b/>
                      <w:bCs/>
                    </w:rPr>
                  </w:pPr>
                  <w:r>
                    <w:rPr>
                      <w:b/>
                      <w:bCs/>
                    </w:rPr>
                    <w:t>Sector</w:t>
                  </w:r>
                </w:p>
              </w:tc>
              <w:tc>
                <w:tcPr>
                  <w:tcW w:w="5732" w:type="dxa"/>
                </w:tcPr>
                <w:p w14:paraId="7DA7F30A" w14:textId="081FF669" w:rsidR="00432389" w:rsidRDefault="00D66D81" w:rsidP="00CF2578">
                  <w:pPr>
                    <w:jc w:val="center"/>
                  </w:pPr>
                  <w:r>
                    <w:rPr>
                      <w:i/>
                    </w:rPr>
                    <w:t>Roads &amp; Highways</w:t>
                  </w:r>
                  <w:r w:rsidR="00B63AA0">
                    <w:rPr>
                      <w:i/>
                    </w:rPr>
                    <w:t xml:space="preserve"> (Rural </w:t>
                  </w:r>
                  <w:r w:rsidR="00D73C1C">
                    <w:rPr>
                      <w:i/>
                    </w:rPr>
                    <w:t>Roads)</w:t>
                  </w:r>
                </w:p>
              </w:tc>
            </w:tr>
            <w:tr w:rsidR="00432389" w14:paraId="1DE3DEB9" w14:textId="77777777" w:rsidTr="00D73C1C">
              <w:trPr>
                <w:trHeight w:val="269"/>
              </w:trPr>
              <w:tc>
                <w:tcPr>
                  <w:tcW w:w="3364" w:type="dxa"/>
                </w:tcPr>
                <w:p w14:paraId="0711D9A3" w14:textId="77777777" w:rsidR="00432389" w:rsidRDefault="00432389" w:rsidP="00CF2578">
                  <w:pPr>
                    <w:rPr>
                      <w:b/>
                      <w:bCs/>
                    </w:rPr>
                  </w:pPr>
                  <w:r>
                    <w:rPr>
                      <w:b/>
                      <w:bCs/>
                    </w:rPr>
                    <w:t>Lending Instrument</w:t>
                  </w:r>
                </w:p>
              </w:tc>
              <w:tc>
                <w:tcPr>
                  <w:tcW w:w="5732" w:type="dxa"/>
                </w:tcPr>
                <w:p w14:paraId="52D704E6" w14:textId="22A1DE2E" w:rsidR="00432389" w:rsidRDefault="00D3252A" w:rsidP="00CF2578">
                  <w:pPr>
                    <w:jc w:val="center"/>
                    <w:rPr>
                      <w:i/>
                    </w:rPr>
                  </w:pPr>
                  <w:r>
                    <w:rPr>
                      <w:i/>
                    </w:rPr>
                    <w:t>Pfor</w:t>
                  </w:r>
                  <w:r w:rsidR="00D66D81">
                    <w:rPr>
                      <w:i/>
                    </w:rPr>
                    <w:t>R and IPF</w:t>
                  </w:r>
                </w:p>
              </w:tc>
            </w:tr>
            <w:tr w:rsidR="00432389" w14:paraId="26D7E31C" w14:textId="77777777" w:rsidTr="00D73C1C">
              <w:trPr>
                <w:trHeight w:val="269"/>
              </w:trPr>
              <w:tc>
                <w:tcPr>
                  <w:tcW w:w="3364" w:type="dxa"/>
                </w:tcPr>
                <w:p w14:paraId="49E419A7" w14:textId="77777777" w:rsidR="00432389" w:rsidRDefault="00432389" w:rsidP="00CF2578">
                  <w:pPr>
                    <w:rPr>
                      <w:b/>
                      <w:bCs/>
                    </w:rPr>
                  </w:pPr>
                  <w:r>
                    <w:rPr>
                      <w:b/>
                      <w:bCs/>
                    </w:rPr>
                    <w:t>Program ID</w:t>
                  </w:r>
                </w:p>
              </w:tc>
              <w:tc>
                <w:tcPr>
                  <w:tcW w:w="5732" w:type="dxa"/>
                </w:tcPr>
                <w:p w14:paraId="4EB8E938" w14:textId="77777777" w:rsidR="00432389" w:rsidRDefault="00D66D81" w:rsidP="00CF2578">
                  <w:pPr>
                    <w:jc w:val="center"/>
                  </w:pPr>
                  <w:r>
                    <w:rPr>
                      <w:i/>
                    </w:rPr>
                    <w:t>P161928</w:t>
                  </w:r>
                </w:p>
              </w:tc>
            </w:tr>
            <w:tr w:rsidR="00432389" w14:paraId="32521351" w14:textId="77777777" w:rsidTr="00D73C1C">
              <w:trPr>
                <w:trHeight w:val="269"/>
              </w:trPr>
              <w:tc>
                <w:tcPr>
                  <w:tcW w:w="3364" w:type="dxa"/>
                  <w:tcBorders>
                    <w:bottom w:val="single" w:sz="4" w:space="0" w:color="auto"/>
                  </w:tcBorders>
                </w:tcPr>
                <w:p w14:paraId="433073E0" w14:textId="77777777" w:rsidR="00432389" w:rsidRDefault="00432389" w:rsidP="00CF2578">
                  <w:pPr>
                    <w:rPr>
                      <w:b/>
                      <w:bCs/>
                    </w:rPr>
                  </w:pPr>
                  <w:r>
                    <w:rPr>
                      <w:b/>
                      <w:bCs/>
                    </w:rPr>
                    <w:t>Borrower(s)</w:t>
                  </w:r>
                </w:p>
              </w:tc>
              <w:tc>
                <w:tcPr>
                  <w:tcW w:w="5732" w:type="dxa"/>
                  <w:tcBorders>
                    <w:bottom w:val="single" w:sz="4" w:space="0" w:color="auto"/>
                  </w:tcBorders>
                </w:tcPr>
                <w:p w14:paraId="34DA35E3" w14:textId="77777777" w:rsidR="00432389" w:rsidRDefault="00D66D81" w:rsidP="00CF2578">
                  <w:pPr>
                    <w:jc w:val="center"/>
                  </w:pPr>
                  <w:r>
                    <w:rPr>
                      <w:i/>
                    </w:rPr>
                    <w:t>Economic Relations Division, Ministry of Finance</w:t>
                  </w:r>
                </w:p>
              </w:tc>
            </w:tr>
            <w:tr w:rsidR="00432389" w14:paraId="5FD4A7AE" w14:textId="77777777" w:rsidTr="00D73C1C">
              <w:trPr>
                <w:cantSplit/>
                <w:trHeight w:val="139"/>
              </w:trPr>
              <w:tc>
                <w:tcPr>
                  <w:tcW w:w="3364" w:type="dxa"/>
                  <w:tcBorders>
                    <w:bottom w:val="nil"/>
                    <w:right w:val="single" w:sz="4" w:space="0" w:color="auto"/>
                  </w:tcBorders>
                </w:tcPr>
                <w:p w14:paraId="11BBD9B4" w14:textId="77777777" w:rsidR="00432389" w:rsidRDefault="00432389" w:rsidP="00CF2578">
                  <w:pPr>
                    <w:rPr>
                      <w:b/>
                      <w:bCs/>
                    </w:rPr>
                  </w:pPr>
                  <w:r>
                    <w:rPr>
                      <w:b/>
                      <w:bCs/>
                    </w:rPr>
                    <w:t>Implementing Agency</w:t>
                  </w:r>
                </w:p>
              </w:tc>
              <w:tc>
                <w:tcPr>
                  <w:tcW w:w="5732" w:type="dxa"/>
                  <w:tcBorders>
                    <w:top w:val="single" w:sz="4" w:space="0" w:color="auto"/>
                    <w:left w:val="single" w:sz="4" w:space="0" w:color="auto"/>
                    <w:bottom w:val="nil"/>
                    <w:right w:val="single" w:sz="4" w:space="0" w:color="auto"/>
                  </w:tcBorders>
                </w:tcPr>
                <w:p w14:paraId="6E9B889B" w14:textId="6B11316E" w:rsidR="00432389" w:rsidRDefault="00D66D81" w:rsidP="00D3252A">
                  <w:pPr>
                    <w:jc w:val="center"/>
                  </w:pPr>
                  <w:bookmarkStart w:id="1" w:name="IMPLEMENTINGAGENCY"/>
                  <w:bookmarkEnd w:id="1"/>
                  <w:r>
                    <w:rPr>
                      <w:i/>
                    </w:rPr>
                    <w:t xml:space="preserve">Local Government Engineering </w:t>
                  </w:r>
                  <w:r w:rsidR="00D3252A">
                    <w:rPr>
                      <w:i/>
                    </w:rPr>
                    <w:t>Department</w:t>
                  </w:r>
                </w:p>
              </w:tc>
            </w:tr>
            <w:tr w:rsidR="00432389" w14:paraId="4DD55E4D" w14:textId="77777777" w:rsidTr="00D73C1C">
              <w:trPr>
                <w:trHeight w:val="269"/>
              </w:trPr>
              <w:tc>
                <w:tcPr>
                  <w:tcW w:w="3364" w:type="dxa"/>
                </w:tcPr>
                <w:p w14:paraId="7C31A456" w14:textId="77777777" w:rsidR="00432389" w:rsidRDefault="00432389" w:rsidP="00CF2578">
                  <w:pPr>
                    <w:rPr>
                      <w:b/>
                      <w:bCs/>
                    </w:rPr>
                  </w:pPr>
                  <w:r>
                    <w:rPr>
                      <w:b/>
                      <w:bCs/>
                    </w:rPr>
                    <w:t>Date PID Prepared</w:t>
                  </w:r>
                </w:p>
              </w:tc>
              <w:tc>
                <w:tcPr>
                  <w:tcW w:w="5732" w:type="dxa"/>
                </w:tcPr>
                <w:p w14:paraId="177A6730" w14:textId="600DFE5D" w:rsidR="00432389" w:rsidRDefault="00B63AA0" w:rsidP="00CF2578">
                  <w:pPr>
                    <w:jc w:val="center"/>
                  </w:pPr>
                  <w:r>
                    <w:rPr>
                      <w:i/>
                    </w:rPr>
                    <w:t>May 4, 2017</w:t>
                  </w:r>
                </w:p>
              </w:tc>
            </w:tr>
            <w:tr w:rsidR="00432389" w14:paraId="50E0C21A" w14:textId="77777777" w:rsidTr="00D73C1C">
              <w:trPr>
                <w:trHeight w:val="538"/>
              </w:trPr>
              <w:tc>
                <w:tcPr>
                  <w:tcW w:w="3364" w:type="dxa"/>
                </w:tcPr>
                <w:p w14:paraId="0D8F7CDA" w14:textId="77777777" w:rsidR="00432389" w:rsidRPr="008F0B46" w:rsidRDefault="00432389" w:rsidP="00CF2578">
                  <w:pPr>
                    <w:rPr>
                      <w:b/>
                      <w:bCs/>
                    </w:rPr>
                  </w:pPr>
                  <w:r w:rsidRPr="00DE739D">
                    <w:rPr>
                      <w:b/>
                      <w:bCs/>
                    </w:rPr>
                    <w:t>Estimated Date of Appraisal Completion</w:t>
                  </w:r>
                </w:p>
              </w:tc>
              <w:tc>
                <w:tcPr>
                  <w:tcW w:w="5732" w:type="dxa"/>
                </w:tcPr>
                <w:p w14:paraId="54B5789B" w14:textId="09CE6AF4" w:rsidR="00432389" w:rsidRDefault="00F634E3" w:rsidP="00F634E3">
                  <w:pPr>
                    <w:jc w:val="center"/>
                  </w:pPr>
                  <w:r>
                    <w:rPr>
                      <w:i/>
                    </w:rPr>
                    <w:t>August 24, 2017</w:t>
                  </w:r>
                </w:p>
              </w:tc>
            </w:tr>
            <w:tr w:rsidR="00432389" w14:paraId="62B813C0" w14:textId="77777777" w:rsidTr="00D73C1C">
              <w:trPr>
                <w:trHeight w:val="553"/>
              </w:trPr>
              <w:tc>
                <w:tcPr>
                  <w:tcW w:w="3364" w:type="dxa"/>
                </w:tcPr>
                <w:p w14:paraId="59833995" w14:textId="77777777" w:rsidR="00432389" w:rsidRDefault="00432389" w:rsidP="00CF2578">
                  <w:pPr>
                    <w:rPr>
                      <w:b/>
                      <w:bCs/>
                    </w:rPr>
                  </w:pPr>
                  <w:r>
                    <w:rPr>
                      <w:b/>
                      <w:bCs/>
                    </w:rPr>
                    <w:t>Estimated Date of Board Approval</w:t>
                  </w:r>
                </w:p>
              </w:tc>
              <w:tc>
                <w:tcPr>
                  <w:tcW w:w="5732" w:type="dxa"/>
                </w:tcPr>
                <w:p w14:paraId="1A44F6AD" w14:textId="5C2E9FAC" w:rsidR="00432389" w:rsidRDefault="00F634E3" w:rsidP="00CF2578">
                  <w:pPr>
                    <w:jc w:val="center"/>
                  </w:pPr>
                  <w:r>
                    <w:rPr>
                      <w:i/>
                    </w:rPr>
                    <w:t>End March</w:t>
                  </w:r>
                  <w:r w:rsidR="00B63AA0">
                    <w:rPr>
                      <w:i/>
                    </w:rPr>
                    <w:t>, 2018</w:t>
                  </w:r>
                </w:p>
              </w:tc>
            </w:tr>
            <w:tr w:rsidR="00432389" w14:paraId="3420A537" w14:textId="77777777" w:rsidTr="00D73C1C">
              <w:trPr>
                <w:trHeight w:val="538"/>
              </w:trPr>
              <w:tc>
                <w:tcPr>
                  <w:tcW w:w="3364" w:type="dxa"/>
                </w:tcPr>
                <w:p w14:paraId="4ADAA2D6" w14:textId="77777777" w:rsidR="00432389" w:rsidRDefault="00432389" w:rsidP="00CF2578">
                  <w:pPr>
                    <w:rPr>
                      <w:b/>
                      <w:bCs/>
                    </w:rPr>
                  </w:pPr>
                  <w:r>
                    <w:rPr>
                      <w:b/>
                      <w:bCs/>
                    </w:rPr>
                    <w:t>Concept Review Decision</w:t>
                  </w:r>
                </w:p>
              </w:tc>
              <w:tc>
                <w:tcPr>
                  <w:tcW w:w="5732" w:type="dxa"/>
                </w:tcPr>
                <w:p w14:paraId="40A5CFC6" w14:textId="3D93C8A4" w:rsidR="00432389" w:rsidRPr="00A42C53" w:rsidRDefault="00432389" w:rsidP="00B63AA0">
                  <w:r w:rsidRPr="00577870">
                    <w:t>Following the review of the concept, the decision was taken to proceed with the preparation of the operation.</w:t>
                  </w:r>
                  <w:r>
                    <w:t xml:space="preserve"> </w:t>
                  </w:r>
                </w:p>
              </w:tc>
            </w:tr>
          </w:tbl>
          <w:p w14:paraId="0A86D73A" w14:textId="77777777" w:rsidR="00432389" w:rsidRDefault="00432389" w:rsidP="00432389"/>
          <w:p w14:paraId="71FB78CD" w14:textId="77777777" w:rsidR="00432389" w:rsidRDefault="00432389" w:rsidP="00432389">
            <w:pPr>
              <w:numPr>
                <w:ilvl w:val="0"/>
                <w:numId w:val="24"/>
              </w:numPr>
              <w:rPr>
                <w:b/>
              </w:rPr>
            </w:pPr>
            <w:r>
              <w:rPr>
                <w:b/>
              </w:rPr>
              <w:t>Introduction and Context</w:t>
            </w:r>
          </w:p>
          <w:p w14:paraId="2228D3A3" w14:textId="77777777" w:rsidR="00D66D81" w:rsidRPr="00374A42" w:rsidRDefault="00D66D81" w:rsidP="00D66D81">
            <w:pPr>
              <w:pStyle w:val="Heading2"/>
              <w:keepLines/>
              <w:numPr>
                <w:ilvl w:val="0"/>
                <w:numId w:val="29"/>
              </w:numPr>
              <w:tabs>
                <w:tab w:val="left" w:pos="1170"/>
              </w:tabs>
              <w:spacing w:after="120"/>
              <w:jc w:val="left"/>
            </w:pPr>
            <w:bookmarkStart w:id="2" w:name="_Toc481506475"/>
            <w:r w:rsidRPr="00374A42">
              <w:t>Country Context</w:t>
            </w:r>
            <w:bookmarkEnd w:id="2"/>
            <w:r w:rsidRPr="00027706">
              <w:rPr>
                <w:highlight w:val="yellow"/>
              </w:rPr>
              <w:t xml:space="preserve"> </w:t>
            </w:r>
          </w:p>
          <w:p w14:paraId="20CF13E9" w14:textId="26D4130A" w:rsidR="007243D9" w:rsidRPr="00B622DA" w:rsidRDefault="002863F5" w:rsidP="007243D9">
            <w:pPr>
              <w:pStyle w:val="Bulletpoints"/>
              <w:numPr>
                <w:ilvl w:val="0"/>
                <w:numId w:val="28"/>
              </w:numPr>
              <w:tabs>
                <w:tab w:val="left" w:pos="540"/>
              </w:tabs>
              <w:ind w:left="0" w:firstLine="0"/>
              <w:rPr>
                <w:rStyle w:val="Emphasis"/>
                <w:sz w:val="22"/>
              </w:rPr>
            </w:pPr>
            <w:r w:rsidRPr="002863F5">
              <w:rPr>
                <w:b/>
                <w:bCs/>
                <w:sz w:val="22"/>
              </w:rPr>
              <w:t xml:space="preserve">Bangladesh is one of the world’s most populous countries with an estimated 160 million people living in a geographical area of about 144,415 sq.-km. </w:t>
            </w:r>
            <w:r w:rsidRPr="002863F5">
              <w:rPr>
                <w:bCs/>
                <w:sz w:val="22"/>
              </w:rPr>
              <w:t xml:space="preserve">With per capita income of US$1,409 in 2016, it is well above the lower middle income country category threshold which it crossed in FY14. During recent years, economic conditions improved in the country with headline inflation declining to 5.9 percent in FY16 from 7.3 percent in FY14, while the fiscal deficit was contained at around 3.1 percent of Gross Domestic Product (GDP) in FY16. The FY17 budget targets 5 percent deficit with 28.7 percent growth in expenditures. The current account surplus rose to 1.7 percent of GDP in FY16. The GDP </w:t>
            </w:r>
            <w:r w:rsidRPr="002863F5">
              <w:rPr>
                <w:bCs/>
                <w:sz w:val="22"/>
                <w:lang w:val="en-GB"/>
              </w:rPr>
              <w:t xml:space="preserve">grew well above the average for developing countries in recent years, averaging 6.5 percent since 2010, with an officially reported growth of 7.1 percent in in FY16, driven by manufacturing and services. </w:t>
            </w:r>
            <w:r w:rsidRPr="002863F5">
              <w:rPr>
                <w:bCs/>
                <w:sz w:val="22"/>
                <w:lang w:val="en"/>
              </w:rPr>
              <w:t xml:space="preserve">Progress on reducing extreme poverty and boosting shared prosperity through human development and employment generation has continued </w:t>
            </w:r>
            <w:r w:rsidRPr="002863F5">
              <w:rPr>
                <w:bCs/>
                <w:sz w:val="22"/>
              </w:rPr>
              <w:t>with the poverty incidence based on the international $1.90 per capita per day poverty line (measured on the basis of the Purchasing Power Parity exchange rate) declining from 44.2 percent in 1991 to a 18.5 percent in 2010 (latest available poverty data) and a projected 14.9 percent in 2016. Bangladesh’s performance against the Millennium Development Goals (MDG) is impressive against the South Asia Region average for most of the indicators</w:t>
            </w:r>
            <w:r w:rsidR="008C2F1C">
              <w:rPr>
                <w:bCs/>
                <w:sz w:val="22"/>
              </w:rPr>
              <w:t xml:space="preserve">. </w:t>
            </w:r>
            <w:r w:rsidRPr="002863F5">
              <w:rPr>
                <w:bCs/>
                <w:sz w:val="22"/>
              </w:rPr>
              <w:t>Such progress notwithstanding, the country needs more effort in improving its growth rate to meet its goal of achieving the middle income status by 2021</w:t>
            </w:r>
            <w:r w:rsidR="007243D9" w:rsidRPr="002863F5">
              <w:rPr>
                <w:rStyle w:val="Emphasis"/>
                <w:sz w:val="22"/>
              </w:rPr>
              <w:t>.</w:t>
            </w:r>
          </w:p>
          <w:p w14:paraId="433B8C3D" w14:textId="77777777" w:rsidR="007243D9" w:rsidRPr="00B622DA" w:rsidRDefault="007243D9" w:rsidP="007243D9">
            <w:pPr>
              <w:pStyle w:val="Bulletpoints"/>
              <w:numPr>
                <w:ilvl w:val="0"/>
                <w:numId w:val="28"/>
              </w:numPr>
              <w:tabs>
                <w:tab w:val="left" w:pos="540"/>
              </w:tabs>
              <w:ind w:left="0" w:firstLine="0"/>
              <w:rPr>
                <w:rStyle w:val="Emphasis"/>
                <w:sz w:val="22"/>
              </w:rPr>
            </w:pPr>
            <w:r w:rsidRPr="00B622DA">
              <w:rPr>
                <w:rStyle w:val="Emphasis"/>
                <w:b/>
                <w:sz w:val="22"/>
              </w:rPr>
              <w:t>Bangladesh’s future poverty reduction progress is expected to be slower, unless some innovative approaches are undertaken</w:t>
            </w:r>
            <w:r w:rsidRPr="00B622DA">
              <w:rPr>
                <w:rStyle w:val="Emphasis"/>
                <w:sz w:val="22"/>
              </w:rPr>
              <w:t xml:space="preserve">. Although Bangladesh’s achievement in the reduction of the extreme poverty, and the inequality, is praiseworthy, it is forecasted that poverty rate of the country will fall only to 15-20 percent </w:t>
            </w:r>
            <w:r>
              <w:rPr>
                <w:rStyle w:val="Emphasis"/>
                <w:sz w:val="22"/>
              </w:rPr>
              <w:t>by</w:t>
            </w:r>
            <w:r w:rsidRPr="00B622DA">
              <w:rPr>
                <w:rStyle w:val="Emphasis"/>
                <w:sz w:val="22"/>
              </w:rPr>
              <w:t xml:space="preserve"> 2030. This proportion is still far short</w:t>
            </w:r>
            <w:r>
              <w:rPr>
                <w:rStyle w:val="Emphasis"/>
                <w:sz w:val="22"/>
              </w:rPr>
              <w:t xml:space="preserve"> of </w:t>
            </w:r>
            <w:r w:rsidRPr="00B622DA">
              <w:rPr>
                <w:rStyle w:val="Emphasis"/>
                <w:sz w:val="22"/>
              </w:rPr>
              <w:t>eradicating poverty. The influential weekly magazine “The Economist</w:t>
            </w:r>
            <w:r w:rsidRPr="00B622DA">
              <w:rPr>
                <w:rStyle w:val="FootnoteReference"/>
                <w:sz w:val="22"/>
              </w:rPr>
              <w:footnoteReference w:id="1"/>
            </w:r>
            <w:r w:rsidRPr="00B622DA">
              <w:rPr>
                <w:rStyle w:val="Emphasis"/>
                <w:sz w:val="22"/>
              </w:rPr>
              <w:t>” has lauded Bangladesh’s progress against poverty</w:t>
            </w:r>
            <w:r>
              <w:rPr>
                <w:rStyle w:val="Emphasis"/>
                <w:sz w:val="22"/>
              </w:rPr>
              <w:t xml:space="preserve"> </w:t>
            </w:r>
            <w:r w:rsidRPr="00B622DA">
              <w:rPr>
                <w:rStyle w:val="Emphasis"/>
                <w:sz w:val="22"/>
              </w:rPr>
              <w:t xml:space="preserve">in one of its recent </w:t>
            </w:r>
            <w:r w:rsidRPr="00B622DA">
              <w:rPr>
                <w:rStyle w:val="Emphasis"/>
                <w:sz w:val="22"/>
              </w:rPr>
              <w:lastRenderedPageBreak/>
              <w:t>issues. However, the magazine also warned that the future progress would, possibly, be slower. Poverty in Bangladesh persists all over the country. Nonetheless, it is more prevalent in areas with poor infrastructure and population with low human capital and skills.</w:t>
            </w:r>
          </w:p>
          <w:p w14:paraId="3374AF04" w14:textId="5E7FDBA5" w:rsidR="00D66D81" w:rsidRPr="00B622DA" w:rsidRDefault="007243D9" w:rsidP="007243D9">
            <w:pPr>
              <w:pStyle w:val="Bulletpoints"/>
              <w:numPr>
                <w:ilvl w:val="0"/>
                <w:numId w:val="28"/>
              </w:numPr>
              <w:tabs>
                <w:tab w:val="left" w:pos="540"/>
              </w:tabs>
              <w:ind w:left="0" w:firstLine="0"/>
              <w:rPr>
                <w:rStyle w:val="Emphasis"/>
                <w:rFonts w:cs="Times New Roman"/>
                <w:sz w:val="22"/>
                <w:szCs w:val="24"/>
              </w:rPr>
            </w:pPr>
            <w:r w:rsidRPr="00B622DA">
              <w:rPr>
                <w:rStyle w:val="Emphasis"/>
                <w:b/>
                <w:sz w:val="22"/>
              </w:rPr>
              <w:t>Inland connectivity and logistics is one of the key focus areas that might have transformative impact on accelerating the creation of more jobs and thereby reducing poverty.</w:t>
            </w:r>
            <w:r w:rsidRPr="00B622DA">
              <w:rPr>
                <w:rStyle w:val="Emphasis"/>
                <w:sz w:val="22"/>
              </w:rPr>
              <w:t xml:space="preserve"> There is a significant body of empirical evidence that confirms the role of inland connectivity, in particular rural connectivity, on economic development and social wellbeing. For instance, empirical evidence shows that the rural road investments have significant impact on poverty reduction through higher agriculture production, higher wages, lower input and transportation costs, higher output prices. Also</w:t>
            </w:r>
            <w:r>
              <w:rPr>
                <w:rStyle w:val="Emphasis"/>
                <w:sz w:val="22"/>
              </w:rPr>
              <w:t>,</w:t>
            </w:r>
            <w:r w:rsidRPr="00B622DA">
              <w:rPr>
                <w:rStyle w:val="Emphasis"/>
                <w:sz w:val="22"/>
              </w:rPr>
              <w:t xml:space="preserve"> such improvements have led to higher schooling rates for both boys and girls. Therefore, developing and maintaining the rural road network and integrating it with higher level of road network and with other transport network continues to be the public policy priority. However, Bangladesh needs to move away from widespread expansion of connectivity through the construction of rural roads to consolidation of the connectivity gains already made through huge investments since the 1980s. There is a need to limit connectivity expansion to areas where it is crucial for providing much needed access to unconnected rural communities, which are generally poorer than their connected counterparts</w:t>
            </w:r>
            <w:r w:rsidR="00D66D81" w:rsidRPr="00B622DA">
              <w:rPr>
                <w:rStyle w:val="Emphasis"/>
                <w:sz w:val="22"/>
              </w:rPr>
              <w:t>.</w:t>
            </w:r>
          </w:p>
          <w:p w14:paraId="1E6B0CD0" w14:textId="77777777" w:rsidR="00D66D81" w:rsidRDefault="00D66D81" w:rsidP="00D66D81">
            <w:pPr>
              <w:pStyle w:val="Heading2"/>
              <w:keepLines/>
              <w:numPr>
                <w:ilvl w:val="0"/>
                <w:numId w:val="29"/>
              </w:numPr>
              <w:tabs>
                <w:tab w:val="left" w:pos="1170"/>
              </w:tabs>
              <w:spacing w:after="120"/>
              <w:jc w:val="left"/>
            </w:pPr>
            <w:bookmarkStart w:id="3" w:name="_Toc481506476"/>
            <w:r w:rsidRPr="00124D8C">
              <w:t>Sectoral and Institutional Context of the Program</w:t>
            </w:r>
            <w:bookmarkEnd w:id="3"/>
            <w:r w:rsidRPr="00027706">
              <w:rPr>
                <w:highlight w:val="yellow"/>
              </w:rPr>
              <w:t xml:space="preserve"> </w:t>
            </w:r>
          </w:p>
          <w:p w14:paraId="2C7031F7" w14:textId="77777777" w:rsidR="007243D9" w:rsidRPr="00B622DA" w:rsidRDefault="007243D9" w:rsidP="007243D9">
            <w:pPr>
              <w:pStyle w:val="Bulletpoints"/>
              <w:numPr>
                <w:ilvl w:val="0"/>
                <w:numId w:val="28"/>
              </w:numPr>
              <w:tabs>
                <w:tab w:val="left" w:pos="540"/>
              </w:tabs>
              <w:ind w:left="0" w:firstLine="0"/>
              <w:rPr>
                <w:sz w:val="22"/>
              </w:rPr>
            </w:pPr>
            <w:r w:rsidRPr="00B622DA">
              <w:rPr>
                <w:b/>
                <w:sz w:val="22"/>
              </w:rPr>
              <w:t>Rural population</w:t>
            </w:r>
            <w:r>
              <w:rPr>
                <w:b/>
                <w:sz w:val="22"/>
              </w:rPr>
              <w:t>s</w:t>
            </w:r>
            <w:r w:rsidRPr="00B622DA">
              <w:rPr>
                <w:b/>
                <w:sz w:val="22"/>
              </w:rPr>
              <w:t xml:space="preserve"> in Bangladesh have high all-weather access to roads</w:t>
            </w:r>
            <w:r w:rsidRPr="00B622DA">
              <w:rPr>
                <w:sz w:val="22"/>
              </w:rPr>
              <w:t>. In fact the country tops among eight countries in Asia and Africa where a recent study</w:t>
            </w:r>
            <w:r w:rsidRPr="00B622DA">
              <w:rPr>
                <w:rStyle w:val="FootnoteReference"/>
                <w:sz w:val="22"/>
              </w:rPr>
              <w:footnoteReference w:id="2"/>
            </w:r>
            <w:r w:rsidRPr="00B622DA">
              <w:rPr>
                <w:sz w:val="22"/>
              </w:rPr>
              <w:t xml:space="preserve"> has calculated the Rural Access Index (RAI). RAI provides the proportion of people who have access to all-</w:t>
            </w:r>
            <w:r>
              <w:rPr>
                <w:sz w:val="22"/>
              </w:rPr>
              <w:t>weather</w:t>
            </w:r>
            <w:r w:rsidRPr="00B622DA">
              <w:rPr>
                <w:sz w:val="22"/>
              </w:rPr>
              <w:t xml:space="preserve"> roads within an approximate walking distance of 2 </w:t>
            </w:r>
            <w:r>
              <w:rPr>
                <w:sz w:val="22"/>
              </w:rPr>
              <w:t>km</w:t>
            </w:r>
            <w:r w:rsidRPr="00B622DA">
              <w:rPr>
                <w:sz w:val="22"/>
              </w:rPr>
              <w:t xml:space="preserve">. The RAI figure for Bangladesh has been found to be approximately 87%. Kenya and Nepal are distant second and third ranked countries among these countries with RAI values of 56% and 54% respectively. </w:t>
            </w:r>
          </w:p>
          <w:p w14:paraId="6739936A" w14:textId="0F4E9E08" w:rsidR="007243D9" w:rsidRPr="00B622DA" w:rsidRDefault="007243D9" w:rsidP="007243D9">
            <w:pPr>
              <w:pStyle w:val="Bulletpoints"/>
              <w:numPr>
                <w:ilvl w:val="0"/>
                <w:numId w:val="28"/>
              </w:numPr>
              <w:tabs>
                <w:tab w:val="left" w:pos="540"/>
              </w:tabs>
              <w:ind w:left="0" w:firstLine="0"/>
              <w:rPr>
                <w:sz w:val="22"/>
              </w:rPr>
            </w:pPr>
            <w:r w:rsidRPr="00B622DA">
              <w:rPr>
                <w:b/>
                <w:sz w:val="22"/>
              </w:rPr>
              <w:t xml:space="preserve">Bangladesh started the systematic development </w:t>
            </w:r>
            <w:r w:rsidR="005777D4">
              <w:rPr>
                <w:b/>
                <w:sz w:val="22"/>
              </w:rPr>
              <w:t xml:space="preserve">of </w:t>
            </w:r>
            <w:r w:rsidRPr="00B622DA">
              <w:rPr>
                <w:b/>
                <w:sz w:val="22"/>
              </w:rPr>
              <w:t>rural road network in the mid-80s.</w:t>
            </w:r>
            <w:r w:rsidRPr="00B622DA">
              <w:rPr>
                <w:sz w:val="22"/>
              </w:rPr>
              <w:t xml:space="preserve"> The Government’s Rural Development Strategy, unveiled in a policy paper in 1984</w:t>
            </w:r>
            <w:r w:rsidRPr="00B622DA">
              <w:rPr>
                <w:rStyle w:val="FootnoteReference"/>
                <w:sz w:val="22"/>
              </w:rPr>
              <w:footnoteReference w:id="3"/>
            </w:r>
            <w:r w:rsidRPr="00B622DA">
              <w:rPr>
                <w:sz w:val="22"/>
              </w:rPr>
              <w:t xml:space="preserve"> was the main driver for the development of rural roads. As part of the strategy the Government initially identified over 1,400 major markets or Growth Centers (GCs). Another approximately 700 GCs were added to the list in early-90s. Subsequently these GCs and roads connecting them with the higher level network were constructed. These GC connecting roads are currently named as the Upazila Roads (UZRs). </w:t>
            </w:r>
          </w:p>
          <w:p w14:paraId="26D93CAD" w14:textId="77777777" w:rsidR="007243D9" w:rsidRPr="00B622DA" w:rsidRDefault="007243D9" w:rsidP="007243D9">
            <w:pPr>
              <w:pStyle w:val="Bulletpoints"/>
              <w:numPr>
                <w:ilvl w:val="0"/>
                <w:numId w:val="28"/>
              </w:numPr>
              <w:tabs>
                <w:tab w:val="left" w:pos="540"/>
              </w:tabs>
              <w:ind w:left="0" w:firstLine="0"/>
              <w:rPr>
                <w:sz w:val="22"/>
              </w:rPr>
            </w:pPr>
            <w:r w:rsidRPr="00B622DA">
              <w:rPr>
                <w:b/>
                <w:sz w:val="22"/>
              </w:rPr>
              <w:t>Bangladesh has extensive network of rural roads</w:t>
            </w:r>
            <w:r w:rsidRPr="00B622DA">
              <w:rPr>
                <w:sz w:val="22"/>
              </w:rPr>
              <w:t>. The total road network size of the country is roughly 375,000 km. This is equivalent to a road density of approximately 250 km per 100 sq. km. This road density is substantially higher than the density of other South Asian countries including India (160 km per 100 sq. km), Nepal (54 km per 100 sq. km) and Sri Lanka (150 per 100 sq. km.).</w:t>
            </w:r>
            <w:r>
              <w:rPr>
                <w:sz w:val="22"/>
              </w:rPr>
              <w:t xml:space="preserve"> </w:t>
            </w:r>
            <w:r w:rsidRPr="00B622DA">
              <w:rPr>
                <w:sz w:val="22"/>
              </w:rPr>
              <w:t xml:space="preserve">The total rural road network comprises just over 350,000 km (94% of the network). Upazila Roads (UZRs) and Union Roads (UNRs) composed of respectively 11% and 12% of the rural road network. Over a </w:t>
            </w:r>
            <w:r>
              <w:rPr>
                <w:sz w:val="22"/>
              </w:rPr>
              <w:t xml:space="preserve">quarter </w:t>
            </w:r>
            <w:r w:rsidRPr="00B622DA">
              <w:rPr>
                <w:sz w:val="22"/>
              </w:rPr>
              <w:t xml:space="preserve">(27%) of the rural road network is paved, with 82% and 57% of the UZRs and UNRs are paved. </w:t>
            </w:r>
          </w:p>
          <w:p w14:paraId="76F9734A" w14:textId="77777777" w:rsidR="007243D9" w:rsidRPr="00B622DA" w:rsidRDefault="007243D9" w:rsidP="007243D9">
            <w:pPr>
              <w:pStyle w:val="Bulletpoints"/>
              <w:numPr>
                <w:ilvl w:val="0"/>
                <w:numId w:val="28"/>
              </w:numPr>
              <w:tabs>
                <w:tab w:val="left" w:pos="540"/>
              </w:tabs>
              <w:ind w:left="0" w:firstLine="0"/>
              <w:rPr>
                <w:sz w:val="22"/>
              </w:rPr>
            </w:pPr>
            <w:r w:rsidRPr="00B622DA">
              <w:rPr>
                <w:b/>
                <w:sz w:val="22"/>
              </w:rPr>
              <w:t>The majority of the paved rural roads in Bangladesh are in good to fair condition.</w:t>
            </w:r>
            <w:r w:rsidRPr="00B622DA">
              <w:rPr>
                <w:sz w:val="22"/>
              </w:rPr>
              <w:t xml:space="preserve"> 2014-15 survey results show that 55% and 54% of paved UZRs and UNRs are in good and fair condition respectively. However, the comparable figure for village roads is lower. Condition data on the unpaved roads are not available. It is widely believed that only a small minority of them are in good or fair condition. </w:t>
            </w:r>
          </w:p>
          <w:p w14:paraId="5AC8D1CC" w14:textId="08E636B5" w:rsidR="007243D9" w:rsidRPr="00B622DA" w:rsidRDefault="007243D9" w:rsidP="007243D9">
            <w:pPr>
              <w:pStyle w:val="Bulletpoints"/>
              <w:numPr>
                <w:ilvl w:val="0"/>
                <w:numId w:val="28"/>
              </w:numPr>
              <w:tabs>
                <w:tab w:val="left" w:pos="540"/>
              </w:tabs>
              <w:ind w:left="0" w:firstLine="0"/>
              <w:rPr>
                <w:sz w:val="22"/>
              </w:rPr>
            </w:pPr>
            <w:r w:rsidRPr="00B622DA">
              <w:rPr>
                <w:b/>
                <w:sz w:val="22"/>
              </w:rPr>
              <w:t xml:space="preserve"> In 2013 the Government of Bangladesh has adopted “The Rural Roads and Bridges Maintenance Policy”.</w:t>
            </w:r>
            <w:r>
              <w:rPr>
                <w:b/>
                <w:sz w:val="22"/>
              </w:rPr>
              <w:t xml:space="preserve"> </w:t>
            </w:r>
            <w:r w:rsidRPr="00B622DA">
              <w:rPr>
                <w:sz w:val="22"/>
              </w:rPr>
              <w:t xml:space="preserve">The objective of the policy is to develop a sustainable rural transport system </w:t>
            </w:r>
            <w:r w:rsidR="008636E8" w:rsidRPr="00B622DA">
              <w:rPr>
                <w:sz w:val="22"/>
              </w:rPr>
              <w:lastRenderedPageBreak/>
              <w:t>through appropriate</w:t>
            </w:r>
            <w:r w:rsidRPr="00B622DA">
              <w:rPr>
                <w:sz w:val="22"/>
              </w:rPr>
              <w:t xml:space="preserve"> maintenance management in order to provide safe operation of vehicles and to ensure necessary funding for their maintenance. The policy document, in particular, provided guidance on the prioritization of rural roads and bridges under budget constraints. The guidance includes: (i)</w:t>
            </w:r>
            <w:r>
              <w:rPr>
                <w:sz w:val="22"/>
              </w:rPr>
              <w:t xml:space="preserve"> R</w:t>
            </w:r>
            <w:r w:rsidRPr="00B622DA">
              <w:rPr>
                <w:sz w:val="22"/>
              </w:rPr>
              <w:t>outine maintenance will get priority o</w:t>
            </w:r>
            <w:r>
              <w:rPr>
                <w:sz w:val="22"/>
              </w:rPr>
              <w:t>ver periodic maintenance; (ii) M</w:t>
            </w:r>
            <w:r w:rsidRPr="00B622DA">
              <w:rPr>
                <w:sz w:val="22"/>
              </w:rPr>
              <w:t>aintenance of bridges and culverts on Upazila and Union roads will get urgent attention;</w:t>
            </w:r>
            <w:r>
              <w:rPr>
                <w:sz w:val="22"/>
              </w:rPr>
              <w:t xml:space="preserve"> and</w:t>
            </w:r>
            <w:r w:rsidRPr="00B622DA">
              <w:rPr>
                <w:sz w:val="22"/>
              </w:rPr>
              <w:t xml:space="preserve"> (iii) Upazila and Union roads</w:t>
            </w:r>
            <w:r>
              <w:rPr>
                <w:sz w:val="22"/>
              </w:rPr>
              <w:t xml:space="preserve"> will get priority over village roads</w:t>
            </w:r>
            <w:r w:rsidR="008636E8">
              <w:rPr>
                <w:sz w:val="22"/>
              </w:rPr>
              <w:t>.</w:t>
            </w:r>
            <w:r w:rsidRPr="00B622DA">
              <w:rPr>
                <w:sz w:val="22"/>
              </w:rPr>
              <w:t xml:space="preserve"> The policy also emphasized the importance of road safety, citizen participation, gender and implementation management linked to the maintenance of rural roads and bridges.</w:t>
            </w:r>
          </w:p>
          <w:p w14:paraId="652558F2" w14:textId="77777777" w:rsidR="007243D9" w:rsidRPr="00B622DA" w:rsidRDefault="007243D9" w:rsidP="007243D9">
            <w:pPr>
              <w:pStyle w:val="Bulletpoints"/>
              <w:numPr>
                <w:ilvl w:val="0"/>
                <w:numId w:val="28"/>
              </w:numPr>
              <w:tabs>
                <w:tab w:val="left" w:pos="540"/>
              </w:tabs>
              <w:ind w:left="0" w:firstLine="0"/>
              <w:rPr>
                <w:sz w:val="22"/>
              </w:rPr>
            </w:pPr>
            <w:r w:rsidRPr="00B622DA">
              <w:rPr>
                <w:b/>
                <w:sz w:val="22"/>
              </w:rPr>
              <w:t xml:space="preserve">Bridges play an important part in Bangladesh’s land transport system. </w:t>
            </w:r>
            <w:r w:rsidRPr="00B622DA">
              <w:rPr>
                <w:sz w:val="22"/>
              </w:rPr>
              <w:t xml:space="preserve">This is </w:t>
            </w:r>
            <w:r>
              <w:rPr>
                <w:sz w:val="22"/>
              </w:rPr>
              <w:t xml:space="preserve">inevitable </w:t>
            </w:r>
            <w:r w:rsidRPr="00B622DA">
              <w:rPr>
                <w:sz w:val="22"/>
              </w:rPr>
              <w:t>given the country’s geography, a large flat land, crisscrossed by many rivers and their tributaries. More often than not, a bridge connects two separate road sections to provide full connectivity to isolated rural communities. Requirements for bridges in Bangladesh are huge. The current available inventory suggests that a bridge is required for every 4.5km of Upazila and Union roads. Two-thirds of these gaps now have structures, leaving a third of them to be bridged (</w:t>
            </w:r>
            <w:r w:rsidRPr="00573628">
              <w:fldChar w:fldCharType="begin"/>
            </w:r>
            <w:r w:rsidRPr="00573628">
              <w:instrText xml:space="preserve"> REF _Ref441658715 \h  \* MERGEFORMAT </w:instrText>
            </w:r>
            <w:r w:rsidRPr="00573628">
              <w:fldChar w:fldCharType="separate"/>
            </w:r>
            <w:r w:rsidRPr="00A579A1">
              <w:rPr>
                <w:sz w:val="22"/>
              </w:rPr>
              <w:t xml:space="preserve">Table </w:t>
            </w:r>
            <w:r>
              <w:rPr>
                <w:noProof/>
                <w:sz w:val="22"/>
              </w:rPr>
              <w:t>1</w:t>
            </w:r>
            <w:r w:rsidRPr="00573628">
              <w:fldChar w:fldCharType="end"/>
            </w:r>
            <w:r w:rsidRPr="00B622DA">
              <w:rPr>
                <w:sz w:val="22"/>
              </w:rPr>
              <w:t xml:space="preserve">). A back-of-the-envelope calculation suggests that total resource requirements for bridging only these gaps will require in excess of US$ </w:t>
            </w:r>
            <w:r>
              <w:rPr>
                <w:sz w:val="22"/>
              </w:rPr>
              <w:t>2.0</w:t>
            </w:r>
            <w:r w:rsidRPr="00B622DA">
              <w:rPr>
                <w:sz w:val="22"/>
              </w:rPr>
              <w:t xml:space="preserve"> billion.</w:t>
            </w:r>
          </w:p>
          <w:p w14:paraId="64D233F2" w14:textId="77777777" w:rsidR="007243D9" w:rsidRPr="00970E63" w:rsidRDefault="007243D9" w:rsidP="007243D9">
            <w:pPr>
              <w:pStyle w:val="Caption"/>
              <w:spacing w:before="120" w:after="120"/>
              <w:rPr>
                <w:i/>
                <w:sz w:val="22"/>
              </w:rPr>
            </w:pPr>
            <w:bookmarkStart w:id="4" w:name="_Ref441658715"/>
            <w:r w:rsidRPr="00A579A1">
              <w:rPr>
                <w:sz w:val="22"/>
                <w:szCs w:val="22"/>
              </w:rPr>
              <w:t xml:space="preserve">Table </w:t>
            </w:r>
            <w:r>
              <w:rPr>
                <w:b w:val="0"/>
                <w:i/>
                <w:sz w:val="22"/>
                <w:szCs w:val="22"/>
              </w:rPr>
              <w:fldChar w:fldCharType="begin"/>
            </w:r>
            <w:r>
              <w:rPr>
                <w:sz w:val="22"/>
                <w:szCs w:val="22"/>
              </w:rPr>
              <w:instrText xml:space="preserve"> SEQ Table \* ARABIC </w:instrText>
            </w:r>
            <w:r>
              <w:rPr>
                <w:b w:val="0"/>
                <w:i/>
                <w:sz w:val="22"/>
                <w:szCs w:val="22"/>
              </w:rPr>
              <w:fldChar w:fldCharType="separate"/>
            </w:r>
            <w:r>
              <w:rPr>
                <w:noProof/>
                <w:sz w:val="22"/>
                <w:szCs w:val="22"/>
              </w:rPr>
              <w:t>1</w:t>
            </w:r>
            <w:r>
              <w:rPr>
                <w:b w:val="0"/>
                <w:i/>
                <w:sz w:val="22"/>
                <w:szCs w:val="22"/>
              </w:rPr>
              <w:fldChar w:fldCharType="end"/>
            </w:r>
            <w:bookmarkEnd w:id="4"/>
            <w:r w:rsidRPr="00A579A1">
              <w:rPr>
                <w:sz w:val="22"/>
                <w:szCs w:val="22"/>
              </w:rPr>
              <w:t xml:space="preserve">: </w:t>
            </w:r>
            <w:r>
              <w:rPr>
                <w:sz w:val="22"/>
                <w:szCs w:val="22"/>
              </w:rPr>
              <w:t>Upazila and Union Roads Bridge Summary (above 6m span) Information</w:t>
            </w:r>
          </w:p>
          <w:tbl>
            <w:tblPr>
              <w:tblW w:w="0" w:type="auto"/>
              <w:tblInd w:w="93" w:type="dxa"/>
              <w:tblLook w:val="04A0" w:firstRow="1" w:lastRow="0" w:firstColumn="1" w:lastColumn="0" w:noHBand="0" w:noVBand="1"/>
            </w:tblPr>
            <w:tblGrid>
              <w:gridCol w:w="1635"/>
              <w:gridCol w:w="990"/>
              <w:gridCol w:w="990"/>
              <w:gridCol w:w="720"/>
              <w:gridCol w:w="900"/>
              <w:gridCol w:w="900"/>
              <w:gridCol w:w="1080"/>
              <w:gridCol w:w="720"/>
              <w:gridCol w:w="900"/>
            </w:tblGrid>
            <w:tr w:rsidR="007243D9" w:rsidRPr="000161CD" w14:paraId="3EFD27FA" w14:textId="77777777" w:rsidTr="009C3DE8">
              <w:trPr>
                <w:trHeight w:val="20"/>
              </w:trPr>
              <w:tc>
                <w:tcPr>
                  <w:tcW w:w="16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noWrap/>
                  <w:hideMark/>
                </w:tcPr>
                <w:p w14:paraId="6F1FCAAA" w14:textId="77777777" w:rsidR="007243D9" w:rsidRPr="00187E50" w:rsidRDefault="007243D9" w:rsidP="009C3DE8">
                  <w:pPr>
                    <w:jc w:val="center"/>
                    <w:rPr>
                      <w:b/>
                      <w:bCs/>
                      <w:color w:val="FFFFFF"/>
                      <w:sz w:val="20"/>
                      <w:szCs w:val="20"/>
                    </w:rPr>
                  </w:pPr>
                  <w:r w:rsidRPr="00187E50">
                    <w:rPr>
                      <w:b/>
                      <w:bCs/>
                      <w:color w:val="FFFFFF"/>
                      <w:sz w:val="20"/>
                      <w:szCs w:val="20"/>
                    </w:rPr>
                    <w:t>Road Type</w:t>
                  </w:r>
                </w:p>
              </w:tc>
              <w:tc>
                <w:tcPr>
                  <w:tcW w:w="19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hideMark/>
                </w:tcPr>
                <w:p w14:paraId="31AED059"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Total bridged plus non-bridged gaps</w:t>
                  </w:r>
                </w:p>
              </w:tc>
              <w:tc>
                <w:tcPr>
                  <w:tcW w:w="36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hideMark/>
                </w:tcPr>
                <w:p w14:paraId="1A7BB216"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Existing Bridges</w:t>
                  </w:r>
                </w:p>
              </w:tc>
              <w:tc>
                <w:tcPr>
                  <w:tcW w:w="16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hideMark/>
                </w:tcPr>
                <w:p w14:paraId="166BC1F9"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Existing Gaps</w:t>
                  </w:r>
                </w:p>
              </w:tc>
            </w:tr>
            <w:tr w:rsidR="007243D9" w:rsidRPr="000161CD" w14:paraId="447E3863" w14:textId="77777777" w:rsidTr="009C3DE8">
              <w:trPr>
                <w:trHeight w:val="20"/>
              </w:trPr>
              <w:tc>
                <w:tcPr>
                  <w:tcW w:w="16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37658" w14:textId="77777777" w:rsidR="007243D9" w:rsidRPr="00187E50" w:rsidRDefault="007243D9" w:rsidP="009C3DE8">
                  <w:pPr>
                    <w:jc w:val="center"/>
                    <w:rPr>
                      <w:b/>
                      <w:bCs/>
                      <w:color w:val="FFFFFF"/>
                      <w:sz w:val="20"/>
                      <w:szCs w:val="20"/>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670FBD3F" w14:textId="77777777" w:rsidR="007243D9" w:rsidRPr="00187E50" w:rsidRDefault="007243D9" w:rsidP="009C3DE8">
                  <w:pPr>
                    <w:jc w:val="center"/>
                    <w:rPr>
                      <w:b/>
                      <w:bCs/>
                      <w:color w:val="FFFFFF" w:themeColor="background1"/>
                      <w:sz w:val="20"/>
                      <w:szCs w:val="20"/>
                    </w:rPr>
                  </w:pPr>
                  <w:r>
                    <w:rPr>
                      <w:b/>
                      <w:bCs/>
                      <w:color w:val="FFFFFF" w:themeColor="background1"/>
                      <w:sz w:val="20"/>
                      <w:szCs w:val="20"/>
                    </w:rPr>
                    <w:t>Number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61DC0B54"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Length (m)</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51AB6F81" w14:textId="77777777" w:rsidR="007243D9" w:rsidRPr="00187E50" w:rsidRDefault="007243D9" w:rsidP="009C3DE8">
                  <w:pPr>
                    <w:jc w:val="center"/>
                    <w:rPr>
                      <w:b/>
                      <w:bCs/>
                      <w:color w:val="FFFFFF" w:themeColor="background1"/>
                      <w:sz w:val="20"/>
                      <w:szCs w:val="20"/>
                    </w:rPr>
                  </w:pPr>
                  <w:r>
                    <w:rPr>
                      <w:b/>
                      <w:bCs/>
                      <w:color w:val="FFFFFF" w:themeColor="background1"/>
                      <w:sz w:val="20"/>
                      <w:szCs w:val="20"/>
                    </w:rPr>
                    <w:t>No.</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38E18779"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Length (m)</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3F16FE1B"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Longest length (m)</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701F20C8"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 xml:space="preserve">Average </w:t>
                  </w:r>
                  <w:r>
                    <w:rPr>
                      <w:b/>
                      <w:bCs/>
                      <w:color w:val="FFFFFF" w:themeColor="background1"/>
                      <w:sz w:val="20"/>
                      <w:szCs w:val="20"/>
                    </w:rPr>
                    <w:t>length</w:t>
                  </w:r>
                  <w:r w:rsidRPr="00187E50">
                    <w:rPr>
                      <w:b/>
                      <w:bCs/>
                      <w:color w:val="FFFFFF" w:themeColor="background1"/>
                      <w:sz w:val="20"/>
                      <w:szCs w:val="20"/>
                    </w:rPr>
                    <w:t xml:space="preserve"> (m)</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753983BA" w14:textId="77777777" w:rsidR="007243D9" w:rsidRPr="00187E50" w:rsidRDefault="007243D9" w:rsidP="009C3DE8">
                  <w:pPr>
                    <w:jc w:val="center"/>
                    <w:rPr>
                      <w:b/>
                      <w:bCs/>
                      <w:color w:val="FFFFFF" w:themeColor="background1"/>
                      <w:sz w:val="20"/>
                      <w:szCs w:val="20"/>
                    </w:rPr>
                  </w:pPr>
                  <w:r>
                    <w:rPr>
                      <w:b/>
                      <w:bCs/>
                      <w:color w:val="FFFFFF" w:themeColor="background1"/>
                      <w:sz w:val="20"/>
                      <w:szCs w:val="20"/>
                    </w:rPr>
                    <w:t>No.</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hideMark/>
                </w:tcPr>
                <w:p w14:paraId="3A7F6624" w14:textId="77777777" w:rsidR="007243D9" w:rsidRPr="00187E50" w:rsidRDefault="007243D9" w:rsidP="009C3DE8">
                  <w:pPr>
                    <w:jc w:val="center"/>
                    <w:rPr>
                      <w:b/>
                      <w:bCs/>
                      <w:color w:val="FFFFFF" w:themeColor="background1"/>
                      <w:sz w:val="20"/>
                      <w:szCs w:val="20"/>
                    </w:rPr>
                  </w:pPr>
                  <w:r w:rsidRPr="00187E50">
                    <w:rPr>
                      <w:b/>
                      <w:bCs/>
                      <w:color w:val="FFFFFF" w:themeColor="background1"/>
                      <w:sz w:val="20"/>
                      <w:szCs w:val="20"/>
                    </w:rPr>
                    <w:t>Length (m)</w:t>
                  </w:r>
                </w:p>
              </w:tc>
            </w:tr>
            <w:tr w:rsidR="007243D9" w:rsidRPr="00170F77" w14:paraId="7C995EA1" w14:textId="77777777" w:rsidTr="009C3DE8">
              <w:trPr>
                <w:trHeight w:val="20"/>
              </w:trPr>
              <w:tc>
                <w:tcPr>
                  <w:tcW w:w="1635" w:type="dxa"/>
                  <w:tcBorders>
                    <w:top w:val="single" w:sz="4" w:space="0" w:color="FFFFFF" w:themeColor="background1"/>
                    <w:left w:val="single" w:sz="4" w:space="0" w:color="auto"/>
                    <w:bottom w:val="single" w:sz="4" w:space="0" w:color="auto"/>
                    <w:right w:val="single" w:sz="4" w:space="0" w:color="auto"/>
                  </w:tcBorders>
                  <w:shd w:val="clear" w:color="auto" w:fill="auto"/>
                  <w:noWrap/>
                  <w:hideMark/>
                </w:tcPr>
                <w:p w14:paraId="3946087B" w14:textId="77777777" w:rsidR="007243D9" w:rsidRPr="00187E50" w:rsidRDefault="007243D9" w:rsidP="009C3DE8">
                  <w:pPr>
                    <w:rPr>
                      <w:color w:val="000000"/>
                      <w:sz w:val="18"/>
                      <w:szCs w:val="20"/>
                    </w:rPr>
                  </w:pPr>
                  <w:r w:rsidRPr="00187E50">
                    <w:rPr>
                      <w:color w:val="000000"/>
                      <w:sz w:val="18"/>
                      <w:szCs w:val="20"/>
                    </w:rPr>
                    <w:t>Upazila Road</w:t>
                  </w:r>
                  <w:r>
                    <w:rPr>
                      <w:color w:val="000000"/>
                      <w:sz w:val="18"/>
                      <w:szCs w:val="20"/>
                    </w:rPr>
                    <w:t xml:space="preserve"> (UZR)</w:t>
                  </w:r>
                </w:p>
              </w:tc>
              <w:tc>
                <w:tcPr>
                  <w:tcW w:w="990" w:type="dxa"/>
                  <w:tcBorders>
                    <w:top w:val="single" w:sz="4" w:space="0" w:color="FFFFFF" w:themeColor="background1"/>
                    <w:left w:val="nil"/>
                    <w:bottom w:val="single" w:sz="4" w:space="0" w:color="auto"/>
                    <w:right w:val="single" w:sz="4" w:space="0" w:color="auto"/>
                  </w:tcBorders>
                  <w:shd w:val="clear" w:color="auto" w:fill="auto"/>
                  <w:noWrap/>
                  <w:hideMark/>
                </w:tcPr>
                <w:p w14:paraId="4EC01A58" w14:textId="77777777" w:rsidR="007243D9" w:rsidRPr="00187E50" w:rsidRDefault="007243D9" w:rsidP="009C3DE8">
                  <w:pPr>
                    <w:jc w:val="center"/>
                    <w:rPr>
                      <w:color w:val="000000"/>
                      <w:sz w:val="18"/>
                      <w:szCs w:val="20"/>
                    </w:rPr>
                  </w:pPr>
                  <w:r w:rsidRPr="00187E50">
                    <w:rPr>
                      <w:color w:val="000000"/>
                      <w:sz w:val="18"/>
                      <w:szCs w:val="20"/>
                    </w:rPr>
                    <w:t>8,491</w:t>
                  </w:r>
                </w:p>
              </w:tc>
              <w:tc>
                <w:tcPr>
                  <w:tcW w:w="990" w:type="dxa"/>
                  <w:tcBorders>
                    <w:top w:val="single" w:sz="4" w:space="0" w:color="FFFFFF" w:themeColor="background1"/>
                    <w:left w:val="nil"/>
                    <w:bottom w:val="single" w:sz="4" w:space="0" w:color="auto"/>
                    <w:right w:val="single" w:sz="4" w:space="0" w:color="auto"/>
                  </w:tcBorders>
                  <w:shd w:val="clear" w:color="auto" w:fill="auto"/>
                  <w:noWrap/>
                  <w:hideMark/>
                </w:tcPr>
                <w:p w14:paraId="3ABF7CA2" w14:textId="77777777" w:rsidR="007243D9" w:rsidRPr="00187E50" w:rsidRDefault="007243D9" w:rsidP="009C3DE8">
                  <w:pPr>
                    <w:jc w:val="center"/>
                    <w:rPr>
                      <w:color w:val="000000"/>
                      <w:sz w:val="18"/>
                      <w:szCs w:val="20"/>
                    </w:rPr>
                  </w:pPr>
                  <w:r w:rsidRPr="00187E50">
                    <w:rPr>
                      <w:color w:val="000000"/>
                      <w:sz w:val="18"/>
                      <w:szCs w:val="20"/>
                    </w:rPr>
                    <w:t>307,221</w:t>
                  </w:r>
                </w:p>
              </w:tc>
              <w:tc>
                <w:tcPr>
                  <w:tcW w:w="720" w:type="dxa"/>
                  <w:tcBorders>
                    <w:top w:val="single" w:sz="4" w:space="0" w:color="FFFFFF" w:themeColor="background1"/>
                    <w:left w:val="nil"/>
                    <w:bottom w:val="single" w:sz="4" w:space="0" w:color="auto"/>
                    <w:right w:val="single" w:sz="4" w:space="0" w:color="auto"/>
                  </w:tcBorders>
                  <w:shd w:val="clear" w:color="auto" w:fill="auto"/>
                  <w:noWrap/>
                  <w:hideMark/>
                </w:tcPr>
                <w:p w14:paraId="5F1D2472" w14:textId="77777777" w:rsidR="007243D9" w:rsidRPr="00187E50" w:rsidRDefault="007243D9" w:rsidP="009C3DE8">
                  <w:pPr>
                    <w:jc w:val="center"/>
                    <w:rPr>
                      <w:color w:val="000000"/>
                      <w:sz w:val="18"/>
                      <w:szCs w:val="20"/>
                    </w:rPr>
                  </w:pPr>
                  <w:r w:rsidRPr="00187E50">
                    <w:rPr>
                      <w:color w:val="000000"/>
                      <w:sz w:val="18"/>
                      <w:szCs w:val="20"/>
                    </w:rPr>
                    <w:t>7,515</w:t>
                  </w:r>
                </w:p>
              </w:tc>
              <w:tc>
                <w:tcPr>
                  <w:tcW w:w="900" w:type="dxa"/>
                  <w:tcBorders>
                    <w:top w:val="single" w:sz="4" w:space="0" w:color="FFFFFF" w:themeColor="background1"/>
                    <w:left w:val="nil"/>
                    <w:bottom w:val="single" w:sz="4" w:space="0" w:color="auto"/>
                    <w:right w:val="single" w:sz="4" w:space="0" w:color="auto"/>
                  </w:tcBorders>
                  <w:shd w:val="clear" w:color="auto" w:fill="auto"/>
                  <w:noWrap/>
                  <w:hideMark/>
                </w:tcPr>
                <w:p w14:paraId="7C0C2232" w14:textId="77777777" w:rsidR="007243D9" w:rsidRPr="00187E50" w:rsidRDefault="007243D9" w:rsidP="009C3DE8">
                  <w:pPr>
                    <w:jc w:val="center"/>
                    <w:rPr>
                      <w:color w:val="000000"/>
                      <w:sz w:val="18"/>
                      <w:szCs w:val="20"/>
                    </w:rPr>
                  </w:pPr>
                  <w:r w:rsidRPr="00187E50">
                    <w:rPr>
                      <w:color w:val="000000"/>
                      <w:sz w:val="18"/>
                      <w:szCs w:val="20"/>
                    </w:rPr>
                    <w:t>235,529</w:t>
                  </w:r>
                </w:p>
              </w:tc>
              <w:tc>
                <w:tcPr>
                  <w:tcW w:w="900" w:type="dxa"/>
                  <w:tcBorders>
                    <w:top w:val="single" w:sz="4" w:space="0" w:color="FFFFFF" w:themeColor="background1"/>
                    <w:left w:val="nil"/>
                    <w:bottom w:val="single" w:sz="4" w:space="0" w:color="auto"/>
                    <w:right w:val="single" w:sz="4" w:space="0" w:color="auto"/>
                  </w:tcBorders>
                  <w:shd w:val="clear" w:color="auto" w:fill="auto"/>
                  <w:hideMark/>
                </w:tcPr>
                <w:p w14:paraId="7888D0DF" w14:textId="77777777" w:rsidR="007243D9" w:rsidRPr="00187E50" w:rsidRDefault="007243D9" w:rsidP="009C3DE8">
                  <w:pPr>
                    <w:jc w:val="center"/>
                    <w:rPr>
                      <w:color w:val="000000"/>
                      <w:sz w:val="18"/>
                      <w:szCs w:val="20"/>
                    </w:rPr>
                  </w:pPr>
                  <w:r w:rsidRPr="00187E50">
                    <w:rPr>
                      <w:color w:val="000000"/>
                      <w:sz w:val="18"/>
                      <w:szCs w:val="20"/>
                    </w:rPr>
                    <w:t>900</w:t>
                  </w:r>
                </w:p>
              </w:tc>
              <w:tc>
                <w:tcPr>
                  <w:tcW w:w="1080" w:type="dxa"/>
                  <w:tcBorders>
                    <w:top w:val="single" w:sz="4" w:space="0" w:color="FFFFFF" w:themeColor="background1"/>
                    <w:left w:val="nil"/>
                    <w:bottom w:val="single" w:sz="4" w:space="0" w:color="auto"/>
                    <w:right w:val="single" w:sz="4" w:space="0" w:color="auto"/>
                  </w:tcBorders>
                  <w:shd w:val="clear" w:color="auto" w:fill="auto"/>
                  <w:hideMark/>
                </w:tcPr>
                <w:p w14:paraId="33C1ECD4" w14:textId="77777777" w:rsidR="007243D9" w:rsidRPr="00187E50" w:rsidRDefault="007243D9" w:rsidP="009C3DE8">
                  <w:pPr>
                    <w:jc w:val="center"/>
                    <w:rPr>
                      <w:color w:val="000000"/>
                      <w:sz w:val="18"/>
                      <w:szCs w:val="20"/>
                    </w:rPr>
                  </w:pPr>
                  <w:r w:rsidRPr="00187E50">
                    <w:rPr>
                      <w:color w:val="000000"/>
                      <w:sz w:val="18"/>
                      <w:szCs w:val="20"/>
                    </w:rPr>
                    <w:t>31</w:t>
                  </w:r>
                </w:p>
              </w:tc>
              <w:tc>
                <w:tcPr>
                  <w:tcW w:w="720" w:type="dxa"/>
                  <w:tcBorders>
                    <w:top w:val="single" w:sz="4" w:space="0" w:color="FFFFFF" w:themeColor="background1"/>
                    <w:left w:val="nil"/>
                    <w:bottom w:val="single" w:sz="4" w:space="0" w:color="auto"/>
                    <w:right w:val="single" w:sz="4" w:space="0" w:color="auto"/>
                  </w:tcBorders>
                  <w:shd w:val="clear" w:color="auto" w:fill="auto"/>
                  <w:noWrap/>
                  <w:hideMark/>
                </w:tcPr>
                <w:p w14:paraId="31A7578F" w14:textId="77777777" w:rsidR="007243D9" w:rsidRPr="00187E50" w:rsidRDefault="007243D9" w:rsidP="009C3DE8">
                  <w:pPr>
                    <w:jc w:val="center"/>
                    <w:rPr>
                      <w:color w:val="000000"/>
                      <w:sz w:val="18"/>
                      <w:szCs w:val="20"/>
                    </w:rPr>
                  </w:pPr>
                  <w:r w:rsidRPr="00187E50">
                    <w:rPr>
                      <w:color w:val="000000"/>
                      <w:sz w:val="18"/>
                      <w:szCs w:val="20"/>
                    </w:rPr>
                    <w:t>976</w:t>
                  </w:r>
                </w:p>
              </w:tc>
              <w:tc>
                <w:tcPr>
                  <w:tcW w:w="900" w:type="dxa"/>
                  <w:tcBorders>
                    <w:top w:val="single" w:sz="4" w:space="0" w:color="FFFFFF" w:themeColor="background1"/>
                    <w:left w:val="nil"/>
                    <w:bottom w:val="single" w:sz="4" w:space="0" w:color="auto"/>
                    <w:right w:val="single" w:sz="4" w:space="0" w:color="auto"/>
                  </w:tcBorders>
                  <w:shd w:val="clear" w:color="auto" w:fill="auto"/>
                  <w:noWrap/>
                  <w:hideMark/>
                </w:tcPr>
                <w:p w14:paraId="7BD6DAEB" w14:textId="77777777" w:rsidR="007243D9" w:rsidRPr="00187E50" w:rsidRDefault="007243D9" w:rsidP="009C3DE8">
                  <w:pPr>
                    <w:jc w:val="center"/>
                    <w:rPr>
                      <w:color w:val="000000"/>
                      <w:sz w:val="18"/>
                      <w:szCs w:val="20"/>
                    </w:rPr>
                  </w:pPr>
                  <w:r w:rsidRPr="00187E50">
                    <w:rPr>
                      <w:color w:val="000000"/>
                      <w:sz w:val="18"/>
                      <w:szCs w:val="20"/>
                    </w:rPr>
                    <w:t>71,692</w:t>
                  </w:r>
                </w:p>
              </w:tc>
            </w:tr>
            <w:tr w:rsidR="007243D9" w:rsidRPr="00170F77" w14:paraId="3499FF88" w14:textId="77777777" w:rsidTr="009C3DE8">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14:paraId="22D05108" w14:textId="77777777" w:rsidR="007243D9" w:rsidRPr="00187E50" w:rsidRDefault="007243D9" w:rsidP="009C3DE8">
                  <w:pPr>
                    <w:rPr>
                      <w:color w:val="000000"/>
                      <w:sz w:val="18"/>
                      <w:szCs w:val="20"/>
                    </w:rPr>
                  </w:pPr>
                  <w:r w:rsidRPr="00187E50">
                    <w:rPr>
                      <w:color w:val="000000"/>
                      <w:sz w:val="18"/>
                      <w:szCs w:val="20"/>
                    </w:rPr>
                    <w:t>Union Road</w:t>
                  </w:r>
                  <w:r>
                    <w:rPr>
                      <w:color w:val="000000"/>
                      <w:sz w:val="18"/>
                      <w:szCs w:val="20"/>
                    </w:rPr>
                    <w:t xml:space="preserve"> (UNR)</w:t>
                  </w:r>
                </w:p>
              </w:tc>
              <w:tc>
                <w:tcPr>
                  <w:tcW w:w="990" w:type="dxa"/>
                  <w:tcBorders>
                    <w:top w:val="single" w:sz="4" w:space="0" w:color="auto"/>
                    <w:left w:val="nil"/>
                    <w:bottom w:val="single" w:sz="4" w:space="0" w:color="auto"/>
                    <w:right w:val="single" w:sz="4" w:space="0" w:color="auto"/>
                  </w:tcBorders>
                  <w:shd w:val="clear" w:color="auto" w:fill="auto"/>
                  <w:noWrap/>
                  <w:hideMark/>
                </w:tcPr>
                <w:p w14:paraId="2CC17434" w14:textId="77777777" w:rsidR="007243D9" w:rsidRPr="00187E50" w:rsidRDefault="007243D9" w:rsidP="009C3DE8">
                  <w:pPr>
                    <w:jc w:val="center"/>
                    <w:rPr>
                      <w:color w:val="000000"/>
                      <w:sz w:val="18"/>
                      <w:szCs w:val="20"/>
                    </w:rPr>
                  </w:pPr>
                  <w:r w:rsidRPr="00187E50">
                    <w:rPr>
                      <w:color w:val="000000"/>
                      <w:sz w:val="18"/>
                      <w:szCs w:val="20"/>
                    </w:rPr>
                    <w:t>8,753</w:t>
                  </w:r>
                </w:p>
              </w:tc>
              <w:tc>
                <w:tcPr>
                  <w:tcW w:w="990" w:type="dxa"/>
                  <w:tcBorders>
                    <w:top w:val="single" w:sz="4" w:space="0" w:color="auto"/>
                    <w:left w:val="nil"/>
                    <w:bottom w:val="single" w:sz="4" w:space="0" w:color="auto"/>
                    <w:right w:val="single" w:sz="4" w:space="0" w:color="auto"/>
                  </w:tcBorders>
                  <w:shd w:val="clear" w:color="auto" w:fill="auto"/>
                  <w:noWrap/>
                  <w:hideMark/>
                </w:tcPr>
                <w:p w14:paraId="1493AFA2" w14:textId="77777777" w:rsidR="007243D9" w:rsidRPr="00187E50" w:rsidRDefault="007243D9" w:rsidP="009C3DE8">
                  <w:pPr>
                    <w:jc w:val="center"/>
                    <w:rPr>
                      <w:color w:val="000000"/>
                      <w:sz w:val="18"/>
                      <w:szCs w:val="20"/>
                    </w:rPr>
                  </w:pPr>
                  <w:r w:rsidRPr="00187E50">
                    <w:rPr>
                      <w:color w:val="000000"/>
                      <w:sz w:val="18"/>
                      <w:szCs w:val="20"/>
                    </w:rPr>
                    <w:t>261,756</w:t>
                  </w:r>
                </w:p>
              </w:tc>
              <w:tc>
                <w:tcPr>
                  <w:tcW w:w="720" w:type="dxa"/>
                  <w:tcBorders>
                    <w:top w:val="single" w:sz="4" w:space="0" w:color="auto"/>
                    <w:left w:val="nil"/>
                    <w:bottom w:val="single" w:sz="4" w:space="0" w:color="auto"/>
                    <w:right w:val="single" w:sz="4" w:space="0" w:color="auto"/>
                  </w:tcBorders>
                  <w:shd w:val="clear" w:color="auto" w:fill="auto"/>
                  <w:noWrap/>
                  <w:hideMark/>
                </w:tcPr>
                <w:p w14:paraId="00C58AEF" w14:textId="77777777" w:rsidR="007243D9" w:rsidRPr="00187E50" w:rsidRDefault="007243D9" w:rsidP="009C3DE8">
                  <w:pPr>
                    <w:jc w:val="center"/>
                    <w:rPr>
                      <w:color w:val="000000"/>
                      <w:sz w:val="18"/>
                      <w:szCs w:val="20"/>
                    </w:rPr>
                  </w:pPr>
                  <w:r w:rsidRPr="00187E50">
                    <w:rPr>
                      <w:color w:val="000000"/>
                      <w:sz w:val="18"/>
                      <w:szCs w:val="20"/>
                    </w:rPr>
                    <w:t>7,044</w:t>
                  </w:r>
                </w:p>
              </w:tc>
              <w:tc>
                <w:tcPr>
                  <w:tcW w:w="900" w:type="dxa"/>
                  <w:tcBorders>
                    <w:top w:val="single" w:sz="4" w:space="0" w:color="auto"/>
                    <w:left w:val="nil"/>
                    <w:bottom w:val="single" w:sz="4" w:space="0" w:color="auto"/>
                    <w:right w:val="single" w:sz="4" w:space="0" w:color="auto"/>
                  </w:tcBorders>
                  <w:shd w:val="clear" w:color="auto" w:fill="auto"/>
                  <w:noWrap/>
                  <w:hideMark/>
                </w:tcPr>
                <w:p w14:paraId="356FA554" w14:textId="77777777" w:rsidR="007243D9" w:rsidRPr="00187E50" w:rsidRDefault="007243D9" w:rsidP="009C3DE8">
                  <w:pPr>
                    <w:jc w:val="center"/>
                    <w:rPr>
                      <w:color w:val="000000"/>
                      <w:sz w:val="18"/>
                      <w:szCs w:val="20"/>
                    </w:rPr>
                  </w:pPr>
                  <w:r w:rsidRPr="00187E50">
                    <w:rPr>
                      <w:color w:val="000000"/>
                      <w:sz w:val="18"/>
                      <w:szCs w:val="20"/>
                    </w:rPr>
                    <w:t>165,600</w:t>
                  </w:r>
                </w:p>
              </w:tc>
              <w:tc>
                <w:tcPr>
                  <w:tcW w:w="900" w:type="dxa"/>
                  <w:tcBorders>
                    <w:top w:val="single" w:sz="4" w:space="0" w:color="auto"/>
                    <w:left w:val="nil"/>
                    <w:bottom w:val="single" w:sz="4" w:space="0" w:color="auto"/>
                    <w:right w:val="single" w:sz="4" w:space="0" w:color="auto"/>
                  </w:tcBorders>
                  <w:shd w:val="clear" w:color="auto" w:fill="auto"/>
                  <w:hideMark/>
                </w:tcPr>
                <w:p w14:paraId="17264B54" w14:textId="77777777" w:rsidR="007243D9" w:rsidRPr="00187E50" w:rsidRDefault="007243D9" w:rsidP="009C3DE8">
                  <w:pPr>
                    <w:jc w:val="center"/>
                    <w:rPr>
                      <w:color w:val="000000"/>
                      <w:sz w:val="18"/>
                      <w:szCs w:val="20"/>
                    </w:rPr>
                  </w:pPr>
                  <w:r w:rsidRPr="00187E50">
                    <w:rPr>
                      <w:color w:val="000000"/>
                      <w:sz w:val="18"/>
                      <w:szCs w:val="20"/>
                    </w:rPr>
                    <w:t>650</w:t>
                  </w:r>
                </w:p>
              </w:tc>
              <w:tc>
                <w:tcPr>
                  <w:tcW w:w="1080" w:type="dxa"/>
                  <w:tcBorders>
                    <w:top w:val="single" w:sz="4" w:space="0" w:color="auto"/>
                    <w:left w:val="nil"/>
                    <w:bottom w:val="single" w:sz="4" w:space="0" w:color="auto"/>
                    <w:right w:val="single" w:sz="4" w:space="0" w:color="auto"/>
                  </w:tcBorders>
                  <w:shd w:val="clear" w:color="auto" w:fill="auto"/>
                  <w:hideMark/>
                </w:tcPr>
                <w:p w14:paraId="3324A338" w14:textId="77777777" w:rsidR="007243D9" w:rsidRPr="00187E50" w:rsidRDefault="007243D9" w:rsidP="009C3DE8">
                  <w:pPr>
                    <w:jc w:val="center"/>
                    <w:rPr>
                      <w:color w:val="000000"/>
                      <w:sz w:val="18"/>
                      <w:szCs w:val="20"/>
                    </w:rPr>
                  </w:pPr>
                  <w:r w:rsidRPr="00187E50">
                    <w:rPr>
                      <w:color w:val="000000"/>
                      <w:sz w:val="18"/>
                      <w:szCs w:val="20"/>
                    </w:rPr>
                    <w:t>24</w:t>
                  </w:r>
                </w:p>
              </w:tc>
              <w:tc>
                <w:tcPr>
                  <w:tcW w:w="720" w:type="dxa"/>
                  <w:tcBorders>
                    <w:top w:val="single" w:sz="4" w:space="0" w:color="auto"/>
                    <w:left w:val="nil"/>
                    <w:bottom w:val="single" w:sz="4" w:space="0" w:color="auto"/>
                    <w:right w:val="single" w:sz="4" w:space="0" w:color="auto"/>
                  </w:tcBorders>
                  <w:shd w:val="clear" w:color="auto" w:fill="auto"/>
                  <w:noWrap/>
                  <w:hideMark/>
                </w:tcPr>
                <w:p w14:paraId="1F965CAF" w14:textId="77777777" w:rsidR="007243D9" w:rsidRPr="00187E50" w:rsidRDefault="007243D9" w:rsidP="009C3DE8">
                  <w:pPr>
                    <w:jc w:val="center"/>
                    <w:rPr>
                      <w:color w:val="000000"/>
                      <w:sz w:val="18"/>
                      <w:szCs w:val="20"/>
                    </w:rPr>
                  </w:pPr>
                  <w:r w:rsidRPr="00187E50">
                    <w:rPr>
                      <w:color w:val="000000"/>
                      <w:sz w:val="18"/>
                      <w:szCs w:val="20"/>
                    </w:rPr>
                    <w:t>1,709</w:t>
                  </w:r>
                </w:p>
              </w:tc>
              <w:tc>
                <w:tcPr>
                  <w:tcW w:w="900" w:type="dxa"/>
                  <w:tcBorders>
                    <w:top w:val="single" w:sz="4" w:space="0" w:color="auto"/>
                    <w:left w:val="nil"/>
                    <w:bottom w:val="single" w:sz="4" w:space="0" w:color="auto"/>
                    <w:right w:val="single" w:sz="4" w:space="0" w:color="auto"/>
                  </w:tcBorders>
                  <w:shd w:val="clear" w:color="auto" w:fill="auto"/>
                  <w:noWrap/>
                  <w:hideMark/>
                </w:tcPr>
                <w:p w14:paraId="666E6809" w14:textId="77777777" w:rsidR="007243D9" w:rsidRPr="00187E50" w:rsidRDefault="007243D9" w:rsidP="009C3DE8">
                  <w:pPr>
                    <w:jc w:val="center"/>
                    <w:rPr>
                      <w:color w:val="000000"/>
                      <w:sz w:val="18"/>
                      <w:szCs w:val="20"/>
                    </w:rPr>
                  </w:pPr>
                  <w:r w:rsidRPr="00187E50">
                    <w:rPr>
                      <w:color w:val="000000"/>
                      <w:sz w:val="18"/>
                      <w:szCs w:val="20"/>
                    </w:rPr>
                    <w:t>96,156</w:t>
                  </w:r>
                </w:p>
              </w:tc>
            </w:tr>
            <w:tr w:rsidR="007243D9" w:rsidRPr="00170F77" w14:paraId="3E9C60AF" w14:textId="77777777" w:rsidTr="009C3DE8">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14:paraId="12ECCB37" w14:textId="77777777" w:rsidR="007243D9" w:rsidRPr="00187E50" w:rsidRDefault="007243D9" w:rsidP="009C3DE8">
                  <w:pPr>
                    <w:rPr>
                      <w:b/>
                      <w:bCs/>
                      <w:color w:val="000000"/>
                      <w:sz w:val="18"/>
                      <w:szCs w:val="20"/>
                    </w:rPr>
                  </w:pPr>
                  <w:r w:rsidRPr="00187E50">
                    <w:rPr>
                      <w:b/>
                      <w:bCs/>
                      <w:color w:val="000000"/>
                      <w:sz w:val="18"/>
                      <w:szCs w:val="20"/>
                    </w:rPr>
                    <w:t>UZR+UNR</w:t>
                  </w:r>
                </w:p>
              </w:tc>
              <w:tc>
                <w:tcPr>
                  <w:tcW w:w="990" w:type="dxa"/>
                  <w:tcBorders>
                    <w:top w:val="single" w:sz="4" w:space="0" w:color="auto"/>
                    <w:left w:val="nil"/>
                    <w:bottom w:val="single" w:sz="4" w:space="0" w:color="auto"/>
                    <w:right w:val="single" w:sz="4" w:space="0" w:color="auto"/>
                  </w:tcBorders>
                  <w:shd w:val="clear" w:color="auto" w:fill="auto"/>
                  <w:noWrap/>
                  <w:hideMark/>
                </w:tcPr>
                <w:p w14:paraId="213CC969" w14:textId="77777777" w:rsidR="007243D9" w:rsidRPr="00187E50" w:rsidRDefault="007243D9" w:rsidP="009C3DE8">
                  <w:pPr>
                    <w:jc w:val="center"/>
                    <w:rPr>
                      <w:b/>
                      <w:bCs/>
                      <w:color w:val="000000"/>
                      <w:sz w:val="18"/>
                      <w:szCs w:val="20"/>
                    </w:rPr>
                  </w:pPr>
                  <w:r w:rsidRPr="00187E50">
                    <w:rPr>
                      <w:b/>
                      <w:bCs/>
                      <w:color w:val="000000"/>
                      <w:sz w:val="18"/>
                      <w:szCs w:val="20"/>
                    </w:rPr>
                    <w:t>17,244</w:t>
                  </w:r>
                </w:p>
              </w:tc>
              <w:tc>
                <w:tcPr>
                  <w:tcW w:w="990" w:type="dxa"/>
                  <w:tcBorders>
                    <w:top w:val="single" w:sz="4" w:space="0" w:color="auto"/>
                    <w:left w:val="nil"/>
                    <w:bottom w:val="single" w:sz="4" w:space="0" w:color="auto"/>
                    <w:right w:val="single" w:sz="4" w:space="0" w:color="auto"/>
                  </w:tcBorders>
                  <w:shd w:val="clear" w:color="auto" w:fill="auto"/>
                  <w:noWrap/>
                  <w:hideMark/>
                </w:tcPr>
                <w:p w14:paraId="34077F1C" w14:textId="77777777" w:rsidR="007243D9" w:rsidRPr="00187E50" w:rsidRDefault="007243D9" w:rsidP="009C3DE8">
                  <w:pPr>
                    <w:jc w:val="center"/>
                    <w:rPr>
                      <w:b/>
                      <w:bCs/>
                      <w:color w:val="000000"/>
                      <w:sz w:val="18"/>
                      <w:szCs w:val="20"/>
                    </w:rPr>
                  </w:pPr>
                  <w:r w:rsidRPr="00187E50">
                    <w:rPr>
                      <w:b/>
                      <w:bCs/>
                      <w:color w:val="000000"/>
                      <w:sz w:val="18"/>
                      <w:szCs w:val="20"/>
                    </w:rPr>
                    <w:t>568,977</w:t>
                  </w:r>
                </w:p>
              </w:tc>
              <w:tc>
                <w:tcPr>
                  <w:tcW w:w="720" w:type="dxa"/>
                  <w:tcBorders>
                    <w:top w:val="single" w:sz="4" w:space="0" w:color="auto"/>
                    <w:left w:val="nil"/>
                    <w:bottom w:val="single" w:sz="4" w:space="0" w:color="auto"/>
                    <w:right w:val="single" w:sz="4" w:space="0" w:color="auto"/>
                  </w:tcBorders>
                  <w:shd w:val="clear" w:color="auto" w:fill="auto"/>
                  <w:noWrap/>
                  <w:hideMark/>
                </w:tcPr>
                <w:p w14:paraId="1EA43755" w14:textId="77777777" w:rsidR="007243D9" w:rsidRPr="00187E50" w:rsidRDefault="007243D9" w:rsidP="009C3DE8">
                  <w:pPr>
                    <w:jc w:val="center"/>
                    <w:rPr>
                      <w:b/>
                      <w:bCs/>
                      <w:color w:val="000000"/>
                      <w:sz w:val="18"/>
                      <w:szCs w:val="20"/>
                    </w:rPr>
                  </w:pPr>
                  <w:r w:rsidRPr="00187E50">
                    <w:rPr>
                      <w:b/>
                      <w:bCs/>
                      <w:color w:val="000000"/>
                      <w:sz w:val="18"/>
                      <w:szCs w:val="20"/>
                    </w:rPr>
                    <w:t>14,559</w:t>
                  </w:r>
                </w:p>
              </w:tc>
              <w:tc>
                <w:tcPr>
                  <w:tcW w:w="900" w:type="dxa"/>
                  <w:tcBorders>
                    <w:top w:val="single" w:sz="4" w:space="0" w:color="auto"/>
                    <w:left w:val="nil"/>
                    <w:bottom w:val="single" w:sz="4" w:space="0" w:color="auto"/>
                    <w:right w:val="single" w:sz="4" w:space="0" w:color="auto"/>
                  </w:tcBorders>
                  <w:shd w:val="clear" w:color="auto" w:fill="auto"/>
                  <w:noWrap/>
                  <w:hideMark/>
                </w:tcPr>
                <w:p w14:paraId="1CEB6969" w14:textId="77777777" w:rsidR="007243D9" w:rsidRPr="00187E50" w:rsidRDefault="007243D9" w:rsidP="009C3DE8">
                  <w:pPr>
                    <w:jc w:val="center"/>
                    <w:rPr>
                      <w:b/>
                      <w:bCs/>
                      <w:color w:val="000000"/>
                      <w:sz w:val="18"/>
                      <w:szCs w:val="20"/>
                    </w:rPr>
                  </w:pPr>
                  <w:r w:rsidRPr="00187E50">
                    <w:rPr>
                      <w:b/>
                      <w:bCs/>
                      <w:color w:val="000000"/>
                      <w:sz w:val="18"/>
                      <w:szCs w:val="20"/>
                    </w:rPr>
                    <w:t>401,129</w:t>
                  </w:r>
                </w:p>
              </w:tc>
              <w:tc>
                <w:tcPr>
                  <w:tcW w:w="900" w:type="dxa"/>
                  <w:tcBorders>
                    <w:top w:val="single" w:sz="4" w:space="0" w:color="auto"/>
                    <w:left w:val="nil"/>
                    <w:bottom w:val="single" w:sz="4" w:space="0" w:color="auto"/>
                    <w:right w:val="single" w:sz="4" w:space="0" w:color="auto"/>
                  </w:tcBorders>
                  <w:shd w:val="clear" w:color="auto" w:fill="auto"/>
                  <w:noWrap/>
                  <w:hideMark/>
                </w:tcPr>
                <w:p w14:paraId="0E379719" w14:textId="77777777" w:rsidR="007243D9" w:rsidRPr="00187E50" w:rsidRDefault="007243D9" w:rsidP="009C3DE8">
                  <w:pPr>
                    <w:jc w:val="center"/>
                    <w:rPr>
                      <w:b/>
                      <w:bCs/>
                      <w:color w:val="000000"/>
                      <w:sz w:val="18"/>
                      <w:szCs w:val="20"/>
                    </w:rPr>
                  </w:pPr>
                  <w:r w:rsidRPr="00187E50">
                    <w:rPr>
                      <w:b/>
                      <w:bCs/>
                      <w:color w:val="000000"/>
                      <w:sz w:val="18"/>
                      <w:szCs w:val="20"/>
                    </w:rPr>
                    <w:t>900</w:t>
                  </w:r>
                </w:p>
              </w:tc>
              <w:tc>
                <w:tcPr>
                  <w:tcW w:w="1080" w:type="dxa"/>
                  <w:tcBorders>
                    <w:top w:val="single" w:sz="4" w:space="0" w:color="auto"/>
                    <w:left w:val="nil"/>
                    <w:bottom w:val="single" w:sz="4" w:space="0" w:color="auto"/>
                    <w:right w:val="single" w:sz="4" w:space="0" w:color="auto"/>
                  </w:tcBorders>
                  <w:shd w:val="clear" w:color="auto" w:fill="auto"/>
                  <w:noWrap/>
                  <w:hideMark/>
                </w:tcPr>
                <w:p w14:paraId="05AC452B" w14:textId="77777777" w:rsidR="007243D9" w:rsidRPr="00187E50" w:rsidRDefault="007243D9" w:rsidP="009C3DE8">
                  <w:pPr>
                    <w:jc w:val="center"/>
                    <w:rPr>
                      <w:b/>
                      <w:color w:val="000000"/>
                      <w:sz w:val="18"/>
                      <w:szCs w:val="20"/>
                    </w:rPr>
                  </w:pPr>
                  <w:r w:rsidRPr="00187E50">
                    <w:rPr>
                      <w:b/>
                      <w:color w:val="000000"/>
                      <w:sz w:val="18"/>
                      <w:szCs w:val="20"/>
                    </w:rPr>
                    <w:t>28</w:t>
                  </w:r>
                </w:p>
              </w:tc>
              <w:tc>
                <w:tcPr>
                  <w:tcW w:w="720" w:type="dxa"/>
                  <w:tcBorders>
                    <w:top w:val="single" w:sz="4" w:space="0" w:color="auto"/>
                    <w:left w:val="nil"/>
                    <w:bottom w:val="single" w:sz="4" w:space="0" w:color="auto"/>
                    <w:right w:val="single" w:sz="4" w:space="0" w:color="auto"/>
                  </w:tcBorders>
                  <w:shd w:val="clear" w:color="auto" w:fill="auto"/>
                  <w:noWrap/>
                  <w:hideMark/>
                </w:tcPr>
                <w:p w14:paraId="3CE6471B" w14:textId="77777777" w:rsidR="007243D9" w:rsidRPr="00187E50" w:rsidRDefault="007243D9" w:rsidP="009C3DE8">
                  <w:pPr>
                    <w:jc w:val="center"/>
                    <w:rPr>
                      <w:b/>
                      <w:bCs/>
                      <w:color w:val="000000"/>
                      <w:sz w:val="18"/>
                      <w:szCs w:val="20"/>
                    </w:rPr>
                  </w:pPr>
                  <w:r w:rsidRPr="00187E50">
                    <w:rPr>
                      <w:b/>
                      <w:bCs/>
                      <w:color w:val="000000"/>
                      <w:sz w:val="18"/>
                      <w:szCs w:val="20"/>
                    </w:rPr>
                    <w:t>2,685</w:t>
                  </w:r>
                </w:p>
              </w:tc>
              <w:tc>
                <w:tcPr>
                  <w:tcW w:w="900" w:type="dxa"/>
                  <w:tcBorders>
                    <w:top w:val="single" w:sz="4" w:space="0" w:color="auto"/>
                    <w:left w:val="nil"/>
                    <w:bottom w:val="single" w:sz="4" w:space="0" w:color="auto"/>
                    <w:right w:val="single" w:sz="4" w:space="0" w:color="auto"/>
                  </w:tcBorders>
                  <w:shd w:val="clear" w:color="auto" w:fill="auto"/>
                  <w:noWrap/>
                  <w:hideMark/>
                </w:tcPr>
                <w:p w14:paraId="6942B165" w14:textId="77777777" w:rsidR="007243D9" w:rsidRPr="00187E50" w:rsidRDefault="007243D9" w:rsidP="009C3DE8">
                  <w:pPr>
                    <w:jc w:val="center"/>
                    <w:rPr>
                      <w:b/>
                      <w:bCs/>
                      <w:color w:val="000000"/>
                      <w:sz w:val="18"/>
                      <w:szCs w:val="20"/>
                    </w:rPr>
                  </w:pPr>
                  <w:r w:rsidRPr="00187E50">
                    <w:rPr>
                      <w:b/>
                      <w:bCs/>
                      <w:color w:val="000000"/>
                      <w:sz w:val="18"/>
                      <w:szCs w:val="20"/>
                    </w:rPr>
                    <w:t>167,848</w:t>
                  </w:r>
                </w:p>
              </w:tc>
            </w:tr>
          </w:tbl>
          <w:p w14:paraId="1035F01F" w14:textId="77777777" w:rsidR="007243D9" w:rsidRPr="00EA7E50" w:rsidRDefault="007243D9" w:rsidP="007243D9">
            <w:pPr>
              <w:pStyle w:val="ListParagraph"/>
              <w:numPr>
                <w:ilvl w:val="0"/>
                <w:numId w:val="28"/>
              </w:numPr>
              <w:tabs>
                <w:tab w:val="left" w:pos="540"/>
                <w:tab w:val="left" w:pos="1440"/>
              </w:tabs>
              <w:spacing w:before="120" w:after="120"/>
              <w:ind w:left="0" w:firstLine="0"/>
              <w:contextualSpacing w:val="0"/>
              <w:jc w:val="both"/>
              <w:rPr>
                <w:color w:val="000000" w:themeColor="text1"/>
                <w:sz w:val="22"/>
                <w:szCs w:val="22"/>
              </w:rPr>
            </w:pPr>
            <w:r w:rsidRPr="00DE328C">
              <w:rPr>
                <w:b/>
                <w:color w:val="000000" w:themeColor="text1"/>
                <w:sz w:val="22"/>
                <w:szCs w:val="22"/>
              </w:rPr>
              <w:t xml:space="preserve">The total replacement value of rural bridges and culverts is roughly US$ </w:t>
            </w:r>
            <w:r>
              <w:rPr>
                <w:b/>
                <w:color w:val="000000" w:themeColor="text1"/>
                <w:sz w:val="22"/>
                <w:szCs w:val="22"/>
              </w:rPr>
              <w:t xml:space="preserve">6.5 </w:t>
            </w:r>
            <w:r w:rsidRPr="00DE328C">
              <w:rPr>
                <w:b/>
                <w:color w:val="000000" w:themeColor="text1"/>
                <w:sz w:val="22"/>
                <w:szCs w:val="22"/>
              </w:rPr>
              <w:t>billion</w:t>
            </w:r>
            <w:r>
              <w:rPr>
                <w:b/>
                <w:color w:val="000000" w:themeColor="text1"/>
                <w:sz w:val="22"/>
                <w:szCs w:val="22"/>
              </w:rPr>
              <w:t xml:space="preserve">. </w:t>
            </w:r>
            <w:r w:rsidRPr="00EA7E50">
              <w:rPr>
                <w:color w:val="000000" w:themeColor="text1"/>
                <w:sz w:val="22"/>
                <w:szCs w:val="22"/>
              </w:rPr>
              <w:t>This figure is approximately just over 3% of the Bangladesh’s 2015 Gross Domestic Product (GDP).</w:t>
            </w:r>
            <w:r>
              <w:rPr>
                <w:color w:val="000000" w:themeColor="text1"/>
                <w:sz w:val="22"/>
                <w:szCs w:val="22"/>
              </w:rPr>
              <w:t xml:space="preserve"> An analysis of </w:t>
            </w:r>
            <w:r w:rsidRPr="00EA7E50">
              <w:rPr>
                <w:color w:val="000000" w:themeColor="text1"/>
                <w:sz w:val="22"/>
                <w:szCs w:val="22"/>
              </w:rPr>
              <w:t xml:space="preserve">the currently available data provides some of the main features of </w:t>
            </w:r>
            <w:r>
              <w:rPr>
                <w:color w:val="000000" w:themeColor="text1"/>
                <w:sz w:val="22"/>
                <w:szCs w:val="22"/>
              </w:rPr>
              <w:t xml:space="preserve">bridges on </w:t>
            </w:r>
            <w:r w:rsidRPr="00EA7E50">
              <w:rPr>
                <w:color w:val="000000" w:themeColor="text1"/>
                <w:sz w:val="22"/>
                <w:szCs w:val="22"/>
              </w:rPr>
              <w:t>Upazila and Union road</w:t>
            </w:r>
            <w:r>
              <w:rPr>
                <w:color w:val="000000" w:themeColor="text1"/>
                <w:sz w:val="22"/>
                <w:szCs w:val="22"/>
              </w:rPr>
              <w:t>s</w:t>
            </w:r>
            <w:r w:rsidRPr="00EA7E50">
              <w:rPr>
                <w:color w:val="000000" w:themeColor="text1"/>
                <w:sz w:val="22"/>
                <w:szCs w:val="22"/>
              </w:rPr>
              <w:t>: (i) Approximately two thirds (68%) of the bridges have conventional traditional T-beam Reinforced Cement Concrete (RCC) structures; (ii) A majority (60%) of rural bridges have short-span (below 20m); (iii) The majority of the bridges were built after mid-1990s</w:t>
            </w:r>
            <w:r>
              <w:rPr>
                <w:color w:val="000000" w:themeColor="text1"/>
                <w:sz w:val="22"/>
                <w:szCs w:val="22"/>
              </w:rPr>
              <w:t xml:space="preserve"> (</w:t>
            </w:r>
            <w:r w:rsidRPr="00EA7E50">
              <w:rPr>
                <w:color w:val="000000" w:themeColor="text1"/>
                <w:sz w:val="22"/>
                <w:szCs w:val="22"/>
              </w:rPr>
              <w:t>. The average age of 19 years</w:t>
            </w:r>
            <w:r>
              <w:rPr>
                <w:color w:val="000000" w:themeColor="text1"/>
                <w:sz w:val="22"/>
                <w:szCs w:val="22"/>
              </w:rPr>
              <w:t>)</w:t>
            </w:r>
            <w:r w:rsidRPr="00EA7E50">
              <w:rPr>
                <w:color w:val="000000" w:themeColor="text1"/>
                <w:sz w:val="22"/>
                <w:szCs w:val="22"/>
              </w:rPr>
              <w:t xml:space="preserve">; (v) While just over two-fifths of the rural bridges are between 10 and 20 years old (which potentially need major maintenance), a </w:t>
            </w:r>
            <w:r>
              <w:rPr>
                <w:color w:val="000000" w:themeColor="text1"/>
                <w:sz w:val="22"/>
                <w:szCs w:val="22"/>
              </w:rPr>
              <w:t xml:space="preserve">quarter </w:t>
            </w:r>
            <w:r w:rsidRPr="00EA7E50">
              <w:rPr>
                <w:color w:val="000000" w:themeColor="text1"/>
                <w:sz w:val="22"/>
                <w:szCs w:val="22"/>
              </w:rPr>
              <w:t xml:space="preserve">of the bridges are over 25 years old (they either need major rehabilitation or need to be replaced); and (vi) There exist many narrow bridges (&lt;5m width) and </w:t>
            </w:r>
            <w:r>
              <w:rPr>
                <w:color w:val="000000" w:themeColor="text1"/>
                <w:sz w:val="22"/>
                <w:szCs w:val="22"/>
              </w:rPr>
              <w:t xml:space="preserve">many </w:t>
            </w:r>
            <w:r w:rsidRPr="00EA7E50">
              <w:rPr>
                <w:color w:val="000000" w:themeColor="text1"/>
                <w:sz w:val="22"/>
                <w:szCs w:val="22"/>
              </w:rPr>
              <w:t>would require to be widened or replaced to cope with the increased traffic volume</w:t>
            </w:r>
            <w:r>
              <w:rPr>
                <w:color w:val="000000" w:themeColor="text1"/>
                <w:sz w:val="22"/>
                <w:szCs w:val="22"/>
              </w:rPr>
              <w:t>s</w:t>
            </w:r>
            <w:r w:rsidRPr="00EA7E50">
              <w:rPr>
                <w:color w:val="000000" w:themeColor="text1"/>
                <w:sz w:val="22"/>
                <w:szCs w:val="22"/>
              </w:rPr>
              <w:t xml:space="preserve">. </w:t>
            </w:r>
            <w:r>
              <w:rPr>
                <w:color w:val="000000" w:themeColor="text1"/>
                <w:sz w:val="22"/>
                <w:szCs w:val="22"/>
              </w:rPr>
              <w:t xml:space="preserve">While </w:t>
            </w:r>
            <w:r w:rsidRPr="00EA7E50">
              <w:rPr>
                <w:color w:val="000000" w:themeColor="text1"/>
                <w:sz w:val="22"/>
                <w:szCs w:val="22"/>
              </w:rPr>
              <w:t xml:space="preserve">Annex E provides more information </w:t>
            </w:r>
            <w:r>
              <w:rPr>
                <w:color w:val="000000" w:themeColor="text1"/>
                <w:sz w:val="22"/>
                <w:szCs w:val="22"/>
              </w:rPr>
              <w:t xml:space="preserve">of </w:t>
            </w:r>
            <w:r w:rsidRPr="00EA7E50">
              <w:rPr>
                <w:color w:val="000000" w:themeColor="text1"/>
                <w:sz w:val="22"/>
                <w:szCs w:val="22"/>
              </w:rPr>
              <w:t>rural bridges</w:t>
            </w:r>
            <w:r>
              <w:rPr>
                <w:color w:val="000000" w:themeColor="text1"/>
                <w:sz w:val="22"/>
                <w:szCs w:val="22"/>
              </w:rPr>
              <w:t>, Annex F illustrates with photos different required intervention types.</w:t>
            </w:r>
          </w:p>
          <w:p w14:paraId="0982B27E" w14:textId="7FEAB862" w:rsidR="00D66D81" w:rsidRPr="0096169F" w:rsidRDefault="007243D9" w:rsidP="007243D9">
            <w:pPr>
              <w:pStyle w:val="ListParagraph"/>
              <w:numPr>
                <w:ilvl w:val="0"/>
                <w:numId w:val="28"/>
              </w:numPr>
              <w:tabs>
                <w:tab w:val="left" w:pos="540"/>
                <w:tab w:val="left" w:pos="1440"/>
              </w:tabs>
              <w:spacing w:before="120" w:after="120"/>
              <w:ind w:left="0" w:firstLine="0"/>
              <w:contextualSpacing w:val="0"/>
              <w:jc w:val="both"/>
              <w:rPr>
                <w:color w:val="000000" w:themeColor="text1"/>
                <w:sz w:val="22"/>
                <w:szCs w:val="22"/>
              </w:rPr>
            </w:pPr>
            <w:r>
              <w:rPr>
                <w:b/>
                <w:color w:val="000000" w:themeColor="text1"/>
                <w:sz w:val="22"/>
                <w:szCs w:val="22"/>
              </w:rPr>
              <w:t xml:space="preserve">The proposed Program will be implemented by the Local Government Engineering Department (LGED). </w:t>
            </w:r>
            <w:r w:rsidRPr="00F73DC9">
              <w:rPr>
                <w:color w:val="000000" w:themeColor="text1"/>
                <w:sz w:val="22"/>
                <w:szCs w:val="22"/>
              </w:rPr>
              <w:t>LGED is the premiere public-sector organization of Bangladesh</w:t>
            </w:r>
            <w:r>
              <w:rPr>
                <w:color w:val="000000" w:themeColor="text1"/>
                <w:sz w:val="22"/>
                <w:szCs w:val="22"/>
              </w:rPr>
              <w:t xml:space="preserve"> under the Local Government Division (LGD) of the Ministry of Local Government, Rural Development and Cooperatives (LGRD&amp;C). </w:t>
            </w:r>
            <w:r w:rsidRPr="0096169F">
              <w:rPr>
                <w:color w:val="000000" w:themeColor="text1"/>
                <w:sz w:val="22"/>
                <w:szCs w:val="22"/>
              </w:rPr>
              <w:t xml:space="preserve">The Association’s involvement with LGED dates back </w:t>
            </w:r>
            <w:r>
              <w:rPr>
                <w:color w:val="000000" w:themeColor="text1"/>
                <w:sz w:val="22"/>
                <w:szCs w:val="22"/>
              </w:rPr>
              <w:t>over 25 years. The first Association assisted rural infrastructure project was implemented between 1989 and 1997. Subsequently, two major infrastructure improving projects – Second Rural Roads and Markets Improvement and Maintenance Project (1996-2001) and Rural Transport Improvement Project (2003-2010) - were implemented by LGED. Another Association financed transport sector project - Second Rural Transport Improvement Project (P123828) - is currently on-going and it will close in May, 2018. Currently another two Association financed projects are being implemented by LGED. They are Municipal Governance and Services Project (P133653) and Emergency Cyclone Recovery and Reconstruction Project (P111272)</w:t>
            </w:r>
            <w:r w:rsidR="00D66D81">
              <w:rPr>
                <w:color w:val="000000" w:themeColor="text1"/>
                <w:sz w:val="22"/>
                <w:szCs w:val="22"/>
              </w:rPr>
              <w:t>.</w:t>
            </w:r>
          </w:p>
          <w:p w14:paraId="76063116" w14:textId="77777777" w:rsidR="00D66D81" w:rsidRDefault="00D66D81" w:rsidP="00D66D81">
            <w:pPr>
              <w:pStyle w:val="Heading2"/>
              <w:keepLines/>
              <w:numPr>
                <w:ilvl w:val="0"/>
                <w:numId w:val="29"/>
              </w:numPr>
              <w:tabs>
                <w:tab w:val="left" w:pos="1170"/>
              </w:tabs>
              <w:spacing w:after="120"/>
              <w:jc w:val="left"/>
            </w:pPr>
            <w:bookmarkStart w:id="5" w:name="_Toc481506477"/>
            <w:r w:rsidRPr="00124D8C">
              <w:lastRenderedPageBreak/>
              <w:t xml:space="preserve">Relationship to </w:t>
            </w:r>
            <w:r>
              <w:t>CAS/CPF</w:t>
            </w:r>
            <w:bookmarkEnd w:id="5"/>
            <w:r>
              <w:t xml:space="preserve"> </w:t>
            </w:r>
          </w:p>
          <w:p w14:paraId="6696045D" w14:textId="63DE51D4" w:rsidR="00D66D81" w:rsidRPr="00B622DA" w:rsidRDefault="00D66D81" w:rsidP="00D66D81">
            <w:pPr>
              <w:pStyle w:val="NoSpacing"/>
              <w:spacing w:before="120" w:after="120"/>
              <w:jc w:val="both"/>
              <w:rPr>
                <w:rFonts w:ascii="Times New Roman" w:hAnsi="Times New Roman"/>
                <w:szCs w:val="24"/>
              </w:rPr>
            </w:pPr>
            <w:r w:rsidRPr="000E6756">
              <w:rPr>
                <w:rFonts w:ascii="Times New Roman" w:hAnsi="Times New Roman"/>
                <w:color w:val="000000"/>
                <w:szCs w:val="24"/>
              </w:rPr>
              <w:t>13</w:t>
            </w:r>
            <w:r>
              <w:rPr>
                <w:rFonts w:ascii="Times New Roman" w:hAnsi="Times New Roman"/>
                <w:b/>
                <w:color w:val="000000"/>
                <w:szCs w:val="24"/>
              </w:rPr>
              <w:t xml:space="preserve">.   </w:t>
            </w:r>
            <w:r w:rsidR="007243D9" w:rsidRPr="00B622DA">
              <w:rPr>
                <w:rFonts w:ascii="Times New Roman" w:hAnsi="Times New Roman"/>
                <w:b/>
                <w:color w:val="000000"/>
                <w:szCs w:val="24"/>
              </w:rPr>
              <w:t xml:space="preserve">The proposed Program directly contributes to priorities set under the Country Partnership Framework (CPF) for FY 2016-2020. </w:t>
            </w:r>
            <w:r w:rsidR="007243D9" w:rsidRPr="00B622DA">
              <w:rPr>
                <w:rFonts w:ascii="Times New Roman" w:hAnsi="Times New Roman"/>
                <w:szCs w:val="24"/>
              </w:rPr>
              <w:t>The CPF is aligned with the Government’s 7</w:t>
            </w:r>
            <w:r w:rsidR="007243D9" w:rsidRPr="00B622DA">
              <w:rPr>
                <w:rFonts w:ascii="Times New Roman" w:hAnsi="Times New Roman"/>
                <w:szCs w:val="24"/>
                <w:vertAlign w:val="superscript"/>
              </w:rPr>
              <w:t>th</w:t>
            </w:r>
            <w:r w:rsidR="007243D9" w:rsidRPr="00B622DA">
              <w:rPr>
                <w:rFonts w:ascii="Times New Roman" w:hAnsi="Times New Roman"/>
                <w:szCs w:val="24"/>
              </w:rPr>
              <w:t xml:space="preserve"> Five Year Plan and follows the same planning timescale (FY 2016-20). The framework has three focus areas—growth, social inclusion, and climate and environmental management. The CPF has identified the creation of more and better jobs as the main challenge Bangladesh has been facing as a nascent middle-income-country. Therefore, the CPF focuses on removing stubborn impediments to job creation and growth. The Systematic Country Diagnostic (SCD), which underpins the CPF preparation process, has identified five transformational priority areas where concerted efforts would produce the highest returns for achieving sustainable growth and creating jobs. One of the five transformational areas is inland connectivity. The CPF has resolved that in order to remove the stubborn impediments to job creation and growth, the Bank will shift more financing towards energy and transport infrastructure. An assessment of the previous Country Assistance Strategy (FY 2011-14) outcome has identified the inadequate preservation of assets, including the maintenance of rural roads, remained the main challenge in the road sector</w:t>
            </w:r>
            <w:r w:rsidRPr="00B622DA">
              <w:rPr>
                <w:rFonts w:ascii="Times New Roman" w:hAnsi="Times New Roman"/>
                <w:szCs w:val="24"/>
              </w:rPr>
              <w:t xml:space="preserve">. </w:t>
            </w:r>
          </w:p>
          <w:p w14:paraId="243248DE" w14:textId="77777777" w:rsidR="00D66D81" w:rsidRPr="00007E99" w:rsidRDefault="00D66D81" w:rsidP="00D66D81">
            <w:pPr>
              <w:pStyle w:val="Heading2"/>
              <w:keepLines/>
              <w:numPr>
                <w:ilvl w:val="1"/>
                <w:numId w:val="0"/>
              </w:numPr>
              <w:tabs>
                <w:tab w:val="left" w:pos="1170"/>
              </w:tabs>
              <w:spacing w:after="120"/>
              <w:ind w:left="432" w:hanging="432"/>
              <w:jc w:val="left"/>
            </w:pPr>
            <w:bookmarkStart w:id="6" w:name="_Toc481506478"/>
            <w:r>
              <w:t xml:space="preserve">D. Rationale for </w:t>
            </w:r>
            <w:r w:rsidRPr="00124D8C">
              <w:t xml:space="preserve">Bank </w:t>
            </w:r>
            <w:r>
              <w:t>Engagement and Choice of</w:t>
            </w:r>
            <w:r w:rsidRPr="00124D8C">
              <w:t xml:space="preserve"> </w:t>
            </w:r>
            <w:r>
              <w:t>F</w:t>
            </w:r>
            <w:r w:rsidRPr="00124D8C">
              <w:t xml:space="preserve">inancing </w:t>
            </w:r>
            <w:r>
              <w:t>I</w:t>
            </w:r>
            <w:r w:rsidRPr="00124D8C">
              <w:t>nstrument</w:t>
            </w:r>
            <w:bookmarkEnd w:id="6"/>
            <w:r>
              <w:t xml:space="preserve"> </w:t>
            </w:r>
          </w:p>
          <w:p w14:paraId="457B4FD1" w14:textId="77777777" w:rsidR="007243D9" w:rsidRPr="00B622DA" w:rsidRDefault="00D66D81" w:rsidP="007243D9">
            <w:pPr>
              <w:pStyle w:val="NumberedParagraph"/>
              <w:numPr>
                <w:ilvl w:val="0"/>
                <w:numId w:val="28"/>
              </w:numPr>
              <w:spacing w:before="120" w:after="120"/>
              <w:ind w:left="0" w:firstLine="0"/>
              <w:rPr>
                <w:sz w:val="22"/>
              </w:rPr>
            </w:pPr>
            <w:r w:rsidRPr="000E6756">
              <w:rPr>
                <w:sz w:val="22"/>
              </w:rPr>
              <w:t>14</w:t>
            </w:r>
            <w:r>
              <w:rPr>
                <w:b/>
                <w:sz w:val="22"/>
              </w:rPr>
              <w:t xml:space="preserve">. </w:t>
            </w:r>
            <w:r w:rsidR="007243D9" w:rsidRPr="00B622DA">
              <w:rPr>
                <w:b/>
                <w:sz w:val="22"/>
              </w:rPr>
              <w:t>The Program’s overall risk rating is “substantial”.</w:t>
            </w:r>
            <w:r w:rsidR="007243D9" w:rsidRPr="00B622DA">
              <w:rPr>
                <w:sz w:val="22"/>
              </w:rPr>
              <w:t xml:space="preserve"> The Government’s bridge </w:t>
            </w:r>
            <w:r w:rsidR="007243D9">
              <w:rPr>
                <w:sz w:val="22"/>
              </w:rPr>
              <w:t xml:space="preserve">investment </w:t>
            </w:r>
            <w:r w:rsidR="007243D9" w:rsidRPr="00B622DA">
              <w:rPr>
                <w:sz w:val="22"/>
              </w:rPr>
              <w:t xml:space="preserve">is </w:t>
            </w:r>
            <w:r w:rsidR="007243D9">
              <w:rPr>
                <w:sz w:val="22"/>
              </w:rPr>
              <w:t xml:space="preserve">currently </w:t>
            </w:r>
            <w:r w:rsidR="007243D9" w:rsidRPr="00B622DA">
              <w:rPr>
                <w:sz w:val="22"/>
              </w:rPr>
              <w:t>incoherent and lacks appropriate planning framework. The institutional mechanism that underpins its performance is unsuitable for long term sustainability</w:t>
            </w:r>
            <w:r w:rsidR="007243D9">
              <w:rPr>
                <w:sz w:val="22"/>
              </w:rPr>
              <w:t xml:space="preserve"> of investments</w:t>
            </w:r>
            <w:r w:rsidR="007243D9" w:rsidRPr="00B622DA">
              <w:rPr>
                <w:sz w:val="22"/>
              </w:rPr>
              <w:t xml:space="preserve">. Also experience from Association’s support to a similar program in a South Asian country (Nepal) shows that planning, implementation, management and monitoring and evaluation of such a program are complex and external support is, often, </w:t>
            </w:r>
            <w:r w:rsidR="007243D9">
              <w:rPr>
                <w:sz w:val="22"/>
              </w:rPr>
              <w:t xml:space="preserve">required </w:t>
            </w:r>
            <w:r w:rsidR="007243D9" w:rsidRPr="00B622DA">
              <w:rPr>
                <w:sz w:val="22"/>
              </w:rPr>
              <w:t>in streamlining different aspects of its program. These facts, as well as the Program’s strategic relevance to Bangladesh’s development, provide a strong case for the Association’s engagement. Annex A provides details of the experience gained from Nepal operation: Bridges Improvement and Maintenance Program (P125495).</w:t>
            </w:r>
          </w:p>
          <w:p w14:paraId="10681B1A" w14:textId="32BB70EC" w:rsidR="00D66D81" w:rsidRPr="00B622DA" w:rsidRDefault="007243D9" w:rsidP="007243D9">
            <w:pPr>
              <w:pStyle w:val="NumberedParagraph"/>
              <w:numPr>
                <w:ilvl w:val="0"/>
                <w:numId w:val="31"/>
              </w:numPr>
              <w:spacing w:before="120" w:after="120"/>
              <w:ind w:left="0" w:firstLine="0"/>
              <w:rPr>
                <w:sz w:val="22"/>
              </w:rPr>
            </w:pPr>
            <w:r w:rsidRPr="00B622DA">
              <w:rPr>
                <w:b/>
                <w:sz w:val="22"/>
              </w:rPr>
              <w:t>The proposed operation is designed as a “hybrid” one</w:t>
            </w:r>
            <w:r w:rsidRPr="00B622DA">
              <w:rPr>
                <w:sz w:val="22"/>
              </w:rPr>
              <w:t>. It combines both a Program-for-Results (PforR) component and Investment Project Finance (IPF) component.</w:t>
            </w:r>
            <w:r>
              <w:rPr>
                <w:sz w:val="22"/>
              </w:rPr>
              <w:t xml:space="preserve"> </w:t>
            </w:r>
            <w:r w:rsidRPr="00B622DA">
              <w:rPr>
                <w:sz w:val="22"/>
              </w:rPr>
              <w:t>PforR component will support bridge maintenance activities, as well as rehabilitation, capacity expansion and replacement of existing bridges.</w:t>
            </w:r>
            <w:r>
              <w:rPr>
                <w:sz w:val="22"/>
              </w:rPr>
              <w:t xml:space="preserve"> </w:t>
            </w:r>
            <w:r w:rsidRPr="00B622DA">
              <w:rPr>
                <w:sz w:val="22"/>
              </w:rPr>
              <w:t>On the other hand the IPF component will support the construction of new bridges on unbridged gaps</w:t>
            </w:r>
            <w:r>
              <w:rPr>
                <w:sz w:val="22"/>
              </w:rPr>
              <w:t xml:space="preserve">. </w:t>
            </w:r>
            <w:r w:rsidRPr="00B622DA">
              <w:rPr>
                <w:sz w:val="22"/>
              </w:rPr>
              <w:t>A close list of such bridges will be drawn based on the objective criteria, before the start of the Program. These bridges may include bridges that are sensitive in nature with regard to the environment and/or affected people. The Association’s policy for the PforR instrument explicitly excludes such activities under Bank Policy OPCS5.04-POL.01 and Bank Directive OPCS5.04-DIR.01.</w:t>
            </w:r>
            <w:r>
              <w:rPr>
                <w:sz w:val="22"/>
              </w:rPr>
              <w:t xml:space="preserve"> </w:t>
            </w:r>
            <w:r w:rsidRPr="00B622DA">
              <w:rPr>
                <w:sz w:val="22"/>
              </w:rPr>
              <w:t>The proposed IPF component will only support Upazila and Union road bridges. Such a financing option is essential as these bridges are necessary for providing crucial rural connectivity.</w:t>
            </w:r>
            <w:r>
              <w:rPr>
                <w:sz w:val="22"/>
              </w:rPr>
              <w:t xml:space="preserve"> </w:t>
            </w:r>
            <w:r w:rsidRPr="00B622DA">
              <w:rPr>
                <w:sz w:val="22"/>
              </w:rPr>
              <w:t>Furthermore, other technical and institutional development initiatives will also be a part of the IPF component.</w:t>
            </w:r>
            <w:r>
              <w:rPr>
                <w:sz w:val="22"/>
              </w:rPr>
              <w:t xml:space="preserve"> </w:t>
            </w:r>
            <w:r w:rsidRPr="00B622DA">
              <w:rPr>
                <w:sz w:val="22"/>
              </w:rPr>
              <w:t>Most notably, this may include the preparations for the major projects in the Rural Transport sub-sector in Bangladesh</w:t>
            </w:r>
            <w:r w:rsidR="00D66D81" w:rsidRPr="00B622DA">
              <w:rPr>
                <w:sz w:val="22"/>
              </w:rPr>
              <w:t>.</w:t>
            </w:r>
            <w:r w:rsidR="00D66D81">
              <w:rPr>
                <w:sz w:val="22"/>
              </w:rPr>
              <w:t xml:space="preserve"> </w:t>
            </w:r>
          </w:p>
          <w:p w14:paraId="33CBB619" w14:textId="77777777" w:rsidR="00432389" w:rsidRDefault="00432389" w:rsidP="00432389">
            <w:pPr>
              <w:numPr>
                <w:ilvl w:val="0"/>
                <w:numId w:val="24"/>
              </w:numPr>
              <w:rPr>
                <w:b/>
              </w:rPr>
            </w:pPr>
            <w:r>
              <w:rPr>
                <w:b/>
              </w:rPr>
              <w:t>Program Development O</w:t>
            </w:r>
            <w:r w:rsidRPr="008D1059">
              <w:rPr>
                <w:b/>
              </w:rPr>
              <w:t>bjective(s)</w:t>
            </w:r>
          </w:p>
          <w:p w14:paraId="2915A40A" w14:textId="158A072E" w:rsidR="00432389" w:rsidRPr="00B63AA0" w:rsidRDefault="00432389" w:rsidP="00432389">
            <w:pPr>
              <w:rPr>
                <w:i/>
                <w:sz w:val="22"/>
                <w:szCs w:val="22"/>
              </w:rPr>
            </w:pPr>
          </w:p>
          <w:p w14:paraId="3E42EDFF" w14:textId="77777777" w:rsidR="00D66D81" w:rsidRDefault="00D66D81" w:rsidP="00D66D81">
            <w:pPr>
              <w:pStyle w:val="Heading2"/>
              <w:keepLines/>
              <w:numPr>
                <w:ilvl w:val="1"/>
                <w:numId w:val="33"/>
              </w:numPr>
              <w:tabs>
                <w:tab w:val="left" w:pos="1170"/>
              </w:tabs>
              <w:spacing w:after="120"/>
              <w:jc w:val="left"/>
            </w:pPr>
            <w:bookmarkStart w:id="7" w:name="_Toc481506480"/>
            <w:r w:rsidRPr="00124D8C">
              <w:t>Program Development Objective(s)</w:t>
            </w:r>
            <w:bookmarkEnd w:id="7"/>
          </w:p>
          <w:p w14:paraId="28B12BBA" w14:textId="02CD7C79" w:rsidR="00D66D81" w:rsidRPr="002A33F0" w:rsidRDefault="002A33F0" w:rsidP="002A33F0">
            <w:pPr>
              <w:pStyle w:val="ListParagraph"/>
              <w:numPr>
                <w:ilvl w:val="0"/>
                <w:numId w:val="34"/>
              </w:numPr>
              <w:tabs>
                <w:tab w:val="left" w:pos="525"/>
              </w:tabs>
              <w:ind w:left="0" w:firstLine="0"/>
              <w:rPr>
                <w:rFonts w:eastAsiaTheme="minorHAnsi" w:cstheme="minorBidi"/>
                <w:sz w:val="22"/>
                <w:szCs w:val="22"/>
              </w:rPr>
            </w:pPr>
            <w:r w:rsidRPr="002A33F0">
              <w:rPr>
                <w:rFonts w:eastAsiaTheme="minorHAnsi" w:cstheme="minorBidi"/>
                <w:sz w:val="22"/>
                <w:szCs w:val="22"/>
              </w:rPr>
              <w:t>The Program Development Objective is to improve the preservation of rural bridge assets and to enhance rural connectivity. This will be achieved through the maintenance, capacity expansion or replacement of existing rural bridges and the construction of rural bridges on existing gaps.</w:t>
            </w:r>
          </w:p>
          <w:p w14:paraId="2FE73B1D" w14:textId="77777777" w:rsidR="00D66D81" w:rsidRPr="00B622DA" w:rsidRDefault="00D66D81" w:rsidP="002A33F0">
            <w:pPr>
              <w:pStyle w:val="NumberedParagraph"/>
              <w:numPr>
                <w:ilvl w:val="0"/>
                <w:numId w:val="34"/>
              </w:numPr>
              <w:spacing w:before="120" w:after="120"/>
              <w:ind w:left="-17" w:firstLine="0"/>
              <w:rPr>
                <w:sz w:val="22"/>
              </w:rPr>
            </w:pPr>
            <w:r w:rsidRPr="00B622DA">
              <w:rPr>
                <w:sz w:val="22"/>
              </w:rPr>
              <w:t xml:space="preserve">The following two indicators will serve to measure the PDO’s achievement: </w:t>
            </w:r>
          </w:p>
          <w:p w14:paraId="54D39862" w14:textId="77777777" w:rsidR="00D66D81" w:rsidRPr="002212D4" w:rsidRDefault="00D66D81" w:rsidP="00D66D81">
            <w:pPr>
              <w:pStyle w:val="Caption"/>
              <w:rPr>
                <w:sz w:val="22"/>
              </w:rPr>
            </w:pPr>
            <w:r w:rsidRPr="002212D4">
              <w:rPr>
                <w:sz w:val="22"/>
              </w:rPr>
              <w:t xml:space="preserve">Table </w:t>
            </w:r>
            <w:r w:rsidRPr="002212D4">
              <w:rPr>
                <w:sz w:val="22"/>
              </w:rPr>
              <w:fldChar w:fldCharType="begin"/>
            </w:r>
            <w:r w:rsidRPr="002212D4">
              <w:rPr>
                <w:sz w:val="22"/>
              </w:rPr>
              <w:instrText xml:space="preserve"> SEQ Table \* ARABIC </w:instrText>
            </w:r>
            <w:r w:rsidRPr="002212D4">
              <w:rPr>
                <w:sz w:val="22"/>
              </w:rPr>
              <w:fldChar w:fldCharType="separate"/>
            </w:r>
            <w:r>
              <w:rPr>
                <w:noProof/>
                <w:sz w:val="22"/>
              </w:rPr>
              <w:t>2</w:t>
            </w:r>
            <w:r w:rsidRPr="002212D4">
              <w:rPr>
                <w:sz w:val="22"/>
              </w:rPr>
              <w:fldChar w:fldCharType="end"/>
            </w:r>
            <w:r w:rsidRPr="002212D4">
              <w:rPr>
                <w:sz w:val="22"/>
              </w:rPr>
              <w:t>: PDO level results and indicators</w:t>
            </w:r>
          </w:p>
          <w:tbl>
            <w:tblPr>
              <w:tblStyle w:val="TableGrid"/>
              <w:tblW w:w="0" w:type="auto"/>
              <w:tblLook w:val="04A0" w:firstRow="1" w:lastRow="0" w:firstColumn="1" w:lastColumn="0" w:noHBand="0" w:noVBand="1"/>
            </w:tblPr>
            <w:tblGrid>
              <w:gridCol w:w="3078"/>
              <w:gridCol w:w="6056"/>
            </w:tblGrid>
            <w:tr w:rsidR="00D66D81" w:rsidRPr="00B622DA" w14:paraId="4ABCCA25" w14:textId="77777777" w:rsidTr="0041742F">
              <w:trPr>
                <w:cantSplit/>
                <w:tblHeader/>
              </w:trPr>
              <w:tc>
                <w:tcPr>
                  <w:tcW w:w="3192" w:type="dxa"/>
                  <w:shd w:val="clear" w:color="auto" w:fill="DBE5F1" w:themeFill="accent1" w:themeFillTint="33"/>
                </w:tcPr>
                <w:p w14:paraId="5489C111" w14:textId="77777777" w:rsidR="00D66D81" w:rsidRPr="00B622DA" w:rsidRDefault="00D66D81" w:rsidP="00D66D81">
                  <w:pPr>
                    <w:keepNext/>
                    <w:rPr>
                      <w:i/>
                      <w:color w:val="17365D" w:themeColor="text2" w:themeShade="BF"/>
                      <w:sz w:val="22"/>
                    </w:rPr>
                  </w:pPr>
                  <w:r w:rsidRPr="00B622DA">
                    <w:rPr>
                      <w:i/>
                      <w:color w:val="17365D" w:themeColor="text2" w:themeShade="BF"/>
                      <w:sz w:val="22"/>
                    </w:rPr>
                    <w:lastRenderedPageBreak/>
                    <w:t>PDO level result</w:t>
                  </w:r>
                </w:p>
              </w:tc>
              <w:tc>
                <w:tcPr>
                  <w:tcW w:w="6366" w:type="dxa"/>
                  <w:shd w:val="clear" w:color="auto" w:fill="DBE5F1" w:themeFill="accent1" w:themeFillTint="33"/>
                </w:tcPr>
                <w:p w14:paraId="43C07E5F" w14:textId="77777777" w:rsidR="00D66D81" w:rsidRPr="00B622DA" w:rsidRDefault="00D66D81" w:rsidP="00D66D81">
                  <w:pPr>
                    <w:keepNext/>
                    <w:rPr>
                      <w:i/>
                      <w:color w:val="17365D" w:themeColor="text2" w:themeShade="BF"/>
                      <w:sz w:val="22"/>
                    </w:rPr>
                  </w:pPr>
                  <w:r w:rsidRPr="00B622DA">
                    <w:rPr>
                      <w:i/>
                      <w:color w:val="17365D" w:themeColor="text2" w:themeShade="BF"/>
                      <w:sz w:val="22"/>
                    </w:rPr>
                    <w:t>PDO level indicator</w:t>
                  </w:r>
                </w:p>
              </w:tc>
            </w:tr>
            <w:tr w:rsidR="00D66D81" w:rsidRPr="00B622DA" w14:paraId="0CC1B817" w14:textId="77777777" w:rsidTr="0041742F">
              <w:trPr>
                <w:cantSplit/>
              </w:trPr>
              <w:tc>
                <w:tcPr>
                  <w:tcW w:w="3192" w:type="dxa"/>
                  <w:vAlign w:val="center"/>
                </w:tcPr>
                <w:p w14:paraId="47A3B9CB" w14:textId="77777777" w:rsidR="00D66D81" w:rsidRPr="00B622DA" w:rsidRDefault="00D66D81" w:rsidP="00D66D81">
                  <w:pPr>
                    <w:keepNext/>
                    <w:spacing w:before="60" w:after="60"/>
                    <w:rPr>
                      <w:sz w:val="22"/>
                    </w:rPr>
                  </w:pPr>
                  <w:r w:rsidRPr="00B622DA">
                    <w:rPr>
                      <w:sz w:val="22"/>
                    </w:rPr>
                    <w:t xml:space="preserve">Improved condition of rural bridges </w:t>
                  </w:r>
                </w:p>
              </w:tc>
              <w:tc>
                <w:tcPr>
                  <w:tcW w:w="6366" w:type="dxa"/>
                  <w:vAlign w:val="center"/>
                </w:tcPr>
                <w:p w14:paraId="6F1B7E1B" w14:textId="5431475E" w:rsidR="00D66D81" w:rsidRPr="00B622DA" w:rsidRDefault="00D66D81" w:rsidP="00D66D81">
                  <w:pPr>
                    <w:keepNext/>
                    <w:spacing w:before="60" w:after="60"/>
                    <w:rPr>
                      <w:sz w:val="22"/>
                    </w:rPr>
                  </w:pPr>
                  <w:r w:rsidRPr="00B622DA">
                    <w:rPr>
                      <w:sz w:val="22"/>
                      <w:u w:val="single"/>
                    </w:rPr>
                    <w:t>PDO 1</w:t>
                  </w:r>
                  <w:r w:rsidR="002A33F0" w:rsidRPr="002A33F0">
                    <w:rPr>
                      <w:sz w:val="22"/>
                    </w:rPr>
                    <w:t>: percentage of Upazila or Union road bridges that are in good and fair condition</w:t>
                  </w:r>
                </w:p>
              </w:tc>
            </w:tr>
            <w:tr w:rsidR="00D66D81" w:rsidRPr="00B622DA" w14:paraId="37A3B165" w14:textId="77777777" w:rsidTr="0041742F">
              <w:trPr>
                <w:cantSplit/>
              </w:trPr>
              <w:tc>
                <w:tcPr>
                  <w:tcW w:w="3192" w:type="dxa"/>
                  <w:vAlign w:val="center"/>
                </w:tcPr>
                <w:p w14:paraId="7EBFFB94" w14:textId="77777777" w:rsidR="00D66D81" w:rsidRPr="00B622DA" w:rsidRDefault="00D66D81" w:rsidP="00D66D81">
                  <w:pPr>
                    <w:keepNext/>
                    <w:spacing w:before="60" w:after="60"/>
                    <w:rPr>
                      <w:sz w:val="22"/>
                    </w:rPr>
                  </w:pPr>
                  <w:r w:rsidRPr="00B622DA">
                    <w:rPr>
                      <w:sz w:val="22"/>
                    </w:rPr>
                    <w:t>Improved rural connectivity</w:t>
                  </w:r>
                </w:p>
              </w:tc>
              <w:tc>
                <w:tcPr>
                  <w:tcW w:w="6366" w:type="dxa"/>
                  <w:vAlign w:val="center"/>
                </w:tcPr>
                <w:p w14:paraId="262369EF" w14:textId="73BC740D" w:rsidR="00D66D81" w:rsidRPr="00B622DA" w:rsidRDefault="00D66D81" w:rsidP="00D66D81">
                  <w:pPr>
                    <w:keepNext/>
                    <w:spacing w:before="60" w:after="60"/>
                    <w:rPr>
                      <w:sz w:val="22"/>
                    </w:rPr>
                  </w:pPr>
                  <w:r w:rsidRPr="00B622DA">
                    <w:rPr>
                      <w:sz w:val="22"/>
                      <w:u w:val="single"/>
                    </w:rPr>
                    <w:t>PDO 2</w:t>
                  </w:r>
                  <w:r w:rsidRPr="00B622DA">
                    <w:rPr>
                      <w:sz w:val="22"/>
                    </w:rPr>
                    <w:t xml:space="preserve">: </w:t>
                  </w:r>
                  <w:r w:rsidR="002A33F0" w:rsidRPr="00B622DA">
                    <w:rPr>
                      <w:sz w:val="22"/>
                    </w:rPr>
                    <w:t>kilometers of severed or constrained Upazila or Union road links made fully operational</w:t>
                  </w:r>
                </w:p>
              </w:tc>
            </w:tr>
          </w:tbl>
          <w:p w14:paraId="1DD932AE" w14:textId="77777777" w:rsidR="00432389" w:rsidRDefault="00432389" w:rsidP="00432389">
            <w:pPr>
              <w:rPr>
                <w:sz w:val="22"/>
                <w:szCs w:val="22"/>
              </w:rPr>
            </w:pPr>
          </w:p>
          <w:p w14:paraId="534C8801" w14:textId="6F972AC5" w:rsidR="00432389" w:rsidRPr="00B63AA0" w:rsidRDefault="00432389" w:rsidP="00B63AA0">
            <w:pPr>
              <w:numPr>
                <w:ilvl w:val="0"/>
                <w:numId w:val="24"/>
              </w:numPr>
              <w:rPr>
                <w:b/>
              </w:rPr>
            </w:pPr>
            <w:r w:rsidRPr="005B0352">
              <w:rPr>
                <w:b/>
              </w:rPr>
              <w:t>Pr</w:t>
            </w:r>
            <w:r>
              <w:rPr>
                <w:b/>
              </w:rPr>
              <w:t>ogram Description</w:t>
            </w:r>
          </w:p>
          <w:p w14:paraId="3A0A5D6A" w14:textId="77777777" w:rsidR="00054216" w:rsidRPr="008C68DE" w:rsidRDefault="00054216" w:rsidP="00054216">
            <w:pPr>
              <w:pStyle w:val="NumberedParagraph"/>
              <w:numPr>
                <w:ilvl w:val="0"/>
                <w:numId w:val="0"/>
              </w:numPr>
              <w:spacing w:before="120" w:after="120"/>
              <w:rPr>
                <w:i/>
                <w:sz w:val="22"/>
              </w:rPr>
            </w:pPr>
            <w:r w:rsidRPr="008C68DE">
              <w:rPr>
                <w:i/>
                <w:sz w:val="22"/>
              </w:rPr>
              <w:t xml:space="preserve">PforR Operations </w:t>
            </w:r>
          </w:p>
          <w:p w14:paraId="3AAE7730" w14:textId="623274B5" w:rsidR="00054216" w:rsidRPr="00B622DA" w:rsidRDefault="002A33F0" w:rsidP="002A33F0">
            <w:pPr>
              <w:pStyle w:val="NumberedParagraph"/>
              <w:numPr>
                <w:ilvl w:val="0"/>
                <w:numId w:val="34"/>
              </w:numPr>
              <w:spacing w:before="120" w:after="120"/>
              <w:ind w:left="0" w:firstLine="0"/>
              <w:rPr>
                <w:sz w:val="22"/>
              </w:rPr>
            </w:pPr>
            <w:r w:rsidRPr="00B622DA">
              <w:rPr>
                <w:sz w:val="22"/>
              </w:rPr>
              <w:t>The Program will cover the following activities for bridges on Upazila Roads (UZRs) and Union Roads</w:t>
            </w:r>
            <w:r>
              <w:rPr>
                <w:sz w:val="22"/>
              </w:rPr>
              <w:t xml:space="preserve"> (UNRs)</w:t>
            </w:r>
            <w:r w:rsidRPr="00B622DA">
              <w:rPr>
                <w:sz w:val="22"/>
              </w:rPr>
              <w:t>: (i) Maintenance (both major and minor) and rehabilitation of bridges; (ii) capacity expansion of bridges that are detrimental to the efficient operation of the UZR and UNR networks and pose serious safety threats to vehicle operations; (iii)</w:t>
            </w:r>
            <w:r>
              <w:rPr>
                <w:sz w:val="22"/>
              </w:rPr>
              <w:t xml:space="preserve"> </w:t>
            </w:r>
            <w:r w:rsidRPr="00B622DA">
              <w:rPr>
                <w:sz w:val="22"/>
              </w:rPr>
              <w:t xml:space="preserve">replacement of bridges that have </w:t>
            </w:r>
            <w:r>
              <w:rPr>
                <w:sz w:val="22"/>
              </w:rPr>
              <w:t xml:space="preserve">reached the end of their functional or service </w:t>
            </w:r>
            <w:r w:rsidRPr="00B622DA">
              <w:rPr>
                <w:sz w:val="22"/>
              </w:rPr>
              <w:t>lives</w:t>
            </w:r>
            <w:r>
              <w:rPr>
                <w:sz w:val="22"/>
              </w:rPr>
              <w:t>.</w:t>
            </w:r>
          </w:p>
          <w:p w14:paraId="521F3172" w14:textId="77777777" w:rsidR="00054216" w:rsidRPr="00B622DA" w:rsidRDefault="00054216" w:rsidP="00054216">
            <w:pPr>
              <w:pStyle w:val="NumberedParagraph"/>
              <w:numPr>
                <w:ilvl w:val="0"/>
                <w:numId w:val="0"/>
              </w:numPr>
              <w:spacing w:before="120" w:after="120"/>
              <w:rPr>
                <w:i/>
                <w:sz w:val="22"/>
              </w:rPr>
            </w:pPr>
            <w:r w:rsidRPr="00B622DA">
              <w:rPr>
                <w:i/>
                <w:sz w:val="22"/>
              </w:rPr>
              <w:t xml:space="preserve">IPF Operations </w:t>
            </w:r>
          </w:p>
          <w:p w14:paraId="11B8C76C" w14:textId="5A62BBA6" w:rsidR="00054216" w:rsidRPr="00B622DA" w:rsidRDefault="002A33F0" w:rsidP="002A33F0">
            <w:pPr>
              <w:pStyle w:val="NumberedParagraph"/>
              <w:numPr>
                <w:ilvl w:val="0"/>
                <w:numId w:val="34"/>
              </w:numPr>
              <w:spacing w:before="120" w:after="120"/>
              <w:ind w:left="0" w:hanging="17"/>
              <w:rPr>
                <w:sz w:val="22"/>
              </w:rPr>
            </w:pPr>
            <w:r w:rsidRPr="00B622DA">
              <w:rPr>
                <w:sz w:val="22"/>
              </w:rPr>
              <w:t>The IPF operation will only cover: (i) construction of new bridges on UZRs and UNRs; and (ii) expenditures required to prepare rural bridge investments, supervise quality, manage implementation, develop institutional capacity for managing bridge assets, support technical backstopping to improve bridge technology and to complement Government’s capacity, and prepare new rural transport projects or programs.</w:t>
            </w:r>
            <w:r w:rsidR="00054216" w:rsidRPr="00B622DA">
              <w:rPr>
                <w:sz w:val="22"/>
              </w:rPr>
              <w:t>.</w:t>
            </w:r>
          </w:p>
          <w:p w14:paraId="78C72803" w14:textId="77777777" w:rsidR="00432389" w:rsidRDefault="00432389" w:rsidP="00432389">
            <w:pPr>
              <w:ind w:firstLine="720"/>
              <w:rPr>
                <w:b/>
              </w:rPr>
            </w:pPr>
          </w:p>
          <w:p w14:paraId="0B56FA9F" w14:textId="77777777" w:rsidR="00432389" w:rsidRPr="005B0352" w:rsidRDefault="00432389" w:rsidP="00432389">
            <w:pPr>
              <w:numPr>
                <w:ilvl w:val="0"/>
                <w:numId w:val="24"/>
              </w:numPr>
              <w:rPr>
                <w:b/>
              </w:rPr>
            </w:pPr>
            <w:r>
              <w:rPr>
                <w:b/>
              </w:rPr>
              <w:t>Initial Environmental and Social Screening</w:t>
            </w:r>
          </w:p>
          <w:p w14:paraId="0827407D" w14:textId="77777777" w:rsidR="00054216" w:rsidRPr="00D2447F" w:rsidRDefault="00054216" w:rsidP="002A33F0">
            <w:pPr>
              <w:pStyle w:val="NumberedParagraph"/>
              <w:numPr>
                <w:ilvl w:val="0"/>
                <w:numId w:val="34"/>
              </w:numPr>
              <w:spacing w:before="120" w:after="120"/>
              <w:ind w:left="0" w:firstLine="0"/>
              <w:rPr>
                <w:sz w:val="22"/>
              </w:rPr>
            </w:pPr>
            <w:r w:rsidRPr="00D2447F">
              <w:rPr>
                <w:b/>
                <w:sz w:val="22"/>
              </w:rPr>
              <w:t>Given that the Program is expected to use two financing instruments, requirements for managing environment and social risks of both the instruments will be adhered to.</w:t>
            </w:r>
            <w:r w:rsidRPr="00D2447F">
              <w:rPr>
                <w:sz w:val="22"/>
              </w:rPr>
              <w:t xml:space="preserve"> The Investment Project Financing (IPF) instrument will complement the PforR instrument. The rationale for the use of this approach is to tackle issues of construction of medium to large bridges, </w:t>
            </w:r>
            <w:r>
              <w:rPr>
                <w:sz w:val="22"/>
              </w:rPr>
              <w:t xml:space="preserve">some of </w:t>
            </w:r>
            <w:r w:rsidRPr="00D2447F">
              <w:rPr>
                <w:sz w:val="22"/>
              </w:rPr>
              <w:t xml:space="preserve">which </w:t>
            </w:r>
            <w:r>
              <w:rPr>
                <w:sz w:val="22"/>
              </w:rPr>
              <w:t>may</w:t>
            </w:r>
            <w:r w:rsidRPr="00D2447F">
              <w:rPr>
                <w:sz w:val="22"/>
              </w:rPr>
              <w:t xml:space="preserve"> have potentially significant environmental and social risks and impacts, but are crucial from connectivi</w:t>
            </w:r>
            <w:r>
              <w:rPr>
                <w:sz w:val="22"/>
              </w:rPr>
              <w:t xml:space="preserve">ty view point. All other bridge related activities </w:t>
            </w:r>
            <w:r w:rsidRPr="00D2447F">
              <w:rPr>
                <w:sz w:val="22"/>
              </w:rPr>
              <w:t>will follow the principles outlined in OP/BP 9.0 for environmental and social management under PforR.</w:t>
            </w:r>
          </w:p>
          <w:p w14:paraId="64E1BE05" w14:textId="04EF6470" w:rsidR="00054216" w:rsidRPr="00D2447F" w:rsidRDefault="007243D9" w:rsidP="002A33F0">
            <w:pPr>
              <w:pStyle w:val="NumberedParagraph"/>
              <w:numPr>
                <w:ilvl w:val="0"/>
                <w:numId w:val="34"/>
              </w:numPr>
              <w:spacing w:before="120" w:after="120"/>
              <w:ind w:left="0" w:hanging="17"/>
              <w:rPr>
                <w:sz w:val="22"/>
              </w:rPr>
            </w:pPr>
            <w:r w:rsidRPr="00D2447F">
              <w:rPr>
                <w:b/>
                <w:sz w:val="22"/>
              </w:rPr>
              <w:t>The number of bridges that will be following the IPF procedures is not expected to be many and their selection will follow a programmatic approach.</w:t>
            </w:r>
            <w:r w:rsidRPr="00D2447F">
              <w:rPr>
                <w:sz w:val="22"/>
              </w:rPr>
              <w:t xml:space="preserve"> The Program will develop a list of potential medium to large bridges that cross a certain span threshold (potentially 90-100 meters) using pre-defined objective criteria. These bridges will first be screened in order to get a preliminary idea about the degree and extent of potential environmental/social impacts. Subsequently, bridges that are not found to have significant social and environmental issues will be left for </w:t>
            </w:r>
            <w:r>
              <w:rPr>
                <w:sz w:val="22"/>
              </w:rPr>
              <w:t xml:space="preserve">design and </w:t>
            </w:r>
            <w:r w:rsidRPr="00D2447F">
              <w:rPr>
                <w:sz w:val="22"/>
              </w:rPr>
              <w:t>construction</w:t>
            </w:r>
            <w:r>
              <w:rPr>
                <w:sz w:val="22"/>
              </w:rPr>
              <w:t xml:space="preserve"> with the introduction of adequate social and environmental risk mitigation measures these bridges might entail</w:t>
            </w:r>
            <w:r w:rsidRPr="00D2447F">
              <w:rPr>
                <w:sz w:val="22"/>
              </w:rPr>
              <w:t>. However, the remainder of the bridges will then be subjected to Environmental Impact Assessment (EIA) and the necessary mitigation measures will be designed to manage environmental and social risks. These measures will be designed simultaneously with the detailed engineering design in order to mitigate</w:t>
            </w:r>
            <w:r>
              <w:rPr>
                <w:sz w:val="22"/>
              </w:rPr>
              <w:t xml:space="preserve"> </w:t>
            </w:r>
            <w:r w:rsidRPr="00D2447F">
              <w:rPr>
                <w:sz w:val="22"/>
              </w:rPr>
              <w:t>against environmental and social risks, which could be adjusted through the design process</w:t>
            </w:r>
            <w:r w:rsidR="00054216" w:rsidRPr="00D2447F">
              <w:rPr>
                <w:sz w:val="22"/>
              </w:rPr>
              <w:t xml:space="preserve">. </w:t>
            </w:r>
          </w:p>
          <w:p w14:paraId="4343B203" w14:textId="7596337A" w:rsidR="00054216" w:rsidRPr="00D2447F" w:rsidRDefault="007243D9" w:rsidP="002A33F0">
            <w:pPr>
              <w:pStyle w:val="NumberedParagraph"/>
              <w:numPr>
                <w:ilvl w:val="0"/>
                <w:numId w:val="34"/>
              </w:numPr>
              <w:spacing w:before="120" w:after="120"/>
              <w:ind w:left="0" w:firstLine="0"/>
              <w:rPr>
                <w:sz w:val="22"/>
              </w:rPr>
            </w:pPr>
            <w:r w:rsidRPr="00D2447F">
              <w:rPr>
                <w:b/>
                <w:sz w:val="22"/>
              </w:rPr>
              <w:t xml:space="preserve">The </w:t>
            </w:r>
            <w:r>
              <w:rPr>
                <w:b/>
                <w:sz w:val="22"/>
              </w:rPr>
              <w:t>P</w:t>
            </w:r>
            <w:r w:rsidRPr="00D2447F">
              <w:rPr>
                <w:b/>
                <w:sz w:val="22"/>
              </w:rPr>
              <w:t>rogram is expected to have some adverse environmental and social impacts</w:t>
            </w:r>
            <w:r w:rsidRPr="00D2447F">
              <w:rPr>
                <w:sz w:val="22"/>
              </w:rPr>
              <w:t>. Typical environmental impacts of proposed Program interventions that are likely to include (i) vegetation loss and reduced slope stability along bridge approaches; (ii) degradation of river / stream water quality; (iii) impacts on river / stream hydrology; and (iv) construction period disturbances including noise, dust pollution, and spoil disposal.</w:t>
            </w:r>
            <w:r>
              <w:rPr>
                <w:sz w:val="22"/>
              </w:rPr>
              <w:t xml:space="preserve"> </w:t>
            </w:r>
            <w:r w:rsidRPr="00D2447F">
              <w:rPr>
                <w:sz w:val="22"/>
              </w:rPr>
              <w:t>Proper engineering measures for bridge approaches, abutments, and river training works will be essential for impact mitigation.</w:t>
            </w:r>
            <w:r>
              <w:rPr>
                <w:sz w:val="22"/>
              </w:rPr>
              <w:t xml:space="preserve"> </w:t>
            </w:r>
            <w:r w:rsidRPr="00D2447F">
              <w:rPr>
                <w:sz w:val="22"/>
              </w:rPr>
              <w:t xml:space="preserve">Some limited adverse social impacts are also expected including the land acquisition and resettlement, mainly to facilitate the construction of approach </w:t>
            </w:r>
            <w:r w:rsidRPr="00D2447F">
              <w:rPr>
                <w:sz w:val="22"/>
              </w:rPr>
              <w:lastRenderedPageBreak/>
              <w:t xml:space="preserve">roads in the case of large new bridges. Adverse social impacts are likely to be temporary during project works, such as temporary land leasing for the contractor operations. There could also be other issues including the issues linked to occupational health and safety, the presence of non-local labors that might stoke resentments among local residents and </w:t>
            </w:r>
            <w:r>
              <w:rPr>
                <w:sz w:val="22"/>
              </w:rPr>
              <w:t xml:space="preserve">the </w:t>
            </w:r>
            <w:r w:rsidRPr="00D2447F">
              <w:rPr>
                <w:sz w:val="22"/>
              </w:rPr>
              <w:t>management of labor camps. The Program will monitor these issues and will endeavor to address them effectively</w:t>
            </w:r>
            <w:r>
              <w:rPr>
                <w:sz w:val="22"/>
              </w:rPr>
              <w:t xml:space="preserve"> through the application of principles in the recent OPCS guidelines on labor influx</w:t>
            </w:r>
            <w:r w:rsidR="00054216" w:rsidRPr="00D2447F">
              <w:rPr>
                <w:sz w:val="22"/>
              </w:rPr>
              <w:t>.</w:t>
            </w:r>
          </w:p>
          <w:p w14:paraId="17110205" w14:textId="735281D0" w:rsidR="00054216" w:rsidRPr="00D2447F" w:rsidRDefault="007243D9" w:rsidP="002A33F0">
            <w:pPr>
              <w:pStyle w:val="NumberedParagraph"/>
              <w:numPr>
                <w:ilvl w:val="0"/>
                <w:numId w:val="34"/>
              </w:numPr>
              <w:spacing w:before="120" w:after="120"/>
              <w:ind w:left="0" w:hanging="17"/>
              <w:rPr>
                <w:color w:val="1F497D"/>
                <w:sz w:val="22"/>
              </w:rPr>
            </w:pPr>
            <w:r w:rsidRPr="00D2447F">
              <w:rPr>
                <w:b/>
                <w:sz w:val="22"/>
              </w:rPr>
              <w:t>The interventions under PforR will exclude activities within natural habitat or forest area or ecologically critical area</w:t>
            </w:r>
            <w:r w:rsidRPr="00D2447F">
              <w:rPr>
                <w:sz w:val="22"/>
              </w:rPr>
              <w:t>. The Association will prepare an Environmental and Social Systems Assessment (ESSA) that will identify the environmental and social management risks for PforR supported activities and will recommend measures to reduce these risks. The risks may arise from: (i) inadequate existing process, procedures and control mechanism for managing bridge construction and maintenance environmental and social risks; (ii) weak implementation agency institutional structure for managing construction and maintenance activities from environmental and social perspectives; (iii) insufficient resources (both monetary and human) for the planning, implementation and management of environmental and social management plans; (iv) Non-existent or inappropriate mechanism for redressal of social and environmental grievances. Some of these recommended measures will be included in the Program Action Plan, which will be legally binding upon the client. Also efforts will also be made to include a recommended a</w:t>
            </w:r>
            <w:r>
              <w:rPr>
                <w:sz w:val="22"/>
              </w:rPr>
              <w:t>ction as a Program Disbursement L</w:t>
            </w:r>
            <w:r w:rsidRPr="00D2447F">
              <w:rPr>
                <w:sz w:val="22"/>
              </w:rPr>
              <w:t>inked Indicator. The Program will also attempt to develop or improve a LGED-wide rural transport infrastructure Environmental and Social Management Framework (ESMF) for the assessment of risks, development of instrument for managing risks and the overall management of risks. Necessary steps will be taken for the disclosure of ESSA and safeguard instrument as pre the PforR and IPF requirements</w:t>
            </w:r>
            <w:r w:rsidR="00054216" w:rsidRPr="00D2447F">
              <w:rPr>
                <w:sz w:val="22"/>
              </w:rPr>
              <w:t>.</w:t>
            </w:r>
          </w:p>
          <w:p w14:paraId="028746FF" w14:textId="292BFF21" w:rsidR="00432389" w:rsidRPr="00CD2B87" w:rsidRDefault="005A2340" w:rsidP="002A33F0">
            <w:pPr>
              <w:pStyle w:val="ListParagraph"/>
              <w:numPr>
                <w:ilvl w:val="0"/>
                <w:numId w:val="34"/>
              </w:numPr>
              <w:ind w:left="0" w:firstLine="0"/>
              <w:jc w:val="both"/>
              <w:rPr>
                <w:sz w:val="22"/>
                <w:szCs w:val="22"/>
              </w:rPr>
            </w:pPr>
            <w:r w:rsidRPr="00CD2B87">
              <w:rPr>
                <w:sz w:val="22"/>
                <w:szCs w:val="22"/>
              </w:rPr>
              <w:t xml:space="preserve">Launching of safeguards related studies like </w:t>
            </w:r>
            <w:r w:rsidR="00C512E3" w:rsidRPr="00CD2B87">
              <w:rPr>
                <w:sz w:val="22"/>
                <w:szCs w:val="22"/>
              </w:rPr>
              <w:t xml:space="preserve">ESSA </w:t>
            </w:r>
            <w:r w:rsidR="00724ED8" w:rsidRPr="00CD2B87">
              <w:rPr>
                <w:sz w:val="22"/>
                <w:szCs w:val="22"/>
              </w:rPr>
              <w:t xml:space="preserve">including consultations </w:t>
            </w:r>
            <w:r w:rsidRPr="00CD2B87">
              <w:rPr>
                <w:sz w:val="22"/>
                <w:szCs w:val="22"/>
              </w:rPr>
              <w:t>for PforR</w:t>
            </w:r>
            <w:r w:rsidR="00724ED8" w:rsidRPr="00CD2B87">
              <w:rPr>
                <w:sz w:val="22"/>
                <w:szCs w:val="22"/>
              </w:rPr>
              <w:t xml:space="preserve"> </w:t>
            </w:r>
            <w:r w:rsidRPr="00CD2B87">
              <w:rPr>
                <w:sz w:val="22"/>
                <w:szCs w:val="22"/>
              </w:rPr>
              <w:t xml:space="preserve">and environmental and social assessment and management framework </w:t>
            </w:r>
            <w:r w:rsidR="00C512E3" w:rsidRPr="00CD2B87">
              <w:rPr>
                <w:sz w:val="22"/>
                <w:szCs w:val="22"/>
              </w:rPr>
              <w:t xml:space="preserve">(ESMF) </w:t>
            </w:r>
            <w:r w:rsidR="00724ED8" w:rsidRPr="00CD2B87">
              <w:rPr>
                <w:sz w:val="22"/>
                <w:szCs w:val="22"/>
              </w:rPr>
              <w:t xml:space="preserve">for IPF </w:t>
            </w:r>
            <w:r w:rsidRPr="00CD2B87">
              <w:rPr>
                <w:sz w:val="22"/>
                <w:szCs w:val="22"/>
              </w:rPr>
              <w:t xml:space="preserve">will commence soon after the identification </w:t>
            </w:r>
            <w:r w:rsidR="00724ED8" w:rsidRPr="00CD2B87">
              <w:rPr>
                <w:sz w:val="22"/>
                <w:szCs w:val="22"/>
              </w:rPr>
              <w:t xml:space="preserve">is completed around </w:t>
            </w:r>
            <w:r w:rsidR="007E0D1E" w:rsidRPr="00CD2B87">
              <w:rPr>
                <w:sz w:val="22"/>
                <w:szCs w:val="22"/>
              </w:rPr>
              <w:t xml:space="preserve">30 June, </w:t>
            </w:r>
            <w:r w:rsidR="00724ED8" w:rsidRPr="00CD2B87">
              <w:rPr>
                <w:sz w:val="22"/>
                <w:szCs w:val="22"/>
              </w:rPr>
              <w:t xml:space="preserve">2017 and the drafts will be ready by </w:t>
            </w:r>
            <w:r w:rsidR="0057170D" w:rsidRPr="00CD2B87">
              <w:rPr>
                <w:sz w:val="22"/>
                <w:szCs w:val="22"/>
              </w:rPr>
              <w:t>30 September,</w:t>
            </w:r>
            <w:r w:rsidR="00724ED8" w:rsidRPr="00CD2B87">
              <w:rPr>
                <w:sz w:val="22"/>
                <w:szCs w:val="22"/>
              </w:rPr>
              <w:t xml:space="preserve"> 2017. The </w:t>
            </w:r>
            <w:r w:rsidR="00A20798" w:rsidRPr="00CD2B87">
              <w:rPr>
                <w:sz w:val="22"/>
                <w:szCs w:val="22"/>
              </w:rPr>
              <w:t xml:space="preserve">ESSA </w:t>
            </w:r>
            <w:r w:rsidR="00724ED8" w:rsidRPr="00CD2B87">
              <w:rPr>
                <w:sz w:val="22"/>
                <w:szCs w:val="22"/>
              </w:rPr>
              <w:t xml:space="preserve">and </w:t>
            </w:r>
            <w:r w:rsidR="00A20798" w:rsidRPr="00CD2B87">
              <w:rPr>
                <w:sz w:val="22"/>
                <w:szCs w:val="22"/>
              </w:rPr>
              <w:t xml:space="preserve">ESMF </w:t>
            </w:r>
            <w:r w:rsidR="00724ED8" w:rsidRPr="00CD2B87">
              <w:rPr>
                <w:sz w:val="22"/>
                <w:szCs w:val="22"/>
              </w:rPr>
              <w:t xml:space="preserve">will be finalized before decision meeting. </w:t>
            </w:r>
          </w:p>
          <w:p w14:paraId="1ABB5B90" w14:textId="77777777" w:rsidR="00724ED8" w:rsidRPr="00E31B31" w:rsidRDefault="00724ED8" w:rsidP="00724ED8">
            <w:pPr>
              <w:rPr>
                <w:sz w:val="22"/>
                <w:szCs w:val="22"/>
              </w:rPr>
            </w:pPr>
          </w:p>
          <w:p w14:paraId="20B45C43" w14:textId="77777777" w:rsidR="00432389" w:rsidRPr="00B14B1C" w:rsidRDefault="00432389" w:rsidP="00432389">
            <w:pPr>
              <w:numPr>
                <w:ilvl w:val="0"/>
                <w:numId w:val="24"/>
              </w:numPr>
              <w:rPr>
                <w:b/>
              </w:rPr>
            </w:pPr>
            <w:r w:rsidRPr="00B14B1C">
              <w:rPr>
                <w:b/>
              </w:rPr>
              <w:t>Tentative financing</w:t>
            </w:r>
          </w:p>
          <w:p w14:paraId="4244429E" w14:textId="77777777" w:rsidR="00432389" w:rsidRDefault="00432389" w:rsidP="00432389">
            <w:pPr>
              <w:ind w:firstLine="720"/>
              <w:rPr>
                <w:i/>
              </w:rPr>
            </w:pPr>
            <w:r>
              <w:rPr>
                <w:i/>
              </w:rPr>
              <w:t>{Same as in AUS}</w:t>
            </w:r>
          </w:p>
          <w:p w14:paraId="4FBC7DCA" w14:textId="77777777" w:rsidR="00432389" w:rsidRDefault="00432389" w:rsidP="00432389">
            <w:pPr>
              <w:ind w:firstLine="720"/>
            </w:pPr>
          </w:p>
          <w:tbl>
            <w:tblPr>
              <w:tblW w:w="0" w:type="auto"/>
              <w:tblLook w:val="0000" w:firstRow="0" w:lastRow="0" w:firstColumn="0" w:lastColumn="0" w:noHBand="0" w:noVBand="0"/>
            </w:tblPr>
            <w:tblGrid>
              <w:gridCol w:w="7470"/>
              <w:gridCol w:w="1674"/>
            </w:tblGrid>
            <w:tr w:rsidR="00432389" w14:paraId="73640076" w14:textId="77777777" w:rsidTr="005B45B9">
              <w:tc>
                <w:tcPr>
                  <w:tcW w:w="7488" w:type="dxa"/>
                </w:tcPr>
                <w:p w14:paraId="0D3298C9" w14:textId="77777777" w:rsidR="00432389" w:rsidRDefault="00432389" w:rsidP="00CF2578">
                  <w:r>
                    <w:t>Source:</w:t>
                  </w:r>
                  <w:bookmarkStart w:id="8" w:name="FINANCINGTAB_PID"/>
                  <w:bookmarkEnd w:id="8"/>
                </w:p>
              </w:tc>
              <w:tc>
                <w:tcPr>
                  <w:tcW w:w="1980" w:type="dxa"/>
                </w:tcPr>
                <w:p w14:paraId="691C07CC" w14:textId="77777777" w:rsidR="00432389" w:rsidRDefault="00432389" w:rsidP="00CF2578">
                  <w:pPr>
                    <w:tabs>
                      <w:tab w:val="decimal" w:pos="252"/>
                    </w:tabs>
                    <w:jc w:val="center"/>
                  </w:pPr>
                  <w:r>
                    <w:t>($m.)</w:t>
                  </w:r>
                </w:p>
              </w:tc>
            </w:tr>
            <w:tr w:rsidR="00432389" w14:paraId="41368FF8" w14:textId="77777777" w:rsidTr="005B45B9">
              <w:tc>
                <w:tcPr>
                  <w:tcW w:w="7488" w:type="dxa"/>
                </w:tcPr>
                <w:p w14:paraId="5E72A986" w14:textId="77777777" w:rsidR="00432389" w:rsidRDefault="00432389" w:rsidP="00CF2578">
                  <w:pPr>
                    <w:tabs>
                      <w:tab w:val="right" w:pos="7200"/>
                    </w:tabs>
                  </w:pPr>
                  <w:r>
                    <w:t>Borrower/Recipient</w:t>
                  </w:r>
                </w:p>
              </w:tc>
              <w:tc>
                <w:tcPr>
                  <w:tcW w:w="1980" w:type="dxa"/>
                </w:tcPr>
                <w:p w14:paraId="6FDE60DA" w14:textId="77777777" w:rsidR="00432389" w:rsidRDefault="005B45B9" w:rsidP="00CF2578">
                  <w:pPr>
                    <w:tabs>
                      <w:tab w:val="decimal" w:pos="252"/>
                    </w:tabs>
                    <w:jc w:val="center"/>
                  </w:pPr>
                  <w:r>
                    <w:t>48</w:t>
                  </w:r>
                </w:p>
              </w:tc>
            </w:tr>
            <w:tr w:rsidR="00432389" w14:paraId="63594EA0" w14:textId="77777777" w:rsidTr="005B45B9">
              <w:tc>
                <w:tcPr>
                  <w:tcW w:w="7488" w:type="dxa"/>
                </w:tcPr>
                <w:p w14:paraId="653DF1D6" w14:textId="77777777" w:rsidR="00432389" w:rsidRDefault="00432389" w:rsidP="00CF2578">
                  <w:pPr>
                    <w:tabs>
                      <w:tab w:val="right" w:pos="7200"/>
                    </w:tabs>
                  </w:pPr>
                  <w:r>
                    <w:t>IBRD</w:t>
                  </w:r>
                </w:p>
                <w:p w14:paraId="1473894B" w14:textId="77777777" w:rsidR="00432389" w:rsidRDefault="00432389" w:rsidP="00CF2578">
                  <w:pPr>
                    <w:tabs>
                      <w:tab w:val="right" w:pos="7200"/>
                    </w:tabs>
                  </w:pPr>
                  <w:r>
                    <w:t>IDA</w:t>
                  </w:r>
                </w:p>
                <w:p w14:paraId="2F66C0F6" w14:textId="77777777" w:rsidR="00432389" w:rsidRDefault="00432389" w:rsidP="00CF2578">
                  <w:pPr>
                    <w:tabs>
                      <w:tab w:val="right" w:pos="7200"/>
                    </w:tabs>
                  </w:pPr>
                  <w:r>
                    <w:t>Others (specify)</w:t>
                  </w:r>
                </w:p>
              </w:tc>
              <w:tc>
                <w:tcPr>
                  <w:tcW w:w="1980" w:type="dxa"/>
                </w:tcPr>
                <w:p w14:paraId="1405787C" w14:textId="77777777" w:rsidR="005B45B9" w:rsidRDefault="005B45B9" w:rsidP="00CF2578">
                  <w:pPr>
                    <w:tabs>
                      <w:tab w:val="decimal" w:pos="252"/>
                    </w:tabs>
                    <w:jc w:val="center"/>
                  </w:pPr>
                </w:p>
                <w:p w14:paraId="30EBDBBA" w14:textId="77777777" w:rsidR="00432389" w:rsidRDefault="005B45B9" w:rsidP="00CF2578">
                  <w:pPr>
                    <w:tabs>
                      <w:tab w:val="decimal" w:pos="252"/>
                    </w:tabs>
                    <w:jc w:val="center"/>
                  </w:pPr>
                  <w:r>
                    <w:t>300</w:t>
                  </w:r>
                </w:p>
              </w:tc>
            </w:tr>
            <w:tr w:rsidR="00432389" w14:paraId="33C6AE7B" w14:textId="77777777" w:rsidTr="005B45B9">
              <w:tc>
                <w:tcPr>
                  <w:tcW w:w="7488" w:type="dxa"/>
                </w:tcPr>
                <w:p w14:paraId="742A4B14" w14:textId="77777777" w:rsidR="00432389" w:rsidRDefault="00432389" w:rsidP="00CF2578">
                  <w:pPr>
                    <w:tabs>
                      <w:tab w:val="right" w:pos="7200"/>
                    </w:tabs>
                  </w:pPr>
                  <w:r>
                    <w:tab/>
                    <w:t>Total</w:t>
                  </w:r>
                </w:p>
              </w:tc>
              <w:tc>
                <w:tcPr>
                  <w:tcW w:w="1980" w:type="dxa"/>
                </w:tcPr>
                <w:p w14:paraId="158F413E" w14:textId="77777777" w:rsidR="00432389" w:rsidRDefault="005B45B9" w:rsidP="00CF2578">
                  <w:pPr>
                    <w:tabs>
                      <w:tab w:val="decimal" w:pos="252"/>
                    </w:tabs>
                    <w:jc w:val="center"/>
                  </w:pPr>
                  <w:r>
                    <w:t>348</w:t>
                  </w:r>
                </w:p>
              </w:tc>
            </w:tr>
          </w:tbl>
          <w:p w14:paraId="68207F0C" w14:textId="77777777" w:rsidR="00432389" w:rsidRPr="003E3D6A" w:rsidRDefault="00432389" w:rsidP="00432389">
            <w:pPr>
              <w:numPr>
                <w:ilvl w:val="0"/>
                <w:numId w:val="24"/>
              </w:numPr>
              <w:rPr>
                <w:b/>
              </w:rPr>
            </w:pPr>
            <w:r w:rsidRPr="00B14B1C">
              <w:rPr>
                <w:b/>
              </w:rPr>
              <w:t>Contact point</w:t>
            </w:r>
          </w:p>
          <w:p w14:paraId="41B6CB72" w14:textId="3FAB04DF" w:rsidR="00432389" w:rsidRDefault="00432389" w:rsidP="00432389">
            <w:pPr>
              <w:pStyle w:val="ListParagraph"/>
              <w:ind w:left="0"/>
            </w:pPr>
            <w:r w:rsidRPr="00225112">
              <w:rPr>
                <w:b/>
              </w:rPr>
              <w:t>World Bank</w:t>
            </w:r>
          </w:p>
          <w:p w14:paraId="1CA7B752" w14:textId="77777777" w:rsidR="000E6756" w:rsidRDefault="000E6756" w:rsidP="000E6756">
            <w:r w:rsidRPr="00A30F2B">
              <w:t>Contact</w:t>
            </w:r>
            <w:r>
              <w:t>:</w:t>
            </w:r>
            <w:r>
              <w:tab/>
              <w:t>Farhad Ahmed</w:t>
            </w:r>
          </w:p>
          <w:p w14:paraId="693095A2" w14:textId="77777777" w:rsidR="000E6756" w:rsidRDefault="000E6756" w:rsidP="000E6756">
            <w:r>
              <w:t>Title:</w:t>
            </w:r>
            <w:r>
              <w:tab/>
            </w:r>
            <w:r>
              <w:tab/>
              <w:t>Senior Transport Specialist</w:t>
            </w:r>
          </w:p>
          <w:p w14:paraId="07E967AF" w14:textId="2476AA81" w:rsidR="000E6756" w:rsidRDefault="000E6756" w:rsidP="000E6756">
            <w:r>
              <w:t>Tel:</w:t>
            </w:r>
            <w:r>
              <w:tab/>
            </w:r>
            <w:r>
              <w:tab/>
            </w:r>
            <w:r w:rsidR="00586B8F">
              <w:t xml:space="preserve">+1 </w:t>
            </w:r>
            <w:r w:rsidR="0099574C">
              <w:t>202 458 1718</w:t>
            </w:r>
            <w:r>
              <w:tab/>
            </w:r>
          </w:p>
          <w:p w14:paraId="203B5368" w14:textId="77777777" w:rsidR="000E6756" w:rsidRDefault="000E6756" w:rsidP="000E6756">
            <w:r>
              <w:t>Email:</w:t>
            </w:r>
            <w:r>
              <w:tab/>
            </w:r>
            <w:r>
              <w:tab/>
            </w:r>
            <w:hyperlink r:id="rId12" w:history="1">
              <w:r w:rsidRPr="00847C7D">
                <w:rPr>
                  <w:rStyle w:val="Hyperlink"/>
                </w:rPr>
                <w:t>fahmed8@worldbank.org</w:t>
              </w:r>
            </w:hyperlink>
          </w:p>
          <w:p w14:paraId="1EFB846A" w14:textId="77777777" w:rsidR="000E6756" w:rsidRDefault="000E6756" w:rsidP="000E6756"/>
          <w:p w14:paraId="3213A2DC" w14:textId="77777777" w:rsidR="000E6756" w:rsidRDefault="000E6756" w:rsidP="000E6756">
            <w:r w:rsidRPr="00A30F2B">
              <w:t>Contact</w:t>
            </w:r>
            <w:r>
              <w:t>:</w:t>
            </w:r>
            <w:r>
              <w:tab/>
              <w:t>Ashis Bhadra</w:t>
            </w:r>
          </w:p>
          <w:p w14:paraId="365BAF49" w14:textId="77777777" w:rsidR="000E6756" w:rsidRDefault="000E6756" w:rsidP="000E6756">
            <w:r>
              <w:t>Title:</w:t>
            </w:r>
            <w:r>
              <w:tab/>
            </w:r>
            <w:r>
              <w:tab/>
              <w:t>Senior Transport Specialist</w:t>
            </w:r>
          </w:p>
          <w:p w14:paraId="7660436E" w14:textId="77777777" w:rsidR="000E6756" w:rsidRDefault="000E6756" w:rsidP="000E6756">
            <w:r>
              <w:t>Tel:</w:t>
            </w:r>
            <w:r>
              <w:tab/>
            </w:r>
            <w:r>
              <w:tab/>
            </w:r>
            <w:r>
              <w:tab/>
            </w:r>
          </w:p>
          <w:p w14:paraId="6607D0D7" w14:textId="77777777" w:rsidR="000E6756" w:rsidRDefault="000E6756" w:rsidP="000E6756">
            <w:r>
              <w:t>Email:</w:t>
            </w:r>
            <w:r>
              <w:tab/>
            </w:r>
            <w:r>
              <w:tab/>
              <w:t>abhadra@worldbank.org</w:t>
            </w:r>
          </w:p>
          <w:p w14:paraId="54E3A7F0" w14:textId="77777777" w:rsidR="000E6756" w:rsidRDefault="000E6756" w:rsidP="000E6756"/>
          <w:p w14:paraId="3CAE883E" w14:textId="77777777" w:rsidR="000E6756" w:rsidRPr="00225112" w:rsidRDefault="000E6756" w:rsidP="000E6756">
            <w:pPr>
              <w:rPr>
                <w:b/>
              </w:rPr>
            </w:pPr>
            <w:r w:rsidRPr="00225112">
              <w:rPr>
                <w:b/>
              </w:rPr>
              <w:lastRenderedPageBreak/>
              <w:t>Borrower</w:t>
            </w:r>
            <w:r>
              <w:rPr>
                <w:b/>
              </w:rPr>
              <w:t>/Client/Recipient</w:t>
            </w:r>
          </w:p>
          <w:p w14:paraId="0EAD7523" w14:textId="77777777" w:rsidR="000E6756" w:rsidRDefault="000E6756" w:rsidP="000E6756">
            <w:r w:rsidRPr="00A30F2B">
              <w:t>Contact</w:t>
            </w:r>
            <w:r>
              <w:t>:</w:t>
            </w:r>
            <w:r>
              <w:tab/>
              <w:t>Mahmuda Begum</w:t>
            </w:r>
          </w:p>
          <w:p w14:paraId="2F73858D" w14:textId="77777777" w:rsidR="000E6756" w:rsidRDefault="000E6756" w:rsidP="000E6756">
            <w:r>
              <w:t>Title:</w:t>
            </w:r>
            <w:r>
              <w:tab/>
            </w:r>
            <w:r>
              <w:tab/>
              <w:t>Additional Secretary, Economic Relations Division</w:t>
            </w:r>
          </w:p>
          <w:p w14:paraId="7DD730C9" w14:textId="77777777" w:rsidR="000E6756" w:rsidRDefault="000E6756" w:rsidP="000E6756">
            <w:r>
              <w:t>Tel:</w:t>
            </w:r>
            <w:r>
              <w:tab/>
            </w:r>
            <w:r>
              <w:tab/>
              <w:t>+880-29180675</w:t>
            </w:r>
            <w:r>
              <w:tab/>
            </w:r>
          </w:p>
          <w:p w14:paraId="4377828F" w14:textId="77777777" w:rsidR="000E6756" w:rsidRDefault="000E6756" w:rsidP="000E6756">
            <w:r>
              <w:t>Email:</w:t>
            </w:r>
            <w:r>
              <w:tab/>
            </w:r>
            <w:r>
              <w:tab/>
              <w:t>addl-secy2@erd.gov.bd</w:t>
            </w:r>
          </w:p>
          <w:p w14:paraId="5AD88562" w14:textId="77777777" w:rsidR="00432389" w:rsidRDefault="00432389" w:rsidP="00432389"/>
          <w:p w14:paraId="3F81EDD9" w14:textId="77777777" w:rsidR="00432389" w:rsidRPr="00225112" w:rsidRDefault="00432389" w:rsidP="00432389">
            <w:pPr>
              <w:rPr>
                <w:b/>
              </w:rPr>
            </w:pPr>
            <w:r>
              <w:rPr>
                <w:b/>
              </w:rPr>
              <w:t>Implementing Agencies</w:t>
            </w:r>
          </w:p>
          <w:p w14:paraId="768E7139" w14:textId="77777777" w:rsidR="00432389" w:rsidRDefault="00432389" w:rsidP="00432389">
            <w:r w:rsidRPr="00A30F2B">
              <w:t>Contact</w:t>
            </w:r>
            <w:r>
              <w:t>:</w:t>
            </w:r>
            <w:r>
              <w:tab/>
            </w:r>
            <w:r w:rsidR="005B45B9">
              <w:t>Mr. Iftekhar Ahmed</w:t>
            </w:r>
          </w:p>
          <w:p w14:paraId="519A9E47" w14:textId="77777777" w:rsidR="00432389" w:rsidRDefault="00432389" w:rsidP="00432389">
            <w:r>
              <w:t>Title:</w:t>
            </w:r>
            <w:r>
              <w:tab/>
            </w:r>
            <w:r>
              <w:tab/>
            </w:r>
            <w:r w:rsidR="005B45B9">
              <w:t>Additional Chief Engineer</w:t>
            </w:r>
          </w:p>
          <w:p w14:paraId="33B6EC53" w14:textId="77777777" w:rsidR="00432389" w:rsidRDefault="00432389" w:rsidP="00432389">
            <w:r>
              <w:t>Tel:</w:t>
            </w:r>
            <w:r>
              <w:tab/>
            </w:r>
            <w:r>
              <w:tab/>
            </w:r>
            <w:r w:rsidR="005B45B9">
              <w:t>+88029127158</w:t>
            </w:r>
            <w:r>
              <w:tab/>
            </w:r>
          </w:p>
          <w:p w14:paraId="0B950086" w14:textId="77777777" w:rsidR="00432389" w:rsidRDefault="00432389" w:rsidP="00432389">
            <w:r>
              <w:t>Email:</w:t>
            </w:r>
            <w:r>
              <w:tab/>
            </w:r>
            <w:r>
              <w:tab/>
            </w:r>
            <w:r w:rsidR="005B45B9">
              <w:t>ace.planning@lged.gov.bd</w:t>
            </w:r>
          </w:p>
          <w:p w14:paraId="6E41DC62" w14:textId="77777777" w:rsidR="00432389" w:rsidRDefault="00432389" w:rsidP="00432389"/>
          <w:p w14:paraId="6FB09548" w14:textId="77777777" w:rsidR="00432389" w:rsidRDefault="00432389" w:rsidP="00432389"/>
          <w:p w14:paraId="645BEAC2" w14:textId="77777777" w:rsidR="00432389" w:rsidRPr="0059349F" w:rsidRDefault="00432389" w:rsidP="00432389">
            <w:pPr>
              <w:numPr>
                <w:ilvl w:val="0"/>
                <w:numId w:val="24"/>
              </w:numPr>
              <w:rPr>
                <w:b/>
              </w:rPr>
            </w:pPr>
            <w:r w:rsidRPr="0059349F">
              <w:rPr>
                <w:b/>
              </w:rPr>
              <w:t>For more information contact:</w:t>
            </w:r>
          </w:p>
          <w:p w14:paraId="3549FB34" w14:textId="77777777" w:rsidR="00432389" w:rsidRPr="00C82216" w:rsidRDefault="00432389" w:rsidP="00432389">
            <w:r w:rsidRPr="00C82216">
              <w:t>The InfoShop</w:t>
            </w:r>
          </w:p>
          <w:p w14:paraId="7236D4DA" w14:textId="77777777" w:rsidR="00432389" w:rsidRPr="00C82216" w:rsidRDefault="00432389" w:rsidP="00432389">
            <w:r w:rsidRPr="00C82216">
              <w:t>The World Bank</w:t>
            </w:r>
          </w:p>
          <w:p w14:paraId="3C909CAB" w14:textId="77777777" w:rsidR="00432389" w:rsidRPr="00C82216" w:rsidRDefault="00432389" w:rsidP="00432389">
            <w:r w:rsidRPr="00C82216">
              <w:t>1818 H Street, NW</w:t>
            </w:r>
          </w:p>
          <w:p w14:paraId="12D70E23" w14:textId="77777777" w:rsidR="00432389" w:rsidRPr="00C82216" w:rsidRDefault="00432389" w:rsidP="00432389">
            <w:r w:rsidRPr="00C82216">
              <w:t>Washington, D.C. 20433</w:t>
            </w:r>
          </w:p>
          <w:p w14:paraId="5F46092A" w14:textId="77777777" w:rsidR="00432389" w:rsidRPr="00C82216" w:rsidRDefault="00432389" w:rsidP="00432389">
            <w:r>
              <w:t>Telephone:  (202) 458-4500</w:t>
            </w:r>
          </w:p>
          <w:p w14:paraId="1CDA6FCB" w14:textId="77777777" w:rsidR="00432389" w:rsidRPr="00C82216" w:rsidRDefault="00432389" w:rsidP="00432389">
            <w:r w:rsidRPr="00C82216">
              <w:t>Fax:  (202) 522-1500</w:t>
            </w:r>
          </w:p>
          <w:p w14:paraId="02FF88EE" w14:textId="77777777" w:rsidR="00432389" w:rsidRPr="00C82216" w:rsidRDefault="00432389" w:rsidP="00432389">
            <w:r w:rsidRPr="00C82216">
              <w:t>Web: http://www.worldbank.org/infoshop</w:t>
            </w:r>
          </w:p>
          <w:p w14:paraId="2034BF32" w14:textId="77777777" w:rsidR="00432389" w:rsidRPr="00A30F2B" w:rsidRDefault="00432389" w:rsidP="00432389"/>
          <w:p w14:paraId="2297A581" w14:textId="77777777" w:rsidR="009F2AA0" w:rsidRPr="00C82216" w:rsidRDefault="009F2AA0" w:rsidP="009F2AA0"/>
          <w:p w14:paraId="2EB50328" w14:textId="77777777" w:rsidR="009F2AA0" w:rsidRPr="00A30F2B" w:rsidRDefault="009F2AA0" w:rsidP="009F2AA0"/>
          <w:p w14:paraId="7146DF55" w14:textId="77777777" w:rsidR="009F2AA0" w:rsidRDefault="009F2AA0" w:rsidP="009F2AA0">
            <w:pPr>
              <w:rPr>
                <w:b/>
                <w:bCs/>
              </w:rPr>
            </w:pPr>
          </w:p>
        </w:tc>
      </w:tr>
      <w:tr w:rsidR="005B45B9" w14:paraId="75141510" w14:textId="77777777" w:rsidTr="002F22D0">
        <w:tc>
          <w:tcPr>
            <w:tcW w:w="9090" w:type="dxa"/>
          </w:tcPr>
          <w:p w14:paraId="69441CDC" w14:textId="77777777" w:rsidR="005B45B9" w:rsidRDefault="005B45B9" w:rsidP="00432389">
            <w:pPr>
              <w:jc w:val="center"/>
              <w:rPr>
                <w:b/>
                <w:bCs/>
              </w:rPr>
            </w:pPr>
          </w:p>
        </w:tc>
      </w:tr>
    </w:tbl>
    <w:p w14:paraId="1E78EB4B" w14:textId="77777777" w:rsidR="009F2AA0" w:rsidRDefault="009F2AA0" w:rsidP="009F2AA0">
      <w:pPr>
        <w:rPr>
          <w:b/>
          <w:bCs/>
        </w:rPr>
      </w:pPr>
    </w:p>
    <w:sectPr w:rsidR="009F2AA0"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DC43" w14:textId="77777777" w:rsidR="002D367F" w:rsidRDefault="002D367F">
      <w:r>
        <w:separator/>
      </w:r>
    </w:p>
  </w:endnote>
  <w:endnote w:type="continuationSeparator" w:id="0">
    <w:p w14:paraId="335C39E9" w14:textId="77777777" w:rsidR="002D367F" w:rsidRDefault="002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FF16" w14:textId="77777777" w:rsidR="002D367F" w:rsidRDefault="002D367F">
      <w:r>
        <w:separator/>
      </w:r>
    </w:p>
  </w:footnote>
  <w:footnote w:type="continuationSeparator" w:id="0">
    <w:p w14:paraId="6025FFA3" w14:textId="77777777" w:rsidR="002D367F" w:rsidRDefault="002D367F">
      <w:r>
        <w:continuationSeparator/>
      </w:r>
    </w:p>
  </w:footnote>
  <w:footnote w:id="1">
    <w:p w14:paraId="6A1A40D3" w14:textId="77777777" w:rsidR="007243D9" w:rsidRDefault="007243D9" w:rsidP="007243D9">
      <w:pPr>
        <w:pStyle w:val="FootnoteText"/>
      </w:pPr>
      <w:r>
        <w:rPr>
          <w:rStyle w:val="FootnoteReference"/>
        </w:rPr>
        <w:footnoteRef/>
      </w:r>
      <w:r>
        <w:t xml:space="preserve"> “The war on poverty: Fewer, but still with us”, The Economist, April 1</w:t>
      </w:r>
      <w:r w:rsidRPr="00C50573">
        <w:rPr>
          <w:vertAlign w:val="superscript"/>
        </w:rPr>
        <w:t>st</w:t>
      </w:r>
      <w:r>
        <w:t>-7</w:t>
      </w:r>
      <w:r w:rsidRPr="00C50573">
        <w:rPr>
          <w:vertAlign w:val="superscript"/>
        </w:rPr>
        <w:t>th</w:t>
      </w:r>
      <w:r>
        <w:t>, 2017</w:t>
      </w:r>
    </w:p>
  </w:footnote>
  <w:footnote w:id="2">
    <w:p w14:paraId="1EE1B9EA" w14:textId="77777777" w:rsidR="007243D9" w:rsidRDefault="007243D9" w:rsidP="007243D9">
      <w:pPr>
        <w:pStyle w:val="FootnoteText"/>
      </w:pPr>
      <w:r>
        <w:rPr>
          <w:rStyle w:val="FootnoteReference"/>
        </w:rPr>
        <w:footnoteRef/>
      </w:r>
      <w:r>
        <w:t xml:space="preserve"> “New Rural Access Index: Main Determinants and Correlation to Poverty (Policy Research Working Paper 7876); World Bank, November 2016</w:t>
      </w:r>
    </w:p>
  </w:footnote>
  <w:footnote w:id="3">
    <w:p w14:paraId="54A603C0" w14:textId="77777777" w:rsidR="007243D9" w:rsidRDefault="007243D9" w:rsidP="007243D9">
      <w:pPr>
        <w:pStyle w:val="FootnoteText"/>
      </w:pPr>
      <w:r>
        <w:rPr>
          <w:rStyle w:val="FootnoteReference"/>
        </w:rPr>
        <w:footnoteRef/>
      </w:r>
      <w:r>
        <w:t xml:space="preserve"> “Strategy for Rural Development Projects: A Sectoral Policy Paper”; Bangladesh Planning Commission, 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74C6E"/>
    <w:multiLevelType w:val="hybridMultilevel"/>
    <w:tmpl w:val="4BE887F0"/>
    <w:lvl w:ilvl="0" w:tplc="E86026F0">
      <w:start w:val="1"/>
      <w:numFmt w:val="decimal"/>
      <w:pStyle w:val="NumberedParagraph"/>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63722"/>
    <w:multiLevelType w:val="hybridMultilevel"/>
    <w:tmpl w:val="CD966E8E"/>
    <w:lvl w:ilvl="0" w:tplc="BAB2D6F0">
      <w:start w:val="1"/>
      <w:numFmt w:val="bullet"/>
      <w:pStyle w:val="Bulletpoints"/>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705E0"/>
    <w:multiLevelType w:val="hybridMultilevel"/>
    <w:tmpl w:val="0EECC136"/>
    <w:lvl w:ilvl="0" w:tplc="BC269AB0">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F03CB"/>
    <w:multiLevelType w:val="multilevel"/>
    <w:tmpl w:val="4948BF4E"/>
    <w:lvl w:ilvl="0">
      <w:start w:val="1"/>
      <w:numFmt w:val="upperRoman"/>
      <w:lvlText w:val="%1."/>
      <w:lvlJc w:val="left"/>
      <w:pPr>
        <w:ind w:left="432" w:hanging="432"/>
      </w:pPr>
      <w:rPr>
        <w:rFonts w:hint="default"/>
      </w:rPr>
    </w:lvl>
    <w:lvl w:ilvl="1">
      <w:start w:val="1"/>
      <w:numFmt w:val="upperLetter"/>
      <w:lvlText w:val="%2."/>
      <w:lvlJc w:val="left"/>
      <w:pPr>
        <w:ind w:left="432" w:hanging="432"/>
      </w:pPr>
      <w:rPr>
        <w:rFonts w:hint="default"/>
        <w:b/>
        <w:caps w:val="0"/>
        <w:vanish w:val="0"/>
      </w:rPr>
    </w:lvl>
    <w:lvl w:ilvl="2">
      <w:start w:val="1"/>
      <w:numFmt w:val="decimal"/>
      <w:lvlRestart w:val="0"/>
      <w:lvlText w:val="Table %3"/>
      <w:lvlJc w:val="left"/>
      <w:pPr>
        <w:ind w:left="432" w:hanging="432"/>
      </w:pPr>
      <w:rPr>
        <w:rFonts w:hint="default"/>
      </w:rPr>
    </w:lvl>
    <w:lvl w:ilvl="3">
      <w:start w:val="1"/>
      <w:numFmt w:val="decimal"/>
      <w:lvlRestart w:val="0"/>
      <w:lvlText w:val="Figure %4"/>
      <w:lvlJc w:val="left"/>
      <w:pPr>
        <w:ind w:left="432" w:hanging="432"/>
      </w:pPr>
      <w:rPr>
        <w:rFonts w:hint="default"/>
      </w:rPr>
    </w:lvl>
    <w:lvl w:ilvl="4">
      <w:start w:val="1"/>
      <w:numFmt w:val="decimal"/>
      <w:lvlText w:val="(%5)"/>
      <w:lvlJc w:val="left"/>
      <w:pPr>
        <w:ind w:left="432" w:hanging="432"/>
      </w:pPr>
      <w:rPr>
        <w:rFonts w:hint="default"/>
      </w:rPr>
    </w:lvl>
    <w:lvl w:ilvl="5">
      <w:start w:val="1"/>
      <w:numFmt w:val="lowerLetter"/>
      <w:lvlText w:val="(%6)"/>
      <w:lvlJc w:val="left"/>
      <w:pPr>
        <w:ind w:left="432" w:hanging="432"/>
      </w:pPr>
      <w:rPr>
        <w:rFonts w:hint="default"/>
      </w:rPr>
    </w:lvl>
    <w:lvl w:ilvl="6">
      <w:start w:val="1"/>
      <w:numFmt w:val="lowerLetter"/>
      <w:lvlText w:val="%7."/>
      <w:lvlJc w:val="left"/>
      <w:pPr>
        <w:ind w:left="432" w:hanging="432"/>
      </w:pPr>
      <w:rPr>
        <w:rFonts w:hint="default"/>
        <w:b w:val="0"/>
        <w:i w:val="0"/>
        <w:caps w:val="0"/>
        <w:strike w:val="0"/>
        <w:dstrike w:val="0"/>
        <w:vanish w:val="0"/>
        <w:color w:val="auto"/>
        <w:sz w:val="22"/>
        <w:vertAlign w:val="baseline"/>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3"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FB23B3"/>
    <w:multiLevelType w:val="hybridMultilevel"/>
    <w:tmpl w:val="3E5CA550"/>
    <w:lvl w:ilvl="0" w:tplc="6B921740">
      <w:start w:val="1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2240B"/>
    <w:multiLevelType w:val="hybridMultilevel"/>
    <w:tmpl w:val="01AC7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5973C2"/>
    <w:multiLevelType w:val="hybridMultilevel"/>
    <w:tmpl w:val="AC4420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E7547C"/>
    <w:multiLevelType w:val="hybridMultilevel"/>
    <w:tmpl w:val="3E5CA550"/>
    <w:lvl w:ilvl="0" w:tplc="6B921740">
      <w:start w:val="1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0"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32"/>
  </w:num>
  <w:num w:numId="4">
    <w:abstractNumId w:val="1"/>
  </w:num>
  <w:num w:numId="5">
    <w:abstractNumId w:val="17"/>
  </w:num>
  <w:num w:numId="6">
    <w:abstractNumId w:val="0"/>
  </w:num>
  <w:num w:numId="7">
    <w:abstractNumId w:val="24"/>
  </w:num>
  <w:num w:numId="8">
    <w:abstractNumId w:val="10"/>
  </w:num>
  <w:num w:numId="9">
    <w:abstractNumId w:val="19"/>
  </w:num>
  <w:num w:numId="10">
    <w:abstractNumId w:val="2"/>
  </w:num>
  <w:num w:numId="11">
    <w:abstractNumId w:val="14"/>
  </w:num>
  <w:num w:numId="12">
    <w:abstractNumId w:val="18"/>
  </w:num>
  <w:num w:numId="13">
    <w:abstractNumId w:val="13"/>
  </w:num>
  <w:num w:numId="14">
    <w:abstractNumId w:val="29"/>
  </w:num>
  <w:num w:numId="15">
    <w:abstractNumId w:val="33"/>
  </w:num>
  <w:num w:numId="16">
    <w:abstractNumId w:val="11"/>
  </w:num>
  <w:num w:numId="17">
    <w:abstractNumId w:val="15"/>
  </w:num>
  <w:num w:numId="18">
    <w:abstractNumId w:val="31"/>
  </w:num>
  <w:num w:numId="19">
    <w:abstractNumId w:val="21"/>
  </w:num>
  <w:num w:numId="20">
    <w:abstractNumId w:val="3"/>
  </w:num>
  <w:num w:numId="21">
    <w:abstractNumId w:val="28"/>
  </w:num>
  <w:num w:numId="22">
    <w:abstractNumId w:val="22"/>
  </w:num>
  <w:num w:numId="23">
    <w:abstractNumId w:val="5"/>
  </w:num>
  <w:num w:numId="24">
    <w:abstractNumId w:val="30"/>
  </w:num>
  <w:num w:numId="25">
    <w:abstractNumId w:val="23"/>
  </w:num>
  <w:num w:numId="26">
    <w:abstractNumId w:val="4"/>
  </w:num>
  <w:num w:numId="27">
    <w:abstractNumId w:val="7"/>
  </w:num>
  <w:num w:numId="28">
    <w:abstractNumId w:val="9"/>
  </w:num>
  <w:num w:numId="29">
    <w:abstractNumId w:val="26"/>
  </w:num>
  <w:num w:numId="30">
    <w:abstractNumId w:val="6"/>
  </w:num>
  <w:num w:numId="31">
    <w:abstractNumId w:val="27"/>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30402"/>
    <w:rsid w:val="00054216"/>
    <w:rsid w:val="00071B65"/>
    <w:rsid w:val="00084ABC"/>
    <w:rsid w:val="000B0A0E"/>
    <w:rsid w:val="000D1876"/>
    <w:rsid w:val="000E6756"/>
    <w:rsid w:val="00110ED6"/>
    <w:rsid w:val="00133E79"/>
    <w:rsid w:val="00136A5F"/>
    <w:rsid w:val="001527BE"/>
    <w:rsid w:val="00171E5D"/>
    <w:rsid w:val="001A2EA1"/>
    <w:rsid w:val="001A4469"/>
    <w:rsid w:val="001A7661"/>
    <w:rsid w:val="001B3D1C"/>
    <w:rsid w:val="001B45FA"/>
    <w:rsid w:val="001D2E82"/>
    <w:rsid w:val="001E638A"/>
    <w:rsid w:val="002344B9"/>
    <w:rsid w:val="002546F7"/>
    <w:rsid w:val="00265E63"/>
    <w:rsid w:val="002863F5"/>
    <w:rsid w:val="002A0BDC"/>
    <w:rsid w:val="002A33F0"/>
    <w:rsid w:val="002B7076"/>
    <w:rsid w:val="002B7B4A"/>
    <w:rsid w:val="002D367F"/>
    <w:rsid w:val="002F22D0"/>
    <w:rsid w:val="003103C4"/>
    <w:rsid w:val="00337CE7"/>
    <w:rsid w:val="00344C61"/>
    <w:rsid w:val="003723D9"/>
    <w:rsid w:val="00383CBB"/>
    <w:rsid w:val="003901B6"/>
    <w:rsid w:val="00390414"/>
    <w:rsid w:val="0039671E"/>
    <w:rsid w:val="003A26B7"/>
    <w:rsid w:val="003B6CBF"/>
    <w:rsid w:val="003E3E86"/>
    <w:rsid w:val="003F669F"/>
    <w:rsid w:val="00410562"/>
    <w:rsid w:val="00417A9A"/>
    <w:rsid w:val="00432389"/>
    <w:rsid w:val="004605F4"/>
    <w:rsid w:val="00462DE0"/>
    <w:rsid w:val="004B2501"/>
    <w:rsid w:val="004C22B9"/>
    <w:rsid w:val="004C5683"/>
    <w:rsid w:val="004C6525"/>
    <w:rsid w:val="004D2685"/>
    <w:rsid w:val="004F0F64"/>
    <w:rsid w:val="00507604"/>
    <w:rsid w:val="00511EC1"/>
    <w:rsid w:val="00544607"/>
    <w:rsid w:val="0057170D"/>
    <w:rsid w:val="005768A9"/>
    <w:rsid w:val="005777D4"/>
    <w:rsid w:val="00577870"/>
    <w:rsid w:val="00586B8F"/>
    <w:rsid w:val="0059349F"/>
    <w:rsid w:val="005A091D"/>
    <w:rsid w:val="005A2340"/>
    <w:rsid w:val="005A6F6A"/>
    <w:rsid w:val="005B45B9"/>
    <w:rsid w:val="00670DC0"/>
    <w:rsid w:val="0067697E"/>
    <w:rsid w:val="00690F9A"/>
    <w:rsid w:val="006B4727"/>
    <w:rsid w:val="00701460"/>
    <w:rsid w:val="007150F6"/>
    <w:rsid w:val="007243D9"/>
    <w:rsid w:val="00724ED8"/>
    <w:rsid w:val="00731BC4"/>
    <w:rsid w:val="0076696F"/>
    <w:rsid w:val="007863D3"/>
    <w:rsid w:val="00787B7C"/>
    <w:rsid w:val="00793D7D"/>
    <w:rsid w:val="00794AB5"/>
    <w:rsid w:val="007C490F"/>
    <w:rsid w:val="007D0F7B"/>
    <w:rsid w:val="007E0D1E"/>
    <w:rsid w:val="00824F0C"/>
    <w:rsid w:val="008451FE"/>
    <w:rsid w:val="008636E8"/>
    <w:rsid w:val="008B7FB2"/>
    <w:rsid w:val="008C2F1C"/>
    <w:rsid w:val="008D1E93"/>
    <w:rsid w:val="008F0B46"/>
    <w:rsid w:val="008F2C61"/>
    <w:rsid w:val="00914E33"/>
    <w:rsid w:val="00915DAE"/>
    <w:rsid w:val="00921E31"/>
    <w:rsid w:val="00923AC9"/>
    <w:rsid w:val="00931279"/>
    <w:rsid w:val="00941A37"/>
    <w:rsid w:val="0094238F"/>
    <w:rsid w:val="00963593"/>
    <w:rsid w:val="0099574C"/>
    <w:rsid w:val="00996EEB"/>
    <w:rsid w:val="009B1086"/>
    <w:rsid w:val="009B1BF2"/>
    <w:rsid w:val="009D3F59"/>
    <w:rsid w:val="009D7A66"/>
    <w:rsid w:val="009F2AA0"/>
    <w:rsid w:val="009F5E4D"/>
    <w:rsid w:val="00A05BC0"/>
    <w:rsid w:val="00A126FA"/>
    <w:rsid w:val="00A20798"/>
    <w:rsid w:val="00A25C56"/>
    <w:rsid w:val="00A42C53"/>
    <w:rsid w:val="00AB0F65"/>
    <w:rsid w:val="00B17C5F"/>
    <w:rsid w:val="00B52F3C"/>
    <w:rsid w:val="00B63AA0"/>
    <w:rsid w:val="00B677C4"/>
    <w:rsid w:val="00B8792D"/>
    <w:rsid w:val="00B966C3"/>
    <w:rsid w:val="00BF75CD"/>
    <w:rsid w:val="00C418BA"/>
    <w:rsid w:val="00C4388E"/>
    <w:rsid w:val="00C512E3"/>
    <w:rsid w:val="00C63E52"/>
    <w:rsid w:val="00C67E15"/>
    <w:rsid w:val="00CB4B05"/>
    <w:rsid w:val="00CC2AD5"/>
    <w:rsid w:val="00CD2B87"/>
    <w:rsid w:val="00CD36E7"/>
    <w:rsid w:val="00D2365D"/>
    <w:rsid w:val="00D3252A"/>
    <w:rsid w:val="00D545E4"/>
    <w:rsid w:val="00D66D81"/>
    <w:rsid w:val="00D73C1C"/>
    <w:rsid w:val="00DE739D"/>
    <w:rsid w:val="00E522BF"/>
    <w:rsid w:val="00E528E0"/>
    <w:rsid w:val="00EA3148"/>
    <w:rsid w:val="00EC09FB"/>
    <w:rsid w:val="00EC4733"/>
    <w:rsid w:val="00EC5B7A"/>
    <w:rsid w:val="00EF7A1F"/>
    <w:rsid w:val="00F0007C"/>
    <w:rsid w:val="00F0622C"/>
    <w:rsid w:val="00F26836"/>
    <w:rsid w:val="00F325CF"/>
    <w:rsid w:val="00F40099"/>
    <w:rsid w:val="00F41703"/>
    <w:rsid w:val="00F634E3"/>
    <w:rsid w:val="00F77194"/>
    <w:rsid w:val="00FD199C"/>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3877B"/>
  <w15:docId w15:val="{E2AA06E3-BCAC-4854-B20F-6D29FFFC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qFormat/>
    <w:rsid w:val="00D66D81"/>
    <w:pPr>
      <w:keepNext/>
      <w:keepLines/>
      <w:spacing w:before="120" w:after="240"/>
      <w:ind w:left="432" w:hanging="432"/>
      <w:outlineLvl w:val="2"/>
    </w:pPr>
    <w:rPr>
      <w:rFonts w:cs="Arial"/>
      <w:b/>
      <w:bCs/>
      <w:szCs w:val="26"/>
    </w:rPr>
  </w:style>
  <w:style w:type="paragraph" w:styleId="Heading4">
    <w:name w:val="heading 4"/>
    <w:basedOn w:val="Normal"/>
    <w:next w:val="Normal"/>
    <w:link w:val="Heading4Char"/>
    <w:qFormat/>
    <w:rsid w:val="00D66D81"/>
    <w:pPr>
      <w:keepNext/>
      <w:keepLines/>
      <w:spacing w:before="120" w:after="240"/>
      <w:ind w:left="432" w:hanging="432"/>
      <w:outlineLvl w:val="3"/>
    </w:pPr>
    <w:rPr>
      <w:b/>
      <w:bCs/>
      <w:i/>
      <w:szCs w:val="28"/>
    </w:rPr>
  </w:style>
  <w:style w:type="paragraph" w:styleId="Heading5">
    <w:name w:val="heading 5"/>
    <w:basedOn w:val="Normal"/>
    <w:next w:val="Normal"/>
    <w:link w:val="Heading5Char"/>
    <w:semiHidden/>
    <w:unhideWhenUsed/>
    <w:qFormat/>
    <w:rsid w:val="00D66D81"/>
    <w:pPr>
      <w:keepNext/>
      <w:keepLines/>
      <w:spacing w:before="200"/>
      <w:ind w:left="432"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66D81"/>
    <w:pPr>
      <w:keepNext/>
      <w:keepLines/>
      <w:spacing w:before="200"/>
      <w:ind w:left="43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66D81"/>
    <w:pPr>
      <w:keepNext/>
      <w:keepLines/>
      <w:spacing w:before="200"/>
      <w:ind w:left="432" w:hanging="432"/>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6D81"/>
    <w:pPr>
      <w:keepNext/>
      <w:keepLines/>
      <w:spacing w:before="200"/>
      <w:ind w:left="432"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66D81"/>
    <w:pPr>
      <w:keepNext/>
      <w:keepLines/>
      <w:spacing w:before="200"/>
      <w:ind w:left="432" w:hanging="432"/>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fr,Times 10 Point,Exposant 3 Point,Ref,Style 25,R"/>
    <w:basedOn w:val="DefaultParagraphFont"/>
    <w:link w:val="CarattereCarattereCharCharCharCharCharCharZchn"/>
    <w:uiPriority w:val="99"/>
    <w:qFormat/>
    <w:rsid w:val="00731BC4"/>
    <w:rPr>
      <w:vertAlign w:val="superscript"/>
    </w:rPr>
  </w:style>
  <w:style w:type="paragraph" w:styleId="FootnoteText">
    <w:name w:val="footnote text"/>
    <w:aliases w:val="FOOTNOTES,fn,single space,footnote text,ft,Footnote Text Char Char Char Char Char Char Char Char Char Char,ALTS FOOTNOTE,Note de bas de page Car,Footnote Text Char Car,Footnote Text Char1 Car,Footnote Text Char1,Char Char Char,Geneva 9,ADB"/>
    <w:basedOn w:val="Normal"/>
    <w:link w:val="FootnoteTextChar"/>
    <w:uiPriority w:val="99"/>
    <w:qFormat/>
    <w:rsid w:val="00731BC4"/>
    <w:rPr>
      <w:sz w:val="20"/>
      <w:szCs w:val="20"/>
    </w:rPr>
  </w:style>
  <w:style w:type="table" w:styleId="TableGrid">
    <w:name w:val="Table Grid"/>
    <w:basedOn w:val="TableNormal"/>
    <w:uiPriority w:val="59"/>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41703"/>
    <w:rPr>
      <w:color w:val="0000FF"/>
      <w:u w:val="single"/>
    </w:rPr>
  </w:style>
  <w:style w:type="character" w:customStyle="1" w:styleId="FootnoteTextChar">
    <w:name w:val="Footnote Text Char"/>
    <w:aliases w:val="FOOTNOTES Char,fn Char,single space Char,footnote text Char,ft Char,Footnote Text Char Char Char Char Char Char Char Char Char Char Char,ALTS FOOTNOTE Char,Note de bas de page Car Char,Footnote Text Char Car Char,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Numbered Para,Bullit,List Paragraph1,List Paragraph (numbered (a))"/>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basedOn w:val="Normal"/>
    <w:link w:val="NoSpacingChar"/>
    <w:uiPriority w:val="1"/>
    <w:qFormat/>
    <w:rsid w:val="00D66D81"/>
    <w:rPr>
      <w:rFonts w:ascii="Cambria" w:eastAsia="Calibri" w:hAnsi="Cambria"/>
      <w:sz w:val="22"/>
      <w:szCs w:val="22"/>
      <w:lang w:bidi="en-US"/>
    </w:rPr>
  </w:style>
  <w:style w:type="character" w:customStyle="1" w:styleId="NoSpacingChar">
    <w:name w:val="No Spacing Char"/>
    <w:basedOn w:val="DefaultParagraphFont"/>
    <w:link w:val="NoSpacing"/>
    <w:uiPriority w:val="1"/>
    <w:rsid w:val="00D66D81"/>
    <w:rPr>
      <w:rFonts w:ascii="Cambria" w:eastAsia="Calibri" w:hAnsi="Cambria"/>
      <w:sz w:val="22"/>
      <w:szCs w:val="22"/>
      <w:lang w:bidi="en-US"/>
    </w:rPr>
  </w:style>
  <w:style w:type="character" w:customStyle="1" w:styleId="ListParagraphChar">
    <w:name w:val="List Paragraph Char"/>
    <w:aliases w:val="Numbered Para Char,Bullit Char,List Paragraph1 Char,List Paragraph (numbered (a)) Char"/>
    <w:basedOn w:val="DefaultParagraphFont"/>
    <w:link w:val="ListParagraph"/>
    <w:uiPriority w:val="34"/>
    <w:rsid w:val="00D66D81"/>
    <w:rPr>
      <w:sz w:val="24"/>
      <w:szCs w:val="24"/>
    </w:rPr>
  </w:style>
  <w:style w:type="character" w:styleId="Emphasis">
    <w:name w:val="Emphasis"/>
    <w:aliases w:val="Main text"/>
    <w:qFormat/>
    <w:rsid w:val="00D66D81"/>
  </w:style>
  <w:style w:type="paragraph" w:customStyle="1" w:styleId="Bulletpoints">
    <w:name w:val="Bullet points"/>
    <w:basedOn w:val="Normal"/>
    <w:qFormat/>
    <w:rsid w:val="00D66D81"/>
    <w:pPr>
      <w:numPr>
        <w:numId w:val="27"/>
      </w:numPr>
      <w:spacing w:after="160"/>
      <w:ind w:left="576" w:hanging="288"/>
      <w:jc w:val="both"/>
    </w:pPr>
    <w:rPr>
      <w:rFonts w:eastAsiaTheme="minorHAnsi" w:cstheme="minorBidi"/>
      <w:szCs w:val="22"/>
    </w:rPr>
  </w:style>
  <w:style w:type="paragraph" w:styleId="Caption">
    <w:name w:val="caption"/>
    <w:basedOn w:val="Normal"/>
    <w:next w:val="Normal"/>
    <w:unhideWhenUsed/>
    <w:qFormat/>
    <w:rsid w:val="00D66D81"/>
    <w:pPr>
      <w:spacing w:after="200"/>
    </w:pPr>
    <w:rPr>
      <w:b/>
      <w:iCs/>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D66D81"/>
    <w:pPr>
      <w:spacing w:after="160" w:line="240" w:lineRule="exact"/>
      <w:ind w:left="360" w:hanging="360"/>
      <w:jc w:val="both"/>
    </w:pPr>
    <w:rPr>
      <w:sz w:val="20"/>
      <w:szCs w:val="20"/>
      <w:vertAlign w:val="superscript"/>
    </w:rPr>
  </w:style>
  <w:style w:type="paragraph" w:customStyle="1" w:styleId="NumberedParagraph">
    <w:name w:val="Numbered Paragraph"/>
    <w:next w:val="Normal"/>
    <w:link w:val="NumberedParagraphChar"/>
    <w:qFormat/>
    <w:rsid w:val="00D66D81"/>
    <w:pPr>
      <w:numPr>
        <w:numId w:val="30"/>
      </w:numPr>
      <w:tabs>
        <w:tab w:val="left" w:pos="540"/>
      </w:tabs>
      <w:spacing w:after="240"/>
      <w:jc w:val="both"/>
    </w:pPr>
    <w:rPr>
      <w:rFonts w:eastAsiaTheme="minorHAnsi" w:cstheme="minorBidi"/>
      <w:sz w:val="24"/>
      <w:szCs w:val="22"/>
    </w:rPr>
  </w:style>
  <w:style w:type="character" w:customStyle="1" w:styleId="NumberedParagraphChar">
    <w:name w:val="Numbered Paragraph Char"/>
    <w:basedOn w:val="DefaultParagraphFont"/>
    <w:link w:val="NumberedParagraph"/>
    <w:rsid w:val="00D66D81"/>
    <w:rPr>
      <w:rFonts w:eastAsiaTheme="minorHAnsi" w:cstheme="minorBidi"/>
      <w:sz w:val="24"/>
      <w:szCs w:val="22"/>
    </w:rPr>
  </w:style>
  <w:style w:type="character" w:customStyle="1" w:styleId="Heading3Char">
    <w:name w:val="Heading 3 Char"/>
    <w:basedOn w:val="DefaultParagraphFont"/>
    <w:link w:val="Heading3"/>
    <w:rsid w:val="00D66D81"/>
    <w:rPr>
      <w:rFonts w:cs="Arial"/>
      <w:b/>
      <w:bCs/>
      <w:sz w:val="24"/>
      <w:szCs w:val="26"/>
    </w:rPr>
  </w:style>
  <w:style w:type="character" w:customStyle="1" w:styleId="Heading4Char">
    <w:name w:val="Heading 4 Char"/>
    <w:basedOn w:val="DefaultParagraphFont"/>
    <w:link w:val="Heading4"/>
    <w:rsid w:val="00D66D81"/>
    <w:rPr>
      <w:b/>
      <w:bCs/>
      <w:i/>
      <w:sz w:val="24"/>
      <w:szCs w:val="28"/>
    </w:rPr>
  </w:style>
  <w:style w:type="character" w:customStyle="1" w:styleId="Heading5Char">
    <w:name w:val="Heading 5 Char"/>
    <w:basedOn w:val="DefaultParagraphFont"/>
    <w:link w:val="Heading5"/>
    <w:semiHidden/>
    <w:rsid w:val="00D66D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66D8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D66D8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66D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66D81"/>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semiHidden/>
    <w:unhideWhenUsed/>
    <w:rsid w:val="00110ED6"/>
    <w:rPr>
      <w:b/>
      <w:bCs/>
    </w:rPr>
  </w:style>
  <w:style w:type="character" w:customStyle="1" w:styleId="CommentTextChar">
    <w:name w:val="Comment Text Char"/>
    <w:basedOn w:val="DefaultParagraphFont"/>
    <w:link w:val="CommentText"/>
    <w:semiHidden/>
    <w:rsid w:val="00110ED6"/>
  </w:style>
  <w:style w:type="character" w:customStyle="1" w:styleId="CommentSubjectChar">
    <w:name w:val="Comment Subject Char"/>
    <w:basedOn w:val="CommentTextChar"/>
    <w:link w:val="CommentSubject"/>
    <w:semiHidden/>
    <w:rsid w:val="00110ED6"/>
    <w:rPr>
      <w:b/>
      <w:bCs/>
    </w:rPr>
  </w:style>
  <w:style w:type="paragraph" w:customStyle="1" w:styleId="MainParawithChapter">
    <w:name w:val="Main Para with Chapter#"/>
    <w:basedOn w:val="Normal"/>
    <w:rsid w:val="007243D9"/>
    <w:pPr>
      <w:spacing w:after="240"/>
      <w:outlineLvl w:val="1"/>
    </w:pPr>
  </w:style>
  <w:style w:type="paragraph" w:customStyle="1" w:styleId="Sub-Para1underXY">
    <w:name w:val="Sub-Para 1 under X.Y"/>
    <w:basedOn w:val="Normal"/>
    <w:rsid w:val="007243D9"/>
    <w:pPr>
      <w:spacing w:after="240"/>
      <w:ind w:left="1440" w:hanging="720"/>
      <w:outlineLvl w:val="2"/>
    </w:pPr>
  </w:style>
  <w:style w:type="paragraph" w:customStyle="1" w:styleId="Sub-Para2underXY">
    <w:name w:val="Sub-Para 2 under X.Y"/>
    <w:basedOn w:val="Normal"/>
    <w:rsid w:val="007243D9"/>
    <w:pPr>
      <w:spacing w:after="240"/>
      <w:ind w:left="2160" w:hanging="720"/>
      <w:outlineLvl w:val="3"/>
    </w:pPr>
  </w:style>
  <w:style w:type="paragraph" w:customStyle="1" w:styleId="Sub-Para3underXY">
    <w:name w:val="Sub-Para 3 under X.Y"/>
    <w:basedOn w:val="Normal"/>
    <w:rsid w:val="007243D9"/>
    <w:pPr>
      <w:spacing w:after="240"/>
      <w:ind w:left="2880" w:hanging="720"/>
      <w:outlineLvl w:val="4"/>
    </w:pPr>
  </w:style>
  <w:style w:type="paragraph" w:customStyle="1" w:styleId="Sub-Para4underXY">
    <w:name w:val="Sub-Para 4 under X.Y"/>
    <w:basedOn w:val="Normal"/>
    <w:rsid w:val="007243D9"/>
    <w:pPr>
      <w:spacing w:after="240"/>
      <w:ind w:left="3600" w:hanging="72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hmed8@worldban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xmlns:pkg="http://schemas.microsoft.com/office/2006/xmlPackage"/>
</file>

<file path=customXml/item2.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5.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331BC6-2446-4E98-AD31-9A6FEF674039}">
  <ds:schemaRefs>
    <ds:schemaRef ds:uri="http://schemas.microsoft.com/sharepoint/events"/>
    <ds:schemaRef ds:uri="http://schemas.microsoft.com/office/2006/xmlPackage"/>
  </ds:schemaRefs>
</ds:datastoreItem>
</file>

<file path=customXml/itemProps2.xml><?xml version="1.0" encoding="utf-8"?>
<ds:datastoreItem xmlns:ds="http://schemas.openxmlformats.org/officeDocument/2006/customXml" ds:itemID="{7CD23DB0-F328-49D1-BD29-9F332778F60C}">
  <ds:schemaRefs>
    <ds:schemaRef ds:uri="http://schemas.microsoft.com/sharepoint/v3/contenttype/forms"/>
    <ds:schemaRef ds:uri="http://schemas.microsoft.com/office/2006/xmlPackage"/>
  </ds:schemaRefs>
</ds:datastoreItem>
</file>

<file path=customXml/itemProps3.xml><?xml version="1.0" encoding="utf-8"?>
<ds:datastoreItem xmlns:ds="http://schemas.openxmlformats.org/officeDocument/2006/customXml" ds:itemID="{5669E6F6-EC40-4A28-808E-1808C25B2A9B}">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AD645-DC52-4DCA-887F-B754DE1DDC1A}">
  <ds:schemaRefs>
    <ds:schemaRef ds:uri="Microsoft.SharePoint.Taxonomy.ContentTypeSync"/>
    <ds:schemaRef ds:uri="http://schemas.microsoft.com/office/2006/xmlPackage"/>
  </ds:schemaRefs>
</ds:datastoreItem>
</file>

<file path=customXml/itemProps5.xml><?xml version="1.0" encoding="utf-8"?>
<ds:datastoreItem xmlns:ds="http://schemas.openxmlformats.org/officeDocument/2006/customXml" ds:itemID="{60224009-4059-410D-BC85-376403C4B39F}">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3253</Words>
  <Characters>18672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21882</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 Bhadra</dc:creator>
  <cp:lastModifiedBy>Rex Quiah</cp:lastModifiedBy>
  <cp:revision>2</cp:revision>
  <dcterms:created xsi:type="dcterms:W3CDTF">2017-05-23T03:45:00Z</dcterms:created>
  <dcterms:modified xsi:type="dcterms:W3CDTF">2017-05-23T03:45:00Z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