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rawings/drawing3.xml" ContentType="application/vnd.openxmlformats-officedocument.drawingml.chartshapes+xml"/>
  <Override PartName="/word/drawings/drawing2.xml" ContentType="application/vnd.openxmlformats-officedocument.drawingml.chartshap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chart8.xml" ContentType="application/vnd.openxmlformats-officedocument.drawingml.chart+xml"/>
  <Override PartName="/word/charts/style1.xml" ContentType="application/vnd.ms-office.chartstyle+xml"/>
  <Override PartName="/word/charts/chart5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C8" w:rsidRPr="00AD2F83" w:rsidRDefault="00D3512E" w:rsidP="000E0260">
      <w:pPr>
        <w:spacing w:line="259" w:lineRule="auto"/>
        <w:jc w:val="center"/>
        <w:rPr>
          <w:rFonts w:ascii="Sylfaen" w:hAnsi="Sylfaen"/>
          <w:b/>
          <w:color w:val="4472C4" w:themeColor="accent1"/>
          <w:szCs w:val="24"/>
        </w:rPr>
      </w:pPr>
      <w:r>
        <w:rPr>
          <w:rFonts w:ascii="Sylfaen" w:hAnsi="Sylfaen"/>
          <w:b/>
          <w:color w:val="4472C4" w:themeColor="accent1"/>
          <w:szCs w:val="24"/>
        </w:rPr>
        <w:t>Եկամտային հարկի բարեփոխումների բաշ</w:t>
      </w:r>
      <w:r w:rsidR="00160092">
        <w:rPr>
          <w:rFonts w:ascii="Sylfaen" w:hAnsi="Sylfaen"/>
          <w:b/>
          <w:color w:val="4472C4" w:themeColor="accent1"/>
          <w:szCs w:val="24"/>
        </w:rPr>
        <w:t>խ</w:t>
      </w:r>
      <w:r>
        <w:rPr>
          <w:rFonts w:ascii="Sylfaen" w:hAnsi="Sylfaen"/>
          <w:b/>
          <w:color w:val="4472C4" w:themeColor="accent1"/>
          <w:szCs w:val="24"/>
        </w:rPr>
        <w:t>ո</w:t>
      </w:r>
      <w:r w:rsidR="00160092">
        <w:rPr>
          <w:rFonts w:ascii="Sylfaen" w:hAnsi="Sylfaen"/>
          <w:b/>
          <w:color w:val="4472C4" w:themeColor="accent1"/>
          <w:szCs w:val="24"/>
        </w:rPr>
        <w:t>ղական</w:t>
      </w:r>
      <w:r>
        <w:rPr>
          <w:rFonts w:ascii="Sylfaen" w:hAnsi="Sylfaen"/>
          <w:b/>
          <w:color w:val="4472C4" w:themeColor="accent1"/>
          <w:szCs w:val="24"/>
        </w:rPr>
        <w:t xml:space="preserve"> ազդեցության գանահատումը Հայաստանում </w:t>
      </w:r>
    </w:p>
    <w:p w:rsidR="00CC4B13" w:rsidRPr="00AD2F83" w:rsidRDefault="00CC4B13">
      <w:pPr>
        <w:spacing w:line="259" w:lineRule="auto"/>
        <w:jc w:val="center"/>
        <w:rPr>
          <w:rFonts w:ascii="Sylfaen" w:hAnsi="Sylfaen"/>
          <w:b/>
          <w:color w:val="4472C4" w:themeColor="accent1"/>
          <w:szCs w:val="24"/>
        </w:rPr>
      </w:pPr>
      <w:r w:rsidRPr="00AD2F83">
        <w:rPr>
          <w:rFonts w:ascii="Sylfaen" w:hAnsi="Sylfaen"/>
          <w:b/>
          <w:color w:val="4472C4" w:themeColor="accent1"/>
          <w:szCs w:val="24"/>
        </w:rPr>
        <w:t>2019</w:t>
      </w:r>
      <w:r w:rsidR="00D3512E">
        <w:rPr>
          <w:rFonts w:ascii="Sylfaen" w:hAnsi="Sylfaen"/>
          <w:b/>
          <w:color w:val="4472C4" w:themeColor="accent1"/>
          <w:szCs w:val="24"/>
        </w:rPr>
        <w:t>թ. ապրիլ</w:t>
      </w:r>
    </w:p>
    <w:p w:rsidR="00CC4B13" w:rsidRPr="00AD2F83" w:rsidRDefault="00160092">
      <w:pPr>
        <w:spacing w:line="259" w:lineRule="auto"/>
        <w:jc w:val="center"/>
        <w:rPr>
          <w:rFonts w:ascii="Sylfaen" w:hAnsi="Sylfaen"/>
          <w:b/>
          <w:color w:val="4472C4" w:themeColor="accent1"/>
          <w:szCs w:val="24"/>
        </w:rPr>
      </w:pPr>
      <w:r>
        <w:rPr>
          <w:rFonts w:ascii="Sylfaen" w:hAnsi="Sylfaen"/>
          <w:b/>
          <w:color w:val="4472C4" w:themeColor="accent1"/>
          <w:szCs w:val="24"/>
        </w:rPr>
        <w:t>Համաշխարհային բանկի Ա</w:t>
      </w:r>
      <w:r w:rsidR="00D3512E">
        <w:rPr>
          <w:rFonts w:ascii="Sylfaen" w:hAnsi="Sylfaen"/>
          <w:b/>
          <w:color w:val="4472C4" w:themeColor="accent1"/>
          <w:szCs w:val="24"/>
        </w:rPr>
        <w:t>ղքատության և հավասարության գլոբալ պրակտիկայի ստորաբաժանում</w:t>
      </w:r>
      <w:r w:rsidR="00CC4B13" w:rsidRPr="00AD2F83">
        <w:rPr>
          <w:rStyle w:val="FootnoteReference"/>
          <w:rFonts w:ascii="Sylfaen" w:hAnsi="Sylfaen"/>
          <w:b/>
          <w:color w:val="4472C4" w:themeColor="accent1"/>
          <w:szCs w:val="24"/>
        </w:rPr>
        <w:footnoteReference w:id="1"/>
      </w:r>
      <w:r w:rsidR="00CC4B13" w:rsidRPr="00AD2F83">
        <w:rPr>
          <w:rFonts w:ascii="Sylfaen" w:hAnsi="Sylfaen"/>
          <w:b/>
          <w:color w:val="4472C4" w:themeColor="accent1"/>
          <w:szCs w:val="24"/>
        </w:rPr>
        <w:t xml:space="preserve"> </w:t>
      </w:r>
    </w:p>
    <w:p w:rsidR="0015505D" w:rsidRPr="00AD2F83" w:rsidRDefault="0015505D" w:rsidP="001D497C">
      <w:pPr>
        <w:jc w:val="both"/>
        <w:rPr>
          <w:rFonts w:ascii="Sylfaen" w:hAnsi="Sylfaen"/>
          <w:b/>
          <w:sz w:val="12"/>
          <w:szCs w:val="24"/>
        </w:rPr>
      </w:pPr>
    </w:p>
    <w:p w:rsidR="00B9448F" w:rsidRPr="00AD2F83" w:rsidRDefault="00D3512E" w:rsidP="00B9448F">
      <w:pPr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>Ամփոփագիր</w:t>
      </w:r>
    </w:p>
    <w:p w:rsidR="00B9448F" w:rsidRPr="00AD2F83" w:rsidRDefault="00B9448F" w:rsidP="001D497C">
      <w:pPr>
        <w:jc w:val="both"/>
        <w:rPr>
          <w:rFonts w:ascii="Sylfaen" w:hAnsi="Sylfaen"/>
          <w:b/>
          <w:sz w:val="12"/>
          <w:szCs w:val="24"/>
        </w:rPr>
      </w:pPr>
      <w:r w:rsidRPr="00AD2F83">
        <w:rPr>
          <w:rFonts w:ascii="Sylfaen" w:hAnsi="Sylfaen"/>
          <w:b/>
          <w:sz w:val="12"/>
          <w:szCs w:val="24"/>
        </w:rPr>
        <w:t xml:space="preserve"> </w:t>
      </w:r>
    </w:p>
    <w:p w:rsidR="007D0776" w:rsidRPr="00AD2F83" w:rsidRDefault="00AD2F83" w:rsidP="001D497C">
      <w:pPr>
        <w:jc w:val="both"/>
        <w:rPr>
          <w:rFonts w:ascii="Sylfaen" w:hAnsi="Sylfaen"/>
          <w:szCs w:val="24"/>
        </w:rPr>
      </w:pPr>
      <w:r w:rsidRPr="00AD2F83">
        <w:rPr>
          <w:rFonts w:ascii="Sylfaen" w:hAnsi="Sylfaen"/>
          <w:b/>
          <w:szCs w:val="24"/>
        </w:rPr>
        <w:t>2019 սկզբին</w:t>
      </w:r>
      <w:r w:rsidR="00C6230C">
        <w:rPr>
          <w:rFonts w:ascii="Sylfaen" w:hAnsi="Sylfaen"/>
          <w:b/>
          <w:szCs w:val="24"/>
        </w:rPr>
        <w:t xml:space="preserve"> Հայաստանի կառավարությունը մշակե</w:t>
      </w:r>
      <w:r w:rsidR="00160092">
        <w:rPr>
          <w:rFonts w:ascii="Sylfaen" w:hAnsi="Sylfaen"/>
          <w:b/>
          <w:szCs w:val="24"/>
        </w:rPr>
        <w:t>ց</w:t>
      </w:r>
      <w:r w:rsidR="00C6230C">
        <w:rPr>
          <w:rFonts w:ascii="Sylfaen" w:hAnsi="Sylfaen"/>
          <w:b/>
          <w:szCs w:val="24"/>
        </w:rPr>
        <w:t xml:space="preserve"> հարկային օրինագիծ, որով նախատեսվում է պարզեցնել գործող եկամտային համակարգը՝ </w:t>
      </w:r>
      <w:r w:rsidR="00C6230C">
        <w:rPr>
          <w:rFonts w:ascii="Sylfaen" w:hAnsi="Sylfaen"/>
          <w:szCs w:val="24"/>
        </w:rPr>
        <w:t>գործող եռա</w:t>
      </w:r>
      <w:r w:rsidR="00160092">
        <w:rPr>
          <w:rFonts w:ascii="Sylfaen" w:hAnsi="Sylfaen"/>
          <w:szCs w:val="24"/>
        </w:rPr>
        <w:t>դրույք</w:t>
      </w:r>
      <w:r w:rsidR="00C6230C">
        <w:rPr>
          <w:rFonts w:ascii="Sylfaen" w:hAnsi="Sylfaen"/>
          <w:szCs w:val="24"/>
        </w:rPr>
        <w:t xml:space="preserve"> </w:t>
      </w:r>
      <w:r w:rsidR="00160092" w:rsidRPr="00AD2F83">
        <w:rPr>
          <w:rFonts w:ascii="Sylfaen" w:hAnsi="Sylfaen"/>
          <w:szCs w:val="24"/>
        </w:rPr>
        <w:t>(23, 28</w:t>
      </w:r>
      <w:r w:rsidR="00160092">
        <w:rPr>
          <w:rFonts w:ascii="Sylfaen" w:hAnsi="Sylfaen"/>
          <w:szCs w:val="24"/>
        </w:rPr>
        <w:t xml:space="preserve"> և</w:t>
      </w:r>
      <w:r w:rsidR="00160092" w:rsidRPr="00AD2F83">
        <w:rPr>
          <w:rFonts w:ascii="Sylfaen" w:hAnsi="Sylfaen"/>
          <w:szCs w:val="24"/>
        </w:rPr>
        <w:t xml:space="preserve"> 36</w:t>
      </w:r>
      <w:r w:rsidR="00160092">
        <w:rPr>
          <w:rFonts w:ascii="Sylfaen" w:hAnsi="Sylfaen"/>
          <w:szCs w:val="24"/>
        </w:rPr>
        <w:t xml:space="preserve"> տոկոս</w:t>
      </w:r>
      <w:r w:rsidR="00160092" w:rsidRPr="00AD2F83">
        <w:rPr>
          <w:rFonts w:ascii="Sylfaen" w:hAnsi="Sylfaen"/>
          <w:szCs w:val="24"/>
        </w:rPr>
        <w:t>)</w:t>
      </w:r>
      <w:r w:rsidR="00160092">
        <w:rPr>
          <w:rFonts w:ascii="Sylfaen" w:hAnsi="Sylfaen"/>
          <w:szCs w:val="24"/>
        </w:rPr>
        <w:t xml:space="preserve"> </w:t>
      </w:r>
      <w:r w:rsidR="00C6230C">
        <w:rPr>
          <w:rFonts w:ascii="Sylfaen" w:hAnsi="Sylfaen"/>
          <w:szCs w:val="24"/>
        </w:rPr>
        <w:t>եկամտահարկ</w:t>
      </w:r>
      <w:r w:rsidR="00160092">
        <w:rPr>
          <w:rFonts w:ascii="Sylfaen" w:hAnsi="Sylfaen"/>
          <w:szCs w:val="24"/>
        </w:rPr>
        <w:t>այ</w:t>
      </w:r>
      <w:r w:rsidR="00C6230C">
        <w:rPr>
          <w:rFonts w:ascii="Sylfaen" w:hAnsi="Sylfaen"/>
          <w:szCs w:val="24"/>
        </w:rPr>
        <w:t>ի</w:t>
      </w:r>
      <w:r w:rsidR="00160092">
        <w:rPr>
          <w:rFonts w:ascii="Sylfaen" w:hAnsi="Sylfaen"/>
          <w:szCs w:val="24"/>
        </w:rPr>
        <w:t>ն</w:t>
      </w:r>
      <w:r w:rsidR="00C6230C">
        <w:rPr>
          <w:rFonts w:ascii="Sylfaen" w:hAnsi="Sylfaen"/>
          <w:szCs w:val="24"/>
        </w:rPr>
        <w:t xml:space="preserve"> համակարգը փոխարինելով համահարթ միասնական դրույքաչափով</w:t>
      </w:r>
      <w:r w:rsidR="00D152C1" w:rsidRPr="00AD2F83">
        <w:rPr>
          <w:rFonts w:ascii="Sylfaen" w:hAnsi="Sylfaen"/>
          <w:szCs w:val="24"/>
        </w:rPr>
        <w:t xml:space="preserve"> (23</w:t>
      </w:r>
      <w:r w:rsidR="00C6230C">
        <w:rPr>
          <w:rFonts w:ascii="Sylfaen" w:hAnsi="Sylfaen"/>
          <w:szCs w:val="24"/>
        </w:rPr>
        <w:t xml:space="preserve"> տոկոս </w:t>
      </w:r>
      <w:r w:rsidR="00D152C1" w:rsidRPr="00AD2F83">
        <w:rPr>
          <w:rFonts w:ascii="Sylfaen" w:hAnsi="Sylfaen"/>
          <w:szCs w:val="24"/>
        </w:rPr>
        <w:t>2020</w:t>
      </w:r>
      <w:r w:rsidR="00C6230C">
        <w:rPr>
          <w:rFonts w:ascii="Sylfaen" w:hAnsi="Sylfaen"/>
          <w:szCs w:val="24"/>
        </w:rPr>
        <w:t xml:space="preserve"> թ-ին</w:t>
      </w:r>
      <w:r w:rsidR="00D152C1" w:rsidRPr="00AD2F83">
        <w:rPr>
          <w:rFonts w:ascii="Sylfaen" w:hAnsi="Sylfaen"/>
          <w:szCs w:val="24"/>
        </w:rPr>
        <w:t>)</w:t>
      </w:r>
      <w:r w:rsidR="00C6230C">
        <w:rPr>
          <w:rFonts w:ascii="Sylfaen" w:hAnsi="Sylfaen"/>
          <w:szCs w:val="24"/>
        </w:rPr>
        <w:t xml:space="preserve">: Առաջարկվող օրինագծում նաև նշվում է, որ եկամտային հարկի դրույքաչափը </w:t>
      </w:r>
      <w:r w:rsidR="00160092">
        <w:rPr>
          <w:rFonts w:ascii="Sylfaen" w:hAnsi="Sylfaen"/>
          <w:szCs w:val="24"/>
        </w:rPr>
        <w:t>կնվազեցվի</w:t>
      </w:r>
      <w:r w:rsidR="00C6230C">
        <w:rPr>
          <w:rFonts w:ascii="Sylfaen" w:hAnsi="Sylfaen"/>
          <w:szCs w:val="24"/>
        </w:rPr>
        <w:t xml:space="preserve"> աստիճանաբար</w:t>
      </w:r>
      <w:r w:rsidR="00160092">
        <w:rPr>
          <w:rFonts w:ascii="Sylfaen" w:hAnsi="Sylfaen"/>
          <w:szCs w:val="24"/>
        </w:rPr>
        <w:t xml:space="preserve"> և</w:t>
      </w:r>
      <w:r w:rsidR="00C6230C">
        <w:rPr>
          <w:rFonts w:ascii="Sylfaen" w:hAnsi="Sylfaen"/>
          <w:szCs w:val="24"/>
        </w:rPr>
        <w:t xml:space="preserve"> </w:t>
      </w:r>
      <w:r w:rsidR="00160092" w:rsidRPr="00AD2F83">
        <w:rPr>
          <w:rFonts w:ascii="Sylfaen" w:hAnsi="Sylfaen"/>
          <w:szCs w:val="24"/>
        </w:rPr>
        <w:t>2023</w:t>
      </w:r>
      <w:r w:rsidR="00160092">
        <w:rPr>
          <w:rFonts w:ascii="Sylfaen" w:hAnsi="Sylfaen"/>
          <w:szCs w:val="24"/>
        </w:rPr>
        <w:t>թ-ին կ</w:t>
      </w:r>
      <w:r w:rsidR="00C6230C">
        <w:rPr>
          <w:rFonts w:ascii="Sylfaen" w:hAnsi="Sylfaen"/>
          <w:szCs w:val="24"/>
        </w:rPr>
        <w:t>հասն</w:t>
      </w:r>
      <w:r w:rsidR="00160092">
        <w:rPr>
          <w:rFonts w:ascii="Sylfaen" w:hAnsi="Sylfaen"/>
          <w:szCs w:val="24"/>
        </w:rPr>
        <w:t>ի</w:t>
      </w:r>
      <w:r w:rsidR="00C6230C">
        <w:rPr>
          <w:rFonts w:ascii="Sylfaen" w:hAnsi="Sylfaen"/>
          <w:szCs w:val="24"/>
        </w:rPr>
        <w:t xml:space="preserve"> 20 տոկոսի: </w:t>
      </w:r>
      <w:r w:rsidR="00C47FDC" w:rsidRPr="00C47FDC">
        <w:rPr>
          <w:rFonts w:ascii="Sylfaen" w:hAnsi="Sylfaen"/>
          <w:szCs w:val="24"/>
        </w:rPr>
        <w:t>Բարեփոխումը ներառում է նա</w:t>
      </w:r>
      <w:r w:rsidR="00C47FDC">
        <w:rPr>
          <w:rFonts w:ascii="Sylfaen" w:hAnsi="Sylfaen"/>
          <w:szCs w:val="24"/>
        </w:rPr>
        <w:t xml:space="preserve">և </w:t>
      </w:r>
      <w:r w:rsidR="00C47FDC" w:rsidRPr="00C47FDC">
        <w:rPr>
          <w:rFonts w:ascii="Sylfaen" w:hAnsi="Sylfaen"/>
          <w:szCs w:val="24"/>
        </w:rPr>
        <w:t>1974 թ</w:t>
      </w:r>
      <w:r w:rsidR="00C47FDC">
        <w:rPr>
          <w:rFonts w:ascii="Sylfaen" w:hAnsi="Sylfaen"/>
          <w:szCs w:val="24"/>
        </w:rPr>
        <w:t>-ից հետո ծ</w:t>
      </w:r>
      <w:r w:rsidR="00C47FDC" w:rsidRPr="00C47FDC">
        <w:rPr>
          <w:rFonts w:ascii="Sylfaen" w:hAnsi="Sylfaen"/>
          <w:szCs w:val="24"/>
        </w:rPr>
        <w:t xml:space="preserve">նված </w:t>
      </w:r>
      <w:r w:rsidR="00C47FDC">
        <w:rPr>
          <w:rFonts w:ascii="Sylfaen" w:hAnsi="Sylfaen"/>
          <w:szCs w:val="24"/>
        </w:rPr>
        <w:t>աշխատողն</w:t>
      </w:r>
      <w:r w:rsidR="00C47FDC" w:rsidRPr="00C47FDC">
        <w:rPr>
          <w:rFonts w:ascii="Sylfaen" w:hAnsi="Sylfaen"/>
          <w:szCs w:val="24"/>
        </w:rPr>
        <w:t xml:space="preserve">երի կողմից վճարվող սոցիալական </w:t>
      </w:r>
      <w:r w:rsidR="00C47FDC">
        <w:rPr>
          <w:rFonts w:ascii="Sylfaen" w:hAnsi="Sylfaen"/>
          <w:szCs w:val="24"/>
        </w:rPr>
        <w:t>վճարների դրույքա</w:t>
      </w:r>
      <w:r w:rsidR="00C47FDC" w:rsidRPr="00C47FDC">
        <w:rPr>
          <w:rFonts w:ascii="Sylfaen" w:hAnsi="Sylfaen"/>
          <w:szCs w:val="24"/>
        </w:rPr>
        <w:t xml:space="preserve">չափի  </w:t>
      </w:r>
      <w:r w:rsidR="00C47FDC">
        <w:rPr>
          <w:rFonts w:ascii="Sylfaen" w:hAnsi="Sylfaen"/>
          <w:szCs w:val="24"/>
        </w:rPr>
        <w:t>և</w:t>
      </w:r>
      <w:r w:rsidR="00C47FDC" w:rsidRPr="00C47FDC">
        <w:rPr>
          <w:rFonts w:ascii="Sylfaen" w:hAnsi="Sylfaen"/>
          <w:szCs w:val="24"/>
        </w:rPr>
        <w:t xml:space="preserve"> ծխախոտի, ալկոհոլ</w:t>
      </w:r>
      <w:r w:rsidR="00C47FDC">
        <w:rPr>
          <w:rFonts w:ascii="Sylfaen" w:hAnsi="Sylfaen"/>
          <w:szCs w:val="24"/>
        </w:rPr>
        <w:t xml:space="preserve"> պարունակող խմիչքնեը</w:t>
      </w:r>
      <w:r w:rsidR="00C47FDC" w:rsidRPr="00C47FDC">
        <w:rPr>
          <w:rFonts w:ascii="Sylfaen" w:hAnsi="Sylfaen"/>
          <w:szCs w:val="24"/>
        </w:rPr>
        <w:t>ի, գարեջրի, բարձր</w:t>
      </w:r>
      <w:r w:rsidR="00C47FDC">
        <w:rPr>
          <w:rFonts w:ascii="Sylfaen" w:hAnsi="Sylfaen"/>
          <w:szCs w:val="24"/>
        </w:rPr>
        <w:t xml:space="preserve"> </w:t>
      </w:r>
      <w:r w:rsidR="00B578CF">
        <w:rPr>
          <w:rFonts w:ascii="Sylfaen" w:hAnsi="Sylfaen"/>
          <w:szCs w:val="24"/>
        </w:rPr>
        <w:t xml:space="preserve">թվով </w:t>
      </w:r>
      <w:r w:rsidR="00C47FDC">
        <w:rPr>
          <w:rFonts w:ascii="Sylfaen" w:hAnsi="Sylfaen"/>
          <w:szCs w:val="24"/>
        </w:rPr>
        <w:t xml:space="preserve">ձիաուժ ունեցող մեքենաների և </w:t>
      </w:r>
      <w:r w:rsidR="00C32D74">
        <w:rPr>
          <w:rFonts w:ascii="Sylfaen" w:hAnsi="Sylfaen"/>
          <w:szCs w:val="24"/>
        </w:rPr>
        <w:t>դրամախաղ</w:t>
      </w:r>
      <w:r w:rsidR="00C47FDC">
        <w:rPr>
          <w:rFonts w:ascii="Sylfaen" w:hAnsi="Sylfaen"/>
          <w:szCs w:val="24"/>
        </w:rPr>
        <w:t>երի հարկերի դրույքաչափի բարձրացում</w:t>
      </w:r>
      <w:r w:rsidR="008B7FC9" w:rsidRPr="008B7FC9">
        <w:rPr>
          <w:rFonts w:ascii="Sylfaen" w:hAnsi="Sylfaen"/>
          <w:szCs w:val="24"/>
        </w:rPr>
        <w:t xml:space="preserve"> </w:t>
      </w:r>
      <w:r w:rsidR="008B7FC9" w:rsidRPr="00C47FDC">
        <w:rPr>
          <w:rFonts w:ascii="Sylfaen" w:hAnsi="Sylfaen"/>
          <w:szCs w:val="24"/>
        </w:rPr>
        <w:t xml:space="preserve">(2,5-ից </w:t>
      </w:r>
      <w:r w:rsidR="008B7FC9">
        <w:rPr>
          <w:rFonts w:ascii="Sylfaen" w:hAnsi="Sylfaen"/>
          <w:szCs w:val="24"/>
        </w:rPr>
        <w:t xml:space="preserve">մինչև </w:t>
      </w:r>
      <w:r w:rsidR="008B7FC9" w:rsidRPr="00C47FDC">
        <w:rPr>
          <w:rFonts w:ascii="Sylfaen" w:hAnsi="Sylfaen"/>
          <w:szCs w:val="24"/>
        </w:rPr>
        <w:t>5 տոկոս)</w:t>
      </w:r>
      <w:r w:rsidR="00C47FDC">
        <w:rPr>
          <w:rFonts w:ascii="Sylfaen" w:hAnsi="Sylfaen"/>
          <w:szCs w:val="24"/>
        </w:rPr>
        <w:t xml:space="preserve">: </w:t>
      </w:r>
      <w:r w:rsidR="009C2F65" w:rsidRPr="00AD2F83">
        <w:rPr>
          <w:rFonts w:ascii="Sylfaen" w:hAnsi="Sylfaen"/>
          <w:szCs w:val="24"/>
        </w:rPr>
        <w:t xml:space="preserve"> </w:t>
      </w:r>
    </w:p>
    <w:p w:rsidR="00B9448F" w:rsidRPr="00AD2F83" w:rsidRDefault="00B9448F" w:rsidP="00B9448F">
      <w:pPr>
        <w:jc w:val="both"/>
        <w:rPr>
          <w:rFonts w:ascii="Sylfaen" w:hAnsi="Sylfaen"/>
          <w:szCs w:val="24"/>
        </w:rPr>
      </w:pPr>
    </w:p>
    <w:p w:rsidR="00DC1B1B" w:rsidRPr="00AD2F83" w:rsidRDefault="00C5656A" w:rsidP="00B9448F">
      <w:pPr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>Եկամտային հարկ</w:t>
      </w:r>
      <w:r w:rsidRPr="00C5656A">
        <w:rPr>
          <w:rFonts w:ascii="Sylfaen" w:hAnsi="Sylfaen"/>
          <w:b/>
          <w:szCs w:val="24"/>
        </w:rPr>
        <w:t xml:space="preserve">ի դրույքաչափերի բարեփոխման արդյունքում </w:t>
      </w:r>
      <w:r>
        <w:rPr>
          <w:rFonts w:ascii="Sylfaen" w:hAnsi="Sylfaen"/>
          <w:b/>
          <w:szCs w:val="24"/>
        </w:rPr>
        <w:t>և</w:t>
      </w:r>
      <w:r w:rsidRPr="00C5656A">
        <w:rPr>
          <w:rFonts w:ascii="Sylfaen" w:hAnsi="Sylfaen"/>
          <w:b/>
          <w:szCs w:val="24"/>
        </w:rPr>
        <w:t xml:space="preserve"> միայն ենթադրելով, որ մնացած ամեն ինչ</w:t>
      </w:r>
      <w:r w:rsidR="005A1244">
        <w:rPr>
          <w:rFonts w:ascii="Sylfaen" w:hAnsi="Sylfaen"/>
          <w:b/>
          <w:szCs w:val="24"/>
          <w:lang w:val="ru-RU"/>
        </w:rPr>
        <w:t>ը</w:t>
      </w:r>
      <w:r w:rsidRPr="00C5656A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b/>
          <w:szCs w:val="24"/>
        </w:rPr>
        <w:t>կմնա անփոփոխ (օրինակ</w:t>
      </w:r>
      <w:r w:rsidRPr="00C5656A">
        <w:rPr>
          <w:rFonts w:ascii="Sylfaen" w:hAnsi="Sylfaen"/>
          <w:b/>
          <w:szCs w:val="24"/>
        </w:rPr>
        <w:t>`</w:t>
      </w:r>
      <w:r>
        <w:rPr>
          <w:rFonts w:ascii="Sylfaen" w:hAnsi="Sylfaen"/>
          <w:b/>
          <w:szCs w:val="24"/>
        </w:rPr>
        <w:t xml:space="preserve"> չստացված </w:t>
      </w:r>
      <w:r w:rsidRPr="00C5656A">
        <w:rPr>
          <w:rFonts w:ascii="Sylfaen" w:hAnsi="Sylfaen"/>
          <w:b/>
          <w:szCs w:val="24"/>
        </w:rPr>
        <w:t xml:space="preserve">հարկային </w:t>
      </w:r>
      <w:r>
        <w:rPr>
          <w:rFonts w:ascii="Sylfaen" w:hAnsi="Sylfaen"/>
          <w:b/>
          <w:szCs w:val="24"/>
        </w:rPr>
        <w:t xml:space="preserve">մուտքերը </w:t>
      </w:r>
      <w:r w:rsidRPr="00C5656A">
        <w:rPr>
          <w:rFonts w:ascii="Sylfaen" w:hAnsi="Sylfaen"/>
          <w:b/>
          <w:szCs w:val="24"/>
        </w:rPr>
        <w:t>չ</w:t>
      </w:r>
      <w:r>
        <w:rPr>
          <w:rFonts w:ascii="Sylfaen" w:hAnsi="Sylfaen"/>
          <w:b/>
          <w:szCs w:val="24"/>
        </w:rPr>
        <w:t xml:space="preserve">են հանգեցնի </w:t>
      </w:r>
      <w:r w:rsidRPr="00C5656A">
        <w:rPr>
          <w:rFonts w:ascii="Sylfaen" w:hAnsi="Sylfaen"/>
          <w:b/>
          <w:szCs w:val="24"/>
        </w:rPr>
        <w:t>պետական ծախսերի կրճատմ</w:t>
      </w:r>
      <w:r>
        <w:rPr>
          <w:rFonts w:ascii="Sylfaen" w:hAnsi="Sylfaen"/>
          <w:b/>
          <w:szCs w:val="24"/>
        </w:rPr>
        <w:t>ան</w:t>
      </w:r>
      <w:r w:rsidRPr="00C5656A">
        <w:rPr>
          <w:rFonts w:ascii="Sylfaen" w:hAnsi="Sylfaen"/>
          <w:b/>
          <w:szCs w:val="24"/>
        </w:rPr>
        <w:t>ը), տնային տնտեսությունները կվայելեն եկամուտներ</w:t>
      </w:r>
      <w:r>
        <w:rPr>
          <w:rFonts w:ascii="Sylfaen" w:hAnsi="Sylfaen"/>
          <w:b/>
          <w:szCs w:val="24"/>
        </w:rPr>
        <w:t xml:space="preserve">ի մի փոքր ավելացում; </w:t>
      </w:r>
      <w:r w:rsidRPr="00C5656A">
        <w:rPr>
          <w:rFonts w:ascii="Sylfaen" w:hAnsi="Sylfaen"/>
          <w:b/>
          <w:szCs w:val="24"/>
        </w:rPr>
        <w:t xml:space="preserve">սակայն </w:t>
      </w:r>
      <w:r>
        <w:rPr>
          <w:rFonts w:ascii="Sylfaen" w:hAnsi="Sylfaen"/>
          <w:b/>
          <w:szCs w:val="24"/>
        </w:rPr>
        <w:t xml:space="preserve">այդ ավելացումը </w:t>
      </w:r>
      <w:r w:rsidR="007B536C" w:rsidRPr="00C5656A">
        <w:rPr>
          <w:rFonts w:ascii="Sylfaen" w:hAnsi="Sylfaen"/>
          <w:b/>
          <w:szCs w:val="24"/>
        </w:rPr>
        <w:t xml:space="preserve">ավելի բարձր </w:t>
      </w:r>
      <w:r>
        <w:rPr>
          <w:rFonts w:ascii="Sylfaen" w:hAnsi="Sylfaen"/>
          <w:b/>
          <w:szCs w:val="24"/>
        </w:rPr>
        <w:t xml:space="preserve">կլինի </w:t>
      </w:r>
      <w:r w:rsidR="00734D75">
        <w:rPr>
          <w:rFonts w:ascii="Sylfaen" w:hAnsi="Sylfaen"/>
          <w:b/>
          <w:szCs w:val="24"/>
        </w:rPr>
        <w:t xml:space="preserve">հարուստների շրջանում և </w:t>
      </w:r>
      <w:r w:rsidRPr="00C5656A">
        <w:rPr>
          <w:rFonts w:ascii="Sylfaen" w:hAnsi="Sylfaen"/>
          <w:b/>
          <w:szCs w:val="24"/>
        </w:rPr>
        <w:t>գրեթե աննշան</w:t>
      </w:r>
      <w:r w:rsidR="00734D75">
        <w:rPr>
          <w:rFonts w:ascii="Sylfaen" w:hAnsi="Sylfaen"/>
          <w:b/>
          <w:szCs w:val="24"/>
        </w:rPr>
        <w:t>՝</w:t>
      </w:r>
      <w:r w:rsidR="005A1244" w:rsidRPr="005A1244">
        <w:rPr>
          <w:rFonts w:ascii="Sylfaen" w:hAnsi="Sylfaen"/>
          <w:b/>
          <w:szCs w:val="24"/>
        </w:rPr>
        <w:t xml:space="preserve"> </w:t>
      </w:r>
      <w:r w:rsidR="005A1244">
        <w:rPr>
          <w:rFonts w:ascii="Sylfaen" w:hAnsi="Sylfaen"/>
          <w:b/>
          <w:szCs w:val="24"/>
          <w:lang w:val="ru-RU"/>
        </w:rPr>
        <w:t>բաշխման</w:t>
      </w:r>
      <w:r w:rsidR="00734D75">
        <w:rPr>
          <w:rFonts w:ascii="Sylfaen" w:hAnsi="Sylfaen"/>
          <w:b/>
          <w:szCs w:val="24"/>
        </w:rPr>
        <w:t xml:space="preserve"> </w:t>
      </w:r>
      <w:r w:rsidR="007B536C">
        <w:rPr>
          <w:rFonts w:ascii="Sylfaen" w:hAnsi="Sylfaen"/>
          <w:b/>
          <w:szCs w:val="24"/>
        </w:rPr>
        <w:t xml:space="preserve">ստորին </w:t>
      </w:r>
      <w:r w:rsidRPr="00C5656A">
        <w:rPr>
          <w:rFonts w:ascii="Sylfaen" w:hAnsi="Sylfaen"/>
          <w:b/>
          <w:szCs w:val="24"/>
        </w:rPr>
        <w:t>10 տոկոս</w:t>
      </w:r>
      <w:r w:rsidR="005A1244">
        <w:rPr>
          <w:rFonts w:ascii="Sylfaen" w:hAnsi="Sylfaen"/>
          <w:b/>
          <w:szCs w:val="24"/>
          <w:lang w:val="ru-RU"/>
        </w:rPr>
        <w:t>ը</w:t>
      </w:r>
      <w:r w:rsidR="005A1244" w:rsidRPr="005A1244">
        <w:rPr>
          <w:rFonts w:ascii="Sylfaen" w:hAnsi="Sylfaen"/>
          <w:b/>
          <w:szCs w:val="24"/>
        </w:rPr>
        <w:t xml:space="preserve"> </w:t>
      </w:r>
      <w:r w:rsidR="005A1244">
        <w:rPr>
          <w:rFonts w:ascii="Sylfaen" w:hAnsi="Sylfaen"/>
          <w:b/>
          <w:szCs w:val="24"/>
          <w:lang w:val="ru-RU"/>
        </w:rPr>
        <w:t>ներկայացնող</w:t>
      </w:r>
      <w:r w:rsidR="005A1244" w:rsidRPr="005A1244">
        <w:rPr>
          <w:rFonts w:ascii="Sylfaen" w:hAnsi="Sylfaen"/>
          <w:b/>
          <w:szCs w:val="24"/>
        </w:rPr>
        <w:t xml:space="preserve"> </w:t>
      </w:r>
      <w:r w:rsidR="005A1244">
        <w:rPr>
          <w:rFonts w:ascii="Sylfaen" w:hAnsi="Sylfaen"/>
          <w:b/>
          <w:szCs w:val="24"/>
          <w:lang w:val="ru-RU"/>
        </w:rPr>
        <w:t>խավ</w:t>
      </w:r>
      <w:r w:rsidRPr="00C5656A">
        <w:rPr>
          <w:rFonts w:ascii="Sylfaen" w:hAnsi="Sylfaen"/>
          <w:b/>
          <w:szCs w:val="24"/>
        </w:rPr>
        <w:t>ի համար</w:t>
      </w:r>
      <w:r w:rsidR="00BA173B" w:rsidRPr="00AD2F83">
        <w:rPr>
          <w:rFonts w:ascii="Sylfaen" w:hAnsi="Sylfaen"/>
          <w:b/>
          <w:szCs w:val="24"/>
        </w:rPr>
        <w:t>)</w:t>
      </w:r>
      <w:r w:rsidR="00734D75">
        <w:rPr>
          <w:rFonts w:ascii="Sylfaen" w:hAnsi="Sylfaen"/>
          <w:b/>
          <w:szCs w:val="24"/>
        </w:rPr>
        <w:t xml:space="preserve">: </w:t>
      </w:r>
      <w:r w:rsidR="007B536C">
        <w:rPr>
          <w:rFonts w:ascii="Sylfaen" w:hAnsi="Sylfaen"/>
          <w:szCs w:val="24"/>
        </w:rPr>
        <w:t>Օգտագործելով “Հավասարությա</w:t>
      </w:r>
      <w:r w:rsidR="00F35F82">
        <w:rPr>
          <w:rFonts w:ascii="Sylfaen" w:hAnsi="Sylfaen"/>
          <w:szCs w:val="24"/>
        </w:rPr>
        <w:t>ն ապահով</w:t>
      </w:r>
      <w:r w:rsidR="007B536C">
        <w:rPr>
          <w:rFonts w:ascii="Sylfaen" w:hAnsi="Sylfaen"/>
          <w:szCs w:val="24"/>
        </w:rPr>
        <w:t>ման</w:t>
      </w:r>
      <w:r w:rsidR="00F35F82">
        <w:rPr>
          <w:rFonts w:ascii="Sylfaen" w:hAnsi="Sylfaen"/>
          <w:szCs w:val="24"/>
        </w:rPr>
        <w:t xml:space="preserve"> հանձնառության” </w:t>
      </w:r>
      <w:r w:rsidR="007B536C">
        <w:rPr>
          <w:rFonts w:ascii="Sylfaen" w:hAnsi="Sylfaen"/>
          <w:szCs w:val="24"/>
        </w:rPr>
        <w:t xml:space="preserve">(Commitment to Equity/CEQ) </w:t>
      </w:r>
      <w:r w:rsidR="00F35F82">
        <w:rPr>
          <w:rFonts w:ascii="Sylfaen" w:hAnsi="Sylfaen"/>
          <w:szCs w:val="24"/>
        </w:rPr>
        <w:t>շրջանակներում Հայաստան</w:t>
      </w:r>
      <w:r w:rsidR="007B536C">
        <w:rPr>
          <w:rFonts w:ascii="Sylfaen" w:hAnsi="Sylfaen"/>
          <w:szCs w:val="24"/>
        </w:rPr>
        <w:t xml:space="preserve">ի համար կատարված հարկաբյուջետային ազդեցության </w:t>
      </w:r>
      <w:r w:rsidR="00F35F82">
        <w:rPr>
          <w:rFonts w:ascii="Sylfaen" w:hAnsi="Sylfaen"/>
          <w:szCs w:val="24"/>
        </w:rPr>
        <w:t xml:space="preserve">վերջին վերլուծությունը </w:t>
      </w:r>
      <w:r w:rsidR="007E2470" w:rsidRPr="00AD2F83">
        <w:rPr>
          <w:rFonts w:ascii="Sylfaen" w:hAnsi="Sylfaen"/>
          <w:szCs w:val="24"/>
        </w:rPr>
        <w:t xml:space="preserve">(2014), </w:t>
      </w:r>
      <w:r w:rsidR="00F35F82" w:rsidRPr="00F35F82">
        <w:rPr>
          <w:rFonts w:ascii="Sylfaen" w:hAnsi="Sylfaen"/>
          <w:szCs w:val="24"/>
        </w:rPr>
        <w:t xml:space="preserve">հաշվարկում ենք, որ </w:t>
      </w:r>
      <w:r w:rsidR="00FE2757">
        <w:rPr>
          <w:rFonts w:ascii="Sylfaen" w:hAnsi="Sylfaen"/>
          <w:szCs w:val="24"/>
        </w:rPr>
        <w:t xml:space="preserve">մնացած </w:t>
      </w:r>
      <w:r w:rsidR="00F35F82" w:rsidRPr="00F35F82">
        <w:rPr>
          <w:rFonts w:ascii="Sylfaen" w:hAnsi="Sylfaen"/>
          <w:szCs w:val="24"/>
        </w:rPr>
        <w:t xml:space="preserve">ամեն ինչ </w:t>
      </w:r>
      <w:r w:rsidR="007B536C">
        <w:rPr>
          <w:rFonts w:ascii="Sylfaen" w:hAnsi="Sylfaen"/>
          <w:szCs w:val="24"/>
        </w:rPr>
        <w:t>անփոփոխ</w:t>
      </w:r>
      <w:r w:rsidR="00FE2757">
        <w:rPr>
          <w:rFonts w:ascii="Sylfaen" w:hAnsi="Sylfaen"/>
          <w:szCs w:val="24"/>
        </w:rPr>
        <w:t xml:space="preserve"> լինելու պարագայում</w:t>
      </w:r>
      <w:r w:rsidR="00F35F82" w:rsidRPr="00F35F82">
        <w:rPr>
          <w:rFonts w:ascii="Sylfaen" w:hAnsi="Sylfaen"/>
          <w:szCs w:val="24"/>
        </w:rPr>
        <w:t xml:space="preserve">, </w:t>
      </w:r>
      <w:r w:rsidR="00FE2757">
        <w:rPr>
          <w:rFonts w:ascii="Sylfaen" w:hAnsi="Sylfaen"/>
          <w:szCs w:val="24"/>
        </w:rPr>
        <w:t xml:space="preserve">եկամտային հարկի </w:t>
      </w:r>
      <w:r w:rsidR="00FE2757" w:rsidRPr="00F35F82">
        <w:rPr>
          <w:rFonts w:ascii="Sylfaen" w:hAnsi="Sylfaen"/>
          <w:szCs w:val="24"/>
        </w:rPr>
        <w:t xml:space="preserve">բարեփոխումներից </w:t>
      </w:r>
      <w:r w:rsidR="00FE2757">
        <w:rPr>
          <w:rFonts w:ascii="Sylfaen" w:hAnsi="Sylfaen"/>
          <w:szCs w:val="24"/>
        </w:rPr>
        <w:t xml:space="preserve">ամենից առավել </w:t>
      </w:r>
      <w:r w:rsidR="00FE2757" w:rsidRPr="00F35F82">
        <w:rPr>
          <w:rFonts w:ascii="Sylfaen" w:hAnsi="Sylfaen"/>
          <w:szCs w:val="24"/>
        </w:rPr>
        <w:t xml:space="preserve">կօգտվեն </w:t>
      </w:r>
      <w:r w:rsidR="00F35F82" w:rsidRPr="00F35F82">
        <w:rPr>
          <w:rFonts w:ascii="Sylfaen" w:hAnsi="Sylfaen"/>
          <w:szCs w:val="24"/>
        </w:rPr>
        <w:t>երկր</w:t>
      </w:r>
      <w:r w:rsidR="00FE2757">
        <w:rPr>
          <w:rFonts w:ascii="Sylfaen" w:hAnsi="Sylfaen"/>
          <w:szCs w:val="24"/>
        </w:rPr>
        <w:t>ի</w:t>
      </w:r>
      <w:r w:rsidR="00F35F82" w:rsidRPr="00F35F82">
        <w:rPr>
          <w:rFonts w:ascii="Sylfaen" w:hAnsi="Sylfaen"/>
          <w:szCs w:val="24"/>
        </w:rPr>
        <w:t xml:space="preserve"> չորս ամենահարուստ դեցիլներ</w:t>
      </w:r>
      <w:r w:rsidR="00FE2757">
        <w:rPr>
          <w:rFonts w:ascii="Sylfaen" w:hAnsi="Sylfaen"/>
          <w:szCs w:val="24"/>
        </w:rPr>
        <w:t>ի ներկայացուցիչները</w:t>
      </w:r>
      <w:r w:rsidR="00F35F82" w:rsidRPr="00F35F82">
        <w:rPr>
          <w:rFonts w:ascii="Sylfaen" w:hAnsi="Sylfaen"/>
          <w:szCs w:val="24"/>
        </w:rPr>
        <w:t xml:space="preserve">, </w:t>
      </w:r>
      <w:r w:rsidR="00FE2757">
        <w:rPr>
          <w:rFonts w:ascii="Sylfaen" w:hAnsi="Sylfaen"/>
          <w:szCs w:val="24"/>
        </w:rPr>
        <w:t xml:space="preserve">ընդ որում մինչև </w:t>
      </w:r>
      <w:r w:rsidR="00FE2757" w:rsidRPr="00F35F82">
        <w:rPr>
          <w:rFonts w:ascii="Sylfaen" w:hAnsi="Sylfaen"/>
          <w:szCs w:val="24"/>
        </w:rPr>
        <w:t>2023</w:t>
      </w:r>
      <w:r w:rsidR="00FE2757">
        <w:rPr>
          <w:rFonts w:ascii="Sylfaen" w:hAnsi="Sylfaen"/>
          <w:szCs w:val="24"/>
        </w:rPr>
        <w:t xml:space="preserve"> թվականը</w:t>
      </w:r>
      <w:r w:rsidR="00FE2757" w:rsidRPr="00F35F82">
        <w:rPr>
          <w:rFonts w:ascii="Sylfaen" w:hAnsi="Sylfaen"/>
          <w:szCs w:val="24"/>
        </w:rPr>
        <w:t xml:space="preserve"> </w:t>
      </w:r>
      <w:r w:rsidR="00FE2757">
        <w:rPr>
          <w:rFonts w:ascii="Sylfaen" w:hAnsi="Sylfaen"/>
          <w:szCs w:val="24"/>
        </w:rPr>
        <w:t>տնային տնտեսությու</w:t>
      </w:r>
      <w:r w:rsidR="00FE2757" w:rsidRPr="00F35F82">
        <w:rPr>
          <w:rFonts w:ascii="Sylfaen" w:hAnsi="Sylfaen"/>
          <w:szCs w:val="24"/>
        </w:rPr>
        <w:t>ն</w:t>
      </w:r>
      <w:r w:rsidR="00FE2757">
        <w:rPr>
          <w:rFonts w:ascii="Sylfaen" w:hAnsi="Sylfaen"/>
          <w:szCs w:val="24"/>
        </w:rPr>
        <w:t>ների</w:t>
      </w:r>
      <w:r w:rsidR="00FE2757" w:rsidRPr="00F35F82">
        <w:rPr>
          <w:rFonts w:ascii="Sylfaen" w:hAnsi="Sylfaen"/>
          <w:szCs w:val="24"/>
        </w:rPr>
        <w:t xml:space="preserve"> </w:t>
      </w:r>
      <w:r w:rsidR="00FE2757">
        <w:rPr>
          <w:rFonts w:ascii="Sylfaen" w:hAnsi="Sylfaen"/>
          <w:szCs w:val="24"/>
        </w:rPr>
        <w:t>տնօրին</w:t>
      </w:r>
      <w:r w:rsidR="007B536C">
        <w:rPr>
          <w:rFonts w:ascii="Sylfaen" w:hAnsi="Sylfaen"/>
          <w:szCs w:val="24"/>
        </w:rPr>
        <w:t>վող</w:t>
      </w:r>
      <w:r w:rsidR="00FE2757">
        <w:rPr>
          <w:rFonts w:ascii="Sylfaen" w:hAnsi="Sylfaen"/>
          <w:szCs w:val="24"/>
        </w:rPr>
        <w:t xml:space="preserve"> եկամուտների մեկանգամյա աճը </w:t>
      </w:r>
      <w:r w:rsidR="00AC7ACF">
        <w:rPr>
          <w:rFonts w:ascii="Sylfaen" w:hAnsi="Sylfaen"/>
          <w:szCs w:val="24"/>
        </w:rPr>
        <w:t xml:space="preserve">ավելի քան 4 տոկոսով </w:t>
      </w:r>
      <w:r w:rsidR="00FE2757">
        <w:rPr>
          <w:rFonts w:ascii="Sylfaen" w:hAnsi="Sylfaen"/>
          <w:szCs w:val="24"/>
        </w:rPr>
        <w:t>կգերազանցի դրանց գոյություն ունեցող մ</w:t>
      </w:r>
      <w:r w:rsidR="00A708BA">
        <w:rPr>
          <w:rFonts w:ascii="Sylfaen" w:hAnsi="Sylfaen"/>
          <w:szCs w:val="24"/>
        </w:rPr>
        <w:t>ա</w:t>
      </w:r>
      <w:r w:rsidR="00FE2757">
        <w:rPr>
          <w:rFonts w:ascii="Sylfaen" w:hAnsi="Sylfaen"/>
          <w:szCs w:val="24"/>
        </w:rPr>
        <w:t>կարդակը</w:t>
      </w:r>
      <w:r w:rsidR="00A708BA">
        <w:rPr>
          <w:rFonts w:ascii="Sylfaen" w:hAnsi="Sylfaen"/>
          <w:szCs w:val="24"/>
        </w:rPr>
        <w:t xml:space="preserve">: Ի </w:t>
      </w:r>
      <w:r w:rsidR="007B536C">
        <w:rPr>
          <w:rFonts w:ascii="Sylfaen" w:hAnsi="Sylfaen"/>
          <w:szCs w:val="24"/>
        </w:rPr>
        <w:t>տարբերություն դրան</w:t>
      </w:r>
      <w:r w:rsidR="00A708BA">
        <w:rPr>
          <w:rFonts w:ascii="Sylfaen" w:hAnsi="Sylfaen"/>
          <w:szCs w:val="24"/>
        </w:rPr>
        <w:t xml:space="preserve">, բաշխման </w:t>
      </w:r>
      <w:r w:rsidR="002C7BA3">
        <w:rPr>
          <w:rFonts w:ascii="Sylfaen" w:hAnsi="Sylfaen"/>
          <w:szCs w:val="24"/>
        </w:rPr>
        <w:t xml:space="preserve">ստորին </w:t>
      </w:r>
      <w:r w:rsidR="00A10826" w:rsidRPr="00AD2F83">
        <w:rPr>
          <w:rFonts w:ascii="Sylfaen" w:hAnsi="Sylfaen"/>
          <w:szCs w:val="24"/>
        </w:rPr>
        <w:t>10</w:t>
      </w:r>
      <w:r w:rsidR="002C7BA3">
        <w:rPr>
          <w:rFonts w:ascii="Sylfaen" w:hAnsi="Sylfaen"/>
          <w:szCs w:val="24"/>
        </w:rPr>
        <w:t xml:space="preserve"> տոկոս</w:t>
      </w:r>
      <w:r w:rsidR="00105AED">
        <w:rPr>
          <w:rFonts w:ascii="Sylfaen" w:hAnsi="Sylfaen"/>
          <w:szCs w:val="24"/>
        </w:rPr>
        <w:t>ը ներկայացնող տնային տնտեսությունների</w:t>
      </w:r>
      <w:r w:rsidR="002C7BA3">
        <w:rPr>
          <w:rFonts w:ascii="Sylfaen" w:hAnsi="Sylfaen"/>
          <w:szCs w:val="24"/>
        </w:rPr>
        <w:t xml:space="preserve"> եկամուտներ</w:t>
      </w:r>
      <w:r w:rsidR="00B836FA">
        <w:rPr>
          <w:rFonts w:ascii="Sylfaen" w:hAnsi="Sylfaen"/>
          <w:szCs w:val="24"/>
          <w:lang w:val="ru-RU"/>
        </w:rPr>
        <w:t>ի</w:t>
      </w:r>
      <w:r w:rsidR="00B836FA" w:rsidRPr="00B836FA">
        <w:rPr>
          <w:rFonts w:ascii="Sylfaen" w:hAnsi="Sylfaen"/>
          <w:szCs w:val="24"/>
        </w:rPr>
        <w:t xml:space="preserve"> </w:t>
      </w:r>
      <w:r w:rsidR="002C7BA3">
        <w:rPr>
          <w:rFonts w:ascii="Sylfaen" w:hAnsi="Sylfaen"/>
          <w:szCs w:val="24"/>
        </w:rPr>
        <w:t>ա</w:t>
      </w:r>
      <w:r w:rsidR="00105AED">
        <w:rPr>
          <w:rFonts w:ascii="Sylfaen" w:hAnsi="Sylfaen"/>
          <w:szCs w:val="24"/>
        </w:rPr>
        <w:t>ճ</w:t>
      </w:r>
      <w:r w:rsidR="00B836FA">
        <w:rPr>
          <w:rFonts w:ascii="Sylfaen" w:hAnsi="Sylfaen"/>
          <w:szCs w:val="24"/>
          <w:lang w:val="ru-RU"/>
        </w:rPr>
        <w:t>ը</w:t>
      </w:r>
      <w:r w:rsidR="00B836FA" w:rsidRPr="00B836FA">
        <w:rPr>
          <w:rFonts w:ascii="Sylfaen" w:hAnsi="Sylfaen"/>
          <w:szCs w:val="24"/>
        </w:rPr>
        <w:t xml:space="preserve"> </w:t>
      </w:r>
      <w:r w:rsidR="00B836FA">
        <w:rPr>
          <w:rFonts w:ascii="Sylfaen" w:hAnsi="Sylfaen"/>
          <w:szCs w:val="24"/>
          <w:lang w:val="ru-RU"/>
        </w:rPr>
        <w:t>կլինի</w:t>
      </w:r>
      <w:r w:rsidR="00B836FA" w:rsidRPr="00B836FA">
        <w:rPr>
          <w:rFonts w:ascii="Sylfaen" w:hAnsi="Sylfaen"/>
          <w:szCs w:val="24"/>
        </w:rPr>
        <w:t xml:space="preserve"> </w:t>
      </w:r>
      <w:r w:rsidR="002C7BA3">
        <w:rPr>
          <w:rFonts w:ascii="Sylfaen" w:hAnsi="Sylfaen"/>
          <w:szCs w:val="24"/>
        </w:rPr>
        <w:t>0,5 տոկոս</w:t>
      </w:r>
      <w:r w:rsidR="00B836FA">
        <w:rPr>
          <w:rFonts w:ascii="Sylfaen" w:hAnsi="Sylfaen"/>
          <w:szCs w:val="24"/>
          <w:lang w:val="ru-RU"/>
        </w:rPr>
        <w:t>ից</w:t>
      </w:r>
      <w:r w:rsidR="00B836FA" w:rsidRPr="00B836FA">
        <w:rPr>
          <w:rFonts w:ascii="Sylfaen" w:hAnsi="Sylfaen"/>
          <w:szCs w:val="24"/>
        </w:rPr>
        <w:t xml:space="preserve"> </w:t>
      </w:r>
      <w:r w:rsidR="00B836FA">
        <w:rPr>
          <w:rFonts w:ascii="Sylfaen" w:hAnsi="Sylfaen"/>
          <w:szCs w:val="24"/>
          <w:lang w:val="ru-RU"/>
        </w:rPr>
        <w:t>էլ</w:t>
      </w:r>
      <w:r w:rsidR="00B836FA" w:rsidRPr="00B836FA">
        <w:rPr>
          <w:rFonts w:ascii="Sylfaen" w:hAnsi="Sylfaen"/>
          <w:szCs w:val="24"/>
        </w:rPr>
        <w:t xml:space="preserve"> </w:t>
      </w:r>
      <w:r w:rsidR="00B836FA">
        <w:rPr>
          <w:rFonts w:ascii="Sylfaen" w:hAnsi="Sylfaen"/>
          <w:szCs w:val="24"/>
          <w:lang w:val="ru-RU"/>
        </w:rPr>
        <w:t>պակաս</w:t>
      </w:r>
      <w:r w:rsidR="002C7BA3">
        <w:rPr>
          <w:rFonts w:ascii="Sylfaen" w:hAnsi="Sylfaen"/>
          <w:szCs w:val="24"/>
        </w:rPr>
        <w:t xml:space="preserve">: </w:t>
      </w:r>
      <w:r w:rsidR="008A4D8A">
        <w:rPr>
          <w:rFonts w:ascii="Sylfaen" w:hAnsi="Sylfaen"/>
          <w:szCs w:val="24"/>
        </w:rPr>
        <w:t>Այս աճի գերակշռ</w:t>
      </w:r>
      <w:r w:rsidR="00105AED">
        <w:rPr>
          <w:rFonts w:ascii="Sylfaen" w:hAnsi="Sylfaen"/>
          <w:szCs w:val="24"/>
        </w:rPr>
        <w:t>ող</w:t>
      </w:r>
      <w:r w:rsidR="008A4D8A">
        <w:rPr>
          <w:rFonts w:ascii="Sylfaen" w:hAnsi="Sylfaen"/>
          <w:szCs w:val="24"/>
        </w:rPr>
        <w:t xml:space="preserve"> մասը </w:t>
      </w:r>
      <w:r w:rsidR="00517871" w:rsidRPr="00AD2F83">
        <w:rPr>
          <w:rFonts w:ascii="Sylfaen" w:hAnsi="Sylfaen"/>
          <w:szCs w:val="24"/>
        </w:rPr>
        <w:t>(60</w:t>
      </w:r>
      <w:r w:rsidR="00517871">
        <w:rPr>
          <w:rFonts w:ascii="Sylfaen" w:hAnsi="Sylfaen"/>
          <w:szCs w:val="24"/>
        </w:rPr>
        <w:t>-</w:t>
      </w:r>
      <w:r w:rsidR="00517871" w:rsidRPr="00AD2F83">
        <w:rPr>
          <w:rFonts w:ascii="Sylfaen" w:hAnsi="Sylfaen"/>
          <w:szCs w:val="24"/>
        </w:rPr>
        <w:t>80</w:t>
      </w:r>
      <w:r w:rsidR="00517871">
        <w:rPr>
          <w:rFonts w:ascii="Sylfaen" w:hAnsi="Sylfaen"/>
          <w:szCs w:val="24"/>
        </w:rPr>
        <w:t xml:space="preserve"> տոկոս</w:t>
      </w:r>
      <w:r w:rsidR="00517871" w:rsidRPr="00AD2F83">
        <w:rPr>
          <w:rFonts w:ascii="Sylfaen" w:hAnsi="Sylfaen"/>
          <w:szCs w:val="24"/>
        </w:rPr>
        <w:t>)</w:t>
      </w:r>
      <w:r w:rsidR="00517871">
        <w:rPr>
          <w:rFonts w:ascii="Sylfaen" w:hAnsi="Sylfaen"/>
          <w:szCs w:val="24"/>
        </w:rPr>
        <w:t xml:space="preserve"> </w:t>
      </w:r>
      <w:r w:rsidR="008A4D8A">
        <w:rPr>
          <w:rFonts w:ascii="Sylfaen" w:hAnsi="Sylfaen"/>
          <w:szCs w:val="24"/>
        </w:rPr>
        <w:t xml:space="preserve">պայմանավորված </w:t>
      </w:r>
      <w:r w:rsidR="00A21EA3">
        <w:rPr>
          <w:rFonts w:ascii="Sylfaen" w:hAnsi="Sylfaen"/>
          <w:szCs w:val="24"/>
          <w:lang w:val="ru-RU"/>
        </w:rPr>
        <w:t>կլինի</w:t>
      </w:r>
      <w:r w:rsidR="008A4D8A">
        <w:rPr>
          <w:rFonts w:ascii="Sylfaen" w:hAnsi="Sylfaen"/>
          <w:szCs w:val="24"/>
        </w:rPr>
        <w:t xml:space="preserve"> </w:t>
      </w:r>
      <w:r w:rsidR="008A4D8A" w:rsidRPr="00AD2F83">
        <w:rPr>
          <w:rFonts w:ascii="Sylfaen" w:hAnsi="Sylfaen"/>
          <w:szCs w:val="24"/>
        </w:rPr>
        <w:t>2020</w:t>
      </w:r>
      <w:r w:rsidR="008A4D8A">
        <w:rPr>
          <w:rFonts w:ascii="Sylfaen" w:hAnsi="Sylfaen"/>
          <w:szCs w:val="24"/>
        </w:rPr>
        <w:t xml:space="preserve">-ից մինչև </w:t>
      </w:r>
      <w:r w:rsidR="008A4D8A" w:rsidRPr="00AD2F83">
        <w:rPr>
          <w:rFonts w:ascii="Sylfaen" w:hAnsi="Sylfaen"/>
          <w:szCs w:val="24"/>
        </w:rPr>
        <w:t>2023</w:t>
      </w:r>
      <w:r w:rsidR="008A4D8A">
        <w:rPr>
          <w:rFonts w:ascii="Sylfaen" w:hAnsi="Sylfaen"/>
          <w:szCs w:val="24"/>
        </w:rPr>
        <w:t xml:space="preserve"> թվականը</w:t>
      </w:r>
      <w:r w:rsidR="008A4D8A" w:rsidRPr="00AD2F83">
        <w:rPr>
          <w:rFonts w:ascii="Sylfaen" w:hAnsi="Sylfaen"/>
          <w:szCs w:val="24"/>
        </w:rPr>
        <w:t xml:space="preserve"> </w:t>
      </w:r>
      <w:r w:rsidR="008A4D8A">
        <w:rPr>
          <w:rFonts w:ascii="Sylfaen" w:hAnsi="Sylfaen"/>
          <w:szCs w:val="24"/>
        </w:rPr>
        <w:t xml:space="preserve">համահարթ </w:t>
      </w:r>
      <w:r w:rsidR="008A4D8A">
        <w:rPr>
          <w:rFonts w:ascii="Sylfaen" w:hAnsi="Sylfaen"/>
          <w:szCs w:val="24"/>
        </w:rPr>
        <w:lastRenderedPageBreak/>
        <w:t xml:space="preserve">դրույքաչափի աստիճանական (23-ից մինչև 20 տոկոս) </w:t>
      </w:r>
      <w:r w:rsidR="00517871">
        <w:rPr>
          <w:rFonts w:ascii="Sylfaen" w:hAnsi="Sylfaen"/>
          <w:szCs w:val="24"/>
        </w:rPr>
        <w:t>նվազ</w:t>
      </w:r>
      <w:r w:rsidR="00051384">
        <w:rPr>
          <w:rFonts w:ascii="Sylfaen" w:hAnsi="Sylfaen"/>
          <w:szCs w:val="24"/>
        </w:rPr>
        <w:t>եցմամբ</w:t>
      </w:r>
      <w:r w:rsidR="00517871">
        <w:rPr>
          <w:rFonts w:ascii="Sylfaen" w:hAnsi="Sylfaen"/>
          <w:szCs w:val="24"/>
        </w:rPr>
        <w:t xml:space="preserve">, ոչ թե </w:t>
      </w:r>
      <w:r w:rsidR="008A4D8A">
        <w:rPr>
          <w:rFonts w:ascii="Sylfaen" w:hAnsi="Sylfaen"/>
          <w:szCs w:val="24"/>
        </w:rPr>
        <w:t xml:space="preserve"> </w:t>
      </w:r>
      <w:r w:rsidR="00517871">
        <w:rPr>
          <w:rFonts w:ascii="Sylfaen" w:hAnsi="Sylfaen"/>
          <w:szCs w:val="24"/>
        </w:rPr>
        <w:t>2020 թ-ին եռա</w:t>
      </w:r>
      <w:r w:rsidR="00051384">
        <w:rPr>
          <w:rFonts w:ascii="Sylfaen" w:hAnsi="Sylfaen"/>
          <w:szCs w:val="24"/>
        </w:rPr>
        <w:t xml:space="preserve">դրույք </w:t>
      </w:r>
      <w:r w:rsidR="00517871">
        <w:rPr>
          <w:rFonts w:ascii="Sylfaen" w:hAnsi="Sylfaen"/>
          <w:szCs w:val="24"/>
        </w:rPr>
        <w:t xml:space="preserve">համակարգից </w:t>
      </w:r>
      <w:r w:rsidR="00DC7E2A" w:rsidRPr="00AD2F83">
        <w:rPr>
          <w:rFonts w:ascii="Sylfaen" w:hAnsi="Sylfaen"/>
          <w:szCs w:val="24"/>
        </w:rPr>
        <w:t>23</w:t>
      </w:r>
      <w:r w:rsidR="00517871">
        <w:rPr>
          <w:rFonts w:ascii="Sylfaen" w:hAnsi="Sylfaen"/>
          <w:szCs w:val="24"/>
        </w:rPr>
        <w:t xml:space="preserve"> տոկոս համահարթ դրույքաչափ</w:t>
      </w:r>
      <w:r w:rsidR="00051384">
        <w:rPr>
          <w:rFonts w:ascii="Sylfaen" w:hAnsi="Sylfaen"/>
          <w:szCs w:val="24"/>
        </w:rPr>
        <w:t>ով</w:t>
      </w:r>
      <w:r w:rsidR="00517871">
        <w:rPr>
          <w:rFonts w:ascii="Sylfaen" w:hAnsi="Sylfaen"/>
          <w:szCs w:val="24"/>
        </w:rPr>
        <w:t xml:space="preserve"> համակարգին անցնելու արդյունք:</w:t>
      </w:r>
      <w:r w:rsidR="00B9448F" w:rsidRPr="00AD2F83">
        <w:rPr>
          <w:rFonts w:ascii="Sylfaen" w:hAnsi="Sylfaen"/>
          <w:szCs w:val="24"/>
        </w:rPr>
        <w:t xml:space="preserve"> </w:t>
      </w:r>
    </w:p>
    <w:p w:rsidR="00E27A65" w:rsidRPr="00AD2F83" w:rsidRDefault="00E27A65" w:rsidP="00B9448F">
      <w:pPr>
        <w:jc w:val="both"/>
        <w:rPr>
          <w:rFonts w:ascii="Sylfaen" w:hAnsi="Sylfaen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</w:tblGrid>
      <w:tr w:rsidR="00A10826" w:rsidRPr="00AD2F83" w:rsidTr="00F713B1">
        <w:tc>
          <w:tcPr>
            <w:tcW w:w="4680" w:type="dxa"/>
          </w:tcPr>
          <w:p w:rsidR="00A10826" w:rsidRPr="00AD2F83" w:rsidRDefault="009219C4" w:rsidP="00112C1D">
            <w:pPr>
              <w:jc w:val="center"/>
              <w:rPr>
                <w:rFonts w:ascii="Sylfaen" w:hAnsi="Sylfaen" w:cs="Calibri"/>
                <w:color w:val="000000"/>
                <w:szCs w:val="24"/>
              </w:rPr>
            </w:pPr>
            <w:r w:rsidRPr="00C512D4">
              <w:rPr>
                <w:rFonts w:ascii="Sylfaen" w:hAnsi="Sylfaen" w:cs="Calibri"/>
                <w:b/>
                <w:color w:val="000000"/>
                <w:sz w:val="22"/>
              </w:rPr>
              <w:t>Եկամտային հարկի բարեփոխումների արդյունքում ստացվող եկամուտների աճ</w:t>
            </w:r>
            <w:r w:rsidR="00112C1D" w:rsidRPr="00C512D4">
              <w:rPr>
                <w:rFonts w:ascii="Sylfaen" w:hAnsi="Sylfaen" w:cs="Calibri"/>
                <w:b/>
                <w:color w:val="000000"/>
                <w:sz w:val="22"/>
              </w:rPr>
              <w:t>ից</w:t>
            </w:r>
            <w:r w:rsidRPr="00C512D4">
              <w:rPr>
                <w:rFonts w:ascii="Sylfaen" w:hAnsi="Sylfaen" w:cs="Calibri"/>
                <w:b/>
                <w:color w:val="000000"/>
                <w:sz w:val="22"/>
              </w:rPr>
              <w:t xml:space="preserve"> </w:t>
            </w:r>
            <w:r w:rsidR="008E0025" w:rsidRPr="00C512D4">
              <w:rPr>
                <w:rFonts w:ascii="Sylfaen" w:hAnsi="Sylfaen" w:cs="Calibri"/>
                <w:b/>
                <w:color w:val="000000"/>
                <w:sz w:val="22"/>
              </w:rPr>
              <w:t>(</w:t>
            </w:r>
            <w:r w:rsidRPr="00C512D4">
              <w:rPr>
                <w:rFonts w:ascii="Sylfaen" w:hAnsi="Sylfaen" w:cs="Calibri"/>
                <w:b/>
                <w:color w:val="000000"/>
                <w:sz w:val="22"/>
              </w:rPr>
              <w:t>մնացած բոլորը հաստատուն լինելու դեպքում</w:t>
            </w:r>
            <w:r w:rsidR="008E0025" w:rsidRPr="00C512D4">
              <w:rPr>
                <w:rFonts w:ascii="Sylfaen" w:hAnsi="Sylfaen" w:cs="Calibri"/>
                <w:b/>
                <w:color w:val="000000"/>
                <w:sz w:val="22"/>
              </w:rPr>
              <w:t xml:space="preserve">) </w:t>
            </w:r>
            <w:r w:rsidR="00112C1D" w:rsidRPr="00C512D4">
              <w:rPr>
                <w:rFonts w:ascii="Sylfaen" w:hAnsi="Sylfaen" w:cs="Calibri"/>
                <w:b/>
                <w:color w:val="000000"/>
                <w:sz w:val="22"/>
              </w:rPr>
              <w:t xml:space="preserve">ավելի շատ կօգտվեն </w:t>
            </w:r>
            <w:r w:rsidR="004D09A5" w:rsidRPr="00C512D4">
              <w:rPr>
                <w:rFonts w:ascii="Sylfaen" w:hAnsi="Sylfaen" w:cs="Calibri"/>
                <w:b/>
                <w:color w:val="000000"/>
                <w:sz w:val="22"/>
              </w:rPr>
              <w:t xml:space="preserve">առավել </w:t>
            </w:r>
            <w:r w:rsidR="00112C1D" w:rsidRPr="00C512D4">
              <w:rPr>
                <w:rFonts w:ascii="Sylfaen" w:hAnsi="Sylfaen" w:cs="Calibri"/>
                <w:b/>
                <w:color w:val="000000"/>
                <w:sz w:val="22"/>
              </w:rPr>
              <w:t xml:space="preserve">ապահովվածները: </w:t>
            </w:r>
          </w:p>
        </w:tc>
      </w:tr>
      <w:tr w:rsidR="00A10826" w:rsidRPr="00AD2F83" w:rsidTr="00F713B1">
        <w:tc>
          <w:tcPr>
            <w:tcW w:w="4680" w:type="dxa"/>
          </w:tcPr>
          <w:p w:rsidR="00A10826" w:rsidRPr="00AD2F83" w:rsidRDefault="00F3204C" w:rsidP="008E0025">
            <w:pPr>
              <w:jc w:val="center"/>
              <w:rPr>
                <w:rFonts w:ascii="Sylfaen" w:hAnsi="Sylfaen" w:cs="Calibri"/>
                <w:color w:val="000000"/>
                <w:szCs w:val="24"/>
              </w:rPr>
            </w:pPr>
            <w:r w:rsidRPr="00C512D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2172112</wp:posOffset>
                      </wp:positionH>
                      <wp:positionV relativeFrom="paragraph">
                        <wp:posOffset>508257</wp:posOffset>
                      </wp:positionV>
                      <wp:extent cx="676275" cy="560534"/>
                      <wp:effectExtent l="0" t="0" r="9525" b="0"/>
                      <wp:wrapNone/>
                      <wp:docPr id="3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6275" cy="5605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59A0" w:rsidRDefault="009259A0" w:rsidP="009A3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71.05pt;margin-top:40pt;width:53.25pt;height:4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" fillcolor="#c5e0b3 [1305]" stroked="f" strokeweight="1pt">
                      <v:fill opacity="32896f"/>
                      <v:stroke joinstyle="miter"/>
                      <v:textbox>
                        <w:txbxContent>
                          <w:p w:rsidR="009259A0" w:rsidRDefault="009259A0" w:rsidP="009A30CF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94187"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Տնային տնտեսության տնօրինվող եկամտի ավելացումները</w:t>
            </w:r>
            <w:r w:rsidR="008E0025"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(</w:t>
            </w:r>
            <w:r w:rsidR="00994187"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ըստ դեցիլների</w:t>
            </w:r>
            <w:r w:rsidR="008E0025"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)</w:t>
            </w:r>
          </w:p>
          <w:p w:rsidR="00A10826" w:rsidRPr="00AD2F83" w:rsidRDefault="00F3204C" w:rsidP="00DC7E2A">
            <w:pPr>
              <w:rPr>
                <w:rFonts w:ascii="Sylfaen" w:hAnsi="Sylfaen" w:cs="Calibri"/>
                <w:color w:val="00000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1982470</wp:posOffset>
                      </wp:positionV>
                      <wp:extent cx="798830" cy="299085"/>
                      <wp:effectExtent l="0" t="0" r="0" b="0"/>
                      <wp:wrapNone/>
                      <wp:docPr id="3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8830" cy="299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49BE5A" id="Oval 3" o:spid="_x0000_s1026" style="position:absolute;margin-left:159.65pt;margin-top:156.1pt;width:62.9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" fillcolor="#f7caac [1301]" stroked="f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1679575</wp:posOffset>
                      </wp:positionV>
                      <wp:extent cx="800100" cy="369570"/>
                      <wp:effectExtent l="0" t="0" r="0" b="0"/>
                      <wp:wrapNone/>
                      <wp:docPr id="3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369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24AD" w:rsidRPr="00E90C9C" w:rsidRDefault="008024AD">
                                  <w:pPr>
                                    <w:rPr>
                                      <w:rFonts w:ascii="Sylfaen" w:hAnsi="Sylfaen"/>
                                      <w:color w:val="ED7D31" w:themeColor="accen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color w:val="ED7D31" w:themeColor="accent2"/>
                                      <w:sz w:val="14"/>
                                      <w:szCs w:val="14"/>
                                    </w:rPr>
                                    <w:t>Նվազագույն ավելացում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163.1pt;margin-top:132.25pt;width:63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" filled="f" stroked="f" strokeweight=".5pt">
                      <v:textbox>
                        <w:txbxContent>
                          <w:p w:rsidR="008024AD" w:rsidRPr="00E90C9C" w:rsidRDefault="008024AD">
                            <w:pPr>
                              <w:rPr>
                                <w:rFonts w:ascii="Sylfaen" w:hAnsi="Sylfaen"/>
                                <w:color w:val="ED7D31" w:themeColor="accent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ED7D31" w:themeColor="accent2"/>
                                <w:sz w:val="14"/>
                                <w:szCs w:val="14"/>
                              </w:rPr>
                              <w:t>Նվազագույն ավելացում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53340</wp:posOffset>
                      </wp:positionV>
                      <wp:extent cx="794385" cy="527050"/>
                      <wp:effectExtent l="0" t="0" r="0" b="0"/>
                      <wp:wrapNone/>
                      <wp:docPr id="3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94385" cy="52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24AD" w:rsidRPr="00E90C9C" w:rsidRDefault="008024AD" w:rsidP="00F713B1">
                                  <w:pPr>
                                    <w:jc w:val="right"/>
                                    <w:rPr>
                                      <w:rFonts w:ascii="Sylfaen" w:hAnsi="Sylfaen"/>
                                      <w:color w:val="A8D08D" w:themeColor="accent6" w:themeTint="99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color w:val="A8D08D" w:themeColor="accent6" w:themeTint="99"/>
                                      <w:sz w:val="14"/>
                                      <w:szCs w:val="14"/>
                                    </w:rPr>
                                    <w:t>Ամենաբարձր եկատմի ավելացում</w:t>
                                  </w:r>
                                  <w:r w:rsidRPr="00E90C9C">
                                    <w:rPr>
                                      <w:rFonts w:ascii="Sylfaen" w:hAnsi="Sylfaen"/>
                                      <w:color w:val="A8D08D" w:themeColor="accent6" w:themeTint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17.05pt;margin-top:4.2pt;width:62.55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" filled="f" stroked="f" strokeweight=".5pt">
                      <v:textbox>
                        <w:txbxContent>
                          <w:p w:rsidR="008024AD" w:rsidRPr="00E90C9C" w:rsidRDefault="008024AD" w:rsidP="00F713B1">
                            <w:pPr>
                              <w:jc w:val="right"/>
                              <w:rPr>
                                <w:rFonts w:ascii="Sylfaen" w:hAnsi="Sylfaen"/>
                                <w:color w:val="A8D08D" w:themeColor="accent6" w:themeTint="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A8D08D" w:themeColor="accent6" w:themeTint="99"/>
                                <w:sz w:val="14"/>
                                <w:szCs w:val="14"/>
                              </w:rPr>
                              <w:t>Ամենաբարձր եկատմի ավելացում</w:t>
                            </w:r>
                            <w:r w:rsidRPr="00E90C9C">
                              <w:rPr>
                                <w:rFonts w:ascii="Sylfaen" w:hAnsi="Sylfaen"/>
                                <w:color w:val="A8D08D" w:themeColor="accent6" w:themeTint="99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826" w:rsidRPr="00AD2F83">
              <w:rPr>
                <w:rFonts w:ascii="Sylfaen" w:hAnsi="Sylfaen"/>
                <w:noProof/>
              </w:rPr>
              <w:drawing>
                <wp:inline distT="0" distB="0" distL="0" distR="0">
                  <wp:extent cx="2861945" cy="2419350"/>
                  <wp:effectExtent l="0" t="0" r="0" b="0"/>
                  <wp:docPr id="10" name="Chart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59AFBE-5B45-4094-B654-F7593A3C0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A10826" w:rsidRPr="00AD2F83" w:rsidTr="00F713B1">
        <w:tc>
          <w:tcPr>
            <w:tcW w:w="4680" w:type="dxa"/>
          </w:tcPr>
          <w:p w:rsidR="00A10826" w:rsidRPr="00C512D4" w:rsidRDefault="00E90C9C" w:rsidP="00DC7E2A">
            <w:pPr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b/>
                <w:color w:val="000000"/>
                <w:sz w:val="22"/>
                <w:szCs w:val="24"/>
              </w:rPr>
              <w:t xml:space="preserve">Նշումներ՝ 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աջ կողմում գրվ</w:t>
            </w:r>
            <w:r w:rsidR="00450B7A"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ած թվերը ներկայացնում են դեցիլը՝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սահման</w:t>
            </w:r>
            <w:r w:rsidR="00450B7A"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ված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տնային</w:t>
            </w:r>
            <w:r w:rsidR="00450B7A"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տնտեսությու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ն</w:t>
            </w:r>
            <w:r w:rsidR="00450B7A"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ների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հետբարեփոխումային տնօրինվող եկամուտ</w:t>
            </w:r>
            <w:r w:rsidR="00450B7A"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ներով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:  </w:t>
            </w:r>
            <w:r w:rsidR="00A10826"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</w:p>
          <w:p w:rsidR="00A10826" w:rsidRPr="00C512D4" w:rsidRDefault="00E90C9C" w:rsidP="00E90C9C">
            <w:pPr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b/>
                <w:color w:val="000000"/>
                <w:sz w:val="22"/>
                <w:szCs w:val="24"/>
              </w:rPr>
              <w:t xml:space="preserve">Աղբյուրը՝ 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սեփական մշակում</w:t>
            </w:r>
            <w:r w:rsidR="00994187"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ներ</w:t>
            </w:r>
          </w:p>
          <w:p w:rsidR="009259A0" w:rsidRPr="00AD2F83" w:rsidRDefault="009259A0" w:rsidP="00E90C9C">
            <w:pPr>
              <w:rPr>
                <w:rFonts w:ascii="Sylfaen" w:hAnsi="Sylfaen" w:cs="Calibri"/>
                <w:color w:val="000000"/>
                <w:szCs w:val="24"/>
              </w:rPr>
            </w:pPr>
          </w:p>
        </w:tc>
      </w:tr>
    </w:tbl>
    <w:p w:rsidR="001E27B8" w:rsidRDefault="00557E5F" w:rsidP="00E75857">
      <w:pPr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 xml:space="preserve">Բարեփոխումների արդյունքում սոցիալապես պակաս ապահովված բնակչությանն ուղղվող ծախսերի պաշտպանությունը խիստ կարևոր է նրանց </w:t>
      </w:r>
      <w:r w:rsidR="009219C4">
        <w:rPr>
          <w:rFonts w:ascii="Sylfaen" w:hAnsi="Sylfaen"/>
          <w:b/>
          <w:szCs w:val="24"/>
        </w:rPr>
        <w:t>կենսապայմաններ</w:t>
      </w:r>
      <w:r w:rsidR="00BE4FE5">
        <w:rPr>
          <w:rFonts w:ascii="Sylfaen" w:hAnsi="Sylfaen"/>
          <w:b/>
          <w:szCs w:val="24"/>
          <w:lang w:val="ru-RU"/>
        </w:rPr>
        <w:t>ի</w:t>
      </w:r>
      <w:r w:rsidR="009219C4">
        <w:rPr>
          <w:rFonts w:ascii="Sylfaen" w:hAnsi="Sylfaen"/>
          <w:b/>
          <w:szCs w:val="24"/>
        </w:rPr>
        <w:t xml:space="preserve"> վատթարաց</w:t>
      </w:r>
      <w:r w:rsidR="00BE4FE5">
        <w:rPr>
          <w:rFonts w:ascii="Sylfaen" w:hAnsi="Sylfaen"/>
          <w:b/>
          <w:szCs w:val="24"/>
          <w:lang w:val="ru-RU"/>
        </w:rPr>
        <w:t>ումից</w:t>
      </w:r>
      <w:r w:rsidR="009219C4">
        <w:rPr>
          <w:rFonts w:ascii="Sylfaen" w:hAnsi="Sylfaen"/>
          <w:b/>
          <w:szCs w:val="24"/>
        </w:rPr>
        <w:t xml:space="preserve"> </w:t>
      </w:r>
      <w:r w:rsidR="00450B7A">
        <w:rPr>
          <w:rFonts w:ascii="Sylfaen" w:hAnsi="Sylfaen"/>
          <w:b/>
          <w:szCs w:val="24"/>
        </w:rPr>
        <w:t xml:space="preserve">խուսափելու </w:t>
      </w:r>
      <w:r w:rsidR="009219C4">
        <w:rPr>
          <w:rFonts w:ascii="Sylfaen" w:hAnsi="Sylfaen"/>
          <w:b/>
          <w:szCs w:val="24"/>
        </w:rPr>
        <w:t xml:space="preserve">և բարեփոխումների նկատմամբ հանրության դիմադրությունը կանխելու համար: </w:t>
      </w:r>
      <w:r w:rsidR="00112C1D" w:rsidRPr="00112C1D">
        <w:rPr>
          <w:rFonts w:ascii="Sylfaen" w:hAnsi="Sylfaen"/>
          <w:szCs w:val="24"/>
        </w:rPr>
        <w:t xml:space="preserve">Անհայտ է, </w:t>
      </w:r>
      <w:r w:rsidR="00112C1D">
        <w:rPr>
          <w:rFonts w:ascii="Sylfaen" w:hAnsi="Sylfaen"/>
          <w:szCs w:val="24"/>
        </w:rPr>
        <w:t>կարող է</w:t>
      </w:r>
      <w:r w:rsidR="00112C1D" w:rsidRPr="00112C1D">
        <w:rPr>
          <w:rFonts w:ascii="Sylfaen" w:hAnsi="Sylfaen"/>
          <w:szCs w:val="24"/>
        </w:rPr>
        <w:t xml:space="preserve"> արդյոք </w:t>
      </w:r>
      <w:r w:rsidR="00112C1D">
        <w:rPr>
          <w:rFonts w:ascii="Sylfaen" w:hAnsi="Sylfaen"/>
          <w:szCs w:val="24"/>
        </w:rPr>
        <w:t>հարկային մուտքերի</w:t>
      </w:r>
      <w:r w:rsidR="00112C1D" w:rsidRPr="00112C1D">
        <w:rPr>
          <w:rFonts w:ascii="Sylfaen" w:hAnsi="Sylfaen"/>
          <w:szCs w:val="24"/>
        </w:rPr>
        <w:t xml:space="preserve"> պոտենցիալ նվազումը հանգեցնել հարկաբյուջետային ծախսերի </w:t>
      </w:r>
      <w:r w:rsidR="00112C1D">
        <w:rPr>
          <w:rFonts w:ascii="Sylfaen" w:hAnsi="Sylfaen"/>
          <w:szCs w:val="24"/>
        </w:rPr>
        <w:t>ճշգրտմ</w:t>
      </w:r>
      <w:r w:rsidR="00112C1D" w:rsidRPr="00112C1D">
        <w:rPr>
          <w:rFonts w:ascii="Sylfaen" w:hAnsi="Sylfaen"/>
          <w:szCs w:val="24"/>
        </w:rPr>
        <w:t>ան անհրաժեշտության</w:t>
      </w:r>
      <w:r w:rsidR="00112C1D">
        <w:rPr>
          <w:rFonts w:ascii="Sylfaen" w:hAnsi="Sylfaen"/>
          <w:szCs w:val="24"/>
        </w:rPr>
        <w:t xml:space="preserve">ն այնպես, որ դա ավելի մեծ վնաս հասցնի </w:t>
      </w:r>
      <w:r w:rsidR="00112C1D" w:rsidRPr="00112C1D">
        <w:rPr>
          <w:rFonts w:ascii="Sylfaen" w:hAnsi="Sylfaen"/>
          <w:szCs w:val="24"/>
        </w:rPr>
        <w:t>աղքատներին</w:t>
      </w:r>
      <w:r w:rsidR="00112C1D">
        <w:rPr>
          <w:rFonts w:ascii="Sylfaen" w:hAnsi="Sylfaen"/>
          <w:szCs w:val="24"/>
        </w:rPr>
        <w:t xml:space="preserve">: Նման դեպքում  </w:t>
      </w:r>
      <w:r w:rsidR="00112C1D" w:rsidRPr="00112C1D">
        <w:rPr>
          <w:rFonts w:ascii="Sylfaen" w:hAnsi="Sylfaen"/>
          <w:szCs w:val="24"/>
        </w:rPr>
        <w:t>կենսաթոշակների կամ ուղղակի սոցիալական տրանսֆերտների (օրինակ, Ընտանեկան նպաստի ծրագր</w:t>
      </w:r>
      <w:r w:rsidR="00450B7A">
        <w:rPr>
          <w:rFonts w:ascii="Sylfaen" w:hAnsi="Sylfaen"/>
          <w:szCs w:val="24"/>
        </w:rPr>
        <w:t>ի շրջանակներում</w:t>
      </w:r>
      <w:r w:rsidR="00112C1D" w:rsidRPr="00112C1D">
        <w:rPr>
          <w:rFonts w:ascii="Sylfaen" w:hAnsi="Sylfaen"/>
          <w:szCs w:val="24"/>
        </w:rPr>
        <w:t xml:space="preserve">) ճշգրտումները կարող </w:t>
      </w:r>
      <w:r w:rsidR="00112C1D">
        <w:rPr>
          <w:rFonts w:ascii="Sylfaen" w:hAnsi="Sylfaen"/>
          <w:szCs w:val="24"/>
        </w:rPr>
        <w:t>են</w:t>
      </w:r>
      <w:r w:rsidR="00112C1D" w:rsidRPr="00112C1D">
        <w:rPr>
          <w:rFonts w:ascii="Sylfaen" w:hAnsi="Sylfaen"/>
          <w:szCs w:val="24"/>
        </w:rPr>
        <w:t xml:space="preserve"> ավելի </w:t>
      </w:r>
      <w:r w:rsidR="00112C1D">
        <w:rPr>
          <w:rFonts w:ascii="Sylfaen" w:hAnsi="Sylfaen"/>
          <w:szCs w:val="24"/>
        </w:rPr>
        <w:t xml:space="preserve">քան հակազդել տնային տնտեսության եկամուտների աճին: </w:t>
      </w:r>
      <w:r w:rsidR="00E82A25" w:rsidRPr="00E82A25">
        <w:rPr>
          <w:rFonts w:ascii="Sylfaen" w:hAnsi="Sylfaen"/>
          <w:szCs w:val="24"/>
        </w:rPr>
        <w:t>Հարկերի հավաքագրում</w:t>
      </w:r>
      <w:r w:rsidR="0070423A">
        <w:rPr>
          <w:rFonts w:ascii="Sylfaen" w:hAnsi="Sylfaen"/>
          <w:szCs w:val="24"/>
        </w:rPr>
        <w:t>ն ապահովելու համար</w:t>
      </w:r>
      <w:r w:rsidR="00E82A25" w:rsidRPr="00E82A25">
        <w:rPr>
          <w:rFonts w:ascii="Sylfaen" w:hAnsi="Sylfaen"/>
          <w:szCs w:val="24"/>
        </w:rPr>
        <w:t xml:space="preserve"> առաջարկվող հարկերը</w:t>
      </w:r>
      <w:r w:rsidR="0070423A">
        <w:rPr>
          <w:rFonts w:ascii="Sylfaen" w:hAnsi="Sylfaen"/>
          <w:szCs w:val="24"/>
        </w:rPr>
        <w:t xml:space="preserve"> (օրինակ</w:t>
      </w:r>
      <w:r w:rsidR="0070423A" w:rsidRPr="00E82A25">
        <w:rPr>
          <w:rFonts w:ascii="Sylfaen" w:hAnsi="Sylfaen"/>
          <w:szCs w:val="24"/>
        </w:rPr>
        <w:t>`ծխախոտ</w:t>
      </w:r>
      <w:r w:rsidR="0070423A">
        <w:rPr>
          <w:rFonts w:ascii="Sylfaen" w:hAnsi="Sylfaen"/>
          <w:szCs w:val="24"/>
        </w:rPr>
        <w:t>ի</w:t>
      </w:r>
      <w:r w:rsidR="0070423A" w:rsidRPr="00E82A25">
        <w:rPr>
          <w:rFonts w:ascii="Sylfaen" w:hAnsi="Sylfaen"/>
          <w:szCs w:val="24"/>
        </w:rPr>
        <w:t>, ալկոհոլային խմիչքների)</w:t>
      </w:r>
      <w:r w:rsidR="00E82A25" w:rsidRPr="00E82A25">
        <w:rPr>
          <w:rFonts w:ascii="Sylfaen" w:hAnsi="Sylfaen"/>
          <w:szCs w:val="24"/>
        </w:rPr>
        <w:t>, որոնք ներառվ</w:t>
      </w:r>
      <w:r w:rsidR="00E82A25">
        <w:rPr>
          <w:rFonts w:ascii="Sylfaen" w:hAnsi="Sylfaen"/>
          <w:szCs w:val="24"/>
        </w:rPr>
        <w:t xml:space="preserve">ած չեն մոդելավորման </w:t>
      </w:r>
      <w:r w:rsidR="00E82A25" w:rsidRPr="00E82A25">
        <w:rPr>
          <w:rFonts w:ascii="Sylfaen" w:hAnsi="Sylfaen"/>
          <w:szCs w:val="24"/>
        </w:rPr>
        <w:t>մեջ, կարող են ն</w:t>
      </w:r>
      <w:r w:rsidR="00E82A25">
        <w:rPr>
          <w:rFonts w:ascii="Sylfaen" w:hAnsi="Sylfaen"/>
          <w:szCs w:val="24"/>
        </w:rPr>
        <w:t xml:space="preserve">ույնպես </w:t>
      </w:r>
      <w:r w:rsidR="00E82A25" w:rsidRPr="00E82A25">
        <w:rPr>
          <w:rFonts w:ascii="Sylfaen" w:hAnsi="Sylfaen"/>
          <w:szCs w:val="24"/>
        </w:rPr>
        <w:t>ավելի</w:t>
      </w:r>
      <w:r w:rsidR="00E82A25">
        <w:rPr>
          <w:rFonts w:ascii="Sylfaen" w:hAnsi="Sylfaen"/>
          <w:szCs w:val="24"/>
        </w:rPr>
        <w:t xml:space="preserve"> քան համամասնորեն հարվածել սոցիալապես պակաս ապահովվածներին՝ մի խմբի</w:t>
      </w:r>
      <w:r w:rsidR="00651CC4">
        <w:rPr>
          <w:rFonts w:ascii="Sylfaen" w:hAnsi="Sylfaen"/>
          <w:szCs w:val="24"/>
        </w:rPr>
        <w:t>ն</w:t>
      </w:r>
      <w:r w:rsidR="00E82A25">
        <w:rPr>
          <w:rFonts w:ascii="Sylfaen" w:hAnsi="Sylfaen"/>
          <w:szCs w:val="24"/>
        </w:rPr>
        <w:t xml:space="preserve">, որը գրեթե չի օգտվում </w:t>
      </w:r>
      <w:r w:rsidR="00651CC4">
        <w:rPr>
          <w:rFonts w:ascii="Sylfaen" w:hAnsi="Sylfaen"/>
          <w:szCs w:val="24"/>
        </w:rPr>
        <w:t>բարեփոխումներից: Հետև</w:t>
      </w:r>
      <w:r w:rsidR="00651CC4" w:rsidRPr="00651CC4">
        <w:rPr>
          <w:rFonts w:ascii="Sylfaen" w:hAnsi="Sylfaen"/>
          <w:szCs w:val="24"/>
        </w:rPr>
        <w:t>աբար, կար</w:t>
      </w:r>
      <w:r w:rsidR="00651CC4">
        <w:rPr>
          <w:rFonts w:ascii="Sylfaen" w:hAnsi="Sylfaen"/>
          <w:szCs w:val="24"/>
        </w:rPr>
        <w:t>և</w:t>
      </w:r>
      <w:r w:rsidR="00651CC4" w:rsidRPr="00651CC4">
        <w:rPr>
          <w:rFonts w:ascii="Sylfaen" w:hAnsi="Sylfaen"/>
          <w:szCs w:val="24"/>
        </w:rPr>
        <w:t>որ կլինի խուսափել այդ ֆինանսական ծախսեր</w:t>
      </w:r>
      <w:r w:rsidR="00651CC4">
        <w:rPr>
          <w:rFonts w:ascii="Sylfaen" w:hAnsi="Sylfaen"/>
          <w:szCs w:val="24"/>
        </w:rPr>
        <w:t>ի</w:t>
      </w:r>
      <w:r w:rsidR="00651CC4" w:rsidRPr="00651CC4">
        <w:rPr>
          <w:rFonts w:ascii="Sylfaen" w:hAnsi="Sylfaen"/>
          <w:szCs w:val="24"/>
        </w:rPr>
        <w:t xml:space="preserve"> կրճատումներից</w:t>
      </w:r>
      <w:r w:rsidR="00651CC4">
        <w:rPr>
          <w:rFonts w:ascii="Sylfaen" w:hAnsi="Sylfaen"/>
          <w:szCs w:val="24"/>
        </w:rPr>
        <w:t xml:space="preserve">, որպեսզի </w:t>
      </w:r>
      <w:r w:rsidR="00651CC4" w:rsidRPr="00651CC4">
        <w:rPr>
          <w:rFonts w:ascii="Sylfaen" w:hAnsi="Sylfaen"/>
          <w:szCs w:val="24"/>
        </w:rPr>
        <w:t>հարկային համակարգ</w:t>
      </w:r>
      <w:r w:rsidR="00651CC4">
        <w:rPr>
          <w:rFonts w:ascii="Sylfaen" w:hAnsi="Sylfaen"/>
          <w:szCs w:val="24"/>
        </w:rPr>
        <w:t>ը</w:t>
      </w:r>
      <w:r w:rsidR="00651CC4" w:rsidRPr="00651CC4">
        <w:rPr>
          <w:rFonts w:ascii="Sylfaen" w:hAnsi="Sylfaen"/>
          <w:szCs w:val="24"/>
        </w:rPr>
        <w:t xml:space="preserve"> (հարկերը</w:t>
      </w:r>
      <w:r w:rsidR="00651CC4">
        <w:rPr>
          <w:rFonts w:ascii="Sylfaen" w:hAnsi="Sylfaen"/>
          <w:szCs w:val="24"/>
        </w:rPr>
        <w:t xml:space="preserve"> և </w:t>
      </w:r>
      <w:r w:rsidR="0070423A">
        <w:rPr>
          <w:rFonts w:ascii="Sylfaen" w:hAnsi="Sylfaen"/>
          <w:szCs w:val="24"/>
        </w:rPr>
        <w:t>տրանսֆերտ</w:t>
      </w:r>
      <w:r w:rsidR="00651CC4" w:rsidRPr="00651CC4">
        <w:rPr>
          <w:rFonts w:ascii="Sylfaen" w:hAnsi="Sylfaen"/>
          <w:szCs w:val="24"/>
        </w:rPr>
        <w:t xml:space="preserve">ները) </w:t>
      </w:r>
      <w:r w:rsidR="0070423A">
        <w:rPr>
          <w:rFonts w:ascii="Sylfaen" w:hAnsi="Sylfaen"/>
          <w:szCs w:val="24"/>
        </w:rPr>
        <w:t xml:space="preserve">չվնասի նրանց և </w:t>
      </w:r>
      <w:r w:rsidR="00651CC4">
        <w:rPr>
          <w:rFonts w:ascii="Sylfaen" w:hAnsi="Sylfaen"/>
          <w:szCs w:val="24"/>
        </w:rPr>
        <w:t xml:space="preserve"> </w:t>
      </w:r>
      <w:r w:rsidR="0070423A">
        <w:rPr>
          <w:rFonts w:ascii="Sylfaen" w:hAnsi="Sylfaen"/>
          <w:szCs w:val="24"/>
        </w:rPr>
        <w:t>չ</w:t>
      </w:r>
      <w:r w:rsidR="00485640">
        <w:rPr>
          <w:rFonts w:ascii="Sylfaen" w:hAnsi="Sylfaen"/>
          <w:szCs w:val="24"/>
          <w:lang w:val="ru-RU"/>
        </w:rPr>
        <w:t>հանգեցնի</w:t>
      </w:r>
      <w:r w:rsidR="00485640" w:rsidRPr="00485640">
        <w:rPr>
          <w:rFonts w:ascii="Sylfaen" w:hAnsi="Sylfaen"/>
          <w:szCs w:val="24"/>
        </w:rPr>
        <w:t xml:space="preserve"> </w:t>
      </w:r>
      <w:r w:rsidR="0070423A">
        <w:rPr>
          <w:rFonts w:ascii="Sylfaen" w:hAnsi="Sylfaen"/>
          <w:szCs w:val="24"/>
        </w:rPr>
        <w:t>նրանց</w:t>
      </w:r>
      <w:r w:rsidR="00651CC4">
        <w:rPr>
          <w:rFonts w:ascii="Sylfaen" w:hAnsi="Sylfaen"/>
          <w:szCs w:val="24"/>
        </w:rPr>
        <w:t xml:space="preserve"> կենսապայմանների վատթարացմ</w:t>
      </w:r>
      <w:r w:rsidR="00485640">
        <w:rPr>
          <w:rFonts w:ascii="Sylfaen" w:hAnsi="Sylfaen"/>
          <w:szCs w:val="24"/>
          <w:lang w:val="ru-RU"/>
        </w:rPr>
        <w:t>ան</w:t>
      </w:r>
      <w:r w:rsidR="00651CC4">
        <w:rPr>
          <w:rFonts w:ascii="Sylfaen" w:hAnsi="Sylfaen"/>
          <w:szCs w:val="24"/>
        </w:rPr>
        <w:t xml:space="preserve">, ինչը կարող է </w:t>
      </w:r>
      <w:r w:rsidR="0070423A">
        <w:rPr>
          <w:rFonts w:ascii="Sylfaen" w:hAnsi="Sylfaen"/>
          <w:szCs w:val="24"/>
        </w:rPr>
        <w:t xml:space="preserve">փոխել </w:t>
      </w:r>
      <w:r w:rsidR="0070423A" w:rsidRPr="00651CC4">
        <w:rPr>
          <w:rFonts w:ascii="Sylfaen" w:hAnsi="Sylfaen"/>
          <w:szCs w:val="24"/>
        </w:rPr>
        <w:t>բարեփոխումների հասարակական ընկալ</w:t>
      </w:r>
      <w:r w:rsidR="0070423A">
        <w:rPr>
          <w:rFonts w:ascii="Sylfaen" w:hAnsi="Sylfaen"/>
          <w:szCs w:val="24"/>
        </w:rPr>
        <w:t>ումը</w:t>
      </w:r>
      <w:r w:rsidR="00651CC4" w:rsidRPr="00651CC4">
        <w:rPr>
          <w:rFonts w:ascii="Sylfaen" w:hAnsi="Sylfaen"/>
          <w:szCs w:val="24"/>
        </w:rPr>
        <w:t>:</w:t>
      </w:r>
    </w:p>
    <w:p w:rsidR="00651CC4" w:rsidRPr="00AD2F83" w:rsidRDefault="00651CC4" w:rsidP="00E75857">
      <w:pPr>
        <w:jc w:val="both"/>
        <w:rPr>
          <w:rFonts w:ascii="Sylfaen" w:hAnsi="Sylfaen"/>
          <w:szCs w:val="24"/>
        </w:rPr>
      </w:pPr>
    </w:p>
    <w:p w:rsidR="005D6761" w:rsidRPr="00AD2F83" w:rsidRDefault="00651CC4" w:rsidP="00657069">
      <w:pPr>
        <w:pStyle w:val="ListParagraph"/>
        <w:numPr>
          <w:ilvl w:val="0"/>
          <w:numId w:val="11"/>
        </w:numPr>
        <w:rPr>
          <w:rFonts w:ascii="Sylfaen" w:hAnsi="Sylfaen"/>
          <w:b/>
          <w:color w:val="4472C4" w:themeColor="accent1"/>
          <w:szCs w:val="24"/>
        </w:rPr>
      </w:pPr>
      <w:r>
        <w:rPr>
          <w:rFonts w:ascii="Sylfaen" w:hAnsi="Sylfaen"/>
          <w:b/>
          <w:color w:val="4472C4" w:themeColor="accent1"/>
          <w:szCs w:val="24"/>
        </w:rPr>
        <w:t>Համատեքստ</w:t>
      </w:r>
      <w:r w:rsidR="00F60B4B" w:rsidRPr="00AD2F83">
        <w:rPr>
          <w:rFonts w:ascii="Sylfaen" w:hAnsi="Sylfaen"/>
          <w:b/>
          <w:color w:val="4472C4" w:themeColor="accent1"/>
          <w:szCs w:val="24"/>
        </w:rPr>
        <w:t xml:space="preserve"> </w:t>
      </w:r>
    </w:p>
    <w:p w:rsidR="005D6761" w:rsidRPr="00AD2F83" w:rsidRDefault="005D6761" w:rsidP="005D6761">
      <w:pPr>
        <w:rPr>
          <w:rFonts w:ascii="Sylfaen" w:hAnsi="Sylfaen"/>
          <w:b/>
          <w:szCs w:val="24"/>
        </w:rPr>
      </w:pPr>
    </w:p>
    <w:p w:rsidR="002D1D37" w:rsidRPr="00AD2F83" w:rsidRDefault="00067189" w:rsidP="007B07BA">
      <w:pPr>
        <w:jc w:val="both"/>
        <w:rPr>
          <w:rFonts w:ascii="Sylfaen" w:hAnsi="Sylfaen"/>
          <w:szCs w:val="24"/>
        </w:rPr>
      </w:pPr>
      <w:r w:rsidRPr="00AD2F83">
        <w:rPr>
          <w:rFonts w:ascii="Sylfaen" w:hAnsi="Sylfaen"/>
          <w:b/>
          <w:szCs w:val="24"/>
        </w:rPr>
        <w:t>201</w:t>
      </w:r>
      <w:r w:rsidR="00415D50" w:rsidRPr="00AD2F83">
        <w:rPr>
          <w:rFonts w:ascii="Sylfaen" w:hAnsi="Sylfaen"/>
          <w:b/>
          <w:szCs w:val="24"/>
        </w:rPr>
        <w:t>8</w:t>
      </w:r>
      <w:r w:rsidR="00651CC4">
        <w:rPr>
          <w:rFonts w:ascii="Sylfaen" w:hAnsi="Sylfaen"/>
          <w:b/>
          <w:szCs w:val="24"/>
        </w:rPr>
        <w:t xml:space="preserve"> թվականի դրությամբ Հայաստանում գործում էր եկամտային համակարգի եռա</w:t>
      </w:r>
      <w:r w:rsidR="00410425">
        <w:rPr>
          <w:rFonts w:ascii="Sylfaen" w:hAnsi="Sylfaen"/>
          <w:b/>
          <w:szCs w:val="24"/>
        </w:rPr>
        <w:t>դրույք</w:t>
      </w:r>
      <w:r w:rsidR="00651CC4">
        <w:rPr>
          <w:rFonts w:ascii="Sylfaen" w:hAnsi="Sylfaen"/>
          <w:b/>
          <w:szCs w:val="24"/>
        </w:rPr>
        <w:t xml:space="preserve"> կառուցվածք. </w:t>
      </w:r>
      <w:r w:rsidRPr="00AD2F83">
        <w:rPr>
          <w:rFonts w:ascii="Sylfaen" w:hAnsi="Sylfaen"/>
          <w:b/>
          <w:szCs w:val="24"/>
        </w:rPr>
        <w:t xml:space="preserve"> </w:t>
      </w:r>
      <w:r w:rsidR="00C338A4" w:rsidRPr="00AD2F83">
        <w:rPr>
          <w:rFonts w:ascii="Sylfaen" w:hAnsi="Sylfaen"/>
          <w:szCs w:val="24"/>
        </w:rPr>
        <w:t>2</w:t>
      </w:r>
      <w:r w:rsidR="007D5888" w:rsidRPr="00AD2F83">
        <w:rPr>
          <w:rFonts w:ascii="Sylfaen" w:hAnsi="Sylfaen"/>
          <w:szCs w:val="24"/>
        </w:rPr>
        <w:t>3</w:t>
      </w:r>
      <w:r w:rsidR="00ED41E8">
        <w:rPr>
          <w:rFonts w:ascii="Sylfaen" w:hAnsi="Sylfaen"/>
          <w:szCs w:val="24"/>
        </w:rPr>
        <w:t xml:space="preserve"> տոկոս՝ ամսական մինչև </w:t>
      </w:r>
      <w:r w:rsidR="00C338A4" w:rsidRPr="00AD2F83">
        <w:rPr>
          <w:rFonts w:ascii="Sylfaen" w:hAnsi="Sylfaen"/>
          <w:szCs w:val="24"/>
        </w:rPr>
        <w:t>1</w:t>
      </w:r>
      <w:r w:rsidR="007D5888" w:rsidRPr="00AD2F83">
        <w:rPr>
          <w:rFonts w:ascii="Sylfaen" w:hAnsi="Sylfaen"/>
          <w:szCs w:val="24"/>
        </w:rPr>
        <w:t>5</w:t>
      </w:r>
      <w:r w:rsidR="00C338A4" w:rsidRPr="00AD2F83">
        <w:rPr>
          <w:rFonts w:ascii="Sylfaen" w:hAnsi="Sylfaen"/>
          <w:szCs w:val="24"/>
        </w:rPr>
        <w:t>0</w:t>
      </w:r>
      <w:r w:rsidR="00D21AD0">
        <w:rPr>
          <w:rFonts w:ascii="Sylfaen" w:hAnsi="Sylfaen"/>
          <w:szCs w:val="24"/>
        </w:rPr>
        <w:t>,</w:t>
      </w:r>
      <w:r w:rsidR="00C338A4" w:rsidRPr="00AD2F83">
        <w:rPr>
          <w:rFonts w:ascii="Sylfaen" w:hAnsi="Sylfaen"/>
          <w:szCs w:val="24"/>
        </w:rPr>
        <w:t>000</w:t>
      </w:r>
      <w:r w:rsidR="00ED41E8">
        <w:rPr>
          <w:rFonts w:ascii="Sylfaen" w:hAnsi="Sylfaen"/>
          <w:szCs w:val="24"/>
        </w:rPr>
        <w:t xml:space="preserve"> դրամ համախառն եկամտի</w:t>
      </w:r>
      <w:r w:rsidR="00D21AD0">
        <w:rPr>
          <w:rFonts w:ascii="Sylfaen" w:hAnsi="Sylfaen"/>
          <w:szCs w:val="24"/>
        </w:rPr>
        <w:t xml:space="preserve"> դեպքում,</w:t>
      </w:r>
      <w:r w:rsidR="00C338A4" w:rsidRPr="00AD2F83">
        <w:rPr>
          <w:rFonts w:ascii="Sylfaen" w:hAnsi="Sylfaen"/>
          <w:szCs w:val="24"/>
        </w:rPr>
        <w:t xml:space="preserve"> 2</w:t>
      </w:r>
      <w:r w:rsidR="007D5888" w:rsidRPr="00AD2F83">
        <w:rPr>
          <w:rFonts w:ascii="Sylfaen" w:hAnsi="Sylfaen"/>
          <w:szCs w:val="24"/>
        </w:rPr>
        <w:t>8</w:t>
      </w:r>
      <w:r w:rsidR="00ED41E8">
        <w:rPr>
          <w:rFonts w:ascii="Sylfaen" w:hAnsi="Sylfaen"/>
          <w:szCs w:val="24"/>
        </w:rPr>
        <w:t xml:space="preserve"> տոկոս՝ ամսական </w:t>
      </w:r>
      <w:r w:rsidRPr="00AD2F83">
        <w:rPr>
          <w:rFonts w:ascii="Sylfaen" w:hAnsi="Sylfaen"/>
          <w:szCs w:val="24"/>
        </w:rPr>
        <w:t>1</w:t>
      </w:r>
      <w:r w:rsidR="001367A3" w:rsidRPr="00AD2F83">
        <w:rPr>
          <w:rFonts w:ascii="Sylfaen" w:hAnsi="Sylfaen"/>
          <w:szCs w:val="24"/>
        </w:rPr>
        <w:t>5</w:t>
      </w:r>
      <w:r w:rsidRPr="00AD2F83">
        <w:rPr>
          <w:rFonts w:ascii="Sylfaen" w:hAnsi="Sylfaen"/>
          <w:szCs w:val="24"/>
        </w:rPr>
        <w:t>0</w:t>
      </w:r>
      <w:r w:rsidR="00D21AD0">
        <w:rPr>
          <w:rFonts w:ascii="Sylfaen" w:hAnsi="Sylfaen"/>
          <w:szCs w:val="24"/>
        </w:rPr>
        <w:t>,</w:t>
      </w:r>
      <w:r w:rsidRPr="00AD2F83">
        <w:rPr>
          <w:rFonts w:ascii="Sylfaen" w:hAnsi="Sylfaen"/>
          <w:szCs w:val="24"/>
        </w:rPr>
        <w:t>000</w:t>
      </w:r>
      <w:r w:rsidR="00D21AD0">
        <w:rPr>
          <w:rFonts w:ascii="Sylfaen" w:hAnsi="Sylfaen"/>
          <w:szCs w:val="24"/>
        </w:rPr>
        <w:t xml:space="preserve"> – </w:t>
      </w:r>
      <w:r w:rsidR="00C338A4" w:rsidRPr="00AD2F83">
        <w:rPr>
          <w:rFonts w:ascii="Sylfaen" w:hAnsi="Sylfaen"/>
          <w:szCs w:val="24"/>
        </w:rPr>
        <w:t>2</w:t>
      </w:r>
      <w:r w:rsidR="00D21AD0">
        <w:rPr>
          <w:rFonts w:ascii="Sylfaen" w:hAnsi="Sylfaen"/>
          <w:szCs w:val="24"/>
        </w:rPr>
        <w:t xml:space="preserve">, </w:t>
      </w:r>
      <w:r w:rsidR="00C338A4" w:rsidRPr="00AD2F83">
        <w:rPr>
          <w:rFonts w:ascii="Sylfaen" w:hAnsi="Sylfaen"/>
          <w:szCs w:val="24"/>
        </w:rPr>
        <w:t>000</w:t>
      </w:r>
      <w:r w:rsidR="00D21AD0">
        <w:rPr>
          <w:rFonts w:ascii="Sylfaen" w:hAnsi="Sylfaen"/>
          <w:szCs w:val="24"/>
        </w:rPr>
        <w:t xml:space="preserve">, </w:t>
      </w:r>
      <w:r w:rsidR="00C338A4" w:rsidRPr="00AD2F83">
        <w:rPr>
          <w:rFonts w:ascii="Sylfaen" w:hAnsi="Sylfaen"/>
          <w:szCs w:val="24"/>
        </w:rPr>
        <w:t>000</w:t>
      </w:r>
      <w:r w:rsidR="00D21AD0">
        <w:rPr>
          <w:rFonts w:ascii="Sylfaen" w:hAnsi="Sylfaen"/>
          <w:szCs w:val="24"/>
        </w:rPr>
        <w:t xml:space="preserve"> դրամ համախառն </w:t>
      </w:r>
      <w:r w:rsidR="00D21AD0">
        <w:rPr>
          <w:rFonts w:ascii="Sylfaen" w:hAnsi="Sylfaen"/>
          <w:szCs w:val="24"/>
        </w:rPr>
        <w:lastRenderedPageBreak/>
        <w:t xml:space="preserve">եկամտի դեպքում; և </w:t>
      </w:r>
      <w:r w:rsidR="00C338A4" w:rsidRPr="00AD2F83">
        <w:rPr>
          <w:rFonts w:ascii="Sylfaen" w:hAnsi="Sylfaen"/>
          <w:szCs w:val="24"/>
        </w:rPr>
        <w:t>36</w:t>
      </w:r>
      <w:r w:rsidR="00D21AD0">
        <w:rPr>
          <w:rFonts w:ascii="Sylfaen" w:hAnsi="Sylfaen"/>
          <w:szCs w:val="24"/>
        </w:rPr>
        <w:t xml:space="preserve"> տոկոս՝ </w:t>
      </w:r>
      <w:r w:rsidRPr="00AD2F83">
        <w:rPr>
          <w:rFonts w:ascii="Sylfaen" w:hAnsi="Sylfaen"/>
          <w:szCs w:val="24"/>
        </w:rPr>
        <w:t>2,000,000</w:t>
      </w:r>
      <w:r w:rsidR="00D21AD0">
        <w:rPr>
          <w:rFonts w:ascii="Sylfaen" w:hAnsi="Sylfaen"/>
          <w:szCs w:val="24"/>
        </w:rPr>
        <w:t xml:space="preserve"> դրամից ավելի համախառն եկամտի դեպքում</w:t>
      </w:r>
      <w:r w:rsidR="00A85B85">
        <w:rPr>
          <w:rFonts w:ascii="Sylfaen" w:hAnsi="Sylfaen"/>
          <w:szCs w:val="24"/>
        </w:rPr>
        <w:t xml:space="preserve">: Հարկվող եկամուտը ներառում է վաստակած </w:t>
      </w:r>
      <w:r w:rsidR="002D1D37" w:rsidRPr="00AD2F83">
        <w:rPr>
          <w:rFonts w:ascii="Sylfaen" w:hAnsi="Sylfaen"/>
          <w:szCs w:val="24"/>
        </w:rPr>
        <w:t>(</w:t>
      </w:r>
      <w:r w:rsidR="00A85B85">
        <w:rPr>
          <w:rFonts w:ascii="Sylfaen" w:hAnsi="Sylfaen"/>
          <w:szCs w:val="24"/>
        </w:rPr>
        <w:t>ռոճիկ և աշխատավարձ</w:t>
      </w:r>
      <w:r w:rsidR="002D1D37" w:rsidRPr="00AD2F83">
        <w:rPr>
          <w:rFonts w:ascii="Sylfaen" w:hAnsi="Sylfaen"/>
          <w:szCs w:val="24"/>
        </w:rPr>
        <w:t>)</w:t>
      </w:r>
      <w:r w:rsidR="00A85B85">
        <w:rPr>
          <w:rFonts w:ascii="Sylfaen" w:hAnsi="Sylfaen"/>
          <w:szCs w:val="24"/>
        </w:rPr>
        <w:t xml:space="preserve"> գումար</w:t>
      </w:r>
      <w:r w:rsidR="00485C6F">
        <w:rPr>
          <w:rFonts w:ascii="Sylfaen" w:hAnsi="Sylfaen"/>
          <w:szCs w:val="24"/>
          <w:lang w:val="ru-RU"/>
        </w:rPr>
        <w:t>ը</w:t>
      </w:r>
      <w:r w:rsidR="002D1D37" w:rsidRPr="00AD2F83">
        <w:rPr>
          <w:rFonts w:ascii="Sylfaen" w:hAnsi="Sylfaen"/>
          <w:szCs w:val="24"/>
        </w:rPr>
        <w:t>,</w:t>
      </w:r>
      <w:r w:rsidR="00A85B85">
        <w:rPr>
          <w:rFonts w:ascii="Sylfaen" w:hAnsi="Sylfaen"/>
          <w:szCs w:val="24"/>
        </w:rPr>
        <w:t xml:space="preserve"> </w:t>
      </w:r>
      <w:r w:rsidR="00A85B85" w:rsidRPr="00A85B85">
        <w:rPr>
          <w:rFonts w:ascii="Sylfaen" w:hAnsi="Sylfaen"/>
          <w:szCs w:val="24"/>
        </w:rPr>
        <w:t>պասիվ եկամուտ</w:t>
      </w:r>
      <w:r w:rsidR="00485C6F">
        <w:rPr>
          <w:rFonts w:ascii="Sylfaen" w:hAnsi="Sylfaen"/>
          <w:szCs w:val="24"/>
          <w:lang w:val="ru-RU"/>
        </w:rPr>
        <w:t>ը</w:t>
      </w:r>
      <w:r w:rsidR="00A85B85" w:rsidRPr="00A85B85">
        <w:rPr>
          <w:rFonts w:ascii="Sylfaen" w:hAnsi="Sylfaen"/>
          <w:szCs w:val="24"/>
        </w:rPr>
        <w:t>, նվիրատվություն</w:t>
      </w:r>
      <w:r w:rsidR="00A85B85">
        <w:rPr>
          <w:rFonts w:ascii="Sylfaen" w:hAnsi="Sylfaen"/>
          <w:szCs w:val="24"/>
        </w:rPr>
        <w:t>ներ</w:t>
      </w:r>
      <w:r w:rsidR="00485C6F">
        <w:rPr>
          <w:rFonts w:ascii="Sylfaen" w:hAnsi="Sylfaen"/>
          <w:szCs w:val="24"/>
          <w:lang w:val="ru-RU"/>
        </w:rPr>
        <w:t>ը</w:t>
      </w:r>
      <w:r w:rsidR="00A85B85">
        <w:rPr>
          <w:rFonts w:ascii="Sylfaen" w:hAnsi="Sylfaen"/>
          <w:szCs w:val="24"/>
        </w:rPr>
        <w:t xml:space="preserve"> և օգնություն</w:t>
      </w:r>
      <w:r w:rsidR="00485C6F">
        <w:rPr>
          <w:rFonts w:ascii="Sylfaen" w:hAnsi="Sylfaen"/>
          <w:szCs w:val="24"/>
          <w:lang w:val="ru-RU"/>
        </w:rPr>
        <w:t>ը</w:t>
      </w:r>
      <w:r w:rsidR="00A85B85">
        <w:rPr>
          <w:rFonts w:ascii="Sylfaen" w:hAnsi="Sylfaen"/>
          <w:szCs w:val="24"/>
        </w:rPr>
        <w:t>, ինչպես նաև</w:t>
      </w:r>
      <w:r w:rsidR="00A85B85" w:rsidRPr="00A85B85">
        <w:rPr>
          <w:rFonts w:ascii="Sylfaen" w:hAnsi="Sylfaen"/>
          <w:szCs w:val="24"/>
        </w:rPr>
        <w:t xml:space="preserve"> այլ եկամուտներ</w:t>
      </w:r>
      <w:r w:rsidR="00A85B85">
        <w:rPr>
          <w:rFonts w:ascii="Sylfaen" w:hAnsi="Sylfaen"/>
          <w:szCs w:val="24"/>
        </w:rPr>
        <w:t xml:space="preserve">: </w:t>
      </w:r>
      <w:r w:rsidR="00A85B85" w:rsidRPr="00A85B85">
        <w:rPr>
          <w:rFonts w:ascii="Sylfaen" w:hAnsi="Sylfaen"/>
          <w:szCs w:val="24"/>
        </w:rPr>
        <w:t>Պասիվ եկամտ</w:t>
      </w:r>
      <w:r w:rsidR="000510A6">
        <w:rPr>
          <w:rFonts w:ascii="Sylfaen" w:hAnsi="Sylfaen"/>
          <w:szCs w:val="24"/>
          <w:lang w:val="ru-RU"/>
        </w:rPr>
        <w:t>ի</w:t>
      </w:r>
      <w:r w:rsidR="000510A6" w:rsidRPr="000510A6">
        <w:rPr>
          <w:rFonts w:ascii="Sylfaen" w:hAnsi="Sylfaen"/>
          <w:szCs w:val="24"/>
        </w:rPr>
        <w:t xml:space="preserve"> </w:t>
      </w:r>
      <w:r w:rsidR="000510A6">
        <w:rPr>
          <w:rFonts w:ascii="Sylfaen" w:hAnsi="Sylfaen"/>
          <w:szCs w:val="24"/>
          <w:lang w:val="ru-RU"/>
        </w:rPr>
        <w:t>շարքում</w:t>
      </w:r>
      <w:r w:rsidR="000510A6" w:rsidRPr="000510A6">
        <w:rPr>
          <w:rFonts w:ascii="Sylfaen" w:hAnsi="Sylfaen"/>
          <w:szCs w:val="24"/>
        </w:rPr>
        <w:t xml:space="preserve"> </w:t>
      </w:r>
      <w:r w:rsidR="000510A6">
        <w:rPr>
          <w:rFonts w:ascii="Sylfaen" w:hAnsi="Sylfaen"/>
          <w:szCs w:val="24"/>
          <w:lang w:val="ru-RU"/>
        </w:rPr>
        <w:t>են</w:t>
      </w:r>
      <w:r w:rsidR="000510A6" w:rsidRPr="000510A6">
        <w:rPr>
          <w:rFonts w:ascii="Sylfaen" w:hAnsi="Sylfaen"/>
          <w:szCs w:val="24"/>
        </w:rPr>
        <w:t>.</w:t>
      </w:r>
      <w:r w:rsidR="00A85B85" w:rsidRPr="00A85B85">
        <w:rPr>
          <w:rFonts w:ascii="Sylfaen" w:hAnsi="Sylfaen"/>
          <w:szCs w:val="24"/>
        </w:rPr>
        <w:t xml:space="preserve"> </w:t>
      </w:r>
      <w:r w:rsidR="00A85B85">
        <w:rPr>
          <w:rFonts w:ascii="Sylfaen" w:hAnsi="Sylfaen"/>
          <w:szCs w:val="24"/>
        </w:rPr>
        <w:t>միջոցների ինքնաճ</w:t>
      </w:r>
      <w:r w:rsidR="00485C6F">
        <w:rPr>
          <w:rFonts w:ascii="Sylfaen" w:hAnsi="Sylfaen"/>
          <w:szCs w:val="24"/>
          <w:lang w:val="ru-RU"/>
        </w:rPr>
        <w:t>ը</w:t>
      </w:r>
      <w:r w:rsidR="00A85B85" w:rsidRPr="00A85B85">
        <w:rPr>
          <w:rFonts w:ascii="Sylfaen" w:hAnsi="Sylfaen"/>
          <w:szCs w:val="24"/>
        </w:rPr>
        <w:t xml:space="preserve">, </w:t>
      </w:r>
      <w:r w:rsidR="00C139EC">
        <w:rPr>
          <w:rFonts w:ascii="Sylfaen" w:hAnsi="Sylfaen"/>
          <w:szCs w:val="24"/>
        </w:rPr>
        <w:t>տոկոսներ</w:t>
      </w:r>
      <w:r w:rsidR="00485C6F">
        <w:rPr>
          <w:rFonts w:ascii="Sylfaen" w:hAnsi="Sylfaen"/>
          <w:szCs w:val="24"/>
          <w:lang w:val="ru-RU"/>
        </w:rPr>
        <w:t>ը</w:t>
      </w:r>
      <w:r w:rsidR="00A85B85" w:rsidRPr="00A85B85">
        <w:rPr>
          <w:rFonts w:ascii="Sylfaen" w:hAnsi="Sylfaen"/>
          <w:szCs w:val="24"/>
        </w:rPr>
        <w:t>, շահաբաժ</w:t>
      </w:r>
      <w:r w:rsidR="00C139EC">
        <w:rPr>
          <w:rFonts w:ascii="Sylfaen" w:hAnsi="Sylfaen"/>
          <w:szCs w:val="24"/>
        </w:rPr>
        <w:t>իններ</w:t>
      </w:r>
      <w:r w:rsidR="00485C6F">
        <w:rPr>
          <w:rFonts w:ascii="Sylfaen" w:hAnsi="Sylfaen"/>
          <w:szCs w:val="24"/>
          <w:lang w:val="ru-RU"/>
        </w:rPr>
        <w:t>ը</w:t>
      </w:r>
      <w:r w:rsidR="00C139EC">
        <w:rPr>
          <w:rFonts w:ascii="Sylfaen" w:hAnsi="Sylfaen"/>
          <w:szCs w:val="24"/>
        </w:rPr>
        <w:t>, ռոյալթիներ</w:t>
      </w:r>
      <w:r w:rsidR="00485C6F">
        <w:rPr>
          <w:rFonts w:ascii="Sylfaen" w:hAnsi="Sylfaen"/>
          <w:szCs w:val="24"/>
          <w:lang w:val="ru-RU"/>
        </w:rPr>
        <w:t>ը</w:t>
      </w:r>
      <w:r w:rsidR="00C139EC">
        <w:rPr>
          <w:rFonts w:ascii="Sylfaen" w:hAnsi="Sylfaen"/>
          <w:szCs w:val="24"/>
        </w:rPr>
        <w:t>, եկամուտ</w:t>
      </w:r>
      <w:r w:rsidR="00485C6F">
        <w:rPr>
          <w:rFonts w:ascii="Sylfaen" w:hAnsi="Sylfaen"/>
          <w:szCs w:val="24"/>
          <w:lang w:val="ru-RU"/>
        </w:rPr>
        <w:t>ը</w:t>
      </w:r>
      <w:r w:rsidR="00C139EC">
        <w:rPr>
          <w:rFonts w:ascii="Sylfaen" w:hAnsi="Sylfaen"/>
          <w:szCs w:val="24"/>
        </w:rPr>
        <w:t xml:space="preserve"> լիզինգից</w:t>
      </w:r>
      <w:r w:rsidR="00485C6F" w:rsidRPr="00485C6F">
        <w:rPr>
          <w:rFonts w:ascii="Sylfaen" w:hAnsi="Sylfaen"/>
          <w:szCs w:val="24"/>
        </w:rPr>
        <w:t xml:space="preserve"> </w:t>
      </w:r>
      <w:r w:rsidR="00485C6F">
        <w:rPr>
          <w:rFonts w:ascii="Sylfaen" w:hAnsi="Sylfaen"/>
          <w:szCs w:val="24"/>
          <w:lang w:val="ru-RU"/>
        </w:rPr>
        <w:t>և</w:t>
      </w:r>
      <w:r w:rsidR="00C139EC" w:rsidRPr="00C139EC">
        <w:rPr>
          <w:rFonts w:ascii="Sylfaen" w:hAnsi="Sylfaen"/>
          <w:szCs w:val="24"/>
        </w:rPr>
        <w:t xml:space="preserve"> </w:t>
      </w:r>
      <w:r w:rsidR="00C139EC" w:rsidRPr="00A85B85">
        <w:rPr>
          <w:rFonts w:ascii="Sylfaen" w:hAnsi="Sylfaen"/>
          <w:szCs w:val="24"/>
        </w:rPr>
        <w:t>եկամուտ</w:t>
      </w:r>
      <w:r w:rsidR="00485C6F">
        <w:rPr>
          <w:rFonts w:ascii="Sylfaen" w:hAnsi="Sylfaen"/>
          <w:szCs w:val="24"/>
          <w:lang w:val="ru-RU"/>
        </w:rPr>
        <w:t>ը</w:t>
      </w:r>
      <w:r w:rsidR="00A85B85" w:rsidRPr="00A85B85">
        <w:rPr>
          <w:rFonts w:ascii="Sylfaen" w:hAnsi="Sylfaen"/>
          <w:szCs w:val="24"/>
        </w:rPr>
        <w:t xml:space="preserve"> ապահովագրությունից</w:t>
      </w:r>
      <w:r w:rsidR="005A12BB" w:rsidRPr="00AD2F83">
        <w:rPr>
          <w:rStyle w:val="FootnoteReference"/>
          <w:rFonts w:ascii="Sylfaen" w:hAnsi="Sylfaen"/>
          <w:szCs w:val="24"/>
        </w:rPr>
        <w:footnoteReference w:id="2"/>
      </w:r>
      <w:r w:rsidR="00C139EC">
        <w:rPr>
          <w:rFonts w:ascii="Sylfaen" w:hAnsi="Sylfaen"/>
          <w:szCs w:val="24"/>
        </w:rPr>
        <w:t>:</w:t>
      </w:r>
      <w:r w:rsidR="005A12BB" w:rsidRPr="00AD2F83">
        <w:rPr>
          <w:rFonts w:ascii="Sylfaen" w:hAnsi="Sylfaen" w:cstheme="minorHAnsi"/>
          <w:szCs w:val="24"/>
        </w:rPr>
        <w:t xml:space="preserve"> </w:t>
      </w:r>
      <w:r w:rsidR="00C139EC">
        <w:rPr>
          <w:rFonts w:ascii="Sylfaen" w:hAnsi="Sylfaen" w:cstheme="minorHAnsi"/>
          <w:szCs w:val="24"/>
        </w:rPr>
        <w:t xml:space="preserve">Պահումները </w:t>
      </w:r>
      <w:r w:rsidR="00410425">
        <w:rPr>
          <w:rFonts w:ascii="Sylfaen" w:hAnsi="Sylfaen" w:cstheme="minorHAnsi"/>
          <w:szCs w:val="24"/>
        </w:rPr>
        <w:t xml:space="preserve">լինում </w:t>
      </w:r>
      <w:r w:rsidR="00C139EC">
        <w:rPr>
          <w:rFonts w:ascii="Sylfaen" w:hAnsi="Sylfaen" w:cstheme="minorHAnsi"/>
          <w:szCs w:val="24"/>
        </w:rPr>
        <w:t xml:space="preserve">են </w:t>
      </w:r>
      <w:r w:rsidR="000510A6">
        <w:rPr>
          <w:rFonts w:ascii="Sylfaen" w:hAnsi="Sylfaen" w:cstheme="minorHAnsi"/>
          <w:szCs w:val="24"/>
          <w:lang w:val="ru-RU"/>
        </w:rPr>
        <w:t>ամսական</w:t>
      </w:r>
      <w:r w:rsidR="000510A6" w:rsidRPr="000510A6">
        <w:rPr>
          <w:rFonts w:ascii="Sylfaen" w:hAnsi="Sylfaen" w:cstheme="minorHAnsi"/>
          <w:szCs w:val="24"/>
        </w:rPr>
        <w:t xml:space="preserve"> </w:t>
      </w:r>
      <w:r w:rsidR="00C139EC">
        <w:rPr>
          <w:rFonts w:ascii="Sylfaen" w:hAnsi="Sylfaen" w:cstheme="minorHAnsi"/>
          <w:szCs w:val="24"/>
        </w:rPr>
        <w:t>և վերջնական</w:t>
      </w:r>
      <w:r w:rsidR="00410425">
        <w:rPr>
          <w:rFonts w:ascii="Sylfaen" w:hAnsi="Sylfaen" w:cstheme="minorHAnsi"/>
          <w:szCs w:val="24"/>
        </w:rPr>
        <w:t xml:space="preserve"> բնույթի</w:t>
      </w:r>
      <w:r w:rsidR="00C139EC">
        <w:rPr>
          <w:rFonts w:ascii="Sylfaen" w:hAnsi="Sylfaen" w:cstheme="minorHAnsi"/>
          <w:szCs w:val="24"/>
        </w:rPr>
        <w:t>, անհատի հարկ</w:t>
      </w:r>
      <w:r w:rsidR="00410425">
        <w:rPr>
          <w:rFonts w:ascii="Sylfaen" w:hAnsi="Sylfaen" w:cstheme="minorHAnsi"/>
          <w:szCs w:val="24"/>
        </w:rPr>
        <w:t>ից</w:t>
      </w:r>
      <w:r w:rsidR="00C139EC">
        <w:rPr>
          <w:rFonts w:ascii="Sylfaen" w:hAnsi="Sylfaen" w:cstheme="minorHAnsi"/>
          <w:szCs w:val="24"/>
        </w:rPr>
        <w:t xml:space="preserve"> ազատում չկա</w:t>
      </w:r>
      <w:r w:rsidR="00DB0AA0">
        <w:rPr>
          <w:rFonts w:ascii="Sylfaen" w:hAnsi="Sylfaen" w:cstheme="minorHAnsi"/>
          <w:szCs w:val="24"/>
        </w:rPr>
        <w:t xml:space="preserve">, իսկ կենսաթոշակային վճարները հարկման ենթակա չեն: 2015 թվականին եկամտային հարկի հավաքագրումները կազմել են ՀՆԱ-ի </w:t>
      </w:r>
      <w:r w:rsidR="006B0784" w:rsidRPr="00AD2F83">
        <w:rPr>
          <w:rFonts w:ascii="Sylfaen" w:hAnsi="Sylfaen" w:cstheme="minorHAnsi"/>
          <w:szCs w:val="24"/>
        </w:rPr>
        <w:t>6</w:t>
      </w:r>
      <w:r w:rsidR="00DB0AA0">
        <w:rPr>
          <w:rFonts w:ascii="Sylfaen" w:hAnsi="Sylfaen" w:cstheme="minorHAnsi"/>
          <w:szCs w:val="24"/>
        </w:rPr>
        <w:t>,</w:t>
      </w:r>
      <w:r w:rsidR="00E57DBF" w:rsidRPr="00AD2F83">
        <w:rPr>
          <w:rFonts w:ascii="Sylfaen" w:hAnsi="Sylfaen" w:cstheme="minorHAnsi"/>
          <w:szCs w:val="24"/>
        </w:rPr>
        <w:t>2</w:t>
      </w:r>
      <w:r w:rsidR="00DB0AA0">
        <w:rPr>
          <w:rFonts w:ascii="Sylfaen" w:hAnsi="Sylfaen" w:cstheme="minorHAnsi"/>
          <w:szCs w:val="24"/>
        </w:rPr>
        <w:t xml:space="preserve"> տոկոս (փաստացի), 2018 թվականին </w:t>
      </w:r>
      <w:r w:rsidR="000510A6">
        <w:rPr>
          <w:rFonts w:ascii="Sylfaen" w:hAnsi="Sylfaen" w:cstheme="minorHAnsi"/>
          <w:szCs w:val="24"/>
          <w:lang w:val="ru-RU"/>
        </w:rPr>
        <w:t>դրանք</w:t>
      </w:r>
      <w:r w:rsidR="00DB0AA0">
        <w:rPr>
          <w:rFonts w:ascii="Sylfaen" w:hAnsi="Sylfaen" w:cstheme="minorHAnsi"/>
          <w:szCs w:val="24"/>
        </w:rPr>
        <w:t xml:space="preserve"> հաս</w:t>
      </w:r>
      <w:r w:rsidR="00410425">
        <w:rPr>
          <w:rFonts w:ascii="Sylfaen" w:hAnsi="Sylfaen" w:cstheme="minorHAnsi"/>
          <w:szCs w:val="24"/>
        </w:rPr>
        <w:t xml:space="preserve">ել </w:t>
      </w:r>
      <w:r w:rsidR="00DB0AA0">
        <w:rPr>
          <w:rFonts w:ascii="Sylfaen" w:hAnsi="Sylfaen" w:cstheme="minorHAnsi"/>
          <w:szCs w:val="24"/>
        </w:rPr>
        <w:t xml:space="preserve">են </w:t>
      </w:r>
      <w:r w:rsidR="0078376B" w:rsidRPr="00AD2F83">
        <w:rPr>
          <w:rFonts w:ascii="Sylfaen" w:hAnsi="Sylfaen" w:cstheme="minorHAnsi"/>
          <w:szCs w:val="24"/>
        </w:rPr>
        <w:t>6</w:t>
      </w:r>
      <w:r w:rsidR="00DB0AA0">
        <w:rPr>
          <w:rFonts w:ascii="Sylfaen" w:hAnsi="Sylfaen" w:cstheme="minorHAnsi"/>
          <w:szCs w:val="24"/>
        </w:rPr>
        <w:t xml:space="preserve">, </w:t>
      </w:r>
      <w:r w:rsidR="0078376B" w:rsidRPr="00AD2F83">
        <w:rPr>
          <w:rFonts w:ascii="Sylfaen" w:hAnsi="Sylfaen" w:cstheme="minorHAnsi"/>
          <w:szCs w:val="24"/>
        </w:rPr>
        <w:t>5</w:t>
      </w:r>
      <w:r w:rsidR="00DB0AA0">
        <w:rPr>
          <w:rFonts w:ascii="Sylfaen" w:hAnsi="Sylfaen" w:cstheme="minorHAnsi"/>
          <w:szCs w:val="24"/>
        </w:rPr>
        <w:t xml:space="preserve"> տոկոսի </w:t>
      </w:r>
      <w:r w:rsidR="006B0784" w:rsidRPr="00AD2F83">
        <w:rPr>
          <w:rFonts w:ascii="Sylfaen" w:hAnsi="Sylfaen" w:cstheme="minorHAnsi"/>
          <w:szCs w:val="24"/>
        </w:rPr>
        <w:t>(</w:t>
      </w:r>
      <w:r w:rsidR="00DB0AA0">
        <w:rPr>
          <w:rFonts w:ascii="Sylfaen" w:hAnsi="Sylfaen" w:cstheme="minorHAnsi"/>
          <w:szCs w:val="24"/>
        </w:rPr>
        <w:t>կանխատեսվող</w:t>
      </w:r>
      <w:r w:rsidR="006B0784" w:rsidRPr="00AD2F83">
        <w:rPr>
          <w:rFonts w:ascii="Sylfaen" w:hAnsi="Sylfaen" w:cstheme="minorHAnsi"/>
          <w:szCs w:val="24"/>
        </w:rPr>
        <w:t>)</w:t>
      </w:r>
      <w:r w:rsidR="00902C00" w:rsidRPr="00AD2F83">
        <w:rPr>
          <w:rStyle w:val="FootnoteReference"/>
          <w:rFonts w:ascii="Sylfaen" w:hAnsi="Sylfaen"/>
          <w:szCs w:val="24"/>
        </w:rPr>
        <w:footnoteReference w:id="3"/>
      </w:r>
      <w:r w:rsidR="00DB0AA0">
        <w:rPr>
          <w:rFonts w:ascii="Sylfaen" w:hAnsi="Sylfaen" w:cstheme="minorHAnsi"/>
          <w:szCs w:val="24"/>
        </w:rPr>
        <w:t>:</w:t>
      </w:r>
    </w:p>
    <w:p w:rsidR="002D1D37" w:rsidRPr="00AD2F83" w:rsidRDefault="002D1D37" w:rsidP="007B07BA">
      <w:pPr>
        <w:jc w:val="both"/>
        <w:rPr>
          <w:rFonts w:ascii="Sylfaen" w:hAnsi="Sylfaen"/>
          <w:szCs w:val="24"/>
        </w:rPr>
      </w:pPr>
    </w:p>
    <w:p w:rsidR="007B07BA" w:rsidRDefault="00844370" w:rsidP="007B07BA">
      <w:pPr>
        <w:jc w:val="both"/>
        <w:rPr>
          <w:rFonts w:ascii="Sylfaen" w:hAnsi="Sylfaen"/>
        </w:rPr>
      </w:pPr>
      <w:r w:rsidRPr="00844370">
        <w:rPr>
          <w:rFonts w:ascii="Sylfaen" w:hAnsi="Sylfaen"/>
          <w:b/>
          <w:szCs w:val="24"/>
        </w:rPr>
        <w:t xml:space="preserve">ՀՀ կառավարությունը մշակել է հարկային </w:t>
      </w:r>
      <w:r>
        <w:rPr>
          <w:rFonts w:ascii="Sylfaen" w:hAnsi="Sylfaen"/>
          <w:b/>
          <w:szCs w:val="24"/>
        </w:rPr>
        <w:t>o</w:t>
      </w:r>
      <w:r w:rsidRPr="00844370">
        <w:rPr>
          <w:rFonts w:ascii="Sylfaen" w:hAnsi="Sylfaen"/>
          <w:b/>
          <w:szCs w:val="24"/>
        </w:rPr>
        <w:t xml:space="preserve">րինագիծ, որը </w:t>
      </w:r>
      <w:r w:rsidR="000510A6">
        <w:rPr>
          <w:rFonts w:ascii="Sylfaen" w:hAnsi="Sylfaen"/>
          <w:b/>
          <w:szCs w:val="24"/>
          <w:lang w:val="ru-RU"/>
        </w:rPr>
        <w:t>նախատեսում</w:t>
      </w:r>
      <w:r w:rsidR="000510A6" w:rsidRPr="000510A6">
        <w:rPr>
          <w:rFonts w:ascii="Sylfaen" w:hAnsi="Sylfaen"/>
          <w:b/>
          <w:szCs w:val="24"/>
        </w:rPr>
        <w:t xml:space="preserve"> </w:t>
      </w:r>
      <w:r w:rsidR="000510A6">
        <w:rPr>
          <w:rFonts w:ascii="Sylfaen" w:hAnsi="Sylfaen"/>
          <w:b/>
          <w:szCs w:val="24"/>
          <w:lang w:val="ru-RU"/>
        </w:rPr>
        <w:t>է</w:t>
      </w:r>
      <w:r w:rsidRPr="00844370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b/>
          <w:szCs w:val="24"/>
        </w:rPr>
        <w:t>եկամտային հարկ</w:t>
      </w:r>
      <w:r w:rsidRPr="00844370">
        <w:rPr>
          <w:rFonts w:ascii="Sylfaen" w:hAnsi="Sylfaen"/>
          <w:b/>
          <w:szCs w:val="24"/>
        </w:rPr>
        <w:t>ի կառուցվածք</w:t>
      </w:r>
      <w:r w:rsidR="000510A6">
        <w:rPr>
          <w:rFonts w:ascii="Sylfaen" w:hAnsi="Sylfaen"/>
          <w:b/>
          <w:szCs w:val="24"/>
          <w:lang w:val="ru-RU"/>
        </w:rPr>
        <w:t>ի</w:t>
      </w:r>
      <w:r w:rsidR="000510A6" w:rsidRPr="000510A6">
        <w:rPr>
          <w:rFonts w:ascii="Sylfaen" w:hAnsi="Sylfaen"/>
          <w:b/>
          <w:szCs w:val="24"/>
        </w:rPr>
        <w:t xml:space="preserve"> </w:t>
      </w:r>
      <w:r w:rsidR="000510A6">
        <w:rPr>
          <w:rFonts w:ascii="Sylfaen" w:hAnsi="Sylfaen"/>
          <w:b/>
          <w:szCs w:val="24"/>
          <w:lang w:val="ru-RU"/>
        </w:rPr>
        <w:t>բարեփոխում</w:t>
      </w:r>
      <w:r>
        <w:rPr>
          <w:rFonts w:ascii="Sylfaen" w:hAnsi="Sylfaen"/>
          <w:b/>
          <w:szCs w:val="24"/>
        </w:rPr>
        <w:t xml:space="preserve">: </w:t>
      </w:r>
      <w:r w:rsidR="001E1A16" w:rsidRPr="001E1A16">
        <w:rPr>
          <w:rFonts w:ascii="Sylfaen" w:hAnsi="Sylfaen"/>
          <w:szCs w:val="24"/>
        </w:rPr>
        <w:t>Օ</w:t>
      </w:r>
      <w:r>
        <w:rPr>
          <w:rFonts w:ascii="Sylfaen" w:hAnsi="Sylfaen"/>
          <w:szCs w:val="24"/>
        </w:rPr>
        <w:t xml:space="preserve">րինագիծը կմտնի Խորհրդարան </w:t>
      </w:r>
      <w:r w:rsidR="00F46592" w:rsidRPr="00AD2F83">
        <w:rPr>
          <w:rFonts w:ascii="Sylfaen" w:hAnsi="Sylfaen"/>
          <w:szCs w:val="24"/>
        </w:rPr>
        <w:t>2019</w:t>
      </w:r>
      <w:r>
        <w:rPr>
          <w:rFonts w:ascii="Sylfaen" w:hAnsi="Sylfaen"/>
          <w:szCs w:val="24"/>
        </w:rPr>
        <w:t xml:space="preserve"> թվականի սկզբին: </w:t>
      </w:r>
      <w:r w:rsidR="0089666B">
        <w:rPr>
          <w:rFonts w:ascii="Sylfaen" w:hAnsi="Sylfaen"/>
          <w:szCs w:val="24"/>
        </w:rPr>
        <w:t xml:space="preserve">Եկամտային հարկի </w:t>
      </w:r>
      <w:r w:rsidR="0089666B" w:rsidRPr="0089666B">
        <w:rPr>
          <w:rFonts w:ascii="Sylfaen" w:hAnsi="Sylfaen"/>
          <w:szCs w:val="24"/>
        </w:rPr>
        <w:t xml:space="preserve">բարեփոխումը թույլ կտա պարզեցնել </w:t>
      </w:r>
      <w:r w:rsidR="001E1A16">
        <w:rPr>
          <w:rFonts w:ascii="Sylfaen" w:hAnsi="Sylfaen"/>
          <w:szCs w:val="24"/>
        </w:rPr>
        <w:t>եկամտա</w:t>
      </w:r>
      <w:r w:rsidR="0089666B">
        <w:rPr>
          <w:rFonts w:ascii="Sylfaen" w:hAnsi="Sylfaen"/>
          <w:szCs w:val="24"/>
        </w:rPr>
        <w:t>հարկ</w:t>
      </w:r>
      <w:r w:rsidR="001E1A16">
        <w:rPr>
          <w:rFonts w:ascii="Sylfaen" w:hAnsi="Sylfaen"/>
          <w:szCs w:val="24"/>
        </w:rPr>
        <w:t>այ</w:t>
      </w:r>
      <w:r w:rsidR="0089666B">
        <w:rPr>
          <w:rFonts w:ascii="Sylfaen" w:hAnsi="Sylfaen"/>
          <w:szCs w:val="24"/>
        </w:rPr>
        <w:t>ի</w:t>
      </w:r>
      <w:r w:rsidR="001E1A16">
        <w:rPr>
          <w:rFonts w:ascii="Sylfaen" w:hAnsi="Sylfaen"/>
          <w:szCs w:val="24"/>
        </w:rPr>
        <w:t>ն</w:t>
      </w:r>
      <w:r w:rsidR="0089666B" w:rsidRPr="0089666B">
        <w:rPr>
          <w:rFonts w:ascii="Sylfaen" w:hAnsi="Sylfaen"/>
          <w:szCs w:val="24"/>
        </w:rPr>
        <w:t xml:space="preserve"> համակարգը`</w:t>
      </w:r>
      <w:r w:rsidR="00F9719C" w:rsidRPr="00F9719C">
        <w:rPr>
          <w:rFonts w:ascii="Sylfaen" w:hAnsi="Sylfaen"/>
          <w:szCs w:val="24"/>
        </w:rPr>
        <w:t xml:space="preserve"> </w:t>
      </w:r>
      <w:r w:rsidR="0089666B">
        <w:rPr>
          <w:rFonts w:ascii="Sylfaen" w:hAnsi="Sylfaen"/>
          <w:szCs w:val="24"/>
        </w:rPr>
        <w:t>սահմանելով միասնական համահարթ դրույքաչափ, որն</w:t>
      </w:r>
      <w:r w:rsidR="0089666B" w:rsidRPr="0089666B">
        <w:rPr>
          <w:rFonts w:ascii="Sylfaen" w:hAnsi="Sylfaen"/>
          <w:szCs w:val="24"/>
        </w:rPr>
        <w:t xml:space="preserve"> աստիճանաբար կնվազի, սկսած 23</w:t>
      </w:r>
      <w:r w:rsidR="0089666B">
        <w:rPr>
          <w:rFonts w:ascii="Sylfaen" w:hAnsi="Sylfaen"/>
          <w:szCs w:val="24"/>
        </w:rPr>
        <w:t xml:space="preserve"> տոկոսից </w:t>
      </w:r>
      <w:r w:rsidR="0089666B" w:rsidRPr="0089666B">
        <w:rPr>
          <w:rFonts w:ascii="Sylfaen" w:hAnsi="Sylfaen"/>
          <w:szCs w:val="24"/>
        </w:rPr>
        <w:t>2020</w:t>
      </w:r>
      <w:r w:rsidR="0089666B">
        <w:rPr>
          <w:rFonts w:ascii="Sylfaen" w:hAnsi="Sylfaen"/>
          <w:szCs w:val="24"/>
        </w:rPr>
        <w:t xml:space="preserve"> թվականին, հասնելով</w:t>
      </w:r>
      <w:r w:rsidR="00136594">
        <w:rPr>
          <w:rFonts w:ascii="Sylfaen" w:hAnsi="Sylfaen"/>
          <w:szCs w:val="24"/>
        </w:rPr>
        <w:t xml:space="preserve"> </w:t>
      </w:r>
      <w:r w:rsidR="001E1A16">
        <w:rPr>
          <w:rFonts w:ascii="Sylfaen" w:hAnsi="Sylfaen"/>
          <w:szCs w:val="24"/>
        </w:rPr>
        <w:t>20 տոկոսի</w:t>
      </w:r>
      <w:r w:rsidR="001E1A16" w:rsidRPr="0089666B">
        <w:rPr>
          <w:rFonts w:ascii="Sylfaen" w:hAnsi="Sylfaen"/>
          <w:szCs w:val="24"/>
        </w:rPr>
        <w:t xml:space="preserve"> </w:t>
      </w:r>
      <w:r w:rsidR="00136594" w:rsidRPr="0089666B">
        <w:rPr>
          <w:rFonts w:ascii="Sylfaen" w:hAnsi="Sylfaen"/>
          <w:szCs w:val="24"/>
        </w:rPr>
        <w:t>2023</w:t>
      </w:r>
      <w:r w:rsidR="00136594">
        <w:rPr>
          <w:rFonts w:ascii="Sylfaen" w:hAnsi="Sylfaen"/>
          <w:szCs w:val="24"/>
        </w:rPr>
        <w:t xml:space="preserve"> թվականին</w:t>
      </w:r>
      <w:r w:rsidR="001E1A16">
        <w:rPr>
          <w:rFonts w:ascii="Sylfaen" w:hAnsi="Sylfaen"/>
          <w:szCs w:val="24"/>
        </w:rPr>
        <w:t xml:space="preserve">; </w:t>
      </w:r>
      <w:r w:rsidR="00136594">
        <w:rPr>
          <w:rFonts w:ascii="Sylfaen" w:hAnsi="Sylfaen"/>
          <w:szCs w:val="24"/>
        </w:rPr>
        <w:t>անհատի հարկերից ազատ</w:t>
      </w:r>
      <w:r w:rsidR="001E1A16">
        <w:rPr>
          <w:rFonts w:ascii="Sylfaen" w:hAnsi="Sylfaen"/>
          <w:szCs w:val="24"/>
        </w:rPr>
        <w:t>ու</w:t>
      </w:r>
      <w:r w:rsidR="00136594">
        <w:rPr>
          <w:rFonts w:ascii="Sylfaen" w:hAnsi="Sylfaen"/>
          <w:szCs w:val="24"/>
        </w:rPr>
        <w:t xml:space="preserve">մ </w:t>
      </w:r>
      <w:r w:rsidR="001E1A16">
        <w:rPr>
          <w:rFonts w:ascii="Sylfaen" w:hAnsi="Sylfaen"/>
          <w:szCs w:val="24"/>
        </w:rPr>
        <w:t xml:space="preserve">չի նախատեսվում </w:t>
      </w:r>
      <w:r w:rsidR="00F9719C">
        <w:rPr>
          <w:rFonts w:ascii="Sylfaen" w:hAnsi="Sylfaen"/>
          <w:szCs w:val="24"/>
        </w:rPr>
        <w:t>(</w:t>
      </w:r>
      <w:r w:rsidR="00F9719C">
        <w:rPr>
          <w:rFonts w:ascii="Sylfaen" w:hAnsi="Sylfaen"/>
          <w:szCs w:val="24"/>
          <w:lang w:val="ru-RU"/>
        </w:rPr>
        <w:t>տ</w:t>
      </w:r>
      <w:r w:rsidR="0089666B" w:rsidRPr="0089666B">
        <w:rPr>
          <w:rFonts w:ascii="Sylfaen" w:hAnsi="Sylfaen"/>
          <w:szCs w:val="24"/>
        </w:rPr>
        <w:t xml:space="preserve">ես </w:t>
      </w:r>
      <w:r w:rsidR="002274A2">
        <w:rPr>
          <w:rFonts w:ascii="Sylfaen" w:hAnsi="Sylfaen"/>
          <w:szCs w:val="24"/>
        </w:rPr>
        <w:t>Ա</w:t>
      </w:r>
      <w:r w:rsidR="0089666B" w:rsidRPr="0089666B">
        <w:rPr>
          <w:rFonts w:ascii="Sylfaen" w:hAnsi="Sylfaen"/>
          <w:szCs w:val="24"/>
        </w:rPr>
        <w:t>ղյուսակ 1):</w:t>
      </w:r>
      <w:r w:rsidR="00136594">
        <w:rPr>
          <w:rFonts w:ascii="Sylfaen" w:hAnsi="Sylfaen"/>
          <w:szCs w:val="24"/>
        </w:rPr>
        <w:t xml:space="preserve"> </w:t>
      </w:r>
      <w:r w:rsidR="00991C68" w:rsidRPr="00AD2F83">
        <w:rPr>
          <w:rFonts w:ascii="Sylfaen" w:hAnsi="Sylfaen"/>
          <w:szCs w:val="24"/>
        </w:rPr>
        <w:t xml:space="preserve"> </w:t>
      </w:r>
      <w:r w:rsidR="00136594" w:rsidRPr="00136594">
        <w:rPr>
          <w:rFonts w:ascii="Sylfaen" w:hAnsi="Sylfaen"/>
          <w:szCs w:val="24"/>
        </w:rPr>
        <w:t>Մի</w:t>
      </w:r>
      <w:r w:rsidR="00136594">
        <w:rPr>
          <w:rFonts w:ascii="Sylfaen" w:hAnsi="Sylfaen"/>
          <w:szCs w:val="24"/>
        </w:rPr>
        <w:t>և</w:t>
      </w:r>
      <w:r w:rsidR="00136594" w:rsidRPr="00136594">
        <w:rPr>
          <w:rFonts w:ascii="Sylfaen" w:hAnsi="Sylfaen"/>
          <w:szCs w:val="24"/>
        </w:rPr>
        <w:t>նույն ժամանակ, բարեփոխմ</w:t>
      </w:r>
      <w:r w:rsidR="00136594">
        <w:rPr>
          <w:rFonts w:ascii="Sylfaen" w:hAnsi="Sylfaen"/>
          <w:szCs w:val="24"/>
        </w:rPr>
        <w:t>ան արդյունքում</w:t>
      </w:r>
      <w:r w:rsidR="00136594" w:rsidRPr="00136594">
        <w:rPr>
          <w:rFonts w:ascii="Sylfaen" w:hAnsi="Sylfaen"/>
          <w:szCs w:val="24"/>
        </w:rPr>
        <w:t xml:space="preserve"> կբարձրան</w:t>
      </w:r>
      <w:r w:rsidR="00136594">
        <w:rPr>
          <w:rFonts w:ascii="Sylfaen" w:hAnsi="Sylfaen"/>
          <w:szCs w:val="24"/>
        </w:rPr>
        <w:t>ա</w:t>
      </w:r>
      <w:r w:rsidR="00136594" w:rsidRPr="00136594">
        <w:rPr>
          <w:rFonts w:ascii="Sylfaen" w:hAnsi="Sylfaen"/>
          <w:szCs w:val="24"/>
        </w:rPr>
        <w:t xml:space="preserve"> </w:t>
      </w:r>
      <w:r w:rsidR="002274A2" w:rsidRPr="00136594">
        <w:rPr>
          <w:rFonts w:ascii="Sylfaen" w:hAnsi="Sylfaen"/>
          <w:szCs w:val="24"/>
        </w:rPr>
        <w:t xml:space="preserve">պետական </w:t>
      </w:r>
      <w:r w:rsidR="002274A2">
        <w:rPr>
          <w:rFonts w:ascii="Sylfaen" w:hAnsi="Sylfaen"/>
          <w:szCs w:val="24"/>
        </w:rPr>
        <w:t xml:space="preserve">և </w:t>
      </w:r>
      <w:r w:rsidR="002274A2" w:rsidRPr="00136594">
        <w:rPr>
          <w:rFonts w:ascii="Sylfaen" w:hAnsi="Sylfaen"/>
          <w:szCs w:val="24"/>
        </w:rPr>
        <w:t xml:space="preserve">մասնավոր </w:t>
      </w:r>
      <w:r w:rsidR="001E1A16">
        <w:rPr>
          <w:rFonts w:ascii="Sylfaen" w:hAnsi="Sylfaen"/>
          <w:szCs w:val="24"/>
        </w:rPr>
        <w:t xml:space="preserve">հատվածի </w:t>
      </w:r>
      <w:r w:rsidR="002274A2" w:rsidRPr="00136594">
        <w:rPr>
          <w:rFonts w:ascii="Sylfaen" w:hAnsi="Sylfaen"/>
          <w:szCs w:val="24"/>
        </w:rPr>
        <w:t xml:space="preserve">աշխատողների </w:t>
      </w:r>
      <w:r w:rsidR="002274A2">
        <w:rPr>
          <w:rFonts w:ascii="Sylfaen" w:hAnsi="Sylfaen"/>
          <w:szCs w:val="24"/>
        </w:rPr>
        <w:t xml:space="preserve">(ծնված 1974 թ-ից հետո) կողմից նոր կուտակային կենսաթոշակային հաշվին կատարվող </w:t>
      </w:r>
      <w:r w:rsidR="002274A2" w:rsidRPr="00136594">
        <w:rPr>
          <w:rFonts w:ascii="Sylfaen" w:hAnsi="Sylfaen"/>
          <w:szCs w:val="24"/>
        </w:rPr>
        <w:t>սոցիալական վճար</w:t>
      </w:r>
      <w:r w:rsidR="002274A2">
        <w:rPr>
          <w:rFonts w:ascii="Sylfaen" w:hAnsi="Sylfaen"/>
          <w:szCs w:val="24"/>
        </w:rPr>
        <w:t>ու</w:t>
      </w:r>
      <w:r w:rsidR="002274A2" w:rsidRPr="00136594">
        <w:rPr>
          <w:rFonts w:ascii="Sylfaen" w:hAnsi="Sylfaen"/>
          <w:szCs w:val="24"/>
        </w:rPr>
        <w:t>մն</w:t>
      </w:r>
      <w:r w:rsidR="002274A2">
        <w:rPr>
          <w:rFonts w:ascii="Sylfaen" w:hAnsi="Sylfaen"/>
          <w:szCs w:val="24"/>
        </w:rPr>
        <w:t>երի</w:t>
      </w:r>
      <w:r w:rsidR="002274A2" w:rsidRPr="00136594">
        <w:rPr>
          <w:rFonts w:ascii="Sylfaen" w:hAnsi="Sylfaen"/>
          <w:szCs w:val="24"/>
        </w:rPr>
        <w:t xml:space="preserve"> (Ս</w:t>
      </w:r>
      <w:r w:rsidR="007800F6">
        <w:rPr>
          <w:rFonts w:ascii="Sylfaen" w:hAnsi="Sylfaen"/>
          <w:szCs w:val="24"/>
        </w:rPr>
        <w:t>Վ</w:t>
      </w:r>
      <w:r w:rsidR="002274A2" w:rsidRPr="00136594">
        <w:rPr>
          <w:rFonts w:ascii="Sylfaen" w:hAnsi="Sylfaen"/>
          <w:szCs w:val="24"/>
        </w:rPr>
        <w:t>) դրույքաչափը</w:t>
      </w:r>
      <w:r w:rsidR="001E1A16">
        <w:rPr>
          <w:rFonts w:ascii="Sylfaen" w:hAnsi="Sylfaen"/>
          <w:szCs w:val="24"/>
        </w:rPr>
        <w:t xml:space="preserve">՝ </w:t>
      </w:r>
      <w:r w:rsidR="00454685" w:rsidRPr="00AD2F83">
        <w:rPr>
          <w:rFonts w:ascii="Sylfaen" w:hAnsi="Sylfaen"/>
          <w:szCs w:val="24"/>
        </w:rPr>
        <w:t>2</w:t>
      </w:r>
      <w:r w:rsidR="002274A2">
        <w:rPr>
          <w:rFonts w:ascii="Sylfaen" w:hAnsi="Sylfaen"/>
          <w:szCs w:val="24"/>
        </w:rPr>
        <w:t xml:space="preserve">, </w:t>
      </w:r>
      <w:r w:rsidR="005C6E5E" w:rsidRPr="00AD2F83">
        <w:rPr>
          <w:rFonts w:ascii="Sylfaen" w:hAnsi="Sylfaen"/>
          <w:szCs w:val="24"/>
        </w:rPr>
        <w:t>5</w:t>
      </w:r>
      <w:r w:rsidR="002274A2">
        <w:rPr>
          <w:rFonts w:ascii="Sylfaen" w:hAnsi="Sylfaen"/>
          <w:szCs w:val="24"/>
        </w:rPr>
        <w:t xml:space="preserve"> տոկոսից </w:t>
      </w:r>
      <w:r w:rsidR="001E1A16">
        <w:rPr>
          <w:rFonts w:ascii="Sylfaen" w:hAnsi="Sylfaen"/>
          <w:szCs w:val="24"/>
        </w:rPr>
        <w:t xml:space="preserve">հասնելով </w:t>
      </w:r>
      <w:r w:rsidR="001E1A16" w:rsidRPr="00AD2F83">
        <w:rPr>
          <w:rFonts w:ascii="Sylfaen" w:hAnsi="Sylfaen"/>
          <w:szCs w:val="24"/>
        </w:rPr>
        <w:t>5.0</w:t>
      </w:r>
      <w:r w:rsidR="001E1A16">
        <w:rPr>
          <w:rFonts w:ascii="Sylfaen" w:hAnsi="Sylfaen"/>
          <w:szCs w:val="24"/>
        </w:rPr>
        <w:t xml:space="preserve"> տոկոսի </w:t>
      </w:r>
      <w:r w:rsidR="00F9719C" w:rsidRPr="00AD2F83">
        <w:rPr>
          <w:rFonts w:ascii="Sylfaen" w:hAnsi="Sylfaen"/>
          <w:szCs w:val="24"/>
        </w:rPr>
        <w:t>2023</w:t>
      </w:r>
      <w:r w:rsidR="00F9719C">
        <w:rPr>
          <w:rFonts w:ascii="Sylfaen" w:hAnsi="Sylfaen"/>
          <w:szCs w:val="24"/>
        </w:rPr>
        <w:t xml:space="preserve"> թ-ին</w:t>
      </w:r>
      <w:r w:rsidR="00F9719C" w:rsidRPr="00AD2F83">
        <w:rPr>
          <w:rFonts w:ascii="Sylfaen" w:hAnsi="Sylfaen"/>
          <w:szCs w:val="24"/>
        </w:rPr>
        <w:t xml:space="preserve"> </w:t>
      </w:r>
      <w:r w:rsidR="00454685" w:rsidRPr="00AD2F83">
        <w:rPr>
          <w:rFonts w:ascii="Sylfaen" w:hAnsi="Sylfaen"/>
          <w:szCs w:val="24"/>
        </w:rPr>
        <w:t>(</w:t>
      </w:r>
      <w:r w:rsidR="001E1A16">
        <w:rPr>
          <w:rFonts w:ascii="Sylfaen" w:hAnsi="Sylfaen"/>
          <w:szCs w:val="24"/>
        </w:rPr>
        <w:t>տ</w:t>
      </w:r>
      <w:r w:rsidR="002274A2" w:rsidRPr="0089666B">
        <w:rPr>
          <w:rFonts w:ascii="Sylfaen" w:hAnsi="Sylfaen"/>
          <w:szCs w:val="24"/>
        </w:rPr>
        <w:t xml:space="preserve">ես </w:t>
      </w:r>
      <w:r w:rsidR="002274A2">
        <w:rPr>
          <w:rFonts w:ascii="Sylfaen" w:hAnsi="Sylfaen"/>
          <w:szCs w:val="24"/>
        </w:rPr>
        <w:t>Ա</w:t>
      </w:r>
      <w:r w:rsidR="002274A2" w:rsidRPr="0089666B">
        <w:rPr>
          <w:rFonts w:ascii="Sylfaen" w:hAnsi="Sylfaen"/>
          <w:szCs w:val="24"/>
        </w:rPr>
        <w:t>ղյուսակ</w:t>
      </w:r>
      <w:r w:rsidR="000C66E8" w:rsidRPr="00AD2F83">
        <w:rPr>
          <w:rFonts w:ascii="Sylfaen" w:hAnsi="Sylfaen"/>
          <w:szCs w:val="24"/>
        </w:rPr>
        <w:t xml:space="preserve"> 1</w:t>
      </w:r>
      <w:r w:rsidR="00454685" w:rsidRPr="00AD2F83">
        <w:rPr>
          <w:rFonts w:ascii="Sylfaen" w:hAnsi="Sylfaen"/>
          <w:szCs w:val="24"/>
        </w:rPr>
        <w:t>)</w:t>
      </w:r>
      <w:r w:rsidR="002274A2">
        <w:rPr>
          <w:rFonts w:ascii="Sylfaen" w:hAnsi="Sylfaen"/>
          <w:szCs w:val="24"/>
        </w:rPr>
        <w:t xml:space="preserve">: Մինչև </w:t>
      </w:r>
      <w:r w:rsidR="000C66E8" w:rsidRPr="00AD2F83">
        <w:rPr>
          <w:rFonts w:ascii="Sylfaen" w:hAnsi="Sylfaen"/>
          <w:szCs w:val="24"/>
        </w:rPr>
        <w:t>2018</w:t>
      </w:r>
      <w:r w:rsidR="002274A2">
        <w:rPr>
          <w:rFonts w:ascii="Sylfaen" w:hAnsi="Sylfaen"/>
          <w:szCs w:val="24"/>
        </w:rPr>
        <w:t xml:space="preserve"> թվականի հուլիսը նոր կենսաթոշակային համակարգի</w:t>
      </w:r>
      <w:r w:rsidR="001E1A16">
        <w:rPr>
          <w:rFonts w:ascii="Sylfaen" w:hAnsi="Sylfaen"/>
          <w:szCs w:val="24"/>
        </w:rPr>
        <w:t xml:space="preserve"> </w:t>
      </w:r>
      <w:r w:rsidR="002274A2">
        <w:rPr>
          <w:rFonts w:ascii="Sylfaen" w:hAnsi="Sylfaen"/>
          <w:szCs w:val="24"/>
        </w:rPr>
        <w:t>սոցիալական վճար</w:t>
      </w:r>
      <w:r w:rsidR="00F9719C">
        <w:rPr>
          <w:rFonts w:ascii="Sylfaen" w:hAnsi="Sylfaen"/>
          <w:szCs w:val="24"/>
          <w:lang w:val="ru-RU"/>
        </w:rPr>
        <w:t>ը</w:t>
      </w:r>
      <w:r w:rsidR="00F9719C" w:rsidRPr="00F9719C">
        <w:rPr>
          <w:rFonts w:ascii="Sylfaen" w:hAnsi="Sylfaen"/>
          <w:szCs w:val="24"/>
        </w:rPr>
        <w:t xml:space="preserve"> </w:t>
      </w:r>
      <w:r w:rsidR="00F9719C">
        <w:rPr>
          <w:rFonts w:ascii="Sylfaen" w:hAnsi="Sylfaen"/>
          <w:szCs w:val="24"/>
          <w:lang w:val="ru-RU"/>
        </w:rPr>
        <w:t>հիմնված</w:t>
      </w:r>
      <w:r w:rsidR="00F9719C" w:rsidRPr="00F9719C">
        <w:rPr>
          <w:rFonts w:ascii="Sylfaen" w:hAnsi="Sylfaen"/>
          <w:szCs w:val="24"/>
        </w:rPr>
        <w:t xml:space="preserve"> </w:t>
      </w:r>
      <w:r w:rsidR="00F9719C">
        <w:rPr>
          <w:rFonts w:ascii="Sylfaen" w:hAnsi="Sylfaen"/>
          <w:szCs w:val="24"/>
          <w:lang w:val="ru-RU"/>
        </w:rPr>
        <w:t>էր</w:t>
      </w:r>
      <w:r w:rsidR="00F9719C" w:rsidRPr="00F9719C">
        <w:rPr>
          <w:rFonts w:ascii="Sylfaen" w:hAnsi="Sylfaen"/>
          <w:szCs w:val="24"/>
        </w:rPr>
        <w:t xml:space="preserve"> </w:t>
      </w:r>
      <w:r w:rsidR="000C66E8" w:rsidRPr="00AD2F83">
        <w:rPr>
          <w:rFonts w:ascii="Sylfaen" w:hAnsi="Sylfaen"/>
        </w:rPr>
        <w:t>5-5</w:t>
      </w:r>
      <w:r w:rsidR="002274A2">
        <w:rPr>
          <w:rFonts w:ascii="Sylfaen" w:hAnsi="Sylfaen"/>
        </w:rPr>
        <w:t xml:space="preserve"> տոկոս</w:t>
      </w:r>
      <w:r w:rsidR="00F9719C" w:rsidRPr="00F9719C">
        <w:rPr>
          <w:rFonts w:ascii="Sylfaen" w:hAnsi="Sylfaen"/>
        </w:rPr>
        <w:t xml:space="preserve"> </w:t>
      </w:r>
      <w:r w:rsidR="00F9719C">
        <w:rPr>
          <w:rFonts w:ascii="Sylfaen" w:hAnsi="Sylfaen"/>
          <w:lang w:val="ru-RU"/>
        </w:rPr>
        <w:t>հարաբերության</w:t>
      </w:r>
      <w:r w:rsidR="00F9719C" w:rsidRPr="00F9719C">
        <w:rPr>
          <w:rFonts w:ascii="Sylfaen" w:hAnsi="Sylfaen"/>
        </w:rPr>
        <w:t xml:space="preserve"> </w:t>
      </w:r>
      <w:r w:rsidR="00F9719C">
        <w:rPr>
          <w:rFonts w:ascii="Sylfaen" w:hAnsi="Sylfaen"/>
          <w:lang w:val="ru-RU"/>
        </w:rPr>
        <w:t>վրա</w:t>
      </w:r>
      <w:r w:rsidR="002274A2">
        <w:rPr>
          <w:rFonts w:ascii="Sylfaen" w:hAnsi="Sylfaen"/>
        </w:rPr>
        <w:t>, որը պետք է վճարեին աշխատողները և պետությունը</w:t>
      </w:r>
      <w:r w:rsidR="000C66E8" w:rsidRPr="00AD2F83">
        <w:rPr>
          <w:rFonts w:ascii="Sylfaen" w:hAnsi="Sylfaen"/>
        </w:rPr>
        <w:t xml:space="preserve"> (</w:t>
      </w:r>
      <w:r w:rsidR="00B30B84">
        <w:rPr>
          <w:rFonts w:ascii="Sylfaen" w:hAnsi="Sylfaen"/>
        </w:rPr>
        <w:t>համաֆինանսավորմ</w:t>
      </w:r>
      <w:r w:rsidR="00F9719C">
        <w:rPr>
          <w:rFonts w:ascii="Sylfaen" w:hAnsi="Sylfaen"/>
          <w:lang w:val="ru-RU"/>
        </w:rPr>
        <w:t>ան</w:t>
      </w:r>
      <w:r w:rsidR="00F9719C" w:rsidRPr="00F9719C">
        <w:rPr>
          <w:rFonts w:ascii="Sylfaen" w:hAnsi="Sylfaen"/>
        </w:rPr>
        <w:t xml:space="preserve"> </w:t>
      </w:r>
      <w:r w:rsidR="00F9719C">
        <w:rPr>
          <w:rFonts w:ascii="Sylfaen" w:hAnsi="Sylfaen"/>
          <w:lang w:val="ru-RU"/>
        </w:rPr>
        <w:t>սկզբունքով</w:t>
      </w:r>
      <w:r w:rsidR="000C66E8" w:rsidRPr="00AD2F83">
        <w:rPr>
          <w:rFonts w:ascii="Sylfaen" w:hAnsi="Sylfaen"/>
        </w:rPr>
        <w:t>)</w:t>
      </w:r>
      <w:r w:rsidR="00B30B84">
        <w:rPr>
          <w:rFonts w:ascii="Sylfaen" w:hAnsi="Sylfaen"/>
        </w:rPr>
        <w:t>: 2</w:t>
      </w:r>
      <w:r w:rsidR="000C66E8" w:rsidRPr="00AD2F83">
        <w:rPr>
          <w:rFonts w:ascii="Sylfaen" w:hAnsi="Sylfaen"/>
        </w:rPr>
        <w:t>018</w:t>
      </w:r>
      <w:r w:rsidR="00B30B84">
        <w:rPr>
          <w:rFonts w:ascii="Sylfaen" w:hAnsi="Sylfaen"/>
        </w:rPr>
        <w:t xml:space="preserve"> թվականից </w:t>
      </w:r>
      <w:r w:rsidR="00D14F7F">
        <w:rPr>
          <w:rFonts w:ascii="Sylfaen" w:hAnsi="Sylfaen"/>
        </w:rPr>
        <w:t xml:space="preserve"> </w:t>
      </w:r>
      <w:r w:rsidR="00B30B84">
        <w:rPr>
          <w:rFonts w:ascii="Sylfaen" w:hAnsi="Sylfaen"/>
        </w:rPr>
        <w:t xml:space="preserve">ներդրվել է </w:t>
      </w:r>
      <w:r w:rsidR="000C66E8" w:rsidRPr="00AD2F83">
        <w:rPr>
          <w:rFonts w:ascii="Sylfaen" w:hAnsi="Sylfaen"/>
        </w:rPr>
        <w:t>2</w:t>
      </w:r>
      <w:r w:rsidR="00B30B84">
        <w:rPr>
          <w:rFonts w:ascii="Sylfaen" w:hAnsi="Sylfaen"/>
        </w:rPr>
        <w:t>,</w:t>
      </w:r>
      <w:r w:rsidR="000C66E8" w:rsidRPr="00AD2F83">
        <w:rPr>
          <w:rFonts w:ascii="Sylfaen" w:hAnsi="Sylfaen"/>
        </w:rPr>
        <w:t>5</w:t>
      </w:r>
      <w:r w:rsidR="00B30B84">
        <w:rPr>
          <w:rFonts w:ascii="Sylfaen" w:hAnsi="Sylfaen"/>
        </w:rPr>
        <w:t>-</w:t>
      </w:r>
      <w:r w:rsidR="000C66E8" w:rsidRPr="00AD2F83">
        <w:rPr>
          <w:rFonts w:ascii="Sylfaen" w:hAnsi="Sylfaen"/>
        </w:rPr>
        <w:t>7</w:t>
      </w:r>
      <w:r w:rsidR="00B30B84">
        <w:rPr>
          <w:rFonts w:ascii="Sylfaen" w:hAnsi="Sylfaen"/>
        </w:rPr>
        <w:t xml:space="preserve">,5 </w:t>
      </w:r>
      <w:r w:rsidR="00D14F7F">
        <w:rPr>
          <w:rFonts w:ascii="Sylfaen" w:hAnsi="Sylfaen"/>
        </w:rPr>
        <w:t>տոկոս</w:t>
      </w:r>
      <w:r w:rsidR="000C66E8" w:rsidRPr="00AD2F83">
        <w:rPr>
          <w:rFonts w:ascii="Sylfaen" w:hAnsi="Sylfaen"/>
        </w:rPr>
        <w:t xml:space="preserve"> </w:t>
      </w:r>
      <w:r w:rsidR="00D14F7F">
        <w:rPr>
          <w:rFonts w:ascii="Sylfaen" w:hAnsi="Sylfaen"/>
        </w:rPr>
        <w:t xml:space="preserve">հարաբերությունը </w:t>
      </w:r>
      <w:r w:rsidR="000C66E8" w:rsidRPr="00AD2F83">
        <w:rPr>
          <w:rFonts w:ascii="Sylfaen" w:hAnsi="Sylfaen"/>
        </w:rPr>
        <w:t>(</w:t>
      </w:r>
      <w:r w:rsidR="00D14F7F">
        <w:rPr>
          <w:rFonts w:ascii="Sylfaen" w:hAnsi="Sylfaen"/>
        </w:rPr>
        <w:t>աշխատողներ</w:t>
      </w:r>
      <w:r w:rsidR="000C66E8" w:rsidRPr="00AD2F83">
        <w:rPr>
          <w:rFonts w:ascii="Sylfaen" w:hAnsi="Sylfaen"/>
        </w:rPr>
        <w:t>-</w:t>
      </w:r>
      <w:r w:rsidR="00D14F7F">
        <w:rPr>
          <w:rFonts w:ascii="Sylfaen" w:hAnsi="Sylfaen"/>
        </w:rPr>
        <w:t>պետություն</w:t>
      </w:r>
      <w:r w:rsidR="000C66E8" w:rsidRPr="00AD2F83">
        <w:rPr>
          <w:rFonts w:ascii="Sylfaen" w:hAnsi="Sylfaen"/>
        </w:rPr>
        <w:t>),</w:t>
      </w:r>
      <w:r w:rsidR="00D14F7F">
        <w:rPr>
          <w:rFonts w:ascii="Sylfaen" w:hAnsi="Sylfaen"/>
        </w:rPr>
        <w:t xml:space="preserve"> ընդ որում պետության համաֆինանսավորումը չի կարող գերազանցել </w:t>
      </w:r>
      <w:r w:rsidR="000C66E8" w:rsidRPr="00AD2F83">
        <w:rPr>
          <w:rFonts w:ascii="Sylfaen" w:hAnsi="Sylfaen"/>
        </w:rPr>
        <w:t>37,500</w:t>
      </w:r>
      <w:r w:rsidR="00D14F7F">
        <w:rPr>
          <w:rFonts w:ascii="Sylfaen" w:hAnsi="Sylfaen"/>
        </w:rPr>
        <w:t xml:space="preserve"> դրամի սահմանը</w:t>
      </w:r>
      <w:r w:rsidR="000C66E8" w:rsidRPr="00AD2F83">
        <w:rPr>
          <w:rFonts w:ascii="Sylfaen" w:hAnsi="Sylfaen"/>
        </w:rPr>
        <w:t xml:space="preserve"> (</w:t>
      </w:r>
      <w:r w:rsidR="00D14F7F" w:rsidRPr="00AD2F83">
        <w:rPr>
          <w:rFonts w:ascii="Sylfaen" w:hAnsi="Sylfaen"/>
        </w:rPr>
        <w:t>500,000</w:t>
      </w:r>
      <w:r w:rsidR="00D14F7F">
        <w:rPr>
          <w:rFonts w:ascii="Sylfaen" w:hAnsi="Sylfaen"/>
        </w:rPr>
        <w:t xml:space="preserve"> դրամի </w:t>
      </w:r>
      <w:r w:rsidR="000C66E8" w:rsidRPr="00AD2F83">
        <w:rPr>
          <w:rFonts w:ascii="Sylfaen" w:hAnsi="Sylfaen"/>
        </w:rPr>
        <w:t>7</w:t>
      </w:r>
      <w:r w:rsidR="00D14F7F">
        <w:rPr>
          <w:rFonts w:ascii="Sylfaen" w:hAnsi="Sylfaen"/>
        </w:rPr>
        <w:t>,</w:t>
      </w:r>
      <w:r w:rsidR="000C66E8" w:rsidRPr="00AD2F83">
        <w:rPr>
          <w:rFonts w:ascii="Sylfaen" w:hAnsi="Sylfaen"/>
        </w:rPr>
        <w:t>5</w:t>
      </w:r>
      <w:r w:rsidR="00D14F7F">
        <w:rPr>
          <w:rFonts w:ascii="Sylfaen" w:hAnsi="Sylfaen"/>
        </w:rPr>
        <w:t xml:space="preserve"> տոկոսը</w:t>
      </w:r>
      <w:r w:rsidR="000C66E8" w:rsidRPr="00AD2F83">
        <w:rPr>
          <w:rFonts w:ascii="Sylfaen" w:hAnsi="Sylfaen"/>
        </w:rPr>
        <w:t>)</w:t>
      </w:r>
      <w:r w:rsidR="00D14F7F">
        <w:rPr>
          <w:rFonts w:ascii="Sylfaen" w:hAnsi="Sylfaen"/>
        </w:rPr>
        <w:t>:</w:t>
      </w:r>
      <w:r w:rsidR="000C66E8" w:rsidRPr="00AD2F83">
        <w:rPr>
          <w:rFonts w:ascii="Sylfaen" w:hAnsi="Sylfaen"/>
        </w:rPr>
        <w:t xml:space="preserve"> </w:t>
      </w:r>
      <w:r w:rsidR="00D14F7F">
        <w:rPr>
          <w:rFonts w:ascii="Sylfaen" w:hAnsi="Sylfaen"/>
        </w:rPr>
        <w:t>Հարկային օրինագծով սահմանվում է, որ 2020 թվականից սկսած եկամտային հարկի պլանավորված իջեցումը կուղեկցվի աշխատողների սոցիալական վճարի բարձրացմամբ, որ</w:t>
      </w:r>
      <w:r w:rsidR="007A5B20">
        <w:rPr>
          <w:rFonts w:ascii="Sylfaen" w:hAnsi="Sylfaen"/>
        </w:rPr>
        <w:t>ը</w:t>
      </w:r>
      <w:r w:rsidR="00D14F7F">
        <w:rPr>
          <w:rFonts w:ascii="Sylfaen" w:hAnsi="Sylfaen"/>
        </w:rPr>
        <w:t xml:space="preserve"> </w:t>
      </w:r>
      <w:r w:rsidR="007A5B20">
        <w:rPr>
          <w:rFonts w:ascii="Sylfaen" w:hAnsi="Sylfaen"/>
        </w:rPr>
        <w:t xml:space="preserve">մինչև </w:t>
      </w:r>
      <w:r w:rsidR="007A5B20" w:rsidRPr="00AD2F83">
        <w:rPr>
          <w:rFonts w:ascii="Sylfaen" w:hAnsi="Sylfaen"/>
        </w:rPr>
        <w:t>2023</w:t>
      </w:r>
      <w:r w:rsidR="007A5B20">
        <w:rPr>
          <w:rFonts w:ascii="Sylfaen" w:hAnsi="Sylfaen"/>
        </w:rPr>
        <w:t xml:space="preserve"> թիվը </w:t>
      </w:r>
      <w:r w:rsidR="000C66E8" w:rsidRPr="00AD2F83">
        <w:rPr>
          <w:rFonts w:ascii="Sylfaen" w:hAnsi="Sylfaen"/>
        </w:rPr>
        <w:t>2.5</w:t>
      </w:r>
      <w:r w:rsidR="00D14F7F">
        <w:rPr>
          <w:rFonts w:ascii="Sylfaen" w:hAnsi="Sylfaen"/>
        </w:rPr>
        <w:t xml:space="preserve"> տոկոսից կհասն</w:t>
      </w:r>
      <w:r w:rsidR="007A5B20">
        <w:rPr>
          <w:rFonts w:ascii="Sylfaen" w:hAnsi="Sylfaen"/>
        </w:rPr>
        <w:t>ի</w:t>
      </w:r>
      <w:r w:rsidR="00D14F7F">
        <w:rPr>
          <w:rFonts w:ascii="Sylfaen" w:hAnsi="Sylfaen"/>
        </w:rPr>
        <w:t xml:space="preserve"> 5 տոկոսի: Պետության համաֆինանսավորման շեմը նույնպես կկրճատվի մինչև </w:t>
      </w:r>
      <w:r w:rsidR="000C66E8" w:rsidRPr="00AD2F83">
        <w:rPr>
          <w:rFonts w:ascii="Sylfaen" w:hAnsi="Sylfaen"/>
        </w:rPr>
        <w:t>25,000</w:t>
      </w:r>
      <w:r w:rsidR="00D14F7F">
        <w:rPr>
          <w:rFonts w:ascii="Sylfaen" w:hAnsi="Sylfaen"/>
        </w:rPr>
        <w:t xml:space="preserve"> դրամ</w:t>
      </w:r>
      <w:r w:rsidR="000C66E8" w:rsidRPr="00AD2F83">
        <w:rPr>
          <w:rFonts w:ascii="Sylfaen" w:hAnsi="Sylfaen"/>
        </w:rPr>
        <w:t xml:space="preserve"> (</w:t>
      </w:r>
      <w:r w:rsidR="00D14F7F" w:rsidRPr="00AD2F83">
        <w:rPr>
          <w:rFonts w:ascii="Sylfaen" w:hAnsi="Sylfaen"/>
        </w:rPr>
        <w:t>500,000</w:t>
      </w:r>
      <w:r w:rsidR="00D14F7F">
        <w:rPr>
          <w:rFonts w:ascii="Sylfaen" w:hAnsi="Sylfaen"/>
        </w:rPr>
        <w:t xml:space="preserve"> դրամի 5 տոկոս</w:t>
      </w:r>
      <w:r w:rsidR="000C66E8" w:rsidRPr="00AD2F83">
        <w:rPr>
          <w:rFonts w:ascii="Sylfaen" w:hAnsi="Sylfaen"/>
        </w:rPr>
        <w:t>)</w:t>
      </w:r>
      <w:r w:rsidR="00D14F7F">
        <w:rPr>
          <w:rFonts w:ascii="Sylfaen" w:hAnsi="Sylfaen"/>
        </w:rPr>
        <w:t xml:space="preserve">: </w:t>
      </w:r>
      <w:r w:rsidR="00FB7457">
        <w:rPr>
          <w:rFonts w:ascii="Sylfaen" w:hAnsi="Sylfaen"/>
        </w:rPr>
        <w:t>Եկամտային հարկի</w:t>
      </w:r>
      <w:r w:rsidR="00FB7457" w:rsidRPr="00FB7457">
        <w:rPr>
          <w:rFonts w:ascii="Sylfaen" w:hAnsi="Sylfaen"/>
        </w:rPr>
        <w:t xml:space="preserve"> բարեփոխումների հիմնական նպատակներն են </w:t>
      </w:r>
      <w:r w:rsidR="00FB7457">
        <w:rPr>
          <w:rFonts w:ascii="Sylfaen" w:hAnsi="Sylfaen"/>
        </w:rPr>
        <w:t>եկամտային</w:t>
      </w:r>
      <w:r w:rsidR="00FB7457" w:rsidRPr="00FB7457">
        <w:rPr>
          <w:rFonts w:ascii="Sylfaen" w:hAnsi="Sylfaen"/>
        </w:rPr>
        <w:t xml:space="preserve"> համակարգի պարզեցումը </w:t>
      </w:r>
      <w:r w:rsidR="00FB7457">
        <w:rPr>
          <w:rFonts w:ascii="Sylfaen" w:hAnsi="Sylfaen"/>
        </w:rPr>
        <w:t>և</w:t>
      </w:r>
      <w:r w:rsidR="00FB7457" w:rsidRPr="00FB7457">
        <w:rPr>
          <w:rFonts w:ascii="Sylfaen" w:hAnsi="Sylfaen"/>
        </w:rPr>
        <w:t xml:space="preserve"> հարկ</w:t>
      </w:r>
      <w:r w:rsidR="00FB7457">
        <w:rPr>
          <w:rFonts w:ascii="Sylfaen" w:hAnsi="Sylfaen"/>
        </w:rPr>
        <w:t xml:space="preserve">ման </w:t>
      </w:r>
      <w:r w:rsidR="00FB7457" w:rsidRPr="00FB7457">
        <w:rPr>
          <w:rFonts w:ascii="Sylfaen" w:hAnsi="Sylfaen"/>
        </w:rPr>
        <w:t xml:space="preserve"> բազայի </w:t>
      </w:r>
      <w:r w:rsidR="00FB7457">
        <w:rPr>
          <w:rFonts w:ascii="Sylfaen" w:hAnsi="Sylfaen"/>
        </w:rPr>
        <w:t>մեծա</w:t>
      </w:r>
      <w:r w:rsidR="00FB7457" w:rsidRPr="00FB7457">
        <w:rPr>
          <w:rFonts w:ascii="Sylfaen" w:hAnsi="Sylfaen"/>
        </w:rPr>
        <w:t>ցումը</w:t>
      </w:r>
      <w:r w:rsidR="00FB7457">
        <w:rPr>
          <w:rFonts w:ascii="Sylfaen" w:hAnsi="Sylfaen"/>
        </w:rPr>
        <w:t xml:space="preserve"> </w:t>
      </w:r>
      <w:r w:rsidR="00FB7457" w:rsidRPr="00FB7457">
        <w:rPr>
          <w:rFonts w:ascii="Sylfaen" w:hAnsi="Sylfaen"/>
        </w:rPr>
        <w:t xml:space="preserve">ստվերային զբաղվածության </w:t>
      </w:r>
      <w:r w:rsidR="00FB7457">
        <w:rPr>
          <w:rFonts w:ascii="Sylfaen" w:hAnsi="Sylfaen"/>
        </w:rPr>
        <w:t>և</w:t>
      </w:r>
      <w:r w:rsidR="00FB7457" w:rsidRPr="00FB7457">
        <w:rPr>
          <w:rFonts w:ascii="Sylfaen" w:hAnsi="Sylfaen"/>
        </w:rPr>
        <w:t xml:space="preserve"> թաքնված հարկերի դեմ պայքարի միջոցով:</w:t>
      </w:r>
      <w:r w:rsidR="00FB7457">
        <w:rPr>
          <w:rFonts w:ascii="Sylfaen" w:hAnsi="Sylfaen"/>
        </w:rPr>
        <w:t xml:space="preserve"> </w:t>
      </w:r>
      <w:r w:rsidR="00FB7457" w:rsidRPr="00FB7457">
        <w:rPr>
          <w:rFonts w:ascii="Sylfaen" w:hAnsi="Sylfaen"/>
        </w:rPr>
        <w:t xml:space="preserve">Ֆինանսների նախարարության </w:t>
      </w:r>
      <w:r w:rsidR="00FB7457">
        <w:rPr>
          <w:rFonts w:ascii="Sylfaen" w:hAnsi="Sylfaen"/>
        </w:rPr>
        <w:t>գնահատականներով</w:t>
      </w:r>
      <w:r w:rsidR="00FB7457" w:rsidRPr="00FB7457">
        <w:rPr>
          <w:rFonts w:ascii="Sylfaen" w:hAnsi="Sylfaen"/>
        </w:rPr>
        <w:t xml:space="preserve">, </w:t>
      </w:r>
      <w:r w:rsidR="00FB7457">
        <w:rPr>
          <w:rFonts w:ascii="Sylfaen" w:hAnsi="Sylfaen"/>
        </w:rPr>
        <w:t>եկամտային հարկի</w:t>
      </w:r>
      <w:r w:rsidR="00FB7457" w:rsidRPr="00FB7457">
        <w:rPr>
          <w:rFonts w:ascii="Sylfaen" w:hAnsi="Sylfaen"/>
        </w:rPr>
        <w:t xml:space="preserve"> բարեփոխմ</w:t>
      </w:r>
      <w:r w:rsidR="00FB7457">
        <w:rPr>
          <w:rFonts w:ascii="Sylfaen" w:hAnsi="Sylfaen"/>
        </w:rPr>
        <w:t xml:space="preserve">ան գնահատված </w:t>
      </w:r>
      <w:r w:rsidR="007A5B20">
        <w:rPr>
          <w:rFonts w:ascii="Sylfaen" w:hAnsi="Sylfaen"/>
        </w:rPr>
        <w:t>ծախսը</w:t>
      </w:r>
      <w:r w:rsidR="00FB7457" w:rsidRPr="00FB7457">
        <w:rPr>
          <w:rFonts w:ascii="Sylfaen" w:hAnsi="Sylfaen"/>
        </w:rPr>
        <w:t xml:space="preserve"> </w:t>
      </w:r>
      <w:r w:rsidR="00FB7457">
        <w:rPr>
          <w:rFonts w:ascii="Sylfaen" w:hAnsi="Sylfaen"/>
        </w:rPr>
        <w:t xml:space="preserve">2020 թվականի </w:t>
      </w:r>
      <w:r w:rsidR="00FB7457" w:rsidRPr="00FB7457">
        <w:rPr>
          <w:rFonts w:ascii="Sylfaen" w:hAnsi="Sylfaen"/>
        </w:rPr>
        <w:t xml:space="preserve">բյուջեի համար </w:t>
      </w:r>
      <w:r w:rsidR="00FB7457">
        <w:rPr>
          <w:rFonts w:ascii="Sylfaen" w:hAnsi="Sylfaen"/>
        </w:rPr>
        <w:t>կկազմի</w:t>
      </w:r>
      <w:r w:rsidR="00FB7457" w:rsidRPr="00FB7457">
        <w:rPr>
          <w:rFonts w:ascii="Sylfaen" w:hAnsi="Sylfaen"/>
        </w:rPr>
        <w:t xml:space="preserve"> ՀՆԱ-ի 0,4</w:t>
      </w:r>
      <w:r w:rsidR="00FB7457">
        <w:rPr>
          <w:rFonts w:ascii="Sylfaen" w:hAnsi="Sylfaen"/>
        </w:rPr>
        <w:t xml:space="preserve"> -</w:t>
      </w:r>
      <w:r w:rsidR="00FB7457" w:rsidRPr="00FB7457">
        <w:rPr>
          <w:rFonts w:ascii="Sylfaen" w:hAnsi="Sylfaen"/>
        </w:rPr>
        <w:t>0,5</w:t>
      </w:r>
      <w:r w:rsidR="00FB7457">
        <w:rPr>
          <w:rFonts w:ascii="Sylfaen" w:hAnsi="Sylfaen"/>
        </w:rPr>
        <w:t xml:space="preserve"> տոկոս</w:t>
      </w:r>
      <w:r w:rsidR="007A5B20">
        <w:rPr>
          <w:rFonts w:ascii="Sylfaen" w:hAnsi="Sylfaen"/>
        </w:rPr>
        <w:t>ը</w:t>
      </w:r>
      <w:r w:rsidR="00FB7457">
        <w:rPr>
          <w:rFonts w:ascii="Sylfaen" w:hAnsi="Sylfaen"/>
        </w:rPr>
        <w:t xml:space="preserve">: </w:t>
      </w:r>
    </w:p>
    <w:p w:rsidR="006A1F69" w:rsidRPr="00AD2F83" w:rsidRDefault="006A1F69" w:rsidP="007B07BA">
      <w:pPr>
        <w:jc w:val="both"/>
        <w:rPr>
          <w:rFonts w:ascii="Sylfaen" w:hAnsi="Sylfaen"/>
          <w:szCs w:val="24"/>
        </w:rPr>
      </w:pPr>
    </w:p>
    <w:p w:rsidR="00C338A4" w:rsidRDefault="00C338A4" w:rsidP="005D6761">
      <w:pPr>
        <w:rPr>
          <w:rFonts w:ascii="Sylfaen" w:hAnsi="Sylfaen"/>
          <w:b/>
          <w:szCs w:val="24"/>
        </w:rPr>
      </w:pPr>
    </w:p>
    <w:p w:rsidR="00C512D4" w:rsidRDefault="00C512D4" w:rsidP="005D6761">
      <w:pPr>
        <w:rPr>
          <w:rFonts w:ascii="Sylfaen" w:hAnsi="Sylfaen"/>
          <w:b/>
          <w:szCs w:val="24"/>
        </w:rPr>
      </w:pPr>
    </w:p>
    <w:p w:rsidR="00F56F11" w:rsidRPr="00130234" w:rsidRDefault="006A1F69" w:rsidP="006C541D">
      <w:pPr>
        <w:jc w:val="center"/>
        <w:rPr>
          <w:rFonts w:ascii="Sylfaen" w:hAnsi="Sylfaen"/>
          <w:b/>
          <w:sz w:val="22"/>
          <w:szCs w:val="24"/>
        </w:rPr>
      </w:pPr>
      <w:r w:rsidRPr="00130234">
        <w:rPr>
          <w:rFonts w:ascii="Sylfaen" w:hAnsi="Sylfaen"/>
          <w:b/>
          <w:sz w:val="22"/>
          <w:szCs w:val="24"/>
        </w:rPr>
        <w:lastRenderedPageBreak/>
        <w:t>Աղյուսակ</w:t>
      </w:r>
      <w:r w:rsidR="007B07BA" w:rsidRPr="00130234">
        <w:rPr>
          <w:rFonts w:ascii="Sylfaen" w:hAnsi="Sylfaen"/>
          <w:b/>
          <w:sz w:val="22"/>
          <w:szCs w:val="24"/>
        </w:rPr>
        <w:t xml:space="preserve"> 1.</w:t>
      </w:r>
      <w:r w:rsidRPr="00130234">
        <w:rPr>
          <w:rFonts w:ascii="Sylfaen" w:hAnsi="Sylfaen"/>
          <w:b/>
          <w:sz w:val="22"/>
          <w:szCs w:val="24"/>
        </w:rPr>
        <w:t xml:space="preserve"> Եկամտային հարկի բարեփոխում</w:t>
      </w:r>
      <w:r w:rsidR="007B07BA" w:rsidRPr="00130234">
        <w:rPr>
          <w:rFonts w:ascii="Sylfaen" w:hAnsi="Sylfaen"/>
          <w:b/>
          <w:sz w:val="22"/>
          <w:szCs w:val="24"/>
        </w:rPr>
        <w:t>,</w:t>
      </w:r>
      <w:r w:rsidRPr="00130234">
        <w:rPr>
          <w:rFonts w:ascii="Sylfaen" w:hAnsi="Sylfaen"/>
          <w:b/>
          <w:sz w:val="22"/>
          <w:szCs w:val="24"/>
        </w:rPr>
        <w:t xml:space="preserve"> Հայաստան,</w:t>
      </w:r>
      <w:r w:rsidR="007B07BA" w:rsidRPr="00130234">
        <w:rPr>
          <w:rFonts w:ascii="Sylfaen" w:hAnsi="Sylfaen"/>
          <w:b/>
          <w:sz w:val="22"/>
          <w:szCs w:val="24"/>
        </w:rPr>
        <w:t xml:space="preserve"> 2019</w:t>
      </w:r>
      <w:r w:rsidR="00055582" w:rsidRPr="00130234">
        <w:rPr>
          <w:rFonts w:ascii="Sylfaen" w:hAnsi="Sylfaen"/>
          <w:b/>
          <w:sz w:val="22"/>
          <w:szCs w:val="24"/>
        </w:rPr>
        <w:t>թ.</w:t>
      </w:r>
    </w:p>
    <w:p w:rsidR="00055582" w:rsidRPr="00AD2F83" w:rsidRDefault="00055582" w:rsidP="006C541D">
      <w:pPr>
        <w:jc w:val="center"/>
        <w:rPr>
          <w:rFonts w:ascii="Sylfaen" w:hAnsi="Sylfaen"/>
          <w:b/>
          <w:szCs w:val="24"/>
        </w:rPr>
      </w:pPr>
    </w:p>
    <w:tbl>
      <w:tblPr>
        <w:tblStyle w:val="ListTable3-Accent31"/>
        <w:tblW w:w="4608" w:type="dxa"/>
        <w:jc w:val="center"/>
        <w:tblLook w:val="04A0" w:firstRow="1" w:lastRow="0" w:firstColumn="1" w:lastColumn="0" w:noHBand="0" w:noVBand="1"/>
      </w:tblPr>
      <w:tblGrid>
        <w:gridCol w:w="1444"/>
        <w:gridCol w:w="1582"/>
        <w:gridCol w:w="1582"/>
      </w:tblGrid>
      <w:tr w:rsidR="005740AA" w:rsidRPr="00AD2F83" w:rsidTr="0065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6" w:type="dxa"/>
            <w:hideMark/>
          </w:tcPr>
          <w:p w:rsidR="005740AA" w:rsidRPr="00AD2F83" w:rsidRDefault="006A1F69" w:rsidP="0030014D">
            <w:pPr>
              <w:tabs>
                <w:tab w:val="left" w:pos="993"/>
              </w:tabs>
              <w:jc w:val="center"/>
              <w:rPr>
                <w:rFonts w:ascii="Sylfaen" w:hAnsi="Sylfaen" w:cstheme="minorHAnsi"/>
                <w:b w:val="0"/>
                <w:szCs w:val="24"/>
              </w:rPr>
            </w:pPr>
            <w:bookmarkStart w:id="0" w:name="_Hlk1765945"/>
            <w:r>
              <w:rPr>
                <w:rFonts w:ascii="Sylfaen" w:hAnsi="Sylfaen" w:cstheme="minorHAnsi"/>
                <w:szCs w:val="24"/>
              </w:rPr>
              <w:t>Տարի</w:t>
            </w:r>
          </w:p>
        </w:tc>
        <w:tc>
          <w:tcPr>
            <w:tcW w:w="1536" w:type="dxa"/>
            <w:hideMark/>
          </w:tcPr>
          <w:p w:rsidR="005740AA" w:rsidRPr="00AD2F83" w:rsidRDefault="006A1F69" w:rsidP="0030014D">
            <w:pPr>
              <w:tabs>
                <w:tab w:val="left" w:pos="9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 w:val="0"/>
                <w:szCs w:val="24"/>
              </w:rPr>
            </w:pPr>
            <w:r>
              <w:rPr>
                <w:rFonts w:ascii="Sylfaen" w:hAnsi="Sylfaen" w:cstheme="minorHAnsi"/>
                <w:szCs w:val="24"/>
              </w:rPr>
              <w:t>Եկամտային հարկի դրույքաչափ</w:t>
            </w:r>
          </w:p>
        </w:tc>
        <w:tc>
          <w:tcPr>
            <w:tcW w:w="1536" w:type="dxa"/>
          </w:tcPr>
          <w:p w:rsidR="005740AA" w:rsidRPr="00AD2F83" w:rsidRDefault="007800F6" w:rsidP="0030014D">
            <w:pPr>
              <w:tabs>
                <w:tab w:val="left" w:pos="9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 w:val="0"/>
                <w:szCs w:val="24"/>
              </w:rPr>
            </w:pPr>
            <w:r>
              <w:rPr>
                <w:rFonts w:ascii="Sylfaen" w:hAnsi="Sylfaen" w:cstheme="minorHAnsi"/>
                <w:szCs w:val="24"/>
              </w:rPr>
              <w:t>ՍՎ</w:t>
            </w:r>
            <w:r w:rsidR="006A1F69">
              <w:rPr>
                <w:rFonts w:ascii="Sylfaen" w:hAnsi="Sylfaen" w:cstheme="minorHAnsi"/>
                <w:szCs w:val="24"/>
              </w:rPr>
              <w:t xml:space="preserve"> դրույքաչափ</w:t>
            </w:r>
          </w:p>
        </w:tc>
      </w:tr>
      <w:tr w:rsidR="005740AA" w:rsidRPr="00AD2F83" w:rsidTr="0065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hideMark/>
          </w:tcPr>
          <w:p w:rsidR="005740AA" w:rsidRPr="00AD2F83" w:rsidRDefault="005740AA" w:rsidP="0030014D">
            <w:pPr>
              <w:tabs>
                <w:tab w:val="left" w:pos="993"/>
              </w:tabs>
              <w:jc w:val="center"/>
              <w:rPr>
                <w:rFonts w:ascii="Sylfaen" w:hAnsi="Sylfaen" w:cstheme="minorHAnsi"/>
                <w:szCs w:val="24"/>
              </w:rPr>
            </w:pPr>
            <w:r w:rsidRPr="00AD2F83">
              <w:rPr>
                <w:rFonts w:ascii="Sylfaen" w:hAnsi="Sylfaen" w:cstheme="minorHAnsi"/>
                <w:szCs w:val="24"/>
              </w:rPr>
              <w:t>2020</w:t>
            </w:r>
          </w:p>
        </w:tc>
        <w:tc>
          <w:tcPr>
            <w:tcW w:w="1536" w:type="dxa"/>
            <w:hideMark/>
          </w:tcPr>
          <w:p w:rsidR="005740AA" w:rsidRPr="00AD2F83" w:rsidRDefault="005740AA" w:rsidP="0030014D">
            <w:pPr>
              <w:tabs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theme="minorHAnsi"/>
                <w:szCs w:val="24"/>
              </w:rPr>
            </w:pPr>
            <w:r w:rsidRPr="00AD2F83">
              <w:rPr>
                <w:rFonts w:ascii="Sylfaen" w:hAnsi="Sylfaen" w:cstheme="minorHAnsi"/>
                <w:szCs w:val="24"/>
                <w:lang w:val="hy-AM"/>
              </w:rPr>
              <w:t xml:space="preserve">23 </w:t>
            </w:r>
            <w:r w:rsidRPr="00AD2F83">
              <w:rPr>
                <w:rFonts w:ascii="Sylfaen" w:hAnsi="Sylfaen" w:cstheme="minorHAnsi"/>
                <w:szCs w:val="24"/>
              </w:rPr>
              <w:t>%</w:t>
            </w:r>
          </w:p>
        </w:tc>
        <w:tc>
          <w:tcPr>
            <w:tcW w:w="1536" w:type="dxa"/>
          </w:tcPr>
          <w:p w:rsidR="005740AA" w:rsidRPr="00AD2F83" w:rsidRDefault="00454685" w:rsidP="0030014D">
            <w:pPr>
              <w:tabs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theme="minorHAnsi"/>
                <w:szCs w:val="24"/>
              </w:rPr>
            </w:pPr>
            <w:r w:rsidRPr="00AD2F83">
              <w:rPr>
                <w:rFonts w:ascii="Sylfaen" w:hAnsi="Sylfaen" w:cstheme="minorHAnsi"/>
                <w:szCs w:val="24"/>
              </w:rPr>
              <w:t>2</w:t>
            </w:r>
            <w:r w:rsidR="005740AA" w:rsidRPr="00AD2F83">
              <w:rPr>
                <w:rFonts w:ascii="Sylfaen" w:hAnsi="Sylfaen" w:cstheme="minorHAnsi"/>
                <w:szCs w:val="24"/>
              </w:rPr>
              <w:t>.5</w:t>
            </w:r>
            <w:r w:rsidR="00894EC0" w:rsidRPr="00AD2F83">
              <w:rPr>
                <w:rFonts w:ascii="Sylfaen" w:hAnsi="Sylfaen" w:cstheme="minorHAnsi"/>
                <w:szCs w:val="24"/>
              </w:rPr>
              <w:t xml:space="preserve"> </w:t>
            </w:r>
            <w:r w:rsidR="005740AA" w:rsidRPr="00AD2F83">
              <w:rPr>
                <w:rFonts w:ascii="Sylfaen" w:hAnsi="Sylfaen" w:cstheme="minorHAnsi"/>
                <w:szCs w:val="24"/>
              </w:rPr>
              <w:t>%</w:t>
            </w:r>
          </w:p>
        </w:tc>
      </w:tr>
      <w:tr w:rsidR="005740AA" w:rsidRPr="00AD2F83" w:rsidTr="00657069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hideMark/>
          </w:tcPr>
          <w:p w:rsidR="005740AA" w:rsidRPr="00AD2F83" w:rsidRDefault="005740AA" w:rsidP="0030014D">
            <w:pPr>
              <w:jc w:val="center"/>
              <w:rPr>
                <w:rFonts w:ascii="Sylfaen" w:hAnsi="Sylfaen" w:cstheme="minorHAnsi"/>
                <w:szCs w:val="24"/>
              </w:rPr>
            </w:pPr>
            <w:r w:rsidRPr="00AD2F83">
              <w:rPr>
                <w:rFonts w:ascii="Sylfaen" w:hAnsi="Sylfaen" w:cstheme="minorHAnsi"/>
                <w:szCs w:val="24"/>
              </w:rPr>
              <w:t>2021</w:t>
            </w:r>
          </w:p>
        </w:tc>
        <w:tc>
          <w:tcPr>
            <w:tcW w:w="1536" w:type="dxa"/>
            <w:hideMark/>
          </w:tcPr>
          <w:p w:rsidR="005740AA" w:rsidRPr="00AD2F83" w:rsidRDefault="005740AA" w:rsidP="0030014D">
            <w:pPr>
              <w:tabs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Cs w:val="24"/>
              </w:rPr>
            </w:pPr>
            <w:r w:rsidRPr="00AD2F83">
              <w:rPr>
                <w:rFonts w:ascii="Sylfaen" w:hAnsi="Sylfaen" w:cstheme="minorHAnsi"/>
                <w:szCs w:val="24"/>
                <w:lang w:val="hy-AM"/>
              </w:rPr>
              <w:t>2</w:t>
            </w:r>
            <w:r w:rsidRPr="00AD2F83">
              <w:rPr>
                <w:rFonts w:ascii="Sylfaen" w:hAnsi="Sylfaen" w:cstheme="minorHAnsi"/>
                <w:szCs w:val="24"/>
              </w:rPr>
              <w:t>2</w:t>
            </w:r>
            <w:r w:rsidR="00894EC0" w:rsidRPr="00AD2F83">
              <w:rPr>
                <w:rFonts w:ascii="Sylfaen" w:hAnsi="Sylfaen" w:cstheme="minorHAnsi"/>
                <w:szCs w:val="24"/>
              </w:rPr>
              <w:t xml:space="preserve"> </w:t>
            </w:r>
            <w:r w:rsidRPr="00AD2F83">
              <w:rPr>
                <w:rFonts w:ascii="Sylfaen" w:hAnsi="Sylfaen" w:cstheme="minorHAnsi"/>
                <w:szCs w:val="24"/>
              </w:rPr>
              <w:t>%</w:t>
            </w:r>
          </w:p>
        </w:tc>
        <w:tc>
          <w:tcPr>
            <w:tcW w:w="1536" w:type="dxa"/>
          </w:tcPr>
          <w:p w:rsidR="005740AA" w:rsidRPr="00AD2F83" w:rsidRDefault="00B1521F" w:rsidP="0030014D">
            <w:pPr>
              <w:tabs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Cs w:val="24"/>
              </w:rPr>
            </w:pPr>
            <w:r w:rsidRPr="00AD2F83">
              <w:rPr>
                <w:rFonts w:ascii="Sylfaen" w:hAnsi="Sylfaen" w:cstheme="minorHAnsi"/>
                <w:szCs w:val="24"/>
              </w:rPr>
              <w:t>3.5</w:t>
            </w:r>
            <w:r w:rsidR="00894EC0" w:rsidRPr="00AD2F83">
              <w:rPr>
                <w:rFonts w:ascii="Sylfaen" w:hAnsi="Sylfaen" w:cstheme="minorHAnsi"/>
                <w:szCs w:val="24"/>
              </w:rPr>
              <w:t xml:space="preserve"> </w:t>
            </w:r>
            <w:r w:rsidR="005740AA" w:rsidRPr="00AD2F83">
              <w:rPr>
                <w:rFonts w:ascii="Sylfaen" w:hAnsi="Sylfaen" w:cstheme="minorHAnsi"/>
                <w:szCs w:val="24"/>
              </w:rPr>
              <w:t>%</w:t>
            </w:r>
          </w:p>
        </w:tc>
      </w:tr>
      <w:tr w:rsidR="005740AA" w:rsidRPr="00AD2F83" w:rsidTr="0065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hideMark/>
          </w:tcPr>
          <w:p w:rsidR="005740AA" w:rsidRPr="00AD2F83" w:rsidRDefault="005740AA" w:rsidP="0030014D">
            <w:pPr>
              <w:jc w:val="center"/>
              <w:rPr>
                <w:rFonts w:ascii="Sylfaen" w:hAnsi="Sylfaen" w:cstheme="minorHAnsi"/>
                <w:szCs w:val="24"/>
              </w:rPr>
            </w:pPr>
            <w:r w:rsidRPr="00AD2F83">
              <w:rPr>
                <w:rFonts w:ascii="Sylfaen" w:hAnsi="Sylfaen" w:cstheme="minorHAnsi"/>
                <w:szCs w:val="24"/>
              </w:rPr>
              <w:t>2022</w:t>
            </w:r>
          </w:p>
        </w:tc>
        <w:tc>
          <w:tcPr>
            <w:tcW w:w="1536" w:type="dxa"/>
            <w:hideMark/>
          </w:tcPr>
          <w:p w:rsidR="005740AA" w:rsidRPr="00AD2F83" w:rsidRDefault="005740AA" w:rsidP="0030014D">
            <w:pPr>
              <w:tabs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theme="minorHAnsi"/>
                <w:szCs w:val="24"/>
              </w:rPr>
            </w:pPr>
            <w:r w:rsidRPr="00AD2F83">
              <w:rPr>
                <w:rFonts w:ascii="Sylfaen" w:hAnsi="Sylfaen" w:cstheme="minorHAnsi"/>
                <w:szCs w:val="24"/>
                <w:lang w:val="hy-AM"/>
              </w:rPr>
              <w:t>2</w:t>
            </w:r>
            <w:r w:rsidRPr="00AD2F83">
              <w:rPr>
                <w:rFonts w:ascii="Sylfaen" w:hAnsi="Sylfaen" w:cstheme="minorHAnsi"/>
                <w:szCs w:val="24"/>
              </w:rPr>
              <w:t>1</w:t>
            </w:r>
            <w:r w:rsidRPr="00AD2F83">
              <w:rPr>
                <w:rFonts w:ascii="Sylfaen" w:hAnsi="Sylfaen" w:cstheme="minorHAnsi"/>
                <w:szCs w:val="24"/>
                <w:lang w:val="hy-AM"/>
              </w:rPr>
              <w:t xml:space="preserve"> </w:t>
            </w:r>
            <w:r w:rsidRPr="00AD2F83">
              <w:rPr>
                <w:rFonts w:ascii="Sylfaen" w:hAnsi="Sylfaen" w:cstheme="minorHAnsi"/>
                <w:szCs w:val="24"/>
              </w:rPr>
              <w:t>%</w:t>
            </w:r>
          </w:p>
        </w:tc>
        <w:tc>
          <w:tcPr>
            <w:tcW w:w="1536" w:type="dxa"/>
          </w:tcPr>
          <w:p w:rsidR="005740AA" w:rsidRPr="00AD2F83" w:rsidRDefault="00B1521F" w:rsidP="0030014D">
            <w:pPr>
              <w:tabs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theme="minorHAnsi"/>
                <w:szCs w:val="24"/>
              </w:rPr>
            </w:pPr>
            <w:r w:rsidRPr="00AD2F83">
              <w:rPr>
                <w:rFonts w:ascii="Sylfaen" w:hAnsi="Sylfaen" w:cstheme="minorHAnsi"/>
                <w:szCs w:val="24"/>
              </w:rPr>
              <w:t>4.5</w:t>
            </w:r>
            <w:r w:rsidR="00894EC0" w:rsidRPr="00AD2F83">
              <w:rPr>
                <w:rFonts w:ascii="Sylfaen" w:hAnsi="Sylfaen" w:cstheme="minorHAnsi"/>
                <w:szCs w:val="24"/>
              </w:rPr>
              <w:t xml:space="preserve"> </w:t>
            </w:r>
            <w:r w:rsidR="005740AA" w:rsidRPr="00AD2F83">
              <w:rPr>
                <w:rFonts w:ascii="Sylfaen" w:hAnsi="Sylfaen" w:cstheme="minorHAnsi"/>
                <w:szCs w:val="24"/>
              </w:rPr>
              <w:t>%</w:t>
            </w:r>
          </w:p>
        </w:tc>
      </w:tr>
      <w:tr w:rsidR="005740AA" w:rsidRPr="00AD2F83" w:rsidTr="00657069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hideMark/>
          </w:tcPr>
          <w:p w:rsidR="005740AA" w:rsidRPr="00AD2F83" w:rsidRDefault="005740AA" w:rsidP="0030014D">
            <w:pPr>
              <w:jc w:val="center"/>
              <w:rPr>
                <w:rFonts w:ascii="Sylfaen" w:hAnsi="Sylfaen" w:cstheme="minorHAnsi"/>
                <w:szCs w:val="24"/>
              </w:rPr>
            </w:pPr>
            <w:r w:rsidRPr="00AD2F83">
              <w:rPr>
                <w:rFonts w:ascii="Sylfaen" w:hAnsi="Sylfaen" w:cstheme="minorHAnsi"/>
                <w:szCs w:val="24"/>
              </w:rPr>
              <w:t>2023</w:t>
            </w:r>
          </w:p>
        </w:tc>
        <w:tc>
          <w:tcPr>
            <w:tcW w:w="1536" w:type="dxa"/>
            <w:hideMark/>
          </w:tcPr>
          <w:p w:rsidR="005740AA" w:rsidRPr="00AD2F83" w:rsidRDefault="005740AA" w:rsidP="0030014D">
            <w:pPr>
              <w:tabs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Cs w:val="24"/>
              </w:rPr>
            </w:pPr>
            <w:r w:rsidRPr="00AD2F83">
              <w:rPr>
                <w:rFonts w:ascii="Sylfaen" w:hAnsi="Sylfaen" w:cstheme="minorHAnsi"/>
                <w:szCs w:val="24"/>
                <w:lang w:val="hy-AM"/>
              </w:rPr>
              <w:t>2</w:t>
            </w:r>
            <w:r w:rsidRPr="00AD2F83">
              <w:rPr>
                <w:rFonts w:ascii="Sylfaen" w:hAnsi="Sylfaen" w:cstheme="minorHAnsi"/>
                <w:szCs w:val="24"/>
              </w:rPr>
              <w:t>0</w:t>
            </w:r>
            <w:r w:rsidRPr="00AD2F83">
              <w:rPr>
                <w:rFonts w:ascii="Sylfaen" w:hAnsi="Sylfaen" w:cstheme="minorHAnsi"/>
                <w:szCs w:val="24"/>
                <w:lang w:val="hy-AM"/>
              </w:rPr>
              <w:t xml:space="preserve"> </w:t>
            </w:r>
            <w:r w:rsidRPr="00AD2F83">
              <w:rPr>
                <w:rFonts w:ascii="Sylfaen" w:hAnsi="Sylfaen" w:cstheme="minorHAnsi"/>
                <w:szCs w:val="24"/>
              </w:rPr>
              <w:t>%</w:t>
            </w:r>
          </w:p>
        </w:tc>
        <w:tc>
          <w:tcPr>
            <w:tcW w:w="1536" w:type="dxa"/>
          </w:tcPr>
          <w:p w:rsidR="005740AA" w:rsidRPr="00AD2F83" w:rsidRDefault="005740AA" w:rsidP="0030014D">
            <w:pPr>
              <w:tabs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Cs w:val="24"/>
              </w:rPr>
            </w:pPr>
            <w:r w:rsidRPr="00AD2F83">
              <w:rPr>
                <w:rFonts w:ascii="Sylfaen" w:hAnsi="Sylfaen" w:cstheme="minorHAnsi"/>
                <w:szCs w:val="24"/>
              </w:rPr>
              <w:t>5.0</w:t>
            </w:r>
            <w:r w:rsidR="00894EC0" w:rsidRPr="00AD2F83">
              <w:rPr>
                <w:rFonts w:ascii="Sylfaen" w:hAnsi="Sylfaen" w:cstheme="minorHAnsi"/>
                <w:szCs w:val="24"/>
              </w:rPr>
              <w:t xml:space="preserve"> </w:t>
            </w:r>
            <w:r w:rsidRPr="00AD2F83">
              <w:rPr>
                <w:rFonts w:ascii="Sylfaen" w:hAnsi="Sylfaen" w:cstheme="minorHAnsi"/>
                <w:szCs w:val="24"/>
              </w:rPr>
              <w:t>%</w:t>
            </w:r>
          </w:p>
        </w:tc>
      </w:tr>
    </w:tbl>
    <w:bookmarkEnd w:id="0"/>
    <w:p w:rsidR="005740AA" w:rsidRPr="00AD2F83" w:rsidRDefault="005740AA" w:rsidP="004A18D6">
      <w:pPr>
        <w:ind w:firstLine="720"/>
        <w:rPr>
          <w:rFonts w:ascii="Sylfaen" w:hAnsi="Sylfaen"/>
          <w:sz w:val="22"/>
          <w:szCs w:val="24"/>
        </w:rPr>
      </w:pPr>
      <w:r w:rsidRPr="00AD2F83">
        <w:rPr>
          <w:rFonts w:ascii="Sylfaen" w:hAnsi="Sylfaen"/>
          <w:sz w:val="22"/>
          <w:szCs w:val="24"/>
        </w:rPr>
        <w:t xml:space="preserve">   </w:t>
      </w:r>
      <w:r w:rsidR="0030014D" w:rsidRPr="00AD2F83">
        <w:rPr>
          <w:rFonts w:ascii="Sylfaen" w:hAnsi="Sylfaen"/>
          <w:sz w:val="22"/>
          <w:szCs w:val="24"/>
        </w:rPr>
        <w:tab/>
      </w:r>
      <w:r w:rsidR="0030014D" w:rsidRPr="00AD2F83">
        <w:rPr>
          <w:rFonts w:ascii="Sylfaen" w:hAnsi="Sylfaen"/>
          <w:sz w:val="22"/>
          <w:szCs w:val="24"/>
        </w:rPr>
        <w:tab/>
      </w:r>
      <w:r w:rsidR="000C66E8" w:rsidRPr="00AD2F83">
        <w:rPr>
          <w:rFonts w:ascii="Sylfaen" w:hAnsi="Sylfaen"/>
          <w:sz w:val="22"/>
          <w:szCs w:val="24"/>
        </w:rPr>
        <w:t xml:space="preserve">    </w:t>
      </w:r>
      <w:r w:rsidR="00564D63">
        <w:rPr>
          <w:rFonts w:ascii="Sylfaen" w:hAnsi="Sylfaen"/>
          <w:sz w:val="22"/>
          <w:szCs w:val="24"/>
        </w:rPr>
        <w:t>Աղբյուրը՝ ՀՀ ՖՆ</w:t>
      </w:r>
    </w:p>
    <w:p w:rsidR="00FE58D1" w:rsidRPr="00AD2F83" w:rsidRDefault="00FE58D1" w:rsidP="00FE58D1">
      <w:pPr>
        <w:rPr>
          <w:rFonts w:ascii="Sylfaen" w:hAnsi="Sylfaen"/>
          <w:sz w:val="22"/>
          <w:szCs w:val="24"/>
        </w:rPr>
      </w:pPr>
    </w:p>
    <w:p w:rsidR="009C2F65" w:rsidRPr="00AD2F83" w:rsidRDefault="009C2F65" w:rsidP="00FE58D1">
      <w:pPr>
        <w:rPr>
          <w:rFonts w:ascii="Sylfaen" w:hAnsi="Sylfaen"/>
          <w:sz w:val="22"/>
          <w:szCs w:val="24"/>
        </w:rPr>
      </w:pPr>
    </w:p>
    <w:p w:rsidR="00991C68" w:rsidRPr="00AD2F83" w:rsidRDefault="00564D63" w:rsidP="00657069">
      <w:pPr>
        <w:pStyle w:val="ListParagraph"/>
        <w:numPr>
          <w:ilvl w:val="0"/>
          <w:numId w:val="11"/>
        </w:numPr>
        <w:rPr>
          <w:rFonts w:ascii="Sylfaen" w:hAnsi="Sylfaen"/>
          <w:b/>
          <w:color w:val="4472C4" w:themeColor="accent1"/>
          <w:szCs w:val="24"/>
        </w:rPr>
      </w:pPr>
      <w:r>
        <w:rPr>
          <w:rFonts w:ascii="Sylfaen" w:hAnsi="Sylfaen"/>
          <w:b/>
          <w:color w:val="4472C4" w:themeColor="accent1"/>
          <w:szCs w:val="24"/>
        </w:rPr>
        <w:t>Մ</w:t>
      </w:r>
      <w:r w:rsidRPr="00564D63">
        <w:rPr>
          <w:rFonts w:ascii="Sylfaen" w:hAnsi="Sylfaen"/>
          <w:b/>
          <w:color w:val="4472C4" w:themeColor="accent1"/>
          <w:szCs w:val="24"/>
        </w:rPr>
        <w:t>եթոդաբանություն</w:t>
      </w:r>
      <w:r w:rsidR="00055582">
        <w:rPr>
          <w:rFonts w:ascii="Sylfaen" w:hAnsi="Sylfaen"/>
          <w:b/>
          <w:color w:val="4472C4" w:themeColor="accent1"/>
          <w:szCs w:val="24"/>
        </w:rPr>
        <w:t>ը</w:t>
      </w:r>
      <w:r w:rsidRPr="00564D63">
        <w:rPr>
          <w:rFonts w:ascii="Sylfaen" w:hAnsi="Sylfaen"/>
          <w:b/>
          <w:color w:val="4472C4" w:themeColor="accent1"/>
          <w:szCs w:val="24"/>
        </w:rPr>
        <w:t xml:space="preserve"> </w:t>
      </w:r>
      <w:r>
        <w:rPr>
          <w:rFonts w:ascii="Sylfaen" w:hAnsi="Sylfaen"/>
          <w:b/>
          <w:color w:val="4472C4" w:themeColor="accent1"/>
          <w:szCs w:val="24"/>
        </w:rPr>
        <w:t>և</w:t>
      </w:r>
      <w:r w:rsidRPr="00564D63">
        <w:rPr>
          <w:rFonts w:ascii="Sylfaen" w:hAnsi="Sylfaen"/>
          <w:b/>
          <w:color w:val="4472C4" w:themeColor="accent1"/>
          <w:szCs w:val="24"/>
        </w:rPr>
        <w:t xml:space="preserve"> ենթադրություններ</w:t>
      </w:r>
      <w:r w:rsidR="00055582">
        <w:rPr>
          <w:rFonts w:ascii="Sylfaen" w:hAnsi="Sylfaen"/>
          <w:b/>
          <w:color w:val="4472C4" w:themeColor="accent1"/>
          <w:szCs w:val="24"/>
        </w:rPr>
        <w:t>ը</w:t>
      </w:r>
      <w:r w:rsidR="00B878FC" w:rsidRPr="00AD2F83">
        <w:rPr>
          <w:rFonts w:ascii="Sylfaen" w:hAnsi="Sylfaen"/>
          <w:b/>
          <w:color w:val="4472C4" w:themeColor="accent1"/>
          <w:szCs w:val="24"/>
        </w:rPr>
        <w:t xml:space="preserve"> </w:t>
      </w:r>
    </w:p>
    <w:p w:rsidR="00C457A4" w:rsidRPr="00AD2F83" w:rsidRDefault="00C457A4" w:rsidP="00513F9F">
      <w:pPr>
        <w:rPr>
          <w:rFonts w:ascii="Sylfaen" w:hAnsi="Sylfaen"/>
          <w:b/>
          <w:szCs w:val="24"/>
        </w:rPr>
      </w:pPr>
    </w:p>
    <w:p w:rsidR="00312791" w:rsidRPr="00AD2F83" w:rsidRDefault="00F9719C" w:rsidP="00657069">
      <w:pPr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  <w:lang w:val="ru-RU"/>
        </w:rPr>
        <w:t>Ա</w:t>
      </w:r>
      <w:r>
        <w:rPr>
          <w:rFonts w:ascii="Sylfaen" w:hAnsi="Sylfaen"/>
          <w:b/>
          <w:szCs w:val="24"/>
        </w:rPr>
        <w:t xml:space="preserve">ռաջարկվող հարկային բարեփոխման ազդեցությունը </w:t>
      </w:r>
      <w:r>
        <w:rPr>
          <w:rFonts w:ascii="Sylfaen" w:hAnsi="Sylfaen"/>
          <w:b/>
          <w:szCs w:val="24"/>
          <w:lang w:val="ru-RU"/>
        </w:rPr>
        <w:t>ե</w:t>
      </w:r>
      <w:r w:rsidR="005F22D4">
        <w:rPr>
          <w:rFonts w:ascii="Sylfaen" w:hAnsi="Sylfaen"/>
          <w:b/>
          <w:szCs w:val="24"/>
        </w:rPr>
        <w:t xml:space="preserve">կամուտների բաշխման վրա գնահատելու համար մենք </w:t>
      </w:r>
      <w:r w:rsidR="00AC7ACF">
        <w:rPr>
          <w:rFonts w:ascii="Sylfaen" w:hAnsi="Sylfaen"/>
          <w:b/>
          <w:szCs w:val="24"/>
        </w:rPr>
        <w:t xml:space="preserve">կատարեցինք մոդելավորման վարժություն, օգտագործելով </w:t>
      </w:r>
      <w:r w:rsidR="007833BC" w:rsidRPr="00AD2F83">
        <w:rPr>
          <w:rFonts w:ascii="Sylfaen" w:hAnsi="Sylfaen"/>
          <w:b/>
          <w:szCs w:val="24"/>
        </w:rPr>
        <w:t>CEQ</w:t>
      </w:r>
      <w:r w:rsidR="00AC7ACF">
        <w:rPr>
          <w:rFonts w:ascii="Sylfaen" w:hAnsi="Sylfaen"/>
          <w:b/>
          <w:szCs w:val="24"/>
        </w:rPr>
        <w:t xml:space="preserve"> մեթոդաբանությունը, որը եկամուտների բաշխման վրա </w:t>
      </w:r>
      <w:r w:rsidR="00AC7ACF" w:rsidRPr="00AC7ACF">
        <w:rPr>
          <w:rFonts w:ascii="Sylfaen" w:hAnsi="Sylfaen"/>
          <w:b/>
          <w:szCs w:val="24"/>
        </w:rPr>
        <w:t>հարկաբյուջետային քաղաքականության ազդեցությ</w:t>
      </w:r>
      <w:r>
        <w:rPr>
          <w:rFonts w:ascii="Sylfaen" w:hAnsi="Sylfaen"/>
          <w:b/>
          <w:szCs w:val="24"/>
          <w:lang w:val="ru-RU"/>
        </w:rPr>
        <w:t>ու</w:t>
      </w:r>
      <w:r w:rsidR="00AC7ACF">
        <w:rPr>
          <w:rFonts w:ascii="Sylfaen" w:hAnsi="Sylfaen"/>
          <w:b/>
          <w:szCs w:val="24"/>
        </w:rPr>
        <w:t>ն</w:t>
      </w:r>
      <w:r>
        <w:rPr>
          <w:rFonts w:ascii="Sylfaen" w:hAnsi="Sylfaen"/>
          <w:b/>
          <w:szCs w:val="24"/>
          <w:lang w:val="ru-RU"/>
        </w:rPr>
        <w:t>ը</w:t>
      </w:r>
      <w:r w:rsidR="00AC7ACF" w:rsidRPr="00AC7ACF">
        <w:rPr>
          <w:rFonts w:ascii="Sylfaen" w:hAnsi="Sylfaen"/>
          <w:b/>
          <w:szCs w:val="24"/>
        </w:rPr>
        <w:t xml:space="preserve"> որոշ</w:t>
      </w:r>
      <w:r>
        <w:rPr>
          <w:rFonts w:ascii="Sylfaen" w:hAnsi="Sylfaen"/>
          <w:b/>
          <w:szCs w:val="24"/>
          <w:lang w:val="ru-RU"/>
        </w:rPr>
        <w:t>ելու</w:t>
      </w:r>
      <w:r w:rsidR="00AC7ACF">
        <w:rPr>
          <w:rFonts w:ascii="Sylfaen" w:hAnsi="Sylfaen"/>
          <w:b/>
          <w:szCs w:val="24"/>
        </w:rPr>
        <w:t xml:space="preserve"> համար կիրառվող</w:t>
      </w:r>
      <w:r w:rsidR="00AC7ACF" w:rsidRPr="00AC7ACF">
        <w:rPr>
          <w:rFonts w:ascii="Sylfaen" w:hAnsi="Sylfaen"/>
          <w:b/>
          <w:szCs w:val="24"/>
        </w:rPr>
        <w:t xml:space="preserve"> համակարգված մեթոդաբանություն</w:t>
      </w:r>
      <w:r w:rsidR="00AC7ACF">
        <w:rPr>
          <w:rFonts w:ascii="Sylfaen" w:hAnsi="Sylfaen"/>
          <w:b/>
          <w:szCs w:val="24"/>
        </w:rPr>
        <w:t xml:space="preserve"> է:</w:t>
      </w:r>
      <w:r w:rsidR="00DC1C8E" w:rsidRPr="00AD2F83">
        <w:rPr>
          <w:rFonts w:ascii="Sylfaen" w:hAnsi="Sylfaen"/>
          <w:szCs w:val="24"/>
        </w:rPr>
        <w:t xml:space="preserve"> </w:t>
      </w:r>
      <w:r w:rsidR="00AC7ACF">
        <w:rPr>
          <w:rFonts w:ascii="Sylfaen" w:hAnsi="Sylfaen"/>
          <w:szCs w:val="24"/>
        </w:rPr>
        <w:t xml:space="preserve">Ստանդարտ </w:t>
      </w:r>
      <w:r w:rsidR="00DC1C8E" w:rsidRPr="00AD2F83">
        <w:rPr>
          <w:rFonts w:ascii="Sylfaen" w:hAnsi="Sylfaen"/>
          <w:szCs w:val="24"/>
        </w:rPr>
        <w:t xml:space="preserve">CEQ </w:t>
      </w:r>
      <w:r w:rsidR="00AC7ACF">
        <w:rPr>
          <w:rFonts w:ascii="Sylfaen" w:hAnsi="Sylfaen"/>
          <w:szCs w:val="24"/>
        </w:rPr>
        <w:t xml:space="preserve">մոդելն ընդգրկում է հիմնական ֆիսկալ միջամտությունները՝ ուղղակի հարկերը, անուղղակի հարկերը, ուղղակի </w:t>
      </w:r>
      <w:r w:rsidR="00770C4F">
        <w:rPr>
          <w:rFonts w:ascii="Sylfaen" w:hAnsi="Sylfaen"/>
          <w:szCs w:val="24"/>
        </w:rPr>
        <w:t xml:space="preserve">և անուղղակի </w:t>
      </w:r>
      <w:r w:rsidR="00AC7ACF">
        <w:rPr>
          <w:rFonts w:ascii="Sylfaen" w:hAnsi="Sylfaen"/>
          <w:szCs w:val="24"/>
        </w:rPr>
        <w:t>տրանսֆերտները  և</w:t>
      </w:r>
      <w:r w:rsidR="00770C4F">
        <w:rPr>
          <w:rFonts w:ascii="Sylfaen" w:hAnsi="Sylfaen"/>
          <w:szCs w:val="24"/>
        </w:rPr>
        <w:t xml:space="preserve"> բնաիրային նպաստները կրթության և առողջապահության ոլորտում: </w:t>
      </w:r>
      <w:r w:rsidR="00055582">
        <w:rPr>
          <w:rFonts w:ascii="Sylfaen" w:hAnsi="Sylfaen"/>
          <w:szCs w:val="24"/>
        </w:rPr>
        <w:t>Այդ մ</w:t>
      </w:r>
      <w:r w:rsidR="00770C4F">
        <w:rPr>
          <w:rFonts w:ascii="Sylfaen" w:hAnsi="Sylfaen"/>
          <w:szCs w:val="24"/>
        </w:rPr>
        <w:t>եթոդաբանությ</w:t>
      </w:r>
      <w:r w:rsidR="00055582">
        <w:rPr>
          <w:rFonts w:ascii="Sylfaen" w:hAnsi="Sylfaen"/>
          <w:szCs w:val="24"/>
        </w:rPr>
        <w:t>ա</w:t>
      </w:r>
      <w:r w:rsidR="00770C4F">
        <w:rPr>
          <w:rFonts w:ascii="Sylfaen" w:hAnsi="Sylfaen"/>
          <w:szCs w:val="24"/>
        </w:rPr>
        <w:t xml:space="preserve">ն </w:t>
      </w:r>
      <w:r w:rsidR="00055582">
        <w:rPr>
          <w:rFonts w:ascii="Sylfaen" w:hAnsi="Sylfaen"/>
          <w:szCs w:val="24"/>
        </w:rPr>
        <w:t xml:space="preserve">կիրառմամբ </w:t>
      </w:r>
      <w:r w:rsidR="00770C4F">
        <w:rPr>
          <w:rFonts w:ascii="Sylfaen" w:hAnsi="Sylfaen"/>
          <w:szCs w:val="24"/>
        </w:rPr>
        <w:t>կառուց</w:t>
      </w:r>
      <w:r w:rsidR="00055582">
        <w:rPr>
          <w:rFonts w:ascii="Sylfaen" w:hAnsi="Sylfaen"/>
          <w:szCs w:val="24"/>
        </w:rPr>
        <w:t>վ</w:t>
      </w:r>
      <w:r w:rsidR="00770C4F">
        <w:rPr>
          <w:rFonts w:ascii="Sylfaen" w:hAnsi="Sylfaen"/>
          <w:szCs w:val="24"/>
        </w:rPr>
        <w:t xml:space="preserve">ում </w:t>
      </w:r>
      <w:r w:rsidR="00055582">
        <w:rPr>
          <w:rFonts w:ascii="Sylfaen" w:hAnsi="Sylfaen"/>
          <w:szCs w:val="24"/>
        </w:rPr>
        <w:t>են</w:t>
      </w:r>
      <w:r w:rsidR="00770C4F">
        <w:rPr>
          <w:rFonts w:ascii="Sylfaen" w:hAnsi="Sylfaen"/>
          <w:szCs w:val="24"/>
        </w:rPr>
        <w:t xml:space="preserve"> տարբեր եկամուտների միագումարներ, </w:t>
      </w:r>
      <w:r w:rsidR="00770C4F" w:rsidRPr="00770C4F">
        <w:rPr>
          <w:rFonts w:ascii="Sylfaen" w:hAnsi="Sylfaen"/>
          <w:szCs w:val="24"/>
        </w:rPr>
        <w:t>սկսած այնտեղից, որտեղ որ</w:t>
      </w:r>
      <w:r w:rsidR="00770C4F">
        <w:rPr>
          <w:rFonts w:ascii="Sylfaen" w:hAnsi="Sylfaen"/>
          <w:szCs w:val="24"/>
        </w:rPr>
        <w:t>և</w:t>
      </w:r>
      <w:r w:rsidR="00770C4F" w:rsidRPr="00770C4F">
        <w:rPr>
          <w:rFonts w:ascii="Sylfaen" w:hAnsi="Sylfaen"/>
          <w:szCs w:val="24"/>
        </w:rPr>
        <w:t xml:space="preserve">է պետական </w:t>
      </w:r>
      <w:r w:rsidR="00770C4F">
        <w:rPr>
          <w:rFonts w:ascii="Sylfaen" w:hAnsi="Sylfaen"/>
          <w:szCs w:val="24"/>
        </w:rPr>
        <w:t xml:space="preserve">հարկ </w:t>
      </w:r>
      <w:r w:rsidR="00770C4F" w:rsidRPr="00770C4F">
        <w:rPr>
          <w:rFonts w:ascii="Sylfaen" w:hAnsi="Sylfaen"/>
          <w:szCs w:val="24"/>
        </w:rPr>
        <w:t xml:space="preserve">կամ </w:t>
      </w:r>
      <w:r w:rsidR="00055582">
        <w:rPr>
          <w:rFonts w:ascii="Sylfaen" w:hAnsi="Sylfaen"/>
          <w:szCs w:val="24"/>
        </w:rPr>
        <w:t>տրանսֆերտներ չկան</w:t>
      </w:r>
      <w:r w:rsidR="00770C4F" w:rsidRPr="00770C4F">
        <w:rPr>
          <w:rFonts w:ascii="Sylfaen" w:hAnsi="Sylfaen"/>
          <w:szCs w:val="24"/>
        </w:rPr>
        <w:t xml:space="preserve"> (շուկայական եկամուտ)</w:t>
      </w:r>
      <w:r w:rsidR="00055582">
        <w:rPr>
          <w:rFonts w:ascii="Sylfaen" w:hAnsi="Sylfaen"/>
          <w:szCs w:val="24"/>
        </w:rPr>
        <w:t>,</w:t>
      </w:r>
      <w:r w:rsidR="00770C4F" w:rsidRPr="00770C4F">
        <w:rPr>
          <w:rFonts w:ascii="Sylfaen" w:hAnsi="Sylfaen"/>
          <w:szCs w:val="24"/>
        </w:rPr>
        <w:t xml:space="preserve"> </w:t>
      </w:r>
      <w:r w:rsidR="00055582">
        <w:rPr>
          <w:rFonts w:ascii="Sylfaen" w:hAnsi="Sylfaen"/>
          <w:szCs w:val="24"/>
        </w:rPr>
        <w:t>այուհետև</w:t>
      </w:r>
      <w:r w:rsidR="00770C4F" w:rsidRPr="00770C4F">
        <w:rPr>
          <w:rFonts w:ascii="Sylfaen" w:hAnsi="Sylfaen"/>
          <w:szCs w:val="24"/>
        </w:rPr>
        <w:t xml:space="preserve"> աստիճանաբար ավելաց</w:t>
      </w:r>
      <w:r w:rsidR="00055582">
        <w:rPr>
          <w:rFonts w:ascii="Sylfaen" w:hAnsi="Sylfaen"/>
          <w:szCs w:val="24"/>
        </w:rPr>
        <w:t>վում են</w:t>
      </w:r>
      <w:r w:rsidR="00770C4F" w:rsidRPr="00770C4F">
        <w:rPr>
          <w:rFonts w:ascii="Sylfaen" w:hAnsi="Sylfaen"/>
          <w:szCs w:val="24"/>
        </w:rPr>
        <w:t xml:space="preserve"> հարկերը </w:t>
      </w:r>
      <w:r w:rsidR="00770C4F">
        <w:rPr>
          <w:rFonts w:ascii="Sylfaen" w:hAnsi="Sylfaen"/>
          <w:szCs w:val="24"/>
        </w:rPr>
        <w:t>և</w:t>
      </w:r>
      <w:r w:rsidR="00770C4F" w:rsidRPr="00770C4F">
        <w:rPr>
          <w:rFonts w:ascii="Sylfaen" w:hAnsi="Sylfaen"/>
          <w:szCs w:val="24"/>
        </w:rPr>
        <w:t xml:space="preserve"> </w:t>
      </w:r>
      <w:r w:rsidR="00055582">
        <w:rPr>
          <w:rFonts w:ascii="Sylfaen" w:hAnsi="Sylfaen"/>
          <w:szCs w:val="24"/>
        </w:rPr>
        <w:t>տրանսֆերտները</w:t>
      </w:r>
      <w:r w:rsidR="00770C4F">
        <w:rPr>
          <w:rFonts w:ascii="Sylfaen" w:hAnsi="Sylfaen"/>
          <w:szCs w:val="24"/>
        </w:rPr>
        <w:t xml:space="preserve"> </w:t>
      </w:r>
      <w:r w:rsidR="00030A26" w:rsidRPr="00AD2F83">
        <w:rPr>
          <w:rFonts w:ascii="Sylfaen" w:hAnsi="Sylfaen"/>
          <w:szCs w:val="24"/>
        </w:rPr>
        <w:t>(</w:t>
      </w:r>
      <w:r w:rsidR="00770C4F">
        <w:rPr>
          <w:rFonts w:ascii="Sylfaen" w:hAnsi="Sylfaen"/>
          <w:szCs w:val="24"/>
        </w:rPr>
        <w:t>Գծապատկեր 1): Օգտագործվող տվյալները հիմնված են տնային տնտեսությունների բյուջեների հետազոտությունների վրա</w:t>
      </w:r>
      <w:r w:rsidR="0085026F" w:rsidRPr="00AD2F83">
        <w:rPr>
          <w:rFonts w:ascii="Sylfaen" w:hAnsi="Sylfaen"/>
          <w:szCs w:val="24"/>
        </w:rPr>
        <w:t xml:space="preserve">, </w:t>
      </w:r>
      <w:r w:rsidR="00770C4F" w:rsidRPr="00770C4F">
        <w:rPr>
          <w:rFonts w:ascii="Sylfaen" w:hAnsi="Sylfaen"/>
          <w:szCs w:val="24"/>
        </w:rPr>
        <w:t xml:space="preserve">որտեղ հարկերը </w:t>
      </w:r>
      <w:r w:rsidR="00770C4F">
        <w:rPr>
          <w:rFonts w:ascii="Sylfaen" w:hAnsi="Sylfaen"/>
          <w:szCs w:val="24"/>
        </w:rPr>
        <w:t xml:space="preserve">և </w:t>
      </w:r>
      <w:r w:rsidR="00055582">
        <w:rPr>
          <w:rFonts w:ascii="Sylfaen" w:hAnsi="Sylfaen"/>
          <w:szCs w:val="24"/>
        </w:rPr>
        <w:t>տրանսֆերտները</w:t>
      </w:r>
      <w:r w:rsidR="00770C4F" w:rsidRPr="00770C4F">
        <w:rPr>
          <w:rFonts w:ascii="Sylfaen" w:hAnsi="Sylfaen"/>
          <w:szCs w:val="24"/>
        </w:rPr>
        <w:t xml:space="preserve"> հատկացվում են վարչական </w:t>
      </w:r>
      <w:r w:rsidR="00770C4F">
        <w:rPr>
          <w:rFonts w:ascii="Sylfaen" w:hAnsi="Sylfaen"/>
          <w:szCs w:val="24"/>
        </w:rPr>
        <w:t>և</w:t>
      </w:r>
      <w:r w:rsidR="00770C4F" w:rsidRPr="00770C4F">
        <w:rPr>
          <w:rFonts w:ascii="Sylfaen" w:hAnsi="Sylfaen"/>
          <w:szCs w:val="24"/>
        </w:rPr>
        <w:t xml:space="preserve"> մակրոտնտեսական տվյալների հիման վրա:</w:t>
      </w:r>
      <w:r w:rsidR="00770C4F">
        <w:rPr>
          <w:rFonts w:ascii="Sylfaen" w:hAnsi="Sylfaen"/>
          <w:szCs w:val="24"/>
        </w:rPr>
        <w:t xml:space="preserve"> </w:t>
      </w:r>
      <w:r w:rsidR="0085026F" w:rsidRPr="00AD2F83">
        <w:rPr>
          <w:rFonts w:ascii="Sylfaen" w:hAnsi="Sylfaen"/>
          <w:szCs w:val="24"/>
        </w:rPr>
        <w:t xml:space="preserve"> </w:t>
      </w:r>
      <w:r w:rsidR="009D0848" w:rsidRPr="00AD2F83">
        <w:rPr>
          <w:rFonts w:ascii="Sylfaen" w:hAnsi="Sylfaen"/>
          <w:szCs w:val="24"/>
        </w:rPr>
        <w:t>CEQ</w:t>
      </w:r>
      <w:r w:rsidR="009D0848" w:rsidRPr="00770C4F">
        <w:rPr>
          <w:rFonts w:ascii="Sylfaen" w:hAnsi="Sylfaen"/>
          <w:szCs w:val="24"/>
        </w:rPr>
        <w:t xml:space="preserve"> </w:t>
      </w:r>
      <w:r w:rsidR="009D0848">
        <w:rPr>
          <w:rFonts w:ascii="Sylfaen" w:hAnsi="Sylfaen"/>
          <w:szCs w:val="24"/>
        </w:rPr>
        <w:t>(հավասարությ</w:t>
      </w:r>
      <w:r w:rsidR="00055582">
        <w:rPr>
          <w:rFonts w:ascii="Sylfaen" w:hAnsi="Sylfaen"/>
          <w:szCs w:val="24"/>
        </w:rPr>
        <w:t>ա</w:t>
      </w:r>
      <w:r w:rsidR="009D0848">
        <w:rPr>
          <w:rFonts w:ascii="Sylfaen" w:hAnsi="Sylfaen"/>
          <w:szCs w:val="24"/>
        </w:rPr>
        <w:t>ն ապահով</w:t>
      </w:r>
      <w:r w:rsidR="00055582">
        <w:rPr>
          <w:rFonts w:ascii="Sylfaen" w:hAnsi="Sylfaen"/>
          <w:szCs w:val="24"/>
        </w:rPr>
        <w:t>ման</w:t>
      </w:r>
      <w:r w:rsidR="009D0848">
        <w:rPr>
          <w:rFonts w:ascii="Sylfaen" w:hAnsi="Sylfaen"/>
          <w:szCs w:val="24"/>
        </w:rPr>
        <w:t xml:space="preserve"> հանձնառություն)</w:t>
      </w:r>
      <w:r w:rsidR="00055582">
        <w:rPr>
          <w:rFonts w:ascii="Sylfaen" w:hAnsi="Sylfaen"/>
          <w:szCs w:val="24"/>
        </w:rPr>
        <w:t xml:space="preserve"> Գ</w:t>
      </w:r>
      <w:r w:rsidR="00770C4F" w:rsidRPr="00770C4F">
        <w:rPr>
          <w:rFonts w:ascii="Sylfaen" w:hAnsi="Sylfaen"/>
          <w:szCs w:val="24"/>
        </w:rPr>
        <w:t xml:space="preserve">նահատումը մշակվել է </w:t>
      </w:r>
      <w:r w:rsidR="00D05B0F">
        <w:rPr>
          <w:rFonts w:ascii="Sylfaen" w:hAnsi="Sylfaen"/>
          <w:szCs w:val="24"/>
        </w:rPr>
        <w:t xml:space="preserve">Հավասարության ապահովման հանձնառության ինստիտուտի </w:t>
      </w:r>
      <w:r w:rsidR="005E1180" w:rsidRPr="005E1180">
        <w:rPr>
          <w:rFonts w:ascii="Sylfaen" w:hAnsi="Sylfaen"/>
          <w:szCs w:val="24"/>
        </w:rPr>
        <w:t>(CEQ Institute)</w:t>
      </w:r>
      <w:r w:rsidR="005E1180" w:rsidRPr="00030447">
        <w:rPr>
          <w:rFonts w:ascii="Sylfaen" w:hAnsi="Sylfaen"/>
          <w:szCs w:val="24"/>
        </w:rPr>
        <w:t xml:space="preserve"> </w:t>
      </w:r>
      <w:r w:rsidR="00D05B0F">
        <w:rPr>
          <w:rFonts w:ascii="Sylfaen" w:hAnsi="Sylfaen"/>
          <w:szCs w:val="24"/>
        </w:rPr>
        <w:t>կողմից և</w:t>
      </w:r>
      <w:r w:rsidR="00770C4F" w:rsidRPr="00770C4F">
        <w:rPr>
          <w:rFonts w:ascii="Sylfaen" w:hAnsi="Sylfaen"/>
          <w:szCs w:val="24"/>
        </w:rPr>
        <w:t xml:space="preserve"> իրականացվել է ավելի քան 40 երկրներում:</w:t>
      </w:r>
      <w:r w:rsidR="00440246" w:rsidRPr="00AD2F83">
        <w:rPr>
          <w:rFonts w:ascii="Sylfaen" w:hAnsi="Sylfaen"/>
          <w:szCs w:val="24"/>
        </w:rPr>
        <w:t xml:space="preserve"> </w:t>
      </w:r>
      <w:r w:rsidR="00D05B0F">
        <w:rPr>
          <w:rFonts w:ascii="Sylfaen" w:hAnsi="Sylfaen"/>
          <w:szCs w:val="24"/>
        </w:rPr>
        <w:t>Հայաստանի վերաբերյալ առկ</w:t>
      </w:r>
      <w:r w:rsidR="007A1922">
        <w:rPr>
          <w:rFonts w:ascii="Sylfaen" w:hAnsi="Sylfaen"/>
          <w:szCs w:val="24"/>
        </w:rPr>
        <w:t>ա</w:t>
      </w:r>
      <w:r w:rsidR="00D05B0F">
        <w:rPr>
          <w:rFonts w:ascii="Sylfaen" w:hAnsi="Sylfaen"/>
          <w:szCs w:val="24"/>
        </w:rPr>
        <w:t xml:space="preserve"> են երկու նախկինում արված </w:t>
      </w:r>
      <w:r w:rsidR="00055582">
        <w:rPr>
          <w:rFonts w:ascii="Sylfaen" w:hAnsi="Sylfaen"/>
          <w:szCs w:val="24"/>
        </w:rPr>
        <w:t xml:space="preserve">CEQ </w:t>
      </w:r>
      <w:r w:rsidR="00D05B0F">
        <w:rPr>
          <w:rFonts w:ascii="Sylfaen" w:hAnsi="Sylfaen"/>
          <w:szCs w:val="24"/>
        </w:rPr>
        <w:t xml:space="preserve">գնահատումներ </w:t>
      </w:r>
      <w:r w:rsidR="000576C3" w:rsidRPr="00AD2F83">
        <w:rPr>
          <w:rFonts w:ascii="Sylfaen" w:hAnsi="Sylfaen"/>
          <w:szCs w:val="24"/>
        </w:rPr>
        <w:t xml:space="preserve">(2011 </w:t>
      </w:r>
      <w:r w:rsidR="00D05B0F">
        <w:rPr>
          <w:rFonts w:ascii="Sylfaen" w:hAnsi="Sylfaen"/>
          <w:szCs w:val="24"/>
        </w:rPr>
        <w:t>և</w:t>
      </w:r>
      <w:r w:rsidR="000576C3" w:rsidRPr="00AD2F83">
        <w:rPr>
          <w:rFonts w:ascii="Sylfaen" w:hAnsi="Sylfaen"/>
          <w:szCs w:val="24"/>
        </w:rPr>
        <w:t xml:space="preserve"> 2014</w:t>
      </w:r>
      <w:r w:rsidR="00D05B0F">
        <w:rPr>
          <w:rFonts w:ascii="Sylfaen" w:hAnsi="Sylfaen"/>
          <w:szCs w:val="24"/>
        </w:rPr>
        <w:t xml:space="preserve"> թվականներին</w:t>
      </w:r>
      <w:r w:rsidR="000576C3" w:rsidRPr="00AD2F83">
        <w:rPr>
          <w:rFonts w:ascii="Sylfaen" w:hAnsi="Sylfaen"/>
          <w:szCs w:val="24"/>
        </w:rPr>
        <w:t>)</w:t>
      </w:r>
      <w:r w:rsidR="00D05B0F">
        <w:rPr>
          <w:rFonts w:ascii="Sylfaen" w:hAnsi="Sylfaen"/>
          <w:szCs w:val="24"/>
        </w:rPr>
        <w:t>:</w:t>
      </w:r>
      <w:r w:rsidR="00312791" w:rsidRPr="00AD2F83">
        <w:rPr>
          <w:rFonts w:ascii="Sylfaen" w:hAnsi="Sylfaen"/>
          <w:szCs w:val="24"/>
        </w:rPr>
        <w:t xml:space="preserve"> </w:t>
      </w:r>
    </w:p>
    <w:p w:rsidR="000C66E8" w:rsidRDefault="000C66E8" w:rsidP="006C541D">
      <w:pPr>
        <w:jc w:val="both"/>
        <w:rPr>
          <w:rFonts w:ascii="Sylfaen" w:hAnsi="Sylfaen"/>
          <w:szCs w:val="24"/>
        </w:rPr>
      </w:pPr>
    </w:p>
    <w:p w:rsidR="003F2F66" w:rsidRDefault="003F2F66" w:rsidP="003F2F66">
      <w:pPr>
        <w:jc w:val="both"/>
        <w:rPr>
          <w:rFonts w:ascii="Sylfaen" w:hAnsi="Sylfaen"/>
          <w:szCs w:val="24"/>
        </w:rPr>
      </w:pPr>
      <w:r w:rsidRPr="00AD2F83">
        <w:rPr>
          <w:rFonts w:ascii="Sylfaen" w:hAnsi="Sylfaen"/>
          <w:b/>
          <w:szCs w:val="24"/>
        </w:rPr>
        <w:t>CEQ</w:t>
      </w:r>
      <w:r w:rsidRPr="007A1922">
        <w:rPr>
          <w:rFonts w:ascii="Sylfaen" w:hAnsi="Sylfaen"/>
          <w:b/>
          <w:szCs w:val="24"/>
        </w:rPr>
        <w:t xml:space="preserve"> -ի որոշ սահմանափակումներ </w:t>
      </w:r>
      <w:r>
        <w:rPr>
          <w:rFonts w:ascii="Sylfaen" w:hAnsi="Sylfaen"/>
          <w:b/>
          <w:szCs w:val="24"/>
        </w:rPr>
        <w:t xml:space="preserve">պայմանավորված են նրանով, որ </w:t>
      </w:r>
      <w:r w:rsidRPr="007A1922">
        <w:rPr>
          <w:rFonts w:ascii="Sylfaen" w:hAnsi="Sylfaen"/>
          <w:b/>
          <w:szCs w:val="24"/>
        </w:rPr>
        <w:t>վերլուծության</w:t>
      </w:r>
      <w:r>
        <w:rPr>
          <w:rFonts w:ascii="Sylfaen" w:hAnsi="Sylfaen"/>
          <w:b/>
          <w:szCs w:val="24"/>
        </w:rPr>
        <w:t xml:space="preserve"> մեջ չեն ներառվել որոշ հարկեր</w:t>
      </w:r>
      <w:r w:rsidRPr="007A1922">
        <w:rPr>
          <w:rFonts w:ascii="Sylfaen" w:hAnsi="Sylfaen"/>
          <w:b/>
          <w:szCs w:val="24"/>
        </w:rPr>
        <w:t xml:space="preserve"> (կորպորատիվ </w:t>
      </w:r>
      <w:r>
        <w:rPr>
          <w:rFonts w:ascii="Sylfaen" w:hAnsi="Sylfaen"/>
          <w:b/>
          <w:szCs w:val="24"/>
        </w:rPr>
        <w:t>և</w:t>
      </w:r>
      <w:r w:rsidRPr="007A1922">
        <w:rPr>
          <w:rFonts w:ascii="Sylfaen" w:hAnsi="Sylfaen"/>
          <w:b/>
          <w:szCs w:val="24"/>
        </w:rPr>
        <w:t xml:space="preserve"> միջազգային առ</w:t>
      </w:r>
      <w:r>
        <w:rPr>
          <w:rFonts w:ascii="Sylfaen" w:hAnsi="Sylfaen"/>
          <w:b/>
          <w:szCs w:val="24"/>
        </w:rPr>
        <w:t>և</w:t>
      </w:r>
      <w:r w:rsidRPr="007A1922">
        <w:rPr>
          <w:rFonts w:ascii="Sylfaen" w:hAnsi="Sylfaen"/>
          <w:b/>
          <w:szCs w:val="24"/>
        </w:rPr>
        <w:t>տրի հարկ</w:t>
      </w:r>
      <w:r>
        <w:rPr>
          <w:rFonts w:ascii="Sylfaen" w:hAnsi="Sylfaen"/>
          <w:b/>
          <w:szCs w:val="24"/>
        </w:rPr>
        <w:t>եր</w:t>
      </w:r>
      <w:r w:rsidRPr="007A1922">
        <w:rPr>
          <w:rFonts w:ascii="Sylfaen" w:hAnsi="Sylfaen"/>
          <w:b/>
          <w:szCs w:val="24"/>
        </w:rPr>
        <w:t xml:space="preserve">) </w:t>
      </w:r>
      <w:r>
        <w:rPr>
          <w:rFonts w:ascii="Sylfaen" w:hAnsi="Sylfaen"/>
          <w:b/>
          <w:szCs w:val="24"/>
        </w:rPr>
        <w:t xml:space="preserve">և </w:t>
      </w:r>
      <w:r w:rsidRPr="007A1922">
        <w:rPr>
          <w:rFonts w:ascii="Sylfaen" w:hAnsi="Sylfaen"/>
          <w:b/>
          <w:szCs w:val="24"/>
        </w:rPr>
        <w:t>պետական ծախսերի որոշ կատեգորիաներ (օրինակ`ենթակառուցվածք</w:t>
      </w:r>
      <w:r>
        <w:rPr>
          <w:rFonts w:ascii="Sylfaen" w:hAnsi="Sylfaen"/>
          <w:b/>
          <w:szCs w:val="24"/>
        </w:rPr>
        <w:t>այ</w:t>
      </w:r>
      <w:r w:rsidRPr="007A1922">
        <w:rPr>
          <w:rFonts w:ascii="Sylfaen" w:hAnsi="Sylfaen"/>
          <w:b/>
          <w:szCs w:val="24"/>
        </w:rPr>
        <w:t>ի</w:t>
      </w:r>
      <w:r>
        <w:rPr>
          <w:rFonts w:ascii="Sylfaen" w:hAnsi="Sylfaen"/>
          <w:b/>
          <w:szCs w:val="24"/>
        </w:rPr>
        <w:t>ն</w:t>
      </w:r>
      <w:r w:rsidRPr="007A1922">
        <w:rPr>
          <w:rFonts w:ascii="Sylfaen" w:hAnsi="Sylfaen"/>
          <w:b/>
          <w:szCs w:val="24"/>
        </w:rPr>
        <w:t xml:space="preserve"> ներդրում</w:t>
      </w:r>
      <w:r>
        <w:rPr>
          <w:rFonts w:ascii="Sylfaen" w:hAnsi="Sylfaen"/>
          <w:b/>
          <w:szCs w:val="24"/>
        </w:rPr>
        <w:t>ներ</w:t>
      </w:r>
      <w:r w:rsidRPr="007A1922">
        <w:rPr>
          <w:rFonts w:ascii="Sylfaen" w:hAnsi="Sylfaen"/>
          <w:b/>
          <w:szCs w:val="24"/>
        </w:rPr>
        <w:t>)</w:t>
      </w:r>
      <w:r>
        <w:rPr>
          <w:rFonts w:ascii="Sylfaen" w:hAnsi="Sylfaen"/>
          <w:b/>
          <w:szCs w:val="24"/>
        </w:rPr>
        <w:t xml:space="preserve">, </w:t>
      </w:r>
      <w:r w:rsidRPr="001A07A3">
        <w:rPr>
          <w:rFonts w:ascii="Sylfaen" w:hAnsi="Sylfaen"/>
          <w:szCs w:val="24"/>
        </w:rPr>
        <w:t>որ</w:t>
      </w:r>
      <w:r>
        <w:rPr>
          <w:rFonts w:ascii="Sylfaen" w:hAnsi="Sylfaen"/>
          <w:szCs w:val="24"/>
        </w:rPr>
        <w:t xml:space="preserve">ոնց մասով </w:t>
      </w:r>
      <w:r w:rsidRPr="001A07A3">
        <w:rPr>
          <w:rFonts w:ascii="Sylfaen" w:hAnsi="Sylfaen"/>
          <w:szCs w:val="24"/>
        </w:rPr>
        <w:t>մեթոդաբանությունները դեռ</w:t>
      </w:r>
      <w:r>
        <w:rPr>
          <w:rFonts w:ascii="Sylfaen" w:hAnsi="Sylfaen"/>
          <w:szCs w:val="24"/>
        </w:rPr>
        <w:t>և</w:t>
      </w:r>
      <w:r w:rsidRPr="001A07A3">
        <w:rPr>
          <w:rFonts w:ascii="Sylfaen" w:hAnsi="Sylfaen"/>
          <w:szCs w:val="24"/>
        </w:rPr>
        <w:t xml:space="preserve">ս լիարժեք չեն </w:t>
      </w:r>
      <w:r>
        <w:rPr>
          <w:rFonts w:ascii="Sylfaen" w:hAnsi="Sylfaen"/>
          <w:szCs w:val="24"/>
        </w:rPr>
        <w:t xml:space="preserve">մշակվել: </w:t>
      </w:r>
    </w:p>
    <w:p w:rsidR="003F2F66" w:rsidRPr="00AD2F83" w:rsidRDefault="003F2F66" w:rsidP="003F2F66">
      <w:pPr>
        <w:jc w:val="both"/>
        <w:rPr>
          <w:rFonts w:ascii="Sylfaen" w:hAnsi="Sylfaen"/>
          <w:szCs w:val="24"/>
        </w:rPr>
      </w:pPr>
      <w:r w:rsidRPr="005464D3">
        <w:rPr>
          <w:rFonts w:ascii="Sylfaen" w:hAnsi="Sylfaen"/>
          <w:szCs w:val="24"/>
        </w:rPr>
        <w:t xml:space="preserve">Բացի այդ, CEQ-ն այսօրվա դրությամբ չի </w:t>
      </w:r>
      <w:r>
        <w:rPr>
          <w:rFonts w:ascii="Sylfaen" w:hAnsi="Sylfaen"/>
          <w:szCs w:val="24"/>
        </w:rPr>
        <w:t>դիտարկում</w:t>
      </w:r>
      <w:r w:rsidRPr="005464D3">
        <w:rPr>
          <w:rFonts w:ascii="Sylfaen" w:hAnsi="Sylfaen"/>
          <w:szCs w:val="24"/>
        </w:rPr>
        <w:t xml:space="preserve"> հարկաբյուջետային քաղաքականության փոփոխություններին տնային տնտեսությունների վարքագծային արձագանքը</w:t>
      </w:r>
      <w:r>
        <w:rPr>
          <w:rFonts w:ascii="Sylfaen" w:hAnsi="Sylfaen"/>
          <w:szCs w:val="24"/>
        </w:rPr>
        <w:t xml:space="preserve">: </w:t>
      </w:r>
      <w:r w:rsidRPr="005464D3">
        <w:rPr>
          <w:rFonts w:ascii="Sylfaen" w:hAnsi="Sylfaen"/>
          <w:szCs w:val="24"/>
        </w:rPr>
        <w:t>Այնուամենայնիվ, CEQ -ը կար</w:t>
      </w:r>
      <w:r>
        <w:rPr>
          <w:rFonts w:ascii="Sylfaen" w:hAnsi="Sylfaen"/>
          <w:szCs w:val="24"/>
        </w:rPr>
        <w:t>և</w:t>
      </w:r>
      <w:r w:rsidRPr="005464D3">
        <w:rPr>
          <w:rFonts w:ascii="Sylfaen" w:hAnsi="Sylfaen"/>
          <w:szCs w:val="24"/>
        </w:rPr>
        <w:t xml:space="preserve">որ գործիք է </w:t>
      </w:r>
      <w:r>
        <w:rPr>
          <w:rFonts w:ascii="Sylfaen" w:hAnsi="Sylfaen"/>
          <w:szCs w:val="24"/>
        </w:rPr>
        <w:t xml:space="preserve">եկամուտների </w:t>
      </w:r>
      <w:r w:rsidRPr="005464D3">
        <w:rPr>
          <w:rFonts w:ascii="Sylfaen" w:hAnsi="Sylfaen"/>
          <w:szCs w:val="24"/>
        </w:rPr>
        <w:t>բաշխ</w:t>
      </w:r>
      <w:r>
        <w:rPr>
          <w:rFonts w:ascii="Sylfaen" w:hAnsi="Sylfaen"/>
          <w:szCs w:val="24"/>
        </w:rPr>
        <w:t>վածության վրա</w:t>
      </w:r>
      <w:r w:rsidRPr="005464D3">
        <w:rPr>
          <w:rFonts w:ascii="Sylfaen" w:hAnsi="Sylfaen"/>
          <w:szCs w:val="24"/>
        </w:rPr>
        <w:t xml:space="preserve"> երկր</w:t>
      </w:r>
      <w:r>
        <w:rPr>
          <w:rFonts w:ascii="Sylfaen" w:hAnsi="Sylfaen"/>
          <w:szCs w:val="24"/>
        </w:rPr>
        <w:t>ի</w:t>
      </w:r>
      <w:r w:rsidRPr="005464D3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 xml:space="preserve">գործող </w:t>
      </w:r>
      <w:r w:rsidRPr="005464D3">
        <w:rPr>
          <w:rFonts w:ascii="Sylfaen" w:hAnsi="Sylfaen"/>
          <w:szCs w:val="24"/>
        </w:rPr>
        <w:t xml:space="preserve">հարկաբյուջետային համակարգի </w:t>
      </w:r>
      <w:r w:rsidRPr="005464D3">
        <w:rPr>
          <w:rFonts w:ascii="Sylfaen" w:hAnsi="Sylfaen"/>
          <w:szCs w:val="24"/>
        </w:rPr>
        <w:lastRenderedPageBreak/>
        <w:t>ազդեցությունները հասկանալու, ինչպես նա</w:t>
      </w:r>
      <w:r>
        <w:rPr>
          <w:rFonts w:ascii="Sylfaen" w:hAnsi="Sylfaen"/>
          <w:szCs w:val="24"/>
        </w:rPr>
        <w:t xml:space="preserve">և </w:t>
      </w:r>
      <w:r w:rsidRPr="005464D3">
        <w:rPr>
          <w:rFonts w:ascii="Sylfaen" w:hAnsi="Sylfaen"/>
          <w:szCs w:val="24"/>
        </w:rPr>
        <w:t xml:space="preserve">հնարավոր քաղաքական բարեփոխումների </w:t>
      </w:r>
      <w:r>
        <w:rPr>
          <w:rFonts w:ascii="Sylfaen" w:hAnsi="Sylfaen"/>
          <w:szCs w:val="24"/>
        </w:rPr>
        <w:t xml:space="preserve">կանխատեսվող բաշխողական </w:t>
      </w:r>
      <w:r w:rsidRPr="005464D3">
        <w:rPr>
          <w:rFonts w:ascii="Sylfaen" w:hAnsi="Sylfaen"/>
          <w:szCs w:val="24"/>
        </w:rPr>
        <w:t>ազդեցությունները</w:t>
      </w:r>
      <w:r w:rsidRPr="00030447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մոդելավորելու</w:t>
      </w:r>
      <w:r w:rsidRPr="00030447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համար</w:t>
      </w:r>
      <w:r>
        <w:rPr>
          <w:rFonts w:ascii="Sylfaen" w:hAnsi="Sylfaen"/>
          <w:szCs w:val="24"/>
        </w:rPr>
        <w:t xml:space="preserve">: </w:t>
      </w:r>
      <w:r w:rsidRPr="00AD2F83">
        <w:rPr>
          <w:rFonts w:ascii="Sylfaen" w:hAnsi="Sylfaen"/>
          <w:szCs w:val="24"/>
        </w:rPr>
        <w:t xml:space="preserve"> </w:t>
      </w:r>
    </w:p>
    <w:p w:rsidR="00D3512E" w:rsidRDefault="00D3512E" w:rsidP="006C541D">
      <w:pPr>
        <w:jc w:val="both"/>
        <w:rPr>
          <w:rFonts w:ascii="Sylfaen" w:hAnsi="Sylfaen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2"/>
      </w:tblGrid>
      <w:tr w:rsidR="002211FF" w:rsidRPr="00130234" w:rsidTr="003F2F66">
        <w:trPr>
          <w:trHeight w:val="219"/>
          <w:jc w:val="center"/>
        </w:trPr>
        <w:tc>
          <w:tcPr>
            <w:tcW w:w="8282" w:type="dxa"/>
          </w:tcPr>
          <w:p w:rsidR="002211FF" w:rsidRPr="00130234" w:rsidRDefault="006702A3" w:rsidP="00055582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2"/>
                <w:szCs w:val="24"/>
              </w:rPr>
            </w:pPr>
            <w:r w:rsidRPr="00130234">
              <w:rPr>
                <w:rFonts w:ascii="Sylfaen" w:hAnsi="Sylfaen"/>
                <w:b/>
                <w:sz w:val="22"/>
                <w:szCs w:val="24"/>
              </w:rPr>
              <w:t xml:space="preserve">Գծապատկեր </w:t>
            </w:r>
            <w:r w:rsidR="002211FF" w:rsidRPr="00130234">
              <w:rPr>
                <w:rFonts w:ascii="Sylfaen" w:hAnsi="Sylfaen"/>
                <w:b/>
                <w:sz w:val="22"/>
                <w:szCs w:val="24"/>
              </w:rPr>
              <w:t xml:space="preserve">1. CEQ </w:t>
            </w:r>
            <w:r w:rsidRPr="00130234">
              <w:rPr>
                <w:rFonts w:ascii="Sylfaen" w:hAnsi="Sylfaen"/>
                <w:b/>
                <w:sz w:val="22"/>
                <w:szCs w:val="24"/>
              </w:rPr>
              <w:t xml:space="preserve">եկամտի </w:t>
            </w:r>
            <w:r w:rsidR="00055582" w:rsidRPr="00130234">
              <w:rPr>
                <w:rFonts w:ascii="Sylfaen" w:hAnsi="Sylfaen"/>
                <w:b/>
                <w:sz w:val="22"/>
                <w:szCs w:val="24"/>
              </w:rPr>
              <w:t>գաղափարը</w:t>
            </w:r>
          </w:p>
        </w:tc>
      </w:tr>
      <w:tr w:rsidR="002211FF" w:rsidRPr="00AD2F83" w:rsidTr="003F2F66">
        <w:trPr>
          <w:trHeight w:val="5736"/>
          <w:jc w:val="center"/>
        </w:trPr>
        <w:tc>
          <w:tcPr>
            <w:tcW w:w="8282" w:type="dxa"/>
          </w:tcPr>
          <w:p w:rsidR="002211FF" w:rsidRPr="003F2F66" w:rsidRDefault="00130234" w:rsidP="003F2F66">
            <w:pPr>
              <w:pStyle w:val="ListParagraph"/>
              <w:ind w:left="0"/>
              <w:rPr>
                <w:rFonts w:ascii="Sylfaen" w:hAnsi="Sylfaen"/>
                <w:szCs w:val="24"/>
              </w:rPr>
            </w:pPr>
            <w:r w:rsidRPr="003F2F66">
              <w:rPr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073AA8C2" wp14:editId="7068D01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199390</wp:posOffset>
                      </wp:positionV>
                      <wp:extent cx="5105400" cy="3698240"/>
                      <wp:effectExtent l="0" t="0" r="0" b="0"/>
                      <wp:wrapTight wrapText="bothSides">
                        <wp:wrapPolygon edited="0">
                          <wp:start x="0" y="0"/>
                          <wp:lineTo x="0" y="21474"/>
                          <wp:lineTo x="21519" y="21474"/>
                          <wp:lineTo x="21519" y="0"/>
                          <wp:lineTo x="0" y="0"/>
                        </wp:wrapPolygon>
                      </wp:wrapTight>
                      <wp:docPr id="1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05400" cy="3698240"/>
                                <a:chOff x="0" y="0"/>
                                <a:chExt cx="51054" cy="45434"/>
                              </a:xfrm>
                            </wpg:grpSpPr>
                            <wps:wsp>
                              <wps:cNvPr id="1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054" cy="45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44" y="666"/>
                                  <a:ext cx="20765" cy="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0234" w:rsidRPr="003F2F66" w:rsidRDefault="00130234" w:rsidP="00130234">
                                    <w:pPr>
                                      <w:jc w:val="center"/>
                                      <w:rPr>
                                        <w:b/>
                                        <w:color w:val="F7CAAC" w:themeColor="accent2" w:themeTint="66"/>
                                        <w:sz w:val="22"/>
                                        <w:szCs w:val="20"/>
                                      </w:rPr>
                                    </w:pPr>
                                    <w:r w:rsidRPr="003F2F66">
                                      <w:rPr>
                                        <w:rFonts w:ascii="Sylfaen" w:hAnsi="Sylfaen"/>
                                        <w:b/>
                                        <w:color w:val="F7CAAC" w:themeColor="accent2" w:themeTint="66"/>
                                        <w:sz w:val="22"/>
                                        <w:szCs w:val="20"/>
                                      </w:rPr>
                                      <w:t>Շուկայական եկամուտ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" y="7143"/>
                                  <a:ext cx="48673" cy="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0234" w:rsidRPr="003F2F66" w:rsidRDefault="00130234" w:rsidP="00130234">
                                    <w:pPr>
                                      <w:jc w:val="center"/>
                                      <w:rPr>
                                        <w:color w:val="4472C4" w:themeColor="accent1"/>
                                        <w:sz w:val="20"/>
                                        <w:szCs w:val="20"/>
                                      </w:rPr>
                                    </w:pPr>
                                    <w:r w:rsidRPr="003F2F66">
                                      <w:rPr>
                                        <w:rFonts w:ascii="Sylfaen" w:hAnsi="Sylfaen"/>
                                        <w:color w:val="4472C4" w:themeColor="accent1"/>
                                        <w:sz w:val="20"/>
                                        <w:szCs w:val="20"/>
                                      </w:rPr>
                                      <w:t>Գումարած ուղղակի տրանսֆերտները՝ հանած ուղղակի հարկերը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44" y="13430"/>
                                  <a:ext cx="20765" cy="35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0234" w:rsidRPr="003F2F66" w:rsidRDefault="00130234" w:rsidP="00130234">
                                    <w:pPr>
                                      <w:jc w:val="center"/>
                                      <w:rPr>
                                        <w:rFonts w:ascii="Sylfaen" w:hAnsi="Sylfaen"/>
                                        <w:b/>
                                        <w:color w:val="F7CAAC" w:themeColor="accent2" w:themeTint="66"/>
                                        <w:sz w:val="22"/>
                                        <w:szCs w:val="20"/>
                                      </w:rPr>
                                    </w:pPr>
                                    <w:r w:rsidRPr="003F2F66">
                                      <w:rPr>
                                        <w:rFonts w:ascii="Sylfaen" w:hAnsi="Sylfaen"/>
                                        <w:b/>
                                        <w:color w:val="F7CAAC" w:themeColor="accent2" w:themeTint="66"/>
                                        <w:sz w:val="22"/>
                                        <w:szCs w:val="20"/>
                                      </w:rPr>
                                      <w:t>Տնօրինվող եկամուտ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7" y="19907"/>
                                  <a:ext cx="48667" cy="35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0234" w:rsidRPr="003F2F66" w:rsidRDefault="00130234" w:rsidP="00130234">
                                    <w:pPr>
                                      <w:jc w:val="center"/>
                                      <w:rPr>
                                        <w:rFonts w:ascii="Sylfaen" w:hAnsi="Sylfaen"/>
                                        <w:color w:val="4472C4" w:themeColor="accent1"/>
                                        <w:sz w:val="20"/>
                                        <w:szCs w:val="20"/>
                                      </w:rPr>
                                    </w:pPr>
                                    <w:r w:rsidRPr="003F2F66">
                                      <w:rPr>
                                        <w:rFonts w:ascii="Sylfaen" w:hAnsi="Sylfaen"/>
                                        <w:color w:val="4472C4" w:themeColor="accent1"/>
                                        <w:sz w:val="20"/>
                                        <w:szCs w:val="20"/>
                                      </w:rPr>
                                      <w:t>Գումարած անուղղակի սուբսիդիաները՝ հանած անուղղակի հարկերը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" y="26479"/>
                                  <a:ext cx="47530" cy="35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0234" w:rsidRPr="003F2F66" w:rsidRDefault="00130234" w:rsidP="00130234">
                                    <w:pPr>
                                      <w:jc w:val="center"/>
                                      <w:rPr>
                                        <w:rFonts w:ascii="Sylfaen" w:hAnsi="Sylfaen"/>
                                        <w:b/>
                                        <w:color w:val="F7CAAC" w:themeColor="accent2" w:themeTint="66"/>
                                        <w:sz w:val="22"/>
                                        <w:szCs w:val="20"/>
                                      </w:rPr>
                                    </w:pPr>
                                    <w:r w:rsidRPr="003F2F66">
                                      <w:rPr>
                                        <w:rFonts w:ascii="Sylfaen" w:hAnsi="Sylfaen"/>
                                        <w:b/>
                                        <w:color w:val="F7CAAC" w:themeColor="accent2" w:themeTint="66"/>
                                        <w:sz w:val="22"/>
                                        <w:szCs w:val="20"/>
                                      </w:rPr>
                                      <w:t>Հետ-ֆիսկալային (հարկերը վճարելուց հետո) կամ</w:t>
                                    </w:r>
                                    <w:r w:rsidRPr="003F2F66">
                                      <w:rPr>
                                        <w:rFonts w:ascii="Sylfaen" w:hAnsi="Sylfaen"/>
                                        <w:b/>
                                        <w:i/>
                                        <w:sz w:val="22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3F2F66">
                                      <w:rPr>
                                        <w:rFonts w:ascii="Sylfaen" w:hAnsi="Sylfaen"/>
                                        <w:b/>
                                        <w:color w:val="F7CAAC" w:themeColor="accent2" w:themeTint="66"/>
                                        <w:sz w:val="22"/>
                                        <w:szCs w:val="20"/>
                                      </w:rPr>
                                      <w:t>սպառվող եկամուտ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" y="32670"/>
                                  <a:ext cx="49911" cy="4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0234" w:rsidRPr="003F2F66" w:rsidRDefault="00130234" w:rsidP="00130234">
                                    <w:pPr>
                                      <w:jc w:val="center"/>
                                      <w:rPr>
                                        <w:rFonts w:ascii="Sylfaen" w:hAnsi="Sylfaen"/>
                                        <w:color w:val="4472C4" w:themeColor="accent1"/>
                                        <w:sz w:val="20"/>
                                        <w:szCs w:val="20"/>
                                      </w:rPr>
                                    </w:pPr>
                                    <w:r w:rsidRPr="003F2F66">
                                      <w:rPr>
                                        <w:rFonts w:ascii="Sylfaen" w:hAnsi="Sylfaen"/>
                                        <w:color w:val="4472C4" w:themeColor="accent1"/>
                                        <w:sz w:val="20"/>
                                        <w:szCs w:val="20"/>
                                      </w:rPr>
                                      <w:t>Գումարած հանրային ծառայությունների դրամայացված արժեքը. կրթության և առողջապահության ոլորտ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35" y="40671"/>
                                  <a:ext cx="20764" cy="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0234" w:rsidRPr="003F2F66" w:rsidRDefault="00130234" w:rsidP="00130234">
                                    <w:pPr>
                                      <w:jc w:val="center"/>
                                      <w:rPr>
                                        <w:rFonts w:ascii="Sylfaen" w:hAnsi="Sylfaen"/>
                                        <w:b/>
                                        <w:color w:val="F7CAAC" w:themeColor="accent2" w:themeTint="66"/>
                                        <w:sz w:val="22"/>
                                        <w:szCs w:val="20"/>
                                      </w:rPr>
                                    </w:pPr>
                                    <w:r w:rsidRPr="003F2F66">
                                      <w:rPr>
                                        <w:rFonts w:ascii="Sylfaen" w:hAnsi="Sylfaen"/>
                                        <w:b/>
                                        <w:color w:val="F7CAAC" w:themeColor="accent2" w:themeTint="66"/>
                                        <w:sz w:val="22"/>
                                        <w:szCs w:val="20"/>
                                      </w:rPr>
                                      <w:t xml:space="preserve">Վերջնական եկամուտ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traight Arrow Connector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336" y="4572"/>
                                  <a:ext cx="0" cy="2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Straight Arrow Connector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431" y="10858"/>
                                  <a:ext cx="0" cy="2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Straight Arrow Connector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622" y="17240"/>
                                  <a:ext cx="0" cy="2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Straight Arrow Connector 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003" y="23812"/>
                                  <a:ext cx="0" cy="2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Straight Arrow Connector 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812" y="30099"/>
                                  <a:ext cx="0" cy="2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Straight Arrow Connector 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717" y="38100"/>
                                  <a:ext cx="0" cy="2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AA8C2" id="Group 25" o:spid="_x0000_s1029" style="position:absolute;margin-left:.05pt;margin-top:15.7pt;width:402pt;height:291.2pt;z-index:-251639808" coordsize="51054,45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">
                      <v:rect id="Rectangle 26" o:spid="_x0000_s1030" style="position:absolute;width:51054;height:45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" fillcolor="white [3201]" stroked="f" strokeweight=".25pt"/>
                      <v:shape id="Text Box 27" o:spid="_x0000_s1031" type="#_x0000_t202" style="position:absolute;left:15144;top:666;width:20765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" fillcolor="#4472c4 [3204]" stroked="f" strokeweight=".5pt">
                        <v:textbox>
                          <w:txbxContent>
                            <w:p w:rsidR="00130234" w:rsidRPr="003F2F66" w:rsidRDefault="00130234" w:rsidP="00130234">
                              <w:pPr>
                                <w:jc w:val="center"/>
                                <w:rPr>
                                  <w:b/>
                                  <w:color w:val="F7CAAC" w:themeColor="accent2" w:themeTint="66"/>
                                  <w:sz w:val="22"/>
                                  <w:szCs w:val="20"/>
                                </w:rPr>
                              </w:pPr>
                              <w:r w:rsidRPr="003F2F66">
                                <w:rPr>
                                  <w:rFonts w:ascii="Sylfaen" w:hAnsi="Sylfaen"/>
                                  <w:b/>
                                  <w:color w:val="F7CAAC" w:themeColor="accent2" w:themeTint="66"/>
                                  <w:sz w:val="22"/>
                                  <w:szCs w:val="20"/>
                                </w:rPr>
                                <w:t>Շուկայական եկամուտ</w:t>
                              </w:r>
                            </w:p>
                          </w:txbxContent>
                        </v:textbox>
                      </v:shape>
                      <v:shape id="Text Box 28" o:spid="_x0000_s1032" type="#_x0000_t202" style="position:absolute;left:952;top:7143;width:4867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" fillcolor="white [3212]" strokecolor="black [3213]" strokeweight=".5pt">
                        <v:textbox>
                          <w:txbxContent>
                            <w:p w:rsidR="00130234" w:rsidRPr="003F2F66" w:rsidRDefault="00130234" w:rsidP="00130234">
                              <w:pPr>
                                <w:jc w:val="center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3F2F66">
                                <w:rPr>
                                  <w:rFonts w:ascii="Sylfaen" w:hAnsi="Sylfaen"/>
                                  <w:color w:val="4472C4" w:themeColor="accent1"/>
                                  <w:sz w:val="20"/>
                                  <w:szCs w:val="20"/>
                                </w:rPr>
                                <w:t>Գումարած ուղղակի տրանսֆերտները՝ հանած ուղղակի հարկերը</w:t>
                              </w:r>
                            </w:p>
                          </w:txbxContent>
                        </v:textbox>
                      </v:shape>
                      <v:shape id="Text Box 29" o:spid="_x0000_s1033" type="#_x0000_t202" style="position:absolute;left:15144;top:13430;width:207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" fillcolor="#4472c4 [3204]" stroked="f" strokeweight=".5pt">
                        <v:textbox>
                          <w:txbxContent>
                            <w:p w:rsidR="00130234" w:rsidRPr="003F2F66" w:rsidRDefault="00130234" w:rsidP="00130234">
                              <w:pPr>
                                <w:jc w:val="center"/>
                                <w:rPr>
                                  <w:rFonts w:ascii="Sylfaen" w:hAnsi="Sylfaen"/>
                                  <w:b/>
                                  <w:color w:val="F7CAAC" w:themeColor="accent2" w:themeTint="66"/>
                                  <w:sz w:val="22"/>
                                  <w:szCs w:val="20"/>
                                </w:rPr>
                              </w:pPr>
                              <w:r w:rsidRPr="003F2F66">
                                <w:rPr>
                                  <w:rFonts w:ascii="Sylfaen" w:hAnsi="Sylfaen"/>
                                  <w:b/>
                                  <w:color w:val="F7CAAC" w:themeColor="accent2" w:themeTint="66"/>
                                  <w:sz w:val="22"/>
                                  <w:szCs w:val="20"/>
                                </w:rPr>
                                <w:t>Տնօրինվող եկամուտ</w:t>
                              </w:r>
                            </w:p>
                          </w:txbxContent>
                        </v:textbox>
                      </v:shape>
                      <v:shape id="Text Box 30" o:spid="_x0000_s1034" type="#_x0000_t202" style="position:absolute;left:1047;top:19907;width:4866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" fillcolor="white [3212]" strokecolor="black [3213]" strokeweight=".5pt">
                        <v:textbox>
                          <w:txbxContent>
                            <w:p w:rsidR="00130234" w:rsidRPr="003F2F66" w:rsidRDefault="00130234" w:rsidP="00130234">
                              <w:pPr>
                                <w:jc w:val="center"/>
                                <w:rPr>
                                  <w:rFonts w:ascii="Sylfaen" w:hAnsi="Sylfaen"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3F2F66">
                                <w:rPr>
                                  <w:rFonts w:ascii="Sylfaen" w:hAnsi="Sylfaen"/>
                                  <w:color w:val="4472C4" w:themeColor="accent1"/>
                                  <w:sz w:val="20"/>
                                  <w:szCs w:val="20"/>
                                </w:rPr>
                                <w:t>Գումարած անուղղակի սուբսիդիաները՝ հանած անուղղակի հարկերը</w:t>
                              </w:r>
                            </w:p>
                          </w:txbxContent>
                        </v:textbox>
                      </v:shape>
                      <v:shape id="Text Box 31" o:spid="_x0000_s1035" type="#_x0000_t202" style="position:absolute;left:1619;top:26479;width:475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" fillcolor="#4472c4 [3204]" stroked="f" strokeweight=".5pt">
                        <v:textbox>
                          <w:txbxContent>
                            <w:p w:rsidR="00130234" w:rsidRPr="003F2F66" w:rsidRDefault="00130234" w:rsidP="00130234">
                              <w:pPr>
                                <w:jc w:val="center"/>
                                <w:rPr>
                                  <w:rFonts w:ascii="Sylfaen" w:hAnsi="Sylfaen"/>
                                  <w:b/>
                                  <w:color w:val="F7CAAC" w:themeColor="accent2" w:themeTint="66"/>
                                  <w:sz w:val="22"/>
                                  <w:szCs w:val="20"/>
                                </w:rPr>
                              </w:pPr>
                              <w:r w:rsidRPr="003F2F66">
                                <w:rPr>
                                  <w:rFonts w:ascii="Sylfaen" w:hAnsi="Sylfaen"/>
                                  <w:b/>
                                  <w:color w:val="F7CAAC" w:themeColor="accent2" w:themeTint="66"/>
                                  <w:sz w:val="22"/>
                                  <w:szCs w:val="20"/>
                                </w:rPr>
                                <w:t>Հետ-ֆիսկալային (հարկերը վճարելուց հետո) կամ</w:t>
                              </w:r>
                              <w:r w:rsidRPr="003F2F66">
                                <w:rPr>
                                  <w:rFonts w:ascii="Sylfaen" w:hAnsi="Sylfaen"/>
                                  <w:b/>
                                  <w:i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3F2F66">
                                <w:rPr>
                                  <w:rFonts w:ascii="Sylfaen" w:hAnsi="Sylfaen"/>
                                  <w:b/>
                                  <w:color w:val="F7CAAC" w:themeColor="accent2" w:themeTint="66"/>
                                  <w:sz w:val="22"/>
                                  <w:szCs w:val="20"/>
                                </w:rPr>
                                <w:t>սպառվող եկամուտ</w:t>
                              </w:r>
                            </w:p>
                          </w:txbxContent>
                        </v:textbox>
                      </v:shape>
                      <v:shape id="Text Box 32" o:spid="_x0000_s1036" type="#_x0000_t202" style="position:absolute;left:666;top:32670;width:4991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" fillcolor="white [3212]" strokecolor="black [3213]" strokeweight=".5pt">
                        <v:textbox>
                          <w:txbxContent>
                            <w:p w:rsidR="00130234" w:rsidRPr="003F2F66" w:rsidRDefault="00130234" w:rsidP="00130234">
                              <w:pPr>
                                <w:jc w:val="center"/>
                                <w:rPr>
                                  <w:rFonts w:ascii="Sylfaen" w:hAnsi="Sylfaen"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3F2F66">
                                <w:rPr>
                                  <w:rFonts w:ascii="Sylfaen" w:hAnsi="Sylfaen"/>
                                  <w:color w:val="4472C4" w:themeColor="accent1"/>
                                  <w:sz w:val="20"/>
                                  <w:szCs w:val="20"/>
                                </w:rPr>
                                <w:t>Գումարած հանրային ծառայությունների դրամայացված արժեքը. կրթության և առողջապահության ոլորտ</w:t>
                              </w:r>
                            </w:p>
                          </w:txbxContent>
                        </v:textbox>
                      </v:shape>
                      <v:shape id="Text Box 33" o:spid="_x0000_s1037" type="#_x0000_t202" style="position:absolute;left:15335;top:40671;width:20764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" fillcolor="#4472c4 [3204]" stroked="f" strokeweight=".5pt">
                        <v:textbox>
                          <w:txbxContent>
                            <w:p w:rsidR="00130234" w:rsidRPr="003F2F66" w:rsidRDefault="00130234" w:rsidP="00130234">
                              <w:pPr>
                                <w:jc w:val="center"/>
                                <w:rPr>
                                  <w:rFonts w:ascii="Sylfaen" w:hAnsi="Sylfaen"/>
                                  <w:b/>
                                  <w:color w:val="F7CAAC" w:themeColor="accent2" w:themeTint="66"/>
                                  <w:sz w:val="22"/>
                                  <w:szCs w:val="20"/>
                                </w:rPr>
                              </w:pPr>
                              <w:r w:rsidRPr="003F2F66">
                                <w:rPr>
                                  <w:rFonts w:ascii="Sylfaen" w:hAnsi="Sylfaen"/>
                                  <w:b/>
                                  <w:color w:val="F7CAAC" w:themeColor="accent2" w:themeTint="66"/>
                                  <w:sz w:val="22"/>
                                  <w:szCs w:val="20"/>
                                </w:rPr>
                                <w:t xml:space="preserve">Վերջնական եկամուտ  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4" o:spid="_x0000_s1038" type="#_x0000_t32" style="position:absolute;left:25336;top:4572;width:0;height:23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" strokecolor="#4472c4 [3204]" strokeweight=".5pt">
                        <v:stroke endarrow="block" joinstyle="miter"/>
                      </v:shape>
                      <v:shape id="Straight Arrow Connector 35" o:spid="_x0000_s1039" type="#_x0000_t32" style="position:absolute;left:25431;top:10858;width:0;height:23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" strokecolor="#4472c4 [3204]" strokeweight=".5pt">
                        <v:stroke endarrow="block" joinstyle="miter"/>
                      </v:shape>
                      <v:shape id="Straight Arrow Connector 36" o:spid="_x0000_s1040" type="#_x0000_t32" style="position:absolute;left:25622;top:17240;width:0;height:23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" strokecolor="#4472c4 [3204]" strokeweight=".5pt">
                        <v:stroke endarrow="block" joinstyle="miter"/>
                      </v:shape>
                      <v:shape id="Straight Arrow Connector 37" o:spid="_x0000_s1041" type="#_x0000_t32" style="position:absolute;left:26003;top:23812;width:0;height:23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" strokecolor="#4472c4 [3204]" strokeweight=".5pt">
                        <v:stroke endarrow="block" joinstyle="miter"/>
                      </v:shape>
                      <v:shape id="Straight Arrow Connector 38" o:spid="_x0000_s1042" type="#_x0000_t32" style="position:absolute;left:25812;top:30099;width:0;height:23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H1wgAAANs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" strokecolor="#4472c4 [3204]" strokeweight=".5pt">
                        <v:stroke endarrow="block" joinstyle="miter"/>
                      </v:shape>
                      <v:shape id="Straight Arrow Connector 39" o:spid="_x0000_s1043" type="#_x0000_t32" style="position:absolute;left:25717;top:38100;width:0;height:23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" strokecolor="#4472c4 [3204]" strokeweight=".5pt">
                        <v:stroke endarrow="block" joinstyle="miter"/>
                      </v:shape>
                      <w10:wrap type="tight"/>
                    </v:group>
                  </w:pict>
                </mc:Fallback>
              </mc:AlternateContent>
            </w:r>
            <w:r w:rsidR="003F2F66" w:rsidRPr="003F2F66">
              <w:rPr>
                <w:rFonts w:ascii="Sylfaen" w:hAnsi="Sylfaen"/>
                <w:color w:val="FFFFFF" w:themeColor="background1"/>
                <w:szCs w:val="24"/>
              </w:rPr>
              <w:t>s</w:t>
            </w:r>
            <w:r w:rsidR="003F2F66">
              <w:rPr>
                <w:rFonts w:ascii="Sylfaen" w:hAnsi="Sylfaen"/>
                <w:sz w:val="22"/>
                <w:szCs w:val="24"/>
              </w:rPr>
              <w:t>Աղբյուրը՝</w:t>
            </w:r>
            <w:r w:rsidR="003F2F66" w:rsidRPr="00AD2F83">
              <w:rPr>
                <w:rFonts w:ascii="Sylfaen" w:hAnsi="Sylfaen"/>
                <w:sz w:val="22"/>
                <w:szCs w:val="24"/>
              </w:rPr>
              <w:t xml:space="preserve"> CEQ 2014</w:t>
            </w:r>
          </w:p>
        </w:tc>
      </w:tr>
    </w:tbl>
    <w:p w:rsidR="002211FF" w:rsidRPr="00AD2F83" w:rsidRDefault="002211FF" w:rsidP="006C541D">
      <w:pPr>
        <w:ind w:left="720" w:firstLine="720"/>
        <w:rPr>
          <w:rFonts w:ascii="Sylfaen" w:hAnsi="Sylfaen"/>
          <w:sz w:val="22"/>
          <w:szCs w:val="24"/>
        </w:rPr>
      </w:pPr>
    </w:p>
    <w:p w:rsidR="007800F6" w:rsidRDefault="006A5E58" w:rsidP="00657069">
      <w:pPr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>Հ</w:t>
      </w:r>
      <w:r w:rsidRPr="006A5E58">
        <w:rPr>
          <w:rFonts w:ascii="Sylfaen" w:hAnsi="Sylfaen"/>
          <w:b/>
          <w:szCs w:val="24"/>
        </w:rPr>
        <w:t xml:space="preserve">այաստանում </w:t>
      </w:r>
      <w:r>
        <w:rPr>
          <w:rFonts w:ascii="Sylfaen" w:hAnsi="Sylfaen"/>
          <w:b/>
          <w:szCs w:val="24"/>
        </w:rPr>
        <w:t xml:space="preserve">եկամտային համակարգի </w:t>
      </w:r>
      <w:r w:rsidRPr="006A5E58">
        <w:rPr>
          <w:rFonts w:ascii="Sylfaen" w:hAnsi="Sylfaen"/>
          <w:b/>
          <w:szCs w:val="24"/>
        </w:rPr>
        <w:t>բարեփոխումների ակնկալվող ազդեցությունների վերլուծությ</w:t>
      </w:r>
      <w:r w:rsidR="005C6B4E">
        <w:rPr>
          <w:rFonts w:ascii="Sylfaen" w:hAnsi="Sylfaen"/>
          <w:b/>
          <w:szCs w:val="24"/>
          <w:lang w:val="ru-RU"/>
        </w:rPr>
        <w:t>ա</w:t>
      </w:r>
      <w:r w:rsidRPr="006A5E58">
        <w:rPr>
          <w:rFonts w:ascii="Sylfaen" w:hAnsi="Sylfaen"/>
          <w:b/>
          <w:szCs w:val="24"/>
        </w:rPr>
        <w:t>ն</w:t>
      </w:r>
      <w:r w:rsidR="005C6B4E" w:rsidRPr="005C6B4E">
        <w:rPr>
          <w:rFonts w:ascii="Sylfaen" w:hAnsi="Sylfaen"/>
          <w:b/>
          <w:szCs w:val="24"/>
        </w:rPr>
        <w:t xml:space="preserve"> </w:t>
      </w:r>
      <w:r w:rsidR="005C6B4E">
        <w:rPr>
          <w:rFonts w:ascii="Sylfaen" w:hAnsi="Sylfaen"/>
          <w:b/>
          <w:szCs w:val="24"/>
          <w:lang w:val="ru-RU"/>
        </w:rPr>
        <w:t>համար</w:t>
      </w:r>
      <w:r>
        <w:rPr>
          <w:rFonts w:ascii="Sylfaen" w:hAnsi="Sylfaen"/>
          <w:b/>
          <w:szCs w:val="24"/>
        </w:rPr>
        <w:t xml:space="preserve"> ելակետ </w:t>
      </w:r>
      <w:r w:rsidR="005C6B4E">
        <w:rPr>
          <w:rFonts w:ascii="Sylfaen" w:hAnsi="Sylfaen"/>
          <w:b/>
          <w:szCs w:val="24"/>
          <w:lang w:val="ru-RU"/>
        </w:rPr>
        <w:t>է</w:t>
      </w:r>
      <w:r w:rsidR="005C6B4E" w:rsidRPr="005C6B4E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b/>
          <w:szCs w:val="24"/>
        </w:rPr>
        <w:t>ընդուն</w:t>
      </w:r>
      <w:r w:rsidR="005C6B4E">
        <w:rPr>
          <w:rFonts w:ascii="Sylfaen" w:hAnsi="Sylfaen"/>
          <w:b/>
          <w:szCs w:val="24"/>
          <w:lang w:val="ru-RU"/>
        </w:rPr>
        <w:t>վել</w:t>
      </w:r>
      <w:r>
        <w:rPr>
          <w:rFonts w:ascii="Sylfaen" w:hAnsi="Sylfaen"/>
          <w:b/>
          <w:szCs w:val="24"/>
        </w:rPr>
        <w:t xml:space="preserve"> </w:t>
      </w:r>
      <w:r w:rsidRPr="006A5E58">
        <w:rPr>
          <w:rFonts w:ascii="Sylfaen" w:hAnsi="Sylfaen"/>
          <w:b/>
          <w:szCs w:val="24"/>
        </w:rPr>
        <w:t>2018 թ</w:t>
      </w:r>
      <w:r>
        <w:rPr>
          <w:rFonts w:ascii="Sylfaen" w:hAnsi="Sylfaen"/>
          <w:b/>
          <w:szCs w:val="24"/>
        </w:rPr>
        <w:t>վականի</w:t>
      </w:r>
      <w:r w:rsidRPr="006A5E58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b/>
          <w:szCs w:val="24"/>
        </w:rPr>
        <w:t>գ</w:t>
      </w:r>
      <w:r w:rsidRPr="006A5E58">
        <w:rPr>
          <w:rFonts w:ascii="Sylfaen" w:hAnsi="Sylfaen"/>
          <w:b/>
          <w:szCs w:val="24"/>
        </w:rPr>
        <w:t xml:space="preserve">ործող </w:t>
      </w:r>
      <w:r>
        <w:rPr>
          <w:rFonts w:ascii="Sylfaen" w:hAnsi="Sylfaen"/>
          <w:b/>
          <w:szCs w:val="24"/>
        </w:rPr>
        <w:t xml:space="preserve">համակարգը: </w:t>
      </w:r>
      <w:r w:rsidR="00875879">
        <w:rPr>
          <w:rFonts w:ascii="Sylfaen" w:hAnsi="Sylfaen"/>
          <w:szCs w:val="24"/>
        </w:rPr>
        <w:t xml:space="preserve">Եկամտային հարկի ազդեցությունը Հայաստանում գնահատելու համար մեր ելակետն է Եկամտային հարկի միկրոմոդելավորման </w:t>
      </w:r>
      <w:r w:rsidR="00F574D5">
        <w:rPr>
          <w:rFonts w:ascii="Sylfaen" w:hAnsi="Sylfaen"/>
          <w:szCs w:val="24"/>
        </w:rPr>
        <w:t>2018</w:t>
      </w:r>
      <w:r w:rsidR="005C6B4E" w:rsidRPr="005C6B4E">
        <w:rPr>
          <w:rFonts w:ascii="Sylfaen" w:hAnsi="Sylfaen"/>
          <w:szCs w:val="24"/>
        </w:rPr>
        <w:t xml:space="preserve"> </w:t>
      </w:r>
      <w:r w:rsidR="00F574D5">
        <w:rPr>
          <w:rFonts w:ascii="Sylfaen" w:hAnsi="Sylfaen"/>
          <w:szCs w:val="24"/>
        </w:rPr>
        <w:t>թ</w:t>
      </w:r>
      <w:r w:rsidR="005C6B4E" w:rsidRPr="005C6B4E">
        <w:rPr>
          <w:rFonts w:ascii="Sylfaen" w:hAnsi="Sylfaen"/>
          <w:szCs w:val="24"/>
        </w:rPr>
        <w:t>-</w:t>
      </w:r>
      <w:r w:rsidR="005C6B4E">
        <w:rPr>
          <w:rFonts w:ascii="Sylfaen" w:hAnsi="Sylfaen"/>
          <w:szCs w:val="24"/>
          <w:lang w:val="ru-RU"/>
        </w:rPr>
        <w:t>ի</w:t>
      </w:r>
      <w:r w:rsidR="00F574D5">
        <w:rPr>
          <w:rFonts w:ascii="Sylfaen" w:hAnsi="Sylfaen"/>
          <w:szCs w:val="24"/>
        </w:rPr>
        <w:t xml:space="preserve"> </w:t>
      </w:r>
      <w:r w:rsidR="00875879">
        <w:rPr>
          <w:rFonts w:ascii="Sylfaen" w:hAnsi="Sylfaen"/>
          <w:szCs w:val="24"/>
        </w:rPr>
        <w:t>մոդելը, որն առկա</w:t>
      </w:r>
      <w:r w:rsidR="004C5E59" w:rsidRPr="00AD2F83">
        <w:rPr>
          <w:rFonts w:ascii="Sylfaen" w:hAnsi="Sylfaen"/>
          <w:szCs w:val="24"/>
        </w:rPr>
        <w:t xml:space="preserve"> </w:t>
      </w:r>
      <w:r w:rsidR="00875879" w:rsidRPr="00AD2F83">
        <w:rPr>
          <w:rFonts w:ascii="Sylfaen" w:hAnsi="Sylfaen"/>
          <w:szCs w:val="24"/>
        </w:rPr>
        <w:t>CEQ</w:t>
      </w:r>
      <w:r w:rsidR="00875879">
        <w:rPr>
          <w:rFonts w:ascii="Sylfaen" w:hAnsi="Sylfaen"/>
          <w:szCs w:val="24"/>
        </w:rPr>
        <w:t xml:space="preserve">-ի վերջին տարբերակն է </w:t>
      </w:r>
      <w:r w:rsidR="000D690B" w:rsidRPr="00AD2F83">
        <w:rPr>
          <w:rFonts w:ascii="Sylfaen" w:hAnsi="Sylfaen"/>
          <w:szCs w:val="24"/>
        </w:rPr>
        <w:t>(2014)</w:t>
      </w:r>
      <w:r w:rsidR="00875879">
        <w:rPr>
          <w:rFonts w:ascii="Sylfaen" w:hAnsi="Sylfaen"/>
          <w:szCs w:val="24"/>
        </w:rPr>
        <w:t>:</w:t>
      </w:r>
      <w:r w:rsidR="004C5E59" w:rsidRPr="00AD2F83">
        <w:rPr>
          <w:rFonts w:ascii="Sylfaen" w:hAnsi="Sylfaen"/>
          <w:szCs w:val="24"/>
        </w:rPr>
        <w:t xml:space="preserve"> </w:t>
      </w:r>
      <w:r w:rsidR="00875879">
        <w:rPr>
          <w:rFonts w:ascii="Sylfaen" w:hAnsi="Sylfaen"/>
          <w:szCs w:val="24"/>
        </w:rPr>
        <w:t>CEQ 2014-ը հիմնված է Տնային տնտեսությունների կենսամակարդակի 2014 թ-ի ամբողջացված հետատազոտության (ՏՏԿԱՀ</w:t>
      </w:r>
      <w:r w:rsidR="000103EC" w:rsidRPr="00AD2F83">
        <w:rPr>
          <w:rFonts w:ascii="Sylfaen" w:hAnsi="Sylfaen"/>
          <w:szCs w:val="24"/>
        </w:rPr>
        <w:t>)</w:t>
      </w:r>
      <w:r w:rsidR="00CB270B" w:rsidRPr="00AD2F83">
        <w:rPr>
          <w:rFonts w:ascii="Sylfaen" w:hAnsi="Sylfaen"/>
          <w:szCs w:val="24"/>
        </w:rPr>
        <w:t xml:space="preserve"> </w:t>
      </w:r>
      <w:r w:rsidR="00875879">
        <w:rPr>
          <w:rFonts w:ascii="Sylfaen" w:hAnsi="Sylfaen"/>
          <w:szCs w:val="24"/>
        </w:rPr>
        <w:t xml:space="preserve">վրա: </w:t>
      </w:r>
    </w:p>
    <w:p w:rsidR="00CF6538" w:rsidRPr="00AD2F83" w:rsidRDefault="00CF6538" w:rsidP="00CF6538">
      <w:pPr>
        <w:rPr>
          <w:rFonts w:ascii="Sylfaen" w:hAnsi="Sylfaen"/>
          <w:szCs w:val="24"/>
        </w:rPr>
      </w:pPr>
    </w:p>
    <w:p w:rsidR="0035586E" w:rsidRPr="00AD2F83" w:rsidRDefault="007800F6" w:rsidP="006C541D">
      <w:pPr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 xml:space="preserve">Եկամտային հարկի </w:t>
      </w:r>
      <w:r w:rsidRPr="00AD2F83">
        <w:rPr>
          <w:rFonts w:ascii="Sylfaen" w:hAnsi="Sylfaen"/>
          <w:b/>
          <w:szCs w:val="24"/>
        </w:rPr>
        <w:t>2018-2023</w:t>
      </w:r>
      <w:r>
        <w:rPr>
          <w:rFonts w:ascii="Sylfaen" w:hAnsi="Sylfaen"/>
          <w:b/>
          <w:szCs w:val="24"/>
        </w:rPr>
        <w:t xml:space="preserve"> թվականների միկրոսիմուլյացիոն մոդելավորման համար մենք </w:t>
      </w:r>
      <w:r w:rsidR="00F574D5">
        <w:rPr>
          <w:rFonts w:ascii="Sylfaen" w:hAnsi="Sylfaen"/>
          <w:b/>
          <w:szCs w:val="24"/>
        </w:rPr>
        <w:t>կ</w:t>
      </w:r>
      <w:r>
        <w:rPr>
          <w:rFonts w:ascii="Sylfaen" w:hAnsi="Sylfaen"/>
          <w:b/>
          <w:szCs w:val="24"/>
        </w:rPr>
        <w:t>կե</w:t>
      </w:r>
      <w:r w:rsidR="00F574D5">
        <w:rPr>
          <w:rFonts w:ascii="Sylfaen" w:hAnsi="Sylfaen"/>
          <w:b/>
          <w:szCs w:val="24"/>
        </w:rPr>
        <w:t>նտրոնանա</w:t>
      </w:r>
      <w:r>
        <w:rPr>
          <w:rFonts w:ascii="Sylfaen" w:hAnsi="Sylfaen"/>
          <w:b/>
          <w:szCs w:val="24"/>
        </w:rPr>
        <w:t xml:space="preserve">նք աշխատողների և ինքնազբաղվածների վրա:  </w:t>
      </w:r>
      <w:r w:rsidRPr="007800F6">
        <w:rPr>
          <w:rFonts w:ascii="Sylfaen" w:hAnsi="Sylfaen"/>
          <w:szCs w:val="24"/>
        </w:rPr>
        <w:t>Նրան</w:t>
      </w:r>
      <w:r>
        <w:rPr>
          <w:rFonts w:ascii="Sylfaen" w:hAnsi="Sylfaen"/>
          <w:szCs w:val="24"/>
        </w:rPr>
        <w:t xml:space="preserve">ց նկատմամբ կիրառվում են եկամտային հարկի նույն դրույքաչափերը, տարբերվում է միայն հարկվող եկամտի գնահատումը: Մենք չենք գնահատելու սոցիալական վճարների </w:t>
      </w:r>
      <w:r w:rsidR="00F574D5">
        <w:rPr>
          <w:rFonts w:ascii="Sylfaen" w:hAnsi="Sylfaen"/>
          <w:szCs w:val="24"/>
        </w:rPr>
        <w:t>ռեֆորմը</w:t>
      </w:r>
      <w:r>
        <w:rPr>
          <w:rFonts w:ascii="Sylfaen" w:hAnsi="Sylfaen"/>
          <w:szCs w:val="24"/>
        </w:rPr>
        <w:t>, ս</w:t>
      </w:r>
      <w:r w:rsidRPr="007800F6">
        <w:rPr>
          <w:rFonts w:ascii="Sylfaen" w:hAnsi="Sylfaen"/>
          <w:szCs w:val="24"/>
        </w:rPr>
        <w:t xml:space="preserve">ակայն, </w:t>
      </w:r>
      <w:r>
        <w:rPr>
          <w:rFonts w:ascii="Sylfaen" w:hAnsi="Sylfaen"/>
          <w:szCs w:val="24"/>
        </w:rPr>
        <w:t>ՍՎ</w:t>
      </w:r>
      <w:r w:rsidRPr="007800F6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դրույքաչափերը</w:t>
      </w:r>
      <w:r w:rsidRPr="007800F6">
        <w:rPr>
          <w:rFonts w:ascii="Sylfaen" w:hAnsi="Sylfaen"/>
          <w:szCs w:val="24"/>
        </w:rPr>
        <w:t xml:space="preserve"> վերլուծության </w:t>
      </w:r>
      <w:r>
        <w:rPr>
          <w:rFonts w:ascii="Sylfaen" w:hAnsi="Sylfaen"/>
          <w:szCs w:val="24"/>
        </w:rPr>
        <w:t xml:space="preserve">մեջ հաշվի են առնվում </w:t>
      </w:r>
      <w:r w:rsidRPr="007800F6">
        <w:rPr>
          <w:rFonts w:ascii="Sylfaen" w:hAnsi="Sylfaen"/>
          <w:szCs w:val="24"/>
        </w:rPr>
        <w:t xml:space="preserve">այնքանով, որքանով որ դրանք օգտագործվում են </w:t>
      </w:r>
      <w:r>
        <w:rPr>
          <w:rFonts w:ascii="Sylfaen" w:hAnsi="Sylfaen"/>
          <w:szCs w:val="24"/>
        </w:rPr>
        <w:t>եկամտային հարկի</w:t>
      </w:r>
      <w:r w:rsidRPr="007800F6">
        <w:rPr>
          <w:rFonts w:ascii="Sylfaen" w:hAnsi="Sylfaen"/>
          <w:szCs w:val="24"/>
        </w:rPr>
        <w:t xml:space="preserve"> հարկման բազան (համախառն աշխատավարձը)</w:t>
      </w:r>
      <w:r>
        <w:rPr>
          <w:rFonts w:ascii="Sylfaen" w:hAnsi="Sylfaen"/>
          <w:szCs w:val="24"/>
        </w:rPr>
        <w:t xml:space="preserve"> հաշվելու համար: </w:t>
      </w:r>
      <w:r w:rsidRPr="007800F6">
        <w:rPr>
          <w:rFonts w:ascii="Sylfaen" w:hAnsi="Sylfaen"/>
          <w:szCs w:val="24"/>
        </w:rPr>
        <w:t xml:space="preserve">Վերջապես, մենք </w:t>
      </w:r>
      <w:r w:rsidRPr="007800F6">
        <w:rPr>
          <w:rFonts w:ascii="Sylfaen" w:hAnsi="Sylfaen"/>
          <w:szCs w:val="24"/>
        </w:rPr>
        <w:lastRenderedPageBreak/>
        <w:t>չենք գնահատ</w:t>
      </w:r>
      <w:r>
        <w:rPr>
          <w:rFonts w:ascii="Sylfaen" w:hAnsi="Sylfaen"/>
          <w:szCs w:val="24"/>
        </w:rPr>
        <w:t>ել</w:t>
      </w:r>
      <w:r w:rsidR="00273A0A">
        <w:rPr>
          <w:rFonts w:ascii="Sylfaen" w:hAnsi="Sylfaen"/>
          <w:szCs w:val="24"/>
        </w:rPr>
        <w:t>ու</w:t>
      </w:r>
      <w:r w:rsidRPr="007800F6">
        <w:rPr>
          <w:rFonts w:ascii="Sylfaen" w:hAnsi="Sylfaen"/>
          <w:szCs w:val="24"/>
        </w:rPr>
        <w:t xml:space="preserve"> պասիվ եկամտի</w:t>
      </w:r>
      <w:r w:rsidR="00273A0A">
        <w:rPr>
          <w:rFonts w:ascii="Sylfaen" w:hAnsi="Sylfaen"/>
          <w:szCs w:val="24"/>
        </w:rPr>
        <w:t>ց գանձվող եկամտային հարկը</w:t>
      </w:r>
      <w:r w:rsidRPr="007800F6">
        <w:rPr>
          <w:rFonts w:ascii="Sylfaen" w:hAnsi="Sylfaen"/>
          <w:szCs w:val="24"/>
        </w:rPr>
        <w:t xml:space="preserve"> (օրինակ, </w:t>
      </w:r>
      <w:r w:rsidR="00273A0A">
        <w:rPr>
          <w:rFonts w:ascii="Sylfaen" w:hAnsi="Sylfaen"/>
          <w:szCs w:val="24"/>
        </w:rPr>
        <w:t>10 տոկոս</w:t>
      </w:r>
      <w:r w:rsidR="00946A7E">
        <w:rPr>
          <w:rFonts w:ascii="Sylfaen" w:hAnsi="Sylfaen"/>
          <w:szCs w:val="24"/>
          <w:lang w:val="ru-RU"/>
        </w:rPr>
        <w:t>ը</w:t>
      </w:r>
      <w:r w:rsidR="00273A0A">
        <w:rPr>
          <w:rFonts w:ascii="Sylfaen" w:hAnsi="Sylfaen"/>
          <w:szCs w:val="24"/>
        </w:rPr>
        <w:t xml:space="preserve"> </w:t>
      </w:r>
      <w:r w:rsidRPr="007800F6">
        <w:rPr>
          <w:rFonts w:ascii="Sylfaen" w:hAnsi="Sylfaen"/>
          <w:szCs w:val="24"/>
        </w:rPr>
        <w:t>բանկի տոկոսագումարների համար</w:t>
      </w:r>
      <w:r w:rsidR="00273A0A">
        <w:rPr>
          <w:rFonts w:ascii="Sylfaen" w:hAnsi="Sylfaen"/>
          <w:szCs w:val="24"/>
        </w:rPr>
        <w:t xml:space="preserve"> և 5 տոկոս</w:t>
      </w:r>
      <w:r w:rsidR="00946A7E">
        <w:rPr>
          <w:rFonts w:ascii="Sylfaen" w:hAnsi="Sylfaen"/>
          <w:szCs w:val="24"/>
          <w:lang w:val="ru-RU"/>
        </w:rPr>
        <w:t>ը</w:t>
      </w:r>
      <w:r w:rsidR="00273A0A">
        <w:rPr>
          <w:rFonts w:ascii="Sylfaen" w:hAnsi="Sylfaen"/>
          <w:szCs w:val="24"/>
        </w:rPr>
        <w:t>՝  շահաբաժինների</w:t>
      </w:r>
      <w:r w:rsidRPr="007800F6">
        <w:rPr>
          <w:rFonts w:ascii="Sylfaen" w:hAnsi="Sylfaen"/>
          <w:szCs w:val="24"/>
        </w:rPr>
        <w:t xml:space="preserve">), քանի որ այն </w:t>
      </w:r>
      <w:r w:rsidR="00273A0A">
        <w:rPr>
          <w:rFonts w:ascii="Sylfaen" w:hAnsi="Sylfaen"/>
          <w:szCs w:val="24"/>
        </w:rPr>
        <w:t xml:space="preserve">եկամտային հարկի </w:t>
      </w:r>
      <w:r w:rsidRPr="007800F6">
        <w:rPr>
          <w:rFonts w:ascii="Sylfaen" w:hAnsi="Sylfaen"/>
          <w:szCs w:val="24"/>
        </w:rPr>
        <w:t>բարեփոխումների շրջանակներից դուրս</w:t>
      </w:r>
      <w:r w:rsidR="00273A0A">
        <w:rPr>
          <w:rFonts w:ascii="Sylfaen" w:hAnsi="Sylfaen"/>
          <w:szCs w:val="24"/>
        </w:rPr>
        <w:t xml:space="preserve"> է:</w:t>
      </w:r>
    </w:p>
    <w:p w:rsidR="000C790A" w:rsidRPr="00AD2F83" w:rsidRDefault="000C790A" w:rsidP="00513F9F">
      <w:pPr>
        <w:pStyle w:val="ListParagraph"/>
        <w:ind w:left="360"/>
        <w:jc w:val="both"/>
        <w:rPr>
          <w:rFonts w:ascii="Sylfaen" w:hAnsi="Sylfaen"/>
          <w:b/>
          <w:szCs w:val="24"/>
        </w:rPr>
      </w:pPr>
    </w:p>
    <w:p w:rsidR="00004559" w:rsidRPr="00AD2F83" w:rsidRDefault="00C614AB" w:rsidP="00657069">
      <w:pPr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 xml:space="preserve">Եկամտային հարկով հարկման ենթակա ֆորմալ աշխատողներ են համարվում պայմանագիր ունեցող աշխատողները, կոոպերատիվների անդամները, գործատուները կամ գրանցված բիզնես ունեցող ինքնազբաղվածները: </w:t>
      </w:r>
      <w:r w:rsidR="00F30D25" w:rsidRPr="00F30D25">
        <w:rPr>
          <w:rFonts w:ascii="Sylfaen" w:hAnsi="Sylfaen"/>
          <w:szCs w:val="24"/>
        </w:rPr>
        <w:t xml:space="preserve">ՏՏԿԱՀ-ի 2014 թ. </w:t>
      </w:r>
      <w:r w:rsidR="00F574D5">
        <w:rPr>
          <w:rFonts w:ascii="Sylfaen" w:hAnsi="Sylfaen"/>
          <w:szCs w:val="24"/>
        </w:rPr>
        <w:t>տ</w:t>
      </w:r>
      <w:r w:rsidR="00F30D25" w:rsidRPr="00F30D25">
        <w:rPr>
          <w:rFonts w:ascii="Sylfaen" w:hAnsi="Sylfaen"/>
          <w:szCs w:val="24"/>
        </w:rPr>
        <w:t xml:space="preserve">նային տնտեսությունների հետազոտության հիման վրա այս աշխատողների համար մոդելավորվել է </w:t>
      </w:r>
      <w:r w:rsidR="00F30D25">
        <w:rPr>
          <w:rFonts w:ascii="Sylfaen" w:hAnsi="Sylfaen"/>
          <w:szCs w:val="24"/>
        </w:rPr>
        <w:t xml:space="preserve">եկամտային հարկի </w:t>
      </w:r>
      <w:r w:rsidR="00F30D25" w:rsidRPr="00F30D25">
        <w:rPr>
          <w:rFonts w:ascii="Sylfaen" w:hAnsi="Sylfaen"/>
          <w:szCs w:val="24"/>
        </w:rPr>
        <w:t>երեք</w:t>
      </w:r>
      <w:r w:rsidR="00F30D25">
        <w:rPr>
          <w:rFonts w:ascii="Sylfaen" w:hAnsi="Sylfaen"/>
          <w:szCs w:val="24"/>
        </w:rPr>
        <w:t xml:space="preserve"> համակարգ</w:t>
      </w:r>
      <w:r w:rsidR="00F30D25" w:rsidRPr="00F30D25">
        <w:rPr>
          <w:rFonts w:ascii="Sylfaen" w:hAnsi="Sylfaen"/>
          <w:szCs w:val="24"/>
        </w:rPr>
        <w:t xml:space="preserve">`ըստ իրենց եկամտի տեսակի </w:t>
      </w:r>
      <w:r w:rsidR="00F30D25">
        <w:rPr>
          <w:rFonts w:ascii="Sylfaen" w:hAnsi="Sylfaen"/>
          <w:szCs w:val="24"/>
        </w:rPr>
        <w:t>և</w:t>
      </w:r>
      <w:r w:rsidR="00F30D25" w:rsidRPr="00F30D25">
        <w:rPr>
          <w:rFonts w:ascii="Sylfaen" w:hAnsi="Sylfaen"/>
          <w:szCs w:val="24"/>
        </w:rPr>
        <w:t xml:space="preserve"> սոցիալական վճար</w:t>
      </w:r>
      <w:r w:rsidR="00F30D25">
        <w:rPr>
          <w:rFonts w:ascii="Sylfaen" w:hAnsi="Sylfaen"/>
          <w:szCs w:val="24"/>
        </w:rPr>
        <w:t xml:space="preserve"> կատարելու </w:t>
      </w:r>
      <w:r w:rsidR="00F30D25" w:rsidRPr="00F30D25">
        <w:rPr>
          <w:rFonts w:ascii="Sylfaen" w:hAnsi="Sylfaen"/>
          <w:szCs w:val="24"/>
        </w:rPr>
        <w:t>պարտավորությունների</w:t>
      </w:r>
      <w:r w:rsidR="00F30D25">
        <w:rPr>
          <w:rFonts w:ascii="Sylfaen" w:hAnsi="Sylfaen"/>
          <w:b/>
          <w:szCs w:val="24"/>
        </w:rPr>
        <w:t>.</w:t>
      </w:r>
    </w:p>
    <w:p w:rsidR="00004559" w:rsidRPr="00AD2F83" w:rsidRDefault="00F30D25" w:rsidP="00657069">
      <w:pPr>
        <w:pStyle w:val="ListParagraph"/>
        <w:numPr>
          <w:ilvl w:val="0"/>
          <w:numId w:val="8"/>
        </w:numPr>
        <w:ind w:left="810" w:hanging="45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Մ</w:t>
      </w:r>
      <w:r w:rsidR="007B5BAD">
        <w:rPr>
          <w:rFonts w:ascii="Sylfaen" w:hAnsi="Sylfaen"/>
          <w:szCs w:val="24"/>
        </w:rPr>
        <w:t xml:space="preserve">եկ համակարգ </w:t>
      </w:r>
      <w:r>
        <w:rPr>
          <w:rFonts w:ascii="Sylfaen" w:hAnsi="Sylfaen"/>
          <w:szCs w:val="24"/>
        </w:rPr>
        <w:t xml:space="preserve">պետական և մասնավոր հատվածի աշխատողների համար </w:t>
      </w:r>
      <w:r w:rsidR="000C3EA2" w:rsidRPr="00AD2F83">
        <w:rPr>
          <w:rFonts w:ascii="Sylfaen" w:hAnsi="Sylfaen"/>
          <w:szCs w:val="24"/>
        </w:rPr>
        <w:t>(</w:t>
      </w:r>
      <w:r>
        <w:rPr>
          <w:rFonts w:ascii="Sylfaen" w:hAnsi="Sylfaen"/>
          <w:szCs w:val="24"/>
        </w:rPr>
        <w:t xml:space="preserve">ծնված </w:t>
      </w:r>
      <w:r w:rsidR="000C3EA2" w:rsidRPr="00AD2F83">
        <w:rPr>
          <w:rFonts w:ascii="Sylfaen" w:hAnsi="Sylfaen"/>
          <w:szCs w:val="24"/>
        </w:rPr>
        <w:t>1974</w:t>
      </w:r>
      <w:r>
        <w:rPr>
          <w:rFonts w:ascii="Sylfaen" w:hAnsi="Sylfaen"/>
          <w:szCs w:val="24"/>
        </w:rPr>
        <w:t xml:space="preserve"> թվականից հետո</w:t>
      </w:r>
      <w:r w:rsidR="000C3EA2" w:rsidRPr="00AD2F83">
        <w:rPr>
          <w:rFonts w:ascii="Sylfaen" w:hAnsi="Sylfaen"/>
          <w:szCs w:val="24"/>
        </w:rPr>
        <w:t xml:space="preserve">), </w:t>
      </w:r>
      <w:r>
        <w:rPr>
          <w:rFonts w:ascii="Sylfaen" w:hAnsi="Sylfaen"/>
          <w:szCs w:val="24"/>
        </w:rPr>
        <w:t xml:space="preserve">ովքեր </w:t>
      </w:r>
      <w:r w:rsidR="007B5BAD">
        <w:rPr>
          <w:rFonts w:ascii="Sylfaen" w:hAnsi="Sylfaen"/>
          <w:szCs w:val="24"/>
        </w:rPr>
        <w:t xml:space="preserve">կատարում են սոցիալական վճարներ </w:t>
      </w:r>
      <w:r w:rsidR="000C3EA2" w:rsidRPr="00AD2F83">
        <w:rPr>
          <w:rFonts w:ascii="Sylfaen" w:hAnsi="Sylfaen"/>
          <w:szCs w:val="24"/>
        </w:rPr>
        <w:t>(</w:t>
      </w:r>
      <w:r>
        <w:rPr>
          <w:rFonts w:ascii="Sylfaen" w:hAnsi="Sylfaen"/>
          <w:szCs w:val="24"/>
        </w:rPr>
        <w:t>անհատական կենսաթոշակային կուտակային հաշվ</w:t>
      </w:r>
      <w:r w:rsidR="007B5BAD">
        <w:rPr>
          <w:rFonts w:ascii="Sylfaen" w:hAnsi="Sylfaen"/>
          <w:szCs w:val="24"/>
        </w:rPr>
        <w:t>ին</w:t>
      </w:r>
      <w:r w:rsidR="000C3EA2" w:rsidRPr="00AD2F83">
        <w:rPr>
          <w:rFonts w:ascii="Sylfaen" w:hAnsi="Sylfaen"/>
          <w:szCs w:val="24"/>
        </w:rPr>
        <w:t>)</w:t>
      </w:r>
      <w:r w:rsidR="007B5BAD">
        <w:rPr>
          <w:rFonts w:ascii="Sylfaen" w:hAnsi="Sylfaen"/>
          <w:szCs w:val="24"/>
        </w:rPr>
        <w:t>,</w:t>
      </w:r>
      <w:r w:rsidR="006A6FD4" w:rsidRPr="00AD2F83">
        <w:rPr>
          <w:rFonts w:ascii="Sylfaen" w:hAnsi="Sylfaen"/>
          <w:szCs w:val="24"/>
        </w:rPr>
        <w:t xml:space="preserve"> </w:t>
      </w:r>
    </w:p>
    <w:p w:rsidR="006A3490" w:rsidRPr="00AD2F83" w:rsidRDefault="007B5BAD" w:rsidP="00657069">
      <w:pPr>
        <w:pStyle w:val="ListParagraph"/>
        <w:numPr>
          <w:ilvl w:val="0"/>
          <w:numId w:val="8"/>
        </w:numPr>
        <w:ind w:left="810" w:hanging="45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Մյուս համակարգը՝ պետական և մասնավոր հատվածի մնացած աշխատողների համար </w:t>
      </w:r>
      <w:r w:rsidR="005405D5" w:rsidRPr="00AD2F83">
        <w:rPr>
          <w:rFonts w:ascii="Sylfaen" w:hAnsi="Sylfaen"/>
          <w:szCs w:val="24"/>
        </w:rPr>
        <w:t>(</w:t>
      </w:r>
      <w:r>
        <w:rPr>
          <w:rFonts w:ascii="Sylfaen" w:hAnsi="Sylfaen"/>
          <w:szCs w:val="24"/>
        </w:rPr>
        <w:t>ծնված մինչև</w:t>
      </w:r>
      <w:r w:rsidR="005405D5" w:rsidRPr="00AD2F83">
        <w:rPr>
          <w:rFonts w:ascii="Sylfaen" w:hAnsi="Sylfaen"/>
          <w:szCs w:val="24"/>
        </w:rPr>
        <w:t xml:space="preserve"> 1974)</w:t>
      </w:r>
      <w:r>
        <w:rPr>
          <w:rFonts w:ascii="Sylfaen" w:hAnsi="Sylfaen"/>
          <w:szCs w:val="24"/>
        </w:rPr>
        <w:t>,</w:t>
      </w:r>
      <w:r w:rsidR="005405D5" w:rsidRPr="00AD2F83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և</w:t>
      </w:r>
    </w:p>
    <w:p w:rsidR="005405D5" w:rsidRPr="00AD2F83" w:rsidRDefault="007B5BAD" w:rsidP="00657069">
      <w:pPr>
        <w:pStyle w:val="ListParagraph"/>
        <w:numPr>
          <w:ilvl w:val="0"/>
          <w:numId w:val="8"/>
        </w:numPr>
        <w:ind w:left="810" w:hanging="45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Երրորդ համակարգը՝ ինքնազբաղված աշխատողների համար; վերջին երկուսից սոցիալական վճար</w:t>
      </w:r>
      <w:r w:rsidR="00F574D5">
        <w:rPr>
          <w:rFonts w:ascii="Sylfaen" w:hAnsi="Sylfaen"/>
          <w:szCs w:val="24"/>
        </w:rPr>
        <w:t>ում</w:t>
      </w:r>
      <w:r>
        <w:rPr>
          <w:rFonts w:ascii="Sylfaen" w:hAnsi="Sylfaen"/>
          <w:szCs w:val="24"/>
        </w:rPr>
        <w:t>ներ</w:t>
      </w:r>
      <w:r w:rsidR="00F574D5">
        <w:rPr>
          <w:rFonts w:ascii="Sylfaen" w:hAnsi="Sylfaen"/>
          <w:szCs w:val="24"/>
        </w:rPr>
        <w:t>ի կատարում չի պահանջվում</w:t>
      </w:r>
      <w:r>
        <w:rPr>
          <w:rFonts w:ascii="Sylfaen" w:hAnsi="Sylfaen"/>
          <w:szCs w:val="24"/>
        </w:rPr>
        <w:t>:</w:t>
      </w:r>
    </w:p>
    <w:p w:rsidR="000C2627" w:rsidRPr="00AD2F83" w:rsidRDefault="000C2627" w:rsidP="00657069">
      <w:pPr>
        <w:jc w:val="both"/>
        <w:rPr>
          <w:rFonts w:ascii="Sylfaen" w:hAnsi="Sylfaen"/>
          <w:b/>
          <w:szCs w:val="24"/>
        </w:rPr>
      </w:pPr>
    </w:p>
    <w:p w:rsidR="001F65A4" w:rsidRPr="00AD2F83" w:rsidRDefault="007B5BAD" w:rsidP="00CF7D52">
      <w:pPr>
        <w:jc w:val="both"/>
        <w:rPr>
          <w:rFonts w:ascii="Sylfaen" w:hAnsi="Sylfaen"/>
          <w:szCs w:val="24"/>
        </w:rPr>
      </w:pPr>
      <w:r w:rsidRPr="007B5BAD">
        <w:rPr>
          <w:rFonts w:ascii="Sylfaen" w:hAnsi="Sylfaen"/>
          <w:b/>
          <w:szCs w:val="24"/>
        </w:rPr>
        <w:t xml:space="preserve">Աշխատավարձի, </w:t>
      </w:r>
      <w:r>
        <w:rPr>
          <w:rFonts w:ascii="Sylfaen" w:hAnsi="Sylfaen"/>
          <w:b/>
          <w:szCs w:val="24"/>
        </w:rPr>
        <w:t>ռոճիկի և</w:t>
      </w:r>
      <w:r w:rsidRPr="007B5BAD">
        <w:rPr>
          <w:rFonts w:ascii="Sylfaen" w:hAnsi="Sylfaen"/>
          <w:b/>
          <w:szCs w:val="24"/>
        </w:rPr>
        <w:t xml:space="preserve"> այլ եկա</w:t>
      </w:r>
      <w:r>
        <w:rPr>
          <w:rFonts w:ascii="Sylfaen" w:hAnsi="Sylfaen"/>
          <w:b/>
          <w:szCs w:val="24"/>
        </w:rPr>
        <w:t>մուտների բաղադրիչները կանխատեսվել</w:t>
      </w:r>
      <w:r w:rsidRPr="007B5BAD">
        <w:rPr>
          <w:rFonts w:ascii="Sylfaen" w:hAnsi="Sylfaen"/>
          <w:b/>
          <w:szCs w:val="24"/>
        </w:rPr>
        <w:t xml:space="preserve"> են 2018-2023 թ</w:t>
      </w:r>
      <w:r>
        <w:rPr>
          <w:rFonts w:ascii="Sylfaen" w:hAnsi="Sylfaen"/>
          <w:b/>
          <w:szCs w:val="24"/>
        </w:rPr>
        <w:t>վականների համար, օ</w:t>
      </w:r>
      <w:r w:rsidRPr="007B5BAD">
        <w:rPr>
          <w:rFonts w:ascii="Sylfaen" w:hAnsi="Sylfaen"/>
          <w:b/>
          <w:szCs w:val="24"/>
        </w:rPr>
        <w:t>գտագործելով ՀՆԱ</w:t>
      </w:r>
      <w:r>
        <w:rPr>
          <w:rFonts w:ascii="Sylfaen" w:hAnsi="Sylfaen"/>
          <w:b/>
          <w:szCs w:val="24"/>
        </w:rPr>
        <w:t>-ի</w:t>
      </w:r>
      <w:r w:rsidRPr="007B5BAD">
        <w:rPr>
          <w:rFonts w:ascii="Sylfaen" w:hAnsi="Sylfaen"/>
          <w:b/>
          <w:szCs w:val="24"/>
        </w:rPr>
        <w:t xml:space="preserve"> մեկ շնչի</w:t>
      </w:r>
      <w:r w:rsidR="00F574D5">
        <w:rPr>
          <w:rFonts w:ascii="Sylfaen" w:hAnsi="Sylfaen"/>
          <w:b/>
          <w:szCs w:val="24"/>
        </w:rPr>
        <w:t xml:space="preserve">ն բաժին ընկնող </w:t>
      </w:r>
      <w:r w:rsidRPr="007B5BAD">
        <w:rPr>
          <w:rFonts w:ascii="Sylfaen" w:hAnsi="Sylfaen"/>
          <w:b/>
          <w:szCs w:val="24"/>
        </w:rPr>
        <w:t>տնային տնտեսության եկամտի առաձգականությունը:</w:t>
      </w:r>
      <w:r w:rsidR="00E070B9" w:rsidRPr="00AD2F83">
        <w:rPr>
          <w:rFonts w:ascii="Sylfaen" w:hAnsi="Sylfaen"/>
          <w:b/>
          <w:szCs w:val="24"/>
        </w:rPr>
        <w:t xml:space="preserve"> </w:t>
      </w:r>
      <w:r w:rsidR="00C1032B" w:rsidRPr="00C1032B">
        <w:rPr>
          <w:rFonts w:ascii="Sylfaen" w:hAnsi="Sylfaen"/>
          <w:szCs w:val="24"/>
        </w:rPr>
        <w:t xml:space="preserve">Եկամտային </w:t>
      </w:r>
      <w:r w:rsidR="00C1032B">
        <w:rPr>
          <w:rFonts w:ascii="Sylfaen" w:hAnsi="Sylfaen"/>
          <w:szCs w:val="24"/>
        </w:rPr>
        <w:t>հարկի</w:t>
      </w:r>
      <w:r w:rsidR="00C1032B" w:rsidRPr="00C1032B">
        <w:rPr>
          <w:rFonts w:ascii="Sylfaen" w:hAnsi="Sylfaen"/>
          <w:szCs w:val="24"/>
        </w:rPr>
        <w:t xml:space="preserve"> մոդելավորման իրականացման համար կենտրոնանում ենք աշխատ</w:t>
      </w:r>
      <w:r w:rsidR="00C1032B">
        <w:rPr>
          <w:rFonts w:ascii="Sylfaen" w:hAnsi="Sylfaen"/>
          <w:szCs w:val="24"/>
        </w:rPr>
        <w:t>ողների</w:t>
      </w:r>
      <w:r w:rsidR="00C1032B" w:rsidRPr="00C1032B">
        <w:rPr>
          <w:rFonts w:ascii="Sylfaen" w:hAnsi="Sylfaen"/>
          <w:szCs w:val="24"/>
        </w:rPr>
        <w:t xml:space="preserve"> </w:t>
      </w:r>
      <w:r w:rsidR="00C1032B">
        <w:rPr>
          <w:rFonts w:ascii="Sylfaen" w:hAnsi="Sylfaen"/>
          <w:szCs w:val="24"/>
        </w:rPr>
        <w:t>և</w:t>
      </w:r>
      <w:r w:rsidR="00C1032B" w:rsidRPr="00C1032B">
        <w:rPr>
          <w:rFonts w:ascii="Sylfaen" w:hAnsi="Sylfaen"/>
          <w:szCs w:val="24"/>
        </w:rPr>
        <w:t xml:space="preserve"> ինքնազբաղվածների եկամուտների</w:t>
      </w:r>
      <w:r w:rsidR="00C1032B">
        <w:rPr>
          <w:rFonts w:ascii="Sylfaen" w:hAnsi="Sylfaen"/>
          <w:szCs w:val="24"/>
        </w:rPr>
        <w:t xml:space="preserve"> վրա</w:t>
      </w:r>
      <w:r w:rsidR="00C1032B" w:rsidRPr="00C1032B">
        <w:rPr>
          <w:rFonts w:ascii="Sylfaen" w:hAnsi="Sylfaen"/>
          <w:szCs w:val="24"/>
        </w:rPr>
        <w:t xml:space="preserve"> (բացառությամբ պասիվ եկամտի</w:t>
      </w:r>
      <w:r w:rsidR="00307DC8" w:rsidRPr="00AD2F83">
        <w:rPr>
          <w:rFonts w:ascii="Sylfaen" w:hAnsi="Sylfaen"/>
          <w:szCs w:val="24"/>
        </w:rPr>
        <w:t>)</w:t>
      </w:r>
      <w:r w:rsidR="00C1032B">
        <w:rPr>
          <w:rFonts w:ascii="Sylfaen" w:hAnsi="Sylfaen"/>
          <w:szCs w:val="24"/>
        </w:rPr>
        <w:t>:</w:t>
      </w:r>
      <w:r w:rsidR="00307DC8" w:rsidRPr="00AD2F83">
        <w:rPr>
          <w:rFonts w:ascii="Sylfaen" w:hAnsi="Sylfaen"/>
          <w:szCs w:val="24"/>
        </w:rPr>
        <w:t xml:space="preserve"> </w:t>
      </w:r>
      <w:r w:rsidR="00C1032B" w:rsidRPr="00AD2F83">
        <w:rPr>
          <w:rFonts w:ascii="Sylfaen" w:hAnsi="Sylfaen"/>
          <w:szCs w:val="24"/>
        </w:rPr>
        <w:t>2018-2023</w:t>
      </w:r>
      <w:r w:rsidR="00C1032B">
        <w:rPr>
          <w:rFonts w:ascii="Sylfaen" w:hAnsi="Sylfaen"/>
          <w:szCs w:val="24"/>
        </w:rPr>
        <w:t xml:space="preserve"> թվականների</w:t>
      </w:r>
      <w:r w:rsidR="005F75DB">
        <w:rPr>
          <w:rFonts w:ascii="Sylfaen" w:hAnsi="Sylfaen"/>
          <w:szCs w:val="24"/>
        </w:rPr>
        <w:t>ն</w:t>
      </w:r>
      <w:r w:rsidR="00C1032B">
        <w:rPr>
          <w:rFonts w:ascii="Sylfaen" w:hAnsi="Sylfaen"/>
          <w:szCs w:val="24"/>
        </w:rPr>
        <w:t xml:space="preserve"> հարկվող եկամուտը կանխատեսելու համար </w:t>
      </w:r>
      <w:r w:rsidR="00C1032B" w:rsidRPr="00AD2F83">
        <w:rPr>
          <w:rFonts w:ascii="Sylfaen" w:hAnsi="Sylfaen"/>
          <w:szCs w:val="24"/>
        </w:rPr>
        <w:t>(2014</w:t>
      </w:r>
      <w:r w:rsidR="00C1032B">
        <w:rPr>
          <w:rFonts w:ascii="Sylfaen" w:hAnsi="Sylfaen"/>
          <w:szCs w:val="24"/>
        </w:rPr>
        <w:t xml:space="preserve"> թ-ի տվյալների հիման վրա</w:t>
      </w:r>
      <w:r w:rsidR="00C1032B" w:rsidRPr="00AD2F83">
        <w:rPr>
          <w:rFonts w:ascii="Sylfaen" w:hAnsi="Sylfaen"/>
          <w:szCs w:val="24"/>
        </w:rPr>
        <w:t>)</w:t>
      </w:r>
      <w:r w:rsidR="00C1032B">
        <w:rPr>
          <w:rFonts w:ascii="Sylfaen" w:hAnsi="Sylfaen"/>
          <w:szCs w:val="24"/>
        </w:rPr>
        <w:t xml:space="preserve"> կատարում ենք երկու ճշգրտում: Նախ,</w:t>
      </w:r>
      <w:r w:rsidR="00C1032B" w:rsidRPr="00C1032B">
        <w:rPr>
          <w:rFonts w:ascii="Sylfaen" w:hAnsi="Sylfaen"/>
          <w:szCs w:val="24"/>
        </w:rPr>
        <w:t xml:space="preserve"> կանխատեսում ենք աշխատավարձ</w:t>
      </w:r>
      <w:r w:rsidR="00C1032B">
        <w:rPr>
          <w:rFonts w:ascii="Sylfaen" w:hAnsi="Sylfaen"/>
          <w:szCs w:val="24"/>
        </w:rPr>
        <w:t>եր</w:t>
      </w:r>
      <w:r w:rsidR="00C1032B" w:rsidRPr="00C1032B">
        <w:rPr>
          <w:rFonts w:ascii="Sylfaen" w:hAnsi="Sylfaen"/>
          <w:szCs w:val="24"/>
        </w:rPr>
        <w:t xml:space="preserve">ի </w:t>
      </w:r>
      <w:r w:rsidR="00C1032B">
        <w:rPr>
          <w:rFonts w:ascii="Sylfaen" w:hAnsi="Sylfaen"/>
          <w:szCs w:val="24"/>
        </w:rPr>
        <w:t>և</w:t>
      </w:r>
      <w:r w:rsidR="00C1032B" w:rsidRPr="00C1032B">
        <w:rPr>
          <w:rFonts w:ascii="Sylfaen" w:hAnsi="Sylfaen"/>
          <w:szCs w:val="24"/>
        </w:rPr>
        <w:t xml:space="preserve"> </w:t>
      </w:r>
      <w:r w:rsidR="00C1032B">
        <w:rPr>
          <w:rFonts w:ascii="Sylfaen" w:hAnsi="Sylfaen"/>
          <w:szCs w:val="24"/>
        </w:rPr>
        <w:t>ռոճիկների</w:t>
      </w:r>
      <w:r w:rsidR="00C1032B" w:rsidRPr="00C1032B">
        <w:rPr>
          <w:rFonts w:ascii="Sylfaen" w:hAnsi="Sylfaen"/>
          <w:szCs w:val="24"/>
        </w:rPr>
        <w:t xml:space="preserve"> զուտ արժեքները`օգտագոր</w:t>
      </w:r>
      <w:r w:rsidR="005F75DB">
        <w:rPr>
          <w:rFonts w:ascii="Sylfaen" w:hAnsi="Sylfaen"/>
          <w:szCs w:val="24"/>
        </w:rPr>
        <w:t>ծելով մեկ շնչի հաշվով ՀՆԱ-ի աճ/</w:t>
      </w:r>
      <w:r w:rsidR="00C1032B" w:rsidRPr="00C1032B">
        <w:rPr>
          <w:rFonts w:ascii="Sylfaen" w:hAnsi="Sylfaen"/>
          <w:szCs w:val="24"/>
        </w:rPr>
        <w:t>տնային տնտեսության եկամ</w:t>
      </w:r>
      <w:r w:rsidR="00C1032B">
        <w:rPr>
          <w:rFonts w:ascii="Sylfaen" w:hAnsi="Sylfaen"/>
          <w:szCs w:val="24"/>
        </w:rPr>
        <w:t>ու</w:t>
      </w:r>
      <w:r w:rsidR="00C1032B" w:rsidRPr="00C1032B">
        <w:rPr>
          <w:rFonts w:ascii="Sylfaen" w:hAnsi="Sylfaen"/>
          <w:szCs w:val="24"/>
        </w:rPr>
        <w:t>տն</w:t>
      </w:r>
      <w:r w:rsidR="005F75DB">
        <w:rPr>
          <w:rFonts w:ascii="Sylfaen" w:hAnsi="Sylfaen"/>
          <w:szCs w:val="24"/>
        </w:rPr>
        <w:t>եր</w:t>
      </w:r>
      <w:r w:rsidR="00C1032B">
        <w:rPr>
          <w:rFonts w:ascii="Sylfaen" w:hAnsi="Sylfaen"/>
          <w:szCs w:val="24"/>
        </w:rPr>
        <w:t xml:space="preserve"> առաձգականությունը</w:t>
      </w:r>
      <w:r w:rsidR="00C1032B" w:rsidRPr="00C1032B">
        <w:rPr>
          <w:rFonts w:ascii="Sylfaen" w:hAnsi="Sylfaen"/>
          <w:szCs w:val="24"/>
        </w:rPr>
        <w:t>, որը կրկնե</w:t>
      </w:r>
      <w:r w:rsidR="00C1032B">
        <w:rPr>
          <w:rFonts w:ascii="Sylfaen" w:hAnsi="Sylfaen"/>
          <w:szCs w:val="24"/>
        </w:rPr>
        <w:t xml:space="preserve">լ է </w:t>
      </w:r>
      <w:r w:rsidR="00C1032B" w:rsidRPr="00C1032B">
        <w:rPr>
          <w:rFonts w:ascii="Sylfaen" w:hAnsi="Sylfaen"/>
          <w:szCs w:val="24"/>
        </w:rPr>
        <w:t>2015-2017</w:t>
      </w:r>
      <w:r w:rsidR="00551160" w:rsidRPr="00E13F36">
        <w:rPr>
          <w:rFonts w:ascii="Sylfaen" w:hAnsi="Sylfaen"/>
          <w:szCs w:val="24"/>
        </w:rPr>
        <w:t xml:space="preserve"> </w:t>
      </w:r>
      <w:r w:rsidR="00C1032B" w:rsidRPr="00C1032B">
        <w:rPr>
          <w:rFonts w:ascii="Sylfaen" w:hAnsi="Sylfaen"/>
          <w:szCs w:val="24"/>
        </w:rPr>
        <w:t>թ</w:t>
      </w:r>
      <w:r w:rsidR="00C1032B">
        <w:rPr>
          <w:rFonts w:ascii="Sylfaen" w:hAnsi="Sylfaen"/>
          <w:szCs w:val="24"/>
        </w:rPr>
        <w:t xml:space="preserve">վականների աղքատության մակարդակը: Ենթադրվել էր, որ </w:t>
      </w:r>
      <w:r w:rsidR="003A6944">
        <w:rPr>
          <w:rFonts w:ascii="Sylfaen" w:hAnsi="Sylfaen"/>
          <w:szCs w:val="24"/>
        </w:rPr>
        <w:t xml:space="preserve">եկամտի բաշխման կտրվածքով </w:t>
      </w:r>
      <w:r w:rsidR="00C1032B">
        <w:rPr>
          <w:rFonts w:ascii="Sylfaen" w:hAnsi="Sylfaen"/>
          <w:szCs w:val="24"/>
        </w:rPr>
        <w:t>աճը կլինի միանման</w:t>
      </w:r>
      <w:r w:rsidR="00EC7C8D" w:rsidRPr="00AD2F83">
        <w:rPr>
          <w:rFonts w:ascii="Sylfaen" w:hAnsi="Sylfaen"/>
          <w:szCs w:val="24"/>
        </w:rPr>
        <w:t xml:space="preserve">, </w:t>
      </w:r>
      <w:r w:rsidR="00E60FB6">
        <w:rPr>
          <w:rFonts w:ascii="Sylfaen" w:hAnsi="Sylfaen"/>
          <w:szCs w:val="24"/>
        </w:rPr>
        <w:t>և</w:t>
      </w:r>
      <w:r w:rsidR="003A6944">
        <w:rPr>
          <w:rFonts w:ascii="Sylfaen" w:hAnsi="Sylfaen"/>
          <w:szCs w:val="24"/>
        </w:rPr>
        <w:t xml:space="preserve"> ամբողջ եկամտի բաշխումը տեղափոխվեց դեպի աջ: Համաշխարհային բանկի </w:t>
      </w:r>
      <w:r w:rsidR="00E60FB6">
        <w:rPr>
          <w:rFonts w:ascii="Sylfaen" w:hAnsi="Sylfaen"/>
          <w:szCs w:val="24"/>
        </w:rPr>
        <w:t>“</w:t>
      </w:r>
      <w:r w:rsidR="003A6944">
        <w:rPr>
          <w:rFonts w:ascii="Sylfaen" w:hAnsi="Sylfaen"/>
          <w:szCs w:val="24"/>
        </w:rPr>
        <w:t>Մակրո</w:t>
      </w:r>
      <w:r w:rsidR="00E60FB6">
        <w:rPr>
          <w:rFonts w:ascii="Sylfaen" w:hAnsi="Sylfaen"/>
          <w:szCs w:val="24"/>
        </w:rPr>
        <w:t xml:space="preserve"> </w:t>
      </w:r>
      <w:r w:rsidR="003A6944">
        <w:rPr>
          <w:rFonts w:ascii="Sylfaen" w:hAnsi="Sylfaen"/>
          <w:szCs w:val="24"/>
        </w:rPr>
        <w:t>աղքատության հեռանկար</w:t>
      </w:r>
      <w:r w:rsidR="00E60FB6">
        <w:rPr>
          <w:rFonts w:ascii="Sylfaen" w:hAnsi="Sylfaen"/>
          <w:szCs w:val="24"/>
        </w:rPr>
        <w:t>ը”</w:t>
      </w:r>
      <w:r w:rsidR="003A6944">
        <w:rPr>
          <w:rFonts w:ascii="Sylfaen" w:hAnsi="Sylfaen"/>
          <w:szCs w:val="24"/>
        </w:rPr>
        <w:t xml:space="preserve"> և ԱՄՀ-ի </w:t>
      </w:r>
      <w:r w:rsidR="00E60FB6">
        <w:rPr>
          <w:rFonts w:ascii="Sylfaen" w:hAnsi="Sylfaen"/>
          <w:szCs w:val="24"/>
        </w:rPr>
        <w:t>“</w:t>
      </w:r>
      <w:r w:rsidR="003A6944">
        <w:rPr>
          <w:rFonts w:ascii="Sylfaen" w:hAnsi="Sylfaen"/>
          <w:szCs w:val="24"/>
        </w:rPr>
        <w:t>Համաշխարհային տնտեսության զարգացման հեռանկարների կանխատեսումներ</w:t>
      </w:r>
      <w:r w:rsidR="00E60FB6">
        <w:rPr>
          <w:rFonts w:ascii="Sylfaen" w:hAnsi="Sylfaen"/>
          <w:szCs w:val="24"/>
        </w:rPr>
        <w:t>ը” զեկույցների</w:t>
      </w:r>
      <w:r w:rsidR="003A6944">
        <w:rPr>
          <w:rFonts w:ascii="Sylfaen" w:hAnsi="Sylfaen"/>
          <w:szCs w:val="24"/>
        </w:rPr>
        <w:t xml:space="preserve"> հիման կառուցվեցին </w:t>
      </w:r>
      <w:r w:rsidR="00E60FB6" w:rsidRPr="00C1032B">
        <w:rPr>
          <w:rFonts w:ascii="Sylfaen" w:hAnsi="Sylfaen"/>
          <w:szCs w:val="24"/>
        </w:rPr>
        <w:t>ՀՆԱ-ի</w:t>
      </w:r>
      <w:r w:rsidR="00E60FB6">
        <w:rPr>
          <w:rFonts w:ascii="Sylfaen" w:hAnsi="Sylfaen"/>
          <w:szCs w:val="24"/>
        </w:rPr>
        <w:t xml:space="preserve"> </w:t>
      </w:r>
      <w:r w:rsidR="003A6944" w:rsidRPr="00C1032B">
        <w:rPr>
          <w:rFonts w:ascii="Sylfaen" w:hAnsi="Sylfaen"/>
          <w:szCs w:val="24"/>
        </w:rPr>
        <w:t>մեկ շնչի</w:t>
      </w:r>
      <w:r w:rsidR="00E60FB6">
        <w:rPr>
          <w:rFonts w:ascii="Sylfaen" w:hAnsi="Sylfaen"/>
          <w:szCs w:val="24"/>
        </w:rPr>
        <w:t xml:space="preserve">ն բաժին ընկնող </w:t>
      </w:r>
      <w:r w:rsidR="003A6944">
        <w:rPr>
          <w:rFonts w:ascii="Sylfaen" w:hAnsi="Sylfaen"/>
          <w:szCs w:val="24"/>
        </w:rPr>
        <w:t xml:space="preserve">շարքերը </w:t>
      </w:r>
      <w:r w:rsidR="00CF7D52" w:rsidRPr="00AD2F83">
        <w:rPr>
          <w:rFonts w:ascii="Sylfaen" w:hAnsi="Sylfaen" w:cstheme="minorHAnsi"/>
        </w:rPr>
        <w:t>2014-2023</w:t>
      </w:r>
      <w:r w:rsidR="0022401A">
        <w:rPr>
          <w:rFonts w:ascii="Sylfaen" w:hAnsi="Sylfaen" w:cstheme="minorHAnsi"/>
        </w:rPr>
        <w:t xml:space="preserve"> թվականների համար: Երկրորդ, ճշգրտում ենք աշխատավարձերն ու ռոճիկները</w:t>
      </w:r>
      <w:r w:rsidR="00E13F36" w:rsidRPr="00E13F36">
        <w:rPr>
          <w:rFonts w:ascii="Sylfaen" w:hAnsi="Sylfaen" w:cstheme="minorHAnsi"/>
        </w:rPr>
        <w:t xml:space="preserve"> </w:t>
      </w:r>
      <w:r w:rsidR="0022401A">
        <w:rPr>
          <w:rFonts w:ascii="Sylfaen" w:hAnsi="Sylfaen" w:cstheme="minorHAnsi"/>
        </w:rPr>
        <w:t>համախառն արժեքներ</w:t>
      </w:r>
      <w:r w:rsidR="00E13F36">
        <w:rPr>
          <w:rFonts w:ascii="Sylfaen" w:hAnsi="Sylfaen" w:cstheme="minorHAnsi"/>
          <w:lang w:val="ru-RU"/>
        </w:rPr>
        <w:t>ի</w:t>
      </w:r>
      <w:r w:rsidR="00E13F36" w:rsidRPr="00E13F36">
        <w:rPr>
          <w:rFonts w:ascii="Sylfaen" w:hAnsi="Sylfaen" w:cstheme="minorHAnsi"/>
        </w:rPr>
        <w:t xml:space="preserve"> </w:t>
      </w:r>
      <w:r w:rsidR="00E13F36">
        <w:rPr>
          <w:rFonts w:ascii="Sylfaen" w:hAnsi="Sylfaen" w:cstheme="minorHAnsi"/>
          <w:lang w:val="ru-RU"/>
        </w:rPr>
        <w:t>նկատմամբ</w:t>
      </w:r>
      <w:r w:rsidR="0022401A">
        <w:rPr>
          <w:rFonts w:ascii="Sylfaen" w:hAnsi="Sylfaen" w:cstheme="minorHAnsi"/>
        </w:rPr>
        <w:t xml:space="preserve"> </w:t>
      </w:r>
      <w:r w:rsidR="00B20973" w:rsidRPr="00AD2F83">
        <w:rPr>
          <w:rFonts w:ascii="Sylfaen" w:hAnsi="Sylfaen"/>
          <w:szCs w:val="24"/>
        </w:rPr>
        <w:t>(</w:t>
      </w:r>
      <w:r w:rsidR="0022401A">
        <w:rPr>
          <w:rFonts w:ascii="Sylfaen" w:hAnsi="Sylfaen"/>
          <w:szCs w:val="24"/>
        </w:rPr>
        <w:t>հարկվող եկամուտ</w:t>
      </w:r>
      <w:r w:rsidR="00B20973" w:rsidRPr="00AD2F83">
        <w:rPr>
          <w:rFonts w:ascii="Sylfaen" w:hAnsi="Sylfaen"/>
          <w:szCs w:val="24"/>
        </w:rPr>
        <w:t>)</w:t>
      </w:r>
      <w:r w:rsidR="0022401A">
        <w:rPr>
          <w:rFonts w:ascii="Sylfaen" w:hAnsi="Sylfaen"/>
          <w:szCs w:val="24"/>
        </w:rPr>
        <w:t xml:space="preserve">, հիմնվելով </w:t>
      </w:r>
      <w:r w:rsidR="00B20973" w:rsidRPr="00AD2F83">
        <w:rPr>
          <w:rFonts w:ascii="Sylfaen" w:hAnsi="Sylfaen"/>
          <w:szCs w:val="24"/>
        </w:rPr>
        <w:t xml:space="preserve"> </w:t>
      </w:r>
      <w:r w:rsidR="0022401A" w:rsidRPr="00AD2F83">
        <w:rPr>
          <w:rFonts w:ascii="Sylfaen" w:hAnsi="Sylfaen"/>
          <w:szCs w:val="24"/>
        </w:rPr>
        <w:t>2018-23</w:t>
      </w:r>
      <w:r w:rsidR="0022401A">
        <w:rPr>
          <w:rFonts w:ascii="Sylfaen" w:hAnsi="Sylfaen"/>
          <w:szCs w:val="24"/>
        </w:rPr>
        <w:t xml:space="preserve"> թվականների եկամտային հարկի և սոցիալական վճարների ժամանակացույցի վրա: </w:t>
      </w:r>
      <w:r w:rsidR="0006585E">
        <w:rPr>
          <w:rFonts w:ascii="Sylfaen" w:hAnsi="Sylfaen"/>
          <w:szCs w:val="24"/>
        </w:rPr>
        <w:t>Ա</w:t>
      </w:r>
      <w:r w:rsidR="0022401A" w:rsidRPr="0022401A">
        <w:rPr>
          <w:rFonts w:ascii="Sylfaen" w:hAnsi="Sylfaen"/>
          <w:szCs w:val="24"/>
        </w:rPr>
        <w:t xml:space="preserve">պագա </w:t>
      </w:r>
      <w:r w:rsidR="00FC2720">
        <w:rPr>
          <w:rFonts w:ascii="Sylfaen" w:hAnsi="Sylfaen"/>
          <w:szCs w:val="24"/>
        </w:rPr>
        <w:t>ազդեցության</w:t>
      </w:r>
      <w:r w:rsidR="0006585E">
        <w:rPr>
          <w:rFonts w:ascii="Sylfaen" w:hAnsi="Sylfaen"/>
          <w:szCs w:val="24"/>
        </w:rPr>
        <w:t xml:space="preserve"> </w:t>
      </w:r>
      <w:r w:rsidR="0022401A" w:rsidRPr="0022401A">
        <w:rPr>
          <w:rFonts w:ascii="Sylfaen" w:hAnsi="Sylfaen"/>
          <w:szCs w:val="24"/>
        </w:rPr>
        <w:t>վերլուծության համար</w:t>
      </w:r>
      <w:r w:rsidR="00FC2720">
        <w:rPr>
          <w:rFonts w:ascii="Sylfaen" w:hAnsi="Sylfaen"/>
          <w:szCs w:val="24"/>
        </w:rPr>
        <w:t xml:space="preserve">, </w:t>
      </w:r>
      <w:r w:rsidR="0022401A" w:rsidRPr="0022401A">
        <w:rPr>
          <w:rFonts w:ascii="Sylfaen" w:hAnsi="Sylfaen"/>
          <w:szCs w:val="24"/>
        </w:rPr>
        <w:t xml:space="preserve">քանի որ </w:t>
      </w:r>
      <w:r w:rsidR="0006585E">
        <w:rPr>
          <w:rFonts w:ascii="Sylfaen" w:hAnsi="Sylfaen"/>
          <w:szCs w:val="24"/>
        </w:rPr>
        <w:t xml:space="preserve">թարմացրել ենք </w:t>
      </w:r>
      <w:r w:rsidR="0006585E" w:rsidRPr="0022401A">
        <w:rPr>
          <w:rFonts w:ascii="Sylfaen" w:hAnsi="Sylfaen"/>
          <w:szCs w:val="24"/>
        </w:rPr>
        <w:t>2018-23</w:t>
      </w:r>
      <w:r w:rsidR="0006585E">
        <w:rPr>
          <w:rFonts w:ascii="Sylfaen" w:hAnsi="Sylfaen"/>
          <w:szCs w:val="24"/>
        </w:rPr>
        <w:t xml:space="preserve"> թվականների ա</w:t>
      </w:r>
      <w:r w:rsidR="0022401A" w:rsidRPr="0022401A">
        <w:rPr>
          <w:rFonts w:ascii="Sylfaen" w:hAnsi="Sylfaen"/>
          <w:szCs w:val="24"/>
        </w:rPr>
        <w:t xml:space="preserve">շխատավարձի </w:t>
      </w:r>
      <w:r w:rsidR="0006585E">
        <w:rPr>
          <w:rFonts w:ascii="Sylfaen" w:hAnsi="Sylfaen"/>
          <w:szCs w:val="24"/>
        </w:rPr>
        <w:t>և ռոճիկների տվյալները, հիմնվելով եկամուտ/մեկ շնչին ընկնող ՀՆԱ-ի աճ առաձգականությա</w:t>
      </w:r>
      <w:r w:rsidR="0022401A" w:rsidRPr="0022401A">
        <w:rPr>
          <w:rFonts w:ascii="Sylfaen" w:hAnsi="Sylfaen"/>
          <w:szCs w:val="24"/>
        </w:rPr>
        <w:t xml:space="preserve">ն </w:t>
      </w:r>
      <w:r w:rsidR="0006585E">
        <w:rPr>
          <w:rFonts w:ascii="Sylfaen" w:hAnsi="Sylfaen"/>
          <w:szCs w:val="24"/>
        </w:rPr>
        <w:t>(համարիչ) վրա</w:t>
      </w:r>
      <w:r w:rsidR="0022401A" w:rsidRPr="0022401A">
        <w:rPr>
          <w:rFonts w:ascii="Sylfaen" w:hAnsi="Sylfaen"/>
          <w:szCs w:val="24"/>
        </w:rPr>
        <w:t xml:space="preserve">, </w:t>
      </w:r>
      <w:r w:rsidR="004012F5">
        <w:rPr>
          <w:rFonts w:ascii="Sylfaen" w:hAnsi="Sylfaen"/>
          <w:szCs w:val="24"/>
        </w:rPr>
        <w:t>կիրառում</w:t>
      </w:r>
      <w:r w:rsidR="004012F5" w:rsidRPr="0022401A">
        <w:rPr>
          <w:rFonts w:ascii="Sylfaen" w:hAnsi="Sylfaen"/>
          <w:szCs w:val="24"/>
        </w:rPr>
        <w:t xml:space="preserve"> ենք </w:t>
      </w:r>
      <w:r w:rsidR="004012F5">
        <w:rPr>
          <w:rFonts w:ascii="Sylfaen" w:hAnsi="Sylfaen"/>
          <w:szCs w:val="24"/>
        </w:rPr>
        <w:t xml:space="preserve">նաև </w:t>
      </w:r>
      <w:r w:rsidR="004012F5" w:rsidRPr="0022401A">
        <w:rPr>
          <w:rFonts w:ascii="Sylfaen" w:hAnsi="Sylfaen"/>
          <w:szCs w:val="24"/>
        </w:rPr>
        <w:t xml:space="preserve">նույն ճշգրտումը </w:t>
      </w:r>
      <w:r w:rsidR="004012F5" w:rsidRPr="00AD2F83">
        <w:rPr>
          <w:rFonts w:ascii="Sylfaen" w:hAnsi="Sylfaen"/>
          <w:szCs w:val="24"/>
        </w:rPr>
        <w:t>CEQ</w:t>
      </w:r>
      <w:r w:rsidR="004012F5">
        <w:rPr>
          <w:rFonts w:ascii="Sylfaen" w:hAnsi="Sylfaen"/>
          <w:szCs w:val="24"/>
        </w:rPr>
        <w:t xml:space="preserve"> եկամտի գաղափարի նկատմամբ </w:t>
      </w:r>
      <w:r w:rsidR="00B20973" w:rsidRPr="00AD2F83">
        <w:rPr>
          <w:rFonts w:ascii="Sylfaen" w:hAnsi="Sylfaen"/>
          <w:szCs w:val="24"/>
        </w:rPr>
        <w:t>(</w:t>
      </w:r>
      <w:r w:rsidR="004012F5">
        <w:rPr>
          <w:rFonts w:ascii="Sylfaen" w:hAnsi="Sylfaen"/>
          <w:szCs w:val="24"/>
        </w:rPr>
        <w:t>հայտարար</w:t>
      </w:r>
      <w:r w:rsidR="00B20973" w:rsidRPr="00AD2F83">
        <w:rPr>
          <w:rFonts w:ascii="Sylfaen" w:hAnsi="Sylfaen"/>
          <w:szCs w:val="24"/>
        </w:rPr>
        <w:t>)</w:t>
      </w:r>
      <w:r w:rsidR="004012F5">
        <w:rPr>
          <w:rFonts w:ascii="Sylfaen" w:hAnsi="Sylfaen"/>
          <w:szCs w:val="24"/>
        </w:rPr>
        <w:t>: CEQ-ի եկամտի գաղափարների շարքում կենտրոնանում ենք տնօրին</w:t>
      </w:r>
      <w:r w:rsidR="00FC2720">
        <w:rPr>
          <w:rFonts w:ascii="Sylfaen" w:hAnsi="Sylfaen"/>
          <w:szCs w:val="24"/>
        </w:rPr>
        <w:t>վող</w:t>
      </w:r>
      <w:r w:rsidR="004012F5">
        <w:rPr>
          <w:rFonts w:ascii="Sylfaen" w:hAnsi="Sylfaen"/>
          <w:szCs w:val="24"/>
        </w:rPr>
        <w:t xml:space="preserve"> եկամտի՝ որպես ընդհանուր </w:t>
      </w:r>
      <w:r w:rsidR="004012F5">
        <w:rPr>
          <w:rFonts w:ascii="Sylfaen" w:hAnsi="Sylfaen"/>
          <w:szCs w:val="24"/>
        </w:rPr>
        <w:lastRenderedPageBreak/>
        <w:t>բարեկեցության</w:t>
      </w:r>
      <w:r w:rsidR="001B226F">
        <w:rPr>
          <w:rFonts w:ascii="Sylfaen" w:hAnsi="Sylfaen"/>
          <w:szCs w:val="24"/>
        </w:rPr>
        <w:t xml:space="preserve"> վրա, որը ՏՏԿԱՀ 2014-ում համարժեք է տնային տնտեսությունների ընդհանուր սպառմանը:</w:t>
      </w:r>
    </w:p>
    <w:p w:rsidR="00662F5C" w:rsidRPr="00AD2F83" w:rsidRDefault="00662F5C" w:rsidP="004A18D6">
      <w:pPr>
        <w:rPr>
          <w:rFonts w:ascii="Sylfaen" w:hAnsi="Sylfaen"/>
          <w:szCs w:val="24"/>
        </w:rPr>
      </w:pPr>
    </w:p>
    <w:p w:rsidR="00657069" w:rsidRPr="00AD2F83" w:rsidRDefault="00C32D74" w:rsidP="00CF7D52">
      <w:pPr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>Ա</w:t>
      </w:r>
      <w:r w:rsidR="004A3941">
        <w:rPr>
          <w:rFonts w:ascii="Sylfaen" w:hAnsi="Sylfaen"/>
          <w:b/>
          <w:szCs w:val="24"/>
        </w:rPr>
        <w:t>յլ հարկերի ավելացում</w:t>
      </w:r>
      <w:r>
        <w:rPr>
          <w:rFonts w:ascii="Sylfaen" w:hAnsi="Sylfaen"/>
          <w:b/>
          <w:szCs w:val="24"/>
        </w:rPr>
        <w:t xml:space="preserve"> և</w:t>
      </w:r>
      <w:r w:rsidR="004A3941">
        <w:rPr>
          <w:rFonts w:ascii="Sylfaen" w:hAnsi="Sylfaen"/>
          <w:b/>
          <w:szCs w:val="24"/>
        </w:rPr>
        <w:t xml:space="preserve"> վարքագծային արձագանք չ</w:t>
      </w:r>
      <w:r w:rsidR="00945AF4">
        <w:rPr>
          <w:rFonts w:ascii="Sylfaen" w:hAnsi="Sylfaen"/>
          <w:b/>
          <w:szCs w:val="24"/>
          <w:lang w:val="ru-RU"/>
        </w:rPr>
        <w:t>ի</w:t>
      </w:r>
      <w:r>
        <w:rPr>
          <w:rFonts w:ascii="Sylfaen" w:hAnsi="Sylfaen"/>
          <w:b/>
          <w:szCs w:val="24"/>
        </w:rPr>
        <w:t xml:space="preserve"> </w:t>
      </w:r>
      <w:r w:rsidR="004A3941">
        <w:rPr>
          <w:rFonts w:ascii="Sylfaen" w:hAnsi="Sylfaen"/>
          <w:b/>
          <w:szCs w:val="24"/>
        </w:rPr>
        <w:t xml:space="preserve">ենթադրվում: </w:t>
      </w:r>
      <w:r w:rsidRPr="00C32D74">
        <w:rPr>
          <w:rFonts w:ascii="Sylfaen" w:hAnsi="Sylfaen"/>
          <w:szCs w:val="24"/>
        </w:rPr>
        <w:t xml:space="preserve">Մոդելավորման համար հաշվի չեն առնվել </w:t>
      </w:r>
      <w:r>
        <w:rPr>
          <w:rFonts w:ascii="Sylfaen" w:hAnsi="Sylfaen"/>
          <w:szCs w:val="24"/>
        </w:rPr>
        <w:t xml:space="preserve">ծխախոտի, </w:t>
      </w:r>
      <w:r w:rsidRPr="00C32D74">
        <w:rPr>
          <w:rFonts w:ascii="Sylfaen" w:hAnsi="Sylfaen"/>
          <w:szCs w:val="24"/>
        </w:rPr>
        <w:t xml:space="preserve">ալկոհոլային խմիչքների, գարեջրի, բարձր </w:t>
      </w:r>
      <w:r w:rsidR="00FC2720">
        <w:rPr>
          <w:rFonts w:ascii="Sylfaen" w:hAnsi="Sylfaen"/>
          <w:szCs w:val="24"/>
        </w:rPr>
        <w:t xml:space="preserve">թվով </w:t>
      </w:r>
      <w:r w:rsidRPr="00C32D74">
        <w:rPr>
          <w:rFonts w:ascii="Sylfaen" w:hAnsi="Sylfaen"/>
          <w:szCs w:val="24"/>
        </w:rPr>
        <w:t>ձիաուժ</w:t>
      </w:r>
      <w:r>
        <w:rPr>
          <w:rFonts w:ascii="Sylfaen" w:hAnsi="Sylfaen"/>
          <w:szCs w:val="24"/>
        </w:rPr>
        <w:t xml:space="preserve"> ունեցող </w:t>
      </w:r>
      <w:r w:rsidRPr="00C32D74">
        <w:rPr>
          <w:rFonts w:ascii="Sylfaen" w:hAnsi="Sylfaen"/>
          <w:szCs w:val="24"/>
        </w:rPr>
        <w:t xml:space="preserve">տրանսպորտային միջոցների </w:t>
      </w:r>
      <w:r>
        <w:rPr>
          <w:rFonts w:ascii="Sylfaen" w:hAnsi="Sylfaen"/>
          <w:szCs w:val="24"/>
        </w:rPr>
        <w:t xml:space="preserve">և դրամախաղերի հարկման դրույքաչափերի </w:t>
      </w:r>
      <w:r w:rsidRPr="00C32D74">
        <w:rPr>
          <w:rFonts w:ascii="Sylfaen" w:hAnsi="Sylfaen"/>
          <w:szCs w:val="24"/>
        </w:rPr>
        <w:t>ապագա</w:t>
      </w:r>
      <w:r>
        <w:rPr>
          <w:rFonts w:ascii="Sylfaen" w:hAnsi="Sylfaen"/>
          <w:szCs w:val="24"/>
        </w:rPr>
        <w:t xml:space="preserve"> բարձրացումները</w:t>
      </w:r>
      <w:r w:rsidR="00000578">
        <w:rPr>
          <w:rFonts w:ascii="Sylfaen" w:hAnsi="Sylfaen"/>
          <w:szCs w:val="24"/>
        </w:rPr>
        <w:t>: Եկամտային հարկի բարեփոխումների հիման վրա թարմացվել են միայն եկամտային հարկի և սոցիալական վճարների դրույքաչափերը</w:t>
      </w:r>
      <w:r w:rsidR="00F6111D" w:rsidRPr="00AD2F83">
        <w:rPr>
          <w:rFonts w:ascii="Sylfaen" w:hAnsi="Sylfaen"/>
          <w:szCs w:val="24"/>
        </w:rPr>
        <w:t xml:space="preserve">, </w:t>
      </w:r>
      <w:r w:rsidR="00000578">
        <w:rPr>
          <w:rFonts w:ascii="Sylfaen" w:hAnsi="Sylfaen"/>
          <w:szCs w:val="24"/>
        </w:rPr>
        <w:t>իսկ մնացած հարկաբյուջետային քաղաքականությունները մնում են անփոփոխ: Չի դիտարկվում նաև տնային տնտեսությունների վարքագծային ազդեցությունը</w:t>
      </w:r>
      <w:r w:rsidR="00D36ECA">
        <w:rPr>
          <w:rFonts w:ascii="Sylfaen" w:hAnsi="Sylfaen"/>
          <w:szCs w:val="24"/>
        </w:rPr>
        <w:t>՝</w:t>
      </w:r>
      <w:r w:rsidR="00000578">
        <w:rPr>
          <w:rFonts w:ascii="Sylfaen" w:hAnsi="Sylfaen"/>
          <w:szCs w:val="24"/>
        </w:rPr>
        <w:t xml:space="preserve"> ի պատասխան հարկման կամ ծախսային քաղաքականության փոփոխություններին: Ս</w:t>
      </w:r>
      <w:r w:rsidR="00000578" w:rsidRPr="00000578">
        <w:rPr>
          <w:rFonts w:ascii="Sylfaen" w:hAnsi="Sylfaen"/>
          <w:szCs w:val="24"/>
        </w:rPr>
        <w:t xml:space="preserve">ա </w:t>
      </w:r>
      <w:r w:rsidR="00000578">
        <w:rPr>
          <w:rFonts w:ascii="Sylfaen" w:hAnsi="Sylfaen"/>
          <w:szCs w:val="24"/>
        </w:rPr>
        <w:t>նշանակ</w:t>
      </w:r>
      <w:r w:rsidR="00000578" w:rsidRPr="00000578">
        <w:rPr>
          <w:rFonts w:ascii="Sylfaen" w:hAnsi="Sylfaen"/>
          <w:szCs w:val="24"/>
        </w:rPr>
        <w:t xml:space="preserve">ում է, որ չենք ենթադրում </w:t>
      </w:r>
      <w:r w:rsidR="00D36ECA">
        <w:rPr>
          <w:rFonts w:ascii="Sylfaen" w:hAnsi="Sylfaen"/>
          <w:szCs w:val="24"/>
        </w:rPr>
        <w:t>եկամտային հարկի բարեփոխումների արդյունքում</w:t>
      </w:r>
      <w:r w:rsidR="00D36ECA" w:rsidRPr="00000578">
        <w:rPr>
          <w:rFonts w:ascii="Sylfaen" w:hAnsi="Sylfaen"/>
          <w:szCs w:val="24"/>
        </w:rPr>
        <w:t xml:space="preserve"> </w:t>
      </w:r>
      <w:r w:rsidR="00000578" w:rsidRPr="00000578">
        <w:rPr>
          <w:rFonts w:ascii="Sylfaen" w:hAnsi="Sylfaen"/>
          <w:szCs w:val="24"/>
        </w:rPr>
        <w:t>աշխատուժի կազմի փոփոխություններ</w:t>
      </w:r>
      <w:r w:rsidR="00000578">
        <w:rPr>
          <w:rFonts w:ascii="Sylfaen" w:hAnsi="Sylfaen"/>
          <w:szCs w:val="24"/>
        </w:rPr>
        <w:t xml:space="preserve"> </w:t>
      </w:r>
      <w:r w:rsidR="00000578" w:rsidRPr="00000578">
        <w:rPr>
          <w:rFonts w:ascii="Sylfaen" w:hAnsi="Sylfaen"/>
          <w:szCs w:val="24"/>
        </w:rPr>
        <w:t>կամ հարկային բազայի ընդլայն</w:t>
      </w:r>
      <w:r w:rsidR="00000578">
        <w:rPr>
          <w:rFonts w:ascii="Sylfaen" w:hAnsi="Sylfaen"/>
          <w:szCs w:val="24"/>
        </w:rPr>
        <w:t>ու</w:t>
      </w:r>
      <w:r w:rsidR="00000578" w:rsidRPr="00000578">
        <w:rPr>
          <w:rFonts w:ascii="Sylfaen" w:hAnsi="Sylfaen"/>
          <w:szCs w:val="24"/>
        </w:rPr>
        <w:t xml:space="preserve">մ, </w:t>
      </w:r>
      <w:r w:rsidR="00000578">
        <w:rPr>
          <w:rFonts w:ascii="Sylfaen" w:hAnsi="Sylfaen"/>
          <w:szCs w:val="24"/>
        </w:rPr>
        <w:t xml:space="preserve">ինչը </w:t>
      </w:r>
      <w:r w:rsidR="00000578" w:rsidRPr="00000578">
        <w:rPr>
          <w:rFonts w:ascii="Sylfaen" w:hAnsi="Sylfaen"/>
          <w:szCs w:val="24"/>
        </w:rPr>
        <w:t>բարեփոխումների նպատակներից մեկն է:</w:t>
      </w:r>
    </w:p>
    <w:p w:rsidR="00657069" w:rsidRPr="00AD2F83" w:rsidRDefault="00657069" w:rsidP="004A18D6">
      <w:pPr>
        <w:rPr>
          <w:rFonts w:ascii="Sylfaen" w:hAnsi="Sylfaen"/>
          <w:szCs w:val="24"/>
        </w:rPr>
      </w:pPr>
    </w:p>
    <w:p w:rsidR="00186F17" w:rsidRPr="00AD2F83" w:rsidRDefault="00BC3F21" w:rsidP="00F6111D">
      <w:pPr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>Եկամտային հարկի բարեփոխմ</w:t>
      </w:r>
      <w:r w:rsidR="00E27620">
        <w:rPr>
          <w:rFonts w:ascii="Sylfaen" w:hAnsi="Sylfaen"/>
          <w:b/>
          <w:szCs w:val="24"/>
        </w:rPr>
        <w:t>ա</w:t>
      </w:r>
      <w:r>
        <w:rPr>
          <w:rFonts w:ascii="Sylfaen" w:hAnsi="Sylfaen"/>
          <w:b/>
          <w:szCs w:val="24"/>
        </w:rPr>
        <w:t>ն արդյունքում տնային տնտեսությունների ամենամյա եկամուտների ավելաց</w:t>
      </w:r>
      <w:r w:rsidR="00E27620">
        <w:rPr>
          <w:rFonts w:ascii="Sylfaen" w:hAnsi="Sylfaen"/>
          <w:b/>
          <w:szCs w:val="24"/>
        </w:rPr>
        <w:t>ու</w:t>
      </w:r>
      <w:r>
        <w:rPr>
          <w:rFonts w:ascii="Sylfaen" w:hAnsi="Sylfaen"/>
          <w:b/>
          <w:szCs w:val="24"/>
        </w:rPr>
        <w:t>մ</w:t>
      </w:r>
      <w:r w:rsidR="00E27620">
        <w:rPr>
          <w:rFonts w:ascii="Sylfaen" w:hAnsi="Sylfaen"/>
          <w:b/>
          <w:szCs w:val="24"/>
        </w:rPr>
        <w:t>ը</w:t>
      </w:r>
      <w:r>
        <w:rPr>
          <w:rFonts w:ascii="Sylfaen" w:hAnsi="Sylfaen"/>
          <w:b/>
          <w:szCs w:val="24"/>
        </w:rPr>
        <w:t xml:space="preserve"> վերլուծ</w:t>
      </w:r>
      <w:r w:rsidR="00E27620">
        <w:rPr>
          <w:rFonts w:ascii="Sylfaen" w:hAnsi="Sylfaen"/>
          <w:b/>
          <w:szCs w:val="24"/>
        </w:rPr>
        <w:t xml:space="preserve">ելու </w:t>
      </w:r>
      <w:r>
        <w:rPr>
          <w:rFonts w:ascii="Sylfaen" w:hAnsi="Sylfaen"/>
          <w:b/>
          <w:szCs w:val="24"/>
        </w:rPr>
        <w:t xml:space="preserve">համար հաշվարկում ենք եկամտային հարկի գծով պարտավորությունների տարբերությունը երկու սցենարի </w:t>
      </w:r>
      <w:r w:rsidR="00945AF4">
        <w:rPr>
          <w:rFonts w:ascii="Sylfaen" w:hAnsi="Sylfaen"/>
          <w:b/>
          <w:szCs w:val="24"/>
          <w:lang w:val="ru-RU"/>
        </w:rPr>
        <w:t>միջև</w:t>
      </w:r>
      <w:r>
        <w:rPr>
          <w:rFonts w:ascii="Sylfaen" w:hAnsi="Sylfaen"/>
          <w:b/>
          <w:szCs w:val="24"/>
        </w:rPr>
        <w:t xml:space="preserve"> </w:t>
      </w:r>
      <w:r w:rsidR="00F6111D" w:rsidRPr="00AD2F83">
        <w:rPr>
          <w:rFonts w:ascii="Sylfaen" w:hAnsi="Sylfaen"/>
          <w:b/>
          <w:szCs w:val="24"/>
        </w:rPr>
        <w:t>(</w:t>
      </w:r>
      <w:r>
        <w:rPr>
          <w:rFonts w:ascii="Sylfaen" w:hAnsi="Sylfaen"/>
          <w:b/>
          <w:szCs w:val="24"/>
        </w:rPr>
        <w:t>առանց բարեփոխումների և բարեփոխումներով</w:t>
      </w:r>
      <w:r w:rsidR="00F6111D" w:rsidRPr="00AD2F83">
        <w:rPr>
          <w:rFonts w:ascii="Sylfaen" w:hAnsi="Sylfaen"/>
          <w:b/>
          <w:szCs w:val="24"/>
        </w:rPr>
        <w:t>)</w:t>
      </w:r>
      <w:r>
        <w:rPr>
          <w:rFonts w:ascii="Sylfaen" w:hAnsi="Sylfaen"/>
          <w:b/>
          <w:szCs w:val="24"/>
        </w:rPr>
        <w:t>:</w:t>
      </w:r>
      <w:r w:rsidR="00F6111D" w:rsidRPr="00AD2F83">
        <w:rPr>
          <w:rFonts w:ascii="Sylfaen" w:hAnsi="Sylfaen"/>
          <w:b/>
          <w:szCs w:val="24"/>
        </w:rPr>
        <w:t xml:space="preserve"> </w:t>
      </w:r>
      <w:r w:rsidR="00F14CC8" w:rsidRPr="00F14CC8">
        <w:rPr>
          <w:rFonts w:ascii="Sylfaen" w:hAnsi="Sylfaen"/>
          <w:szCs w:val="24"/>
        </w:rPr>
        <w:t>Ընթացիկ համակարգի</w:t>
      </w:r>
      <w:r w:rsidR="00F14CC8">
        <w:rPr>
          <w:rFonts w:ascii="Sylfaen" w:hAnsi="Sylfaen"/>
          <w:b/>
          <w:szCs w:val="24"/>
        </w:rPr>
        <w:t xml:space="preserve"> </w:t>
      </w:r>
      <w:r w:rsidR="00F14CC8" w:rsidRPr="00AD2F83">
        <w:rPr>
          <w:rFonts w:ascii="Sylfaen" w:hAnsi="Sylfaen"/>
          <w:szCs w:val="24"/>
        </w:rPr>
        <w:t>(2018)</w:t>
      </w:r>
      <w:r w:rsidR="00F14CC8">
        <w:rPr>
          <w:rFonts w:ascii="Sylfaen" w:hAnsi="Sylfaen"/>
          <w:szCs w:val="24"/>
        </w:rPr>
        <w:t xml:space="preserve"> պարագայում </w:t>
      </w:r>
      <w:r w:rsidRPr="00AD2F83">
        <w:rPr>
          <w:rFonts w:ascii="Sylfaen" w:hAnsi="Sylfaen"/>
          <w:szCs w:val="24"/>
        </w:rPr>
        <w:t>2020-23</w:t>
      </w:r>
      <w:r w:rsidR="00F14CC8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 xml:space="preserve">ժամանակահատվածի յուրաքանչյուր տարվա </w:t>
      </w:r>
      <w:r w:rsidR="00F14CC8">
        <w:rPr>
          <w:rFonts w:ascii="Sylfaen" w:hAnsi="Sylfaen"/>
          <w:szCs w:val="24"/>
        </w:rPr>
        <w:t xml:space="preserve">եկամտային պարտավորությունների գումարը ստանալու համար հաշվարկում ենք եկամտային հարկի պարտավորությունները եկամտային հարկի գործող համակարգում </w:t>
      </w:r>
      <w:r w:rsidR="000B5B73" w:rsidRPr="00AD2F83">
        <w:rPr>
          <w:rFonts w:ascii="Sylfaen" w:hAnsi="Sylfaen"/>
          <w:szCs w:val="24"/>
        </w:rPr>
        <w:t>(</w:t>
      </w:r>
      <w:r w:rsidR="00F14CC8">
        <w:rPr>
          <w:rFonts w:ascii="Sylfaen" w:hAnsi="Sylfaen"/>
          <w:szCs w:val="24"/>
        </w:rPr>
        <w:t>այսինքն, առանց բարեփոխումների սցենարով</w:t>
      </w:r>
      <w:r w:rsidR="000B5B73" w:rsidRPr="00AD2F83">
        <w:rPr>
          <w:rFonts w:ascii="Sylfaen" w:hAnsi="Sylfaen"/>
          <w:szCs w:val="24"/>
        </w:rPr>
        <w:t>)</w:t>
      </w:r>
      <w:r w:rsidR="00F14CC8">
        <w:rPr>
          <w:rFonts w:ascii="Sylfaen" w:hAnsi="Sylfaen"/>
          <w:szCs w:val="24"/>
        </w:rPr>
        <w:t xml:space="preserve">՝ բազմապատկելով </w:t>
      </w:r>
      <w:r w:rsidR="00A10666" w:rsidRPr="00AD2F83">
        <w:rPr>
          <w:rFonts w:ascii="Sylfaen" w:hAnsi="Sylfaen"/>
          <w:szCs w:val="24"/>
        </w:rPr>
        <w:t>2018</w:t>
      </w:r>
      <w:r w:rsidR="00F14CC8">
        <w:rPr>
          <w:rFonts w:ascii="Sylfaen" w:hAnsi="Sylfaen"/>
          <w:szCs w:val="24"/>
        </w:rPr>
        <w:t xml:space="preserve"> թ-ի եռաստիճան դրույքաչափերը </w:t>
      </w:r>
      <w:r w:rsidR="00F14CC8" w:rsidRPr="00AD2F83">
        <w:rPr>
          <w:rFonts w:ascii="Sylfaen" w:hAnsi="Sylfaen"/>
          <w:szCs w:val="24"/>
        </w:rPr>
        <w:t>2020-23</w:t>
      </w:r>
      <w:r w:rsidR="00F14CC8">
        <w:rPr>
          <w:rFonts w:ascii="Sylfaen" w:hAnsi="Sylfaen"/>
          <w:szCs w:val="24"/>
        </w:rPr>
        <w:t xml:space="preserve"> թվականների համար կանխատեսված հարկվող եկամուտներով: </w:t>
      </w:r>
      <w:r w:rsidR="00660AFD">
        <w:rPr>
          <w:rFonts w:ascii="Sylfaen" w:hAnsi="Sylfaen"/>
          <w:szCs w:val="24"/>
        </w:rPr>
        <w:t xml:space="preserve">Եկամտային հարկի բարեփոխումների սցենարի դեպքում </w:t>
      </w:r>
      <w:r w:rsidR="00660AFD" w:rsidRPr="00AD2F83">
        <w:rPr>
          <w:rFonts w:ascii="Sylfaen" w:hAnsi="Sylfaen"/>
          <w:szCs w:val="24"/>
        </w:rPr>
        <w:t>2020-23</w:t>
      </w:r>
      <w:r w:rsidR="00660AFD">
        <w:rPr>
          <w:rFonts w:ascii="Sylfaen" w:hAnsi="Sylfaen"/>
          <w:szCs w:val="24"/>
        </w:rPr>
        <w:t xml:space="preserve"> թվականների ժամանակահատվածի յուրաքանչյուր տարվա եկամտային պարտավորությունները հաշվարկում ենք՝ եկատմային հարկի բարեփոխումներով առաջարկվող միասնական համահարթ դրույքաչափը </w:t>
      </w:r>
      <w:r w:rsidR="00945AF4">
        <w:rPr>
          <w:rFonts w:ascii="Sylfaen" w:hAnsi="Sylfaen"/>
          <w:szCs w:val="24"/>
        </w:rPr>
        <w:t xml:space="preserve">բազմապատկելով </w:t>
      </w:r>
      <w:r w:rsidR="00660AFD">
        <w:rPr>
          <w:rFonts w:ascii="Sylfaen" w:hAnsi="Sylfaen"/>
          <w:szCs w:val="24"/>
        </w:rPr>
        <w:t xml:space="preserve">կանխատեսվող հարկվող եկամտով: </w:t>
      </w:r>
      <w:r w:rsidR="00ED49C1">
        <w:rPr>
          <w:rFonts w:ascii="Sylfaen" w:hAnsi="Sylfaen"/>
          <w:szCs w:val="24"/>
        </w:rPr>
        <w:t xml:space="preserve">Այս ճշգրտումները մեզ թույլ կտան որոշել տնային տնտեսությունների բյուջեում </w:t>
      </w:r>
      <w:r w:rsidR="00ED49C1" w:rsidRPr="00AD2F83">
        <w:rPr>
          <w:rFonts w:ascii="Sylfaen" w:hAnsi="Sylfaen"/>
          <w:szCs w:val="24"/>
        </w:rPr>
        <w:t>2020-23</w:t>
      </w:r>
      <w:r w:rsidR="00ED49C1">
        <w:rPr>
          <w:rFonts w:ascii="Sylfaen" w:hAnsi="Sylfaen"/>
          <w:szCs w:val="24"/>
        </w:rPr>
        <w:t xml:space="preserve"> թվականների ընթացքում եկամտային հարկի բարեփոխումների արդյունքում դիֆերենցիալ եկամտի ավելացումը, առանձնացնելով </w:t>
      </w:r>
      <w:r w:rsidR="00E27620">
        <w:rPr>
          <w:rFonts w:ascii="Sylfaen" w:hAnsi="Sylfaen"/>
          <w:szCs w:val="24"/>
        </w:rPr>
        <w:t>միևնույն ժամանակ տնտեսական աճով պայմանավորված  ազդեցությունը</w:t>
      </w:r>
      <w:r w:rsidR="00657240">
        <w:rPr>
          <w:rFonts w:ascii="Sylfaen" w:hAnsi="Sylfaen"/>
          <w:szCs w:val="24"/>
        </w:rPr>
        <w:t>:</w:t>
      </w:r>
      <w:r w:rsidR="00ED49C1">
        <w:rPr>
          <w:rFonts w:ascii="Sylfaen" w:hAnsi="Sylfaen"/>
          <w:szCs w:val="24"/>
        </w:rPr>
        <w:t xml:space="preserve"> </w:t>
      </w:r>
    </w:p>
    <w:p w:rsidR="006010E3" w:rsidRPr="00AD2F83" w:rsidRDefault="006010E3" w:rsidP="006010E3">
      <w:pPr>
        <w:jc w:val="both"/>
        <w:rPr>
          <w:rFonts w:ascii="Sylfaen" w:hAnsi="Sylfaen"/>
          <w:szCs w:val="24"/>
        </w:rPr>
      </w:pPr>
    </w:p>
    <w:p w:rsidR="00200264" w:rsidRPr="00AD2F83" w:rsidRDefault="00657240" w:rsidP="006010E3">
      <w:pPr>
        <w:pStyle w:val="ListParagraph"/>
        <w:numPr>
          <w:ilvl w:val="0"/>
          <w:numId w:val="11"/>
        </w:numPr>
        <w:rPr>
          <w:rFonts w:ascii="Sylfaen" w:hAnsi="Sylfaen"/>
          <w:b/>
          <w:color w:val="4472C4" w:themeColor="accent1"/>
          <w:szCs w:val="24"/>
        </w:rPr>
      </w:pPr>
      <w:r>
        <w:rPr>
          <w:rFonts w:ascii="Sylfaen" w:hAnsi="Sylfaen"/>
          <w:b/>
          <w:color w:val="4472C4" w:themeColor="accent1"/>
          <w:szCs w:val="24"/>
        </w:rPr>
        <w:t>Մոդելավորման արդյունքները</w:t>
      </w:r>
    </w:p>
    <w:p w:rsidR="006010E3" w:rsidRPr="00AD2F83" w:rsidRDefault="006010E3" w:rsidP="006010E3">
      <w:pPr>
        <w:rPr>
          <w:rFonts w:ascii="Sylfaen" w:hAnsi="Sylfaen"/>
          <w:b/>
          <w:color w:val="4472C4" w:themeColor="accent1"/>
          <w:szCs w:val="24"/>
        </w:rPr>
      </w:pPr>
    </w:p>
    <w:p w:rsidR="003F35C0" w:rsidRPr="00AD2F83" w:rsidRDefault="00782393" w:rsidP="003D26C3">
      <w:pPr>
        <w:jc w:val="both"/>
        <w:rPr>
          <w:rFonts w:ascii="Sylfaen" w:hAnsi="Sylfaen"/>
          <w:szCs w:val="24"/>
        </w:rPr>
      </w:pPr>
      <w:r w:rsidRPr="00782393">
        <w:rPr>
          <w:rFonts w:ascii="Sylfaen" w:hAnsi="Sylfaen"/>
          <w:b/>
          <w:szCs w:val="24"/>
        </w:rPr>
        <w:t xml:space="preserve">Քանի որ </w:t>
      </w:r>
      <w:r>
        <w:rPr>
          <w:rFonts w:ascii="Sylfaen" w:hAnsi="Sylfaen"/>
          <w:b/>
          <w:szCs w:val="24"/>
        </w:rPr>
        <w:t>եկամտային հարկի բ</w:t>
      </w:r>
      <w:r w:rsidRPr="00782393">
        <w:rPr>
          <w:rFonts w:ascii="Sylfaen" w:hAnsi="Sylfaen"/>
          <w:b/>
          <w:szCs w:val="24"/>
        </w:rPr>
        <w:t xml:space="preserve">արեփոխումը սահմանում է </w:t>
      </w:r>
      <w:r>
        <w:rPr>
          <w:rFonts w:ascii="Sylfaen" w:hAnsi="Sylfaen"/>
          <w:b/>
          <w:szCs w:val="24"/>
        </w:rPr>
        <w:t xml:space="preserve">եկամտային հարկի ավելի </w:t>
      </w:r>
      <w:r w:rsidRPr="00782393">
        <w:rPr>
          <w:rFonts w:ascii="Sylfaen" w:hAnsi="Sylfaen"/>
          <w:b/>
          <w:szCs w:val="24"/>
        </w:rPr>
        <w:t xml:space="preserve"> ցածր</w:t>
      </w:r>
      <w:r>
        <w:rPr>
          <w:rFonts w:ascii="Sylfaen" w:hAnsi="Sylfaen"/>
          <w:b/>
          <w:szCs w:val="24"/>
        </w:rPr>
        <w:t xml:space="preserve"> միասնական դրույքաչափ </w:t>
      </w:r>
      <w:r w:rsidRPr="00782393">
        <w:rPr>
          <w:rFonts w:ascii="Sylfaen" w:hAnsi="Sylfaen"/>
          <w:b/>
          <w:szCs w:val="24"/>
        </w:rPr>
        <w:t>(</w:t>
      </w:r>
      <w:r>
        <w:rPr>
          <w:rFonts w:ascii="Sylfaen" w:hAnsi="Sylfaen"/>
          <w:b/>
          <w:szCs w:val="24"/>
        </w:rPr>
        <w:t>և</w:t>
      </w:r>
      <w:r w:rsidRPr="00782393">
        <w:rPr>
          <w:rFonts w:ascii="Sylfaen" w:hAnsi="Sylfaen"/>
          <w:b/>
          <w:szCs w:val="24"/>
        </w:rPr>
        <w:t xml:space="preserve"> ենթադր</w:t>
      </w:r>
      <w:r>
        <w:rPr>
          <w:rFonts w:ascii="Sylfaen" w:hAnsi="Sylfaen"/>
          <w:b/>
          <w:szCs w:val="24"/>
        </w:rPr>
        <w:t xml:space="preserve">ելով, որ </w:t>
      </w:r>
      <w:r w:rsidRPr="00782393">
        <w:rPr>
          <w:rFonts w:ascii="Sylfaen" w:hAnsi="Sylfaen"/>
          <w:b/>
          <w:szCs w:val="24"/>
        </w:rPr>
        <w:t xml:space="preserve">բոլոր մյուս հարկերը </w:t>
      </w:r>
      <w:r>
        <w:rPr>
          <w:rFonts w:ascii="Sylfaen" w:hAnsi="Sylfaen"/>
          <w:b/>
          <w:szCs w:val="24"/>
        </w:rPr>
        <w:t>և տրանսֆերտները կմնան անփոփոխ</w:t>
      </w:r>
      <w:r w:rsidRPr="00782393">
        <w:rPr>
          <w:rFonts w:ascii="Sylfaen" w:hAnsi="Sylfaen"/>
          <w:b/>
          <w:szCs w:val="24"/>
        </w:rPr>
        <w:t xml:space="preserve">), եկամուտների </w:t>
      </w:r>
      <w:r>
        <w:rPr>
          <w:rFonts w:ascii="Sylfaen" w:hAnsi="Sylfaen"/>
          <w:b/>
          <w:szCs w:val="24"/>
        </w:rPr>
        <w:t xml:space="preserve">որոշակի աճ </w:t>
      </w:r>
      <w:r w:rsidRPr="00782393">
        <w:rPr>
          <w:rFonts w:ascii="Sylfaen" w:hAnsi="Sylfaen"/>
          <w:b/>
          <w:szCs w:val="24"/>
        </w:rPr>
        <w:t xml:space="preserve">կարող </w:t>
      </w:r>
      <w:r>
        <w:rPr>
          <w:rFonts w:ascii="Sylfaen" w:hAnsi="Sylfaen"/>
          <w:b/>
          <w:szCs w:val="24"/>
        </w:rPr>
        <w:t>է</w:t>
      </w:r>
      <w:r w:rsidRPr="00782393">
        <w:rPr>
          <w:rFonts w:ascii="Sylfaen" w:hAnsi="Sylfaen"/>
          <w:b/>
          <w:szCs w:val="24"/>
        </w:rPr>
        <w:t xml:space="preserve"> ակնկալվել գրեթե բոլոր </w:t>
      </w:r>
      <w:r>
        <w:rPr>
          <w:rFonts w:ascii="Sylfaen" w:hAnsi="Sylfaen"/>
          <w:b/>
          <w:szCs w:val="24"/>
        </w:rPr>
        <w:t xml:space="preserve">դեցիլներում, և այդ աճը կշարունակվի </w:t>
      </w:r>
      <w:r w:rsidRPr="00782393">
        <w:rPr>
          <w:rFonts w:ascii="Sylfaen" w:hAnsi="Sylfaen"/>
          <w:b/>
          <w:szCs w:val="24"/>
        </w:rPr>
        <w:t>տարեկան</w:t>
      </w:r>
      <w:r>
        <w:rPr>
          <w:rFonts w:ascii="Sylfaen" w:hAnsi="Sylfaen"/>
          <w:b/>
          <w:szCs w:val="24"/>
        </w:rPr>
        <w:t xml:space="preserve"> կտրվածքով՝ եկամտային հարկի բարեփոխման շրջանակում եկամտային հարկի դրույքաչափի </w:t>
      </w:r>
      <w:r>
        <w:rPr>
          <w:rFonts w:ascii="Sylfaen" w:hAnsi="Sylfaen"/>
          <w:b/>
          <w:szCs w:val="24"/>
        </w:rPr>
        <w:lastRenderedPageBreak/>
        <w:t>աստիճանական իջեցմանը զուգ</w:t>
      </w:r>
      <w:r w:rsidR="00945AF4">
        <w:rPr>
          <w:rFonts w:ascii="Sylfaen" w:hAnsi="Sylfaen"/>
          <w:b/>
          <w:szCs w:val="24"/>
          <w:lang w:val="ru-RU"/>
        </w:rPr>
        <w:t>ընթաց</w:t>
      </w:r>
      <w:r w:rsidRPr="00782393">
        <w:rPr>
          <w:rFonts w:ascii="Sylfaen" w:hAnsi="Sylfaen"/>
          <w:szCs w:val="24"/>
        </w:rPr>
        <w:t xml:space="preserve">: Մենք գնահատում ենք </w:t>
      </w:r>
      <w:r>
        <w:rPr>
          <w:rFonts w:ascii="Sylfaen" w:hAnsi="Sylfaen"/>
          <w:szCs w:val="24"/>
        </w:rPr>
        <w:t xml:space="preserve">եկամտային հարկի </w:t>
      </w:r>
      <w:r w:rsidRPr="00782393">
        <w:rPr>
          <w:rFonts w:ascii="Sylfaen" w:hAnsi="Sylfaen"/>
          <w:szCs w:val="24"/>
        </w:rPr>
        <w:t>բարեփոխումներ</w:t>
      </w:r>
      <w:r>
        <w:rPr>
          <w:rFonts w:ascii="Sylfaen" w:hAnsi="Sylfaen"/>
          <w:szCs w:val="24"/>
        </w:rPr>
        <w:t xml:space="preserve">ով պայմանավորված </w:t>
      </w:r>
      <w:r w:rsidRPr="00782393">
        <w:rPr>
          <w:rFonts w:ascii="Sylfaen" w:hAnsi="Sylfaen"/>
          <w:szCs w:val="24"/>
        </w:rPr>
        <w:t>զուտ եկամուտների</w:t>
      </w:r>
      <w:r>
        <w:rPr>
          <w:rFonts w:ascii="Sylfaen" w:hAnsi="Sylfaen"/>
          <w:szCs w:val="24"/>
        </w:rPr>
        <w:t xml:space="preserve"> ավելացումը</w:t>
      </w:r>
      <w:r w:rsidRPr="00782393">
        <w:rPr>
          <w:rFonts w:ascii="Sylfaen" w:hAnsi="Sylfaen"/>
          <w:szCs w:val="24"/>
        </w:rPr>
        <w:t>`հաշվ</w:t>
      </w:r>
      <w:r>
        <w:rPr>
          <w:rFonts w:ascii="Sylfaen" w:hAnsi="Sylfaen"/>
          <w:szCs w:val="24"/>
        </w:rPr>
        <w:t>ելով եկամտային հարկի գծով</w:t>
      </w:r>
      <w:r w:rsidRPr="00782393">
        <w:rPr>
          <w:rFonts w:ascii="Sylfaen" w:hAnsi="Sylfaen"/>
          <w:szCs w:val="24"/>
        </w:rPr>
        <w:t xml:space="preserve"> պարտավորությունների </w:t>
      </w:r>
      <w:r w:rsidR="00441884" w:rsidRPr="00782393">
        <w:rPr>
          <w:rFonts w:ascii="Sylfaen" w:hAnsi="Sylfaen"/>
          <w:szCs w:val="24"/>
        </w:rPr>
        <w:t xml:space="preserve">տարբերությունը </w:t>
      </w:r>
      <w:r w:rsidRPr="00782393">
        <w:rPr>
          <w:rFonts w:ascii="Sylfaen" w:hAnsi="Sylfaen"/>
          <w:szCs w:val="24"/>
        </w:rPr>
        <w:t xml:space="preserve">(բարեփոխումների </w:t>
      </w:r>
      <w:r>
        <w:rPr>
          <w:rFonts w:ascii="Sylfaen" w:hAnsi="Sylfaen"/>
          <w:szCs w:val="24"/>
        </w:rPr>
        <w:t>բացակայության և</w:t>
      </w:r>
      <w:r w:rsidRPr="00782393">
        <w:rPr>
          <w:rFonts w:ascii="Sylfaen" w:hAnsi="Sylfaen"/>
          <w:szCs w:val="24"/>
        </w:rPr>
        <w:t xml:space="preserve"> բարեփոխումներ</w:t>
      </w:r>
      <w:r>
        <w:rPr>
          <w:rFonts w:ascii="Sylfaen" w:hAnsi="Sylfaen"/>
          <w:szCs w:val="24"/>
        </w:rPr>
        <w:t>ով սցենարներում</w:t>
      </w:r>
      <w:r w:rsidRPr="00782393">
        <w:rPr>
          <w:rFonts w:ascii="Sylfaen" w:hAnsi="Sylfaen"/>
          <w:b/>
          <w:szCs w:val="24"/>
        </w:rPr>
        <w:t>):</w:t>
      </w:r>
      <w:r>
        <w:rPr>
          <w:rFonts w:ascii="Sylfaen" w:hAnsi="Sylfaen"/>
          <w:b/>
          <w:szCs w:val="24"/>
        </w:rPr>
        <w:t xml:space="preserve"> </w:t>
      </w:r>
      <w:r w:rsidR="00236761" w:rsidRPr="00236761">
        <w:rPr>
          <w:rFonts w:ascii="Sylfaen" w:hAnsi="Sylfaen"/>
          <w:szCs w:val="24"/>
        </w:rPr>
        <w:t>Այս հաշվարկը կատարվ</w:t>
      </w:r>
      <w:r w:rsidR="00236761">
        <w:rPr>
          <w:rFonts w:ascii="Sylfaen" w:hAnsi="Sylfaen"/>
          <w:szCs w:val="24"/>
        </w:rPr>
        <w:t xml:space="preserve">ում է </w:t>
      </w:r>
      <w:r w:rsidR="00441884">
        <w:rPr>
          <w:rFonts w:ascii="Sylfaen" w:hAnsi="Sylfaen"/>
          <w:szCs w:val="24"/>
        </w:rPr>
        <w:t>տնային տնտեսությու</w:t>
      </w:r>
      <w:r w:rsidR="00441884" w:rsidRPr="00236761">
        <w:rPr>
          <w:rFonts w:ascii="Sylfaen" w:hAnsi="Sylfaen"/>
          <w:szCs w:val="24"/>
        </w:rPr>
        <w:t>ն</w:t>
      </w:r>
      <w:r w:rsidR="00441884">
        <w:rPr>
          <w:rFonts w:ascii="Sylfaen" w:hAnsi="Sylfaen"/>
          <w:szCs w:val="24"/>
        </w:rPr>
        <w:t>ների</w:t>
      </w:r>
      <w:r w:rsidR="00441884" w:rsidRPr="00236761">
        <w:rPr>
          <w:rFonts w:ascii="Sylfaen" w:hAnsi="Sylfaen"/>
          <w:szCs w:val="24"/>
        </w:rPr>
        <w:t xml:space="preserve"> մակարդակում</w:t>
      </w:r>
      <w:r w:rsidR="00441884">
        <w:rPr>
          <w:rFonts w:ascii="Sylfaen" w:hAnsi="Sylfaen"/>
          <w:szCs w:val="24"/>
        </w:rPr>
        <w:t xml:space="preserve"> </w:t>
      </w:r>
      <w:r w:rsidR="00236761">
        <w:rPr>
          <w:rFonts w:ascii="Sylfaen" w:hAnsi="Sylfaen"/>
          <w:szCs w:val="24"/>
        </w:rPr>
        <w:t>տարեկան</w:t>
      </w:r>
      <w:r w:rsidR="00441884">
        <w:rPr>
          <w:rFonts w:ascii="Sylfaen" w:hAnsi="Sylfaen"/>
          <w:szCs w:val="24"/>
        </w:rPr>
        <w:t xml:space="preserve"> կտրվածքով </w:t>
      </w:r>
      <w:r w:rsidR="00236761">
        <w:rPr>
          <w:rFonts w:ascii="Sylfaen" w:hAnsi="Sylfaen"/>
          <w:szCs w:val="24"/>
        </w:rPr>
        <w:t>և</w:t>
      </w:r>
      <w:r w:rsidR="00236761" w:rsidRPr="00236761">
        <w:rPr>
          <w:rFonts w:ascii="Sylfaen" w:hAnsi="Sylfaen"/>
          <w:szCs w:val="24"/>
        </w:rPr>
        <w:t xml:space="preserve"> ներկ</w:t>
      </w:r>
      <w:r w:rsidR="00236761">
        <w:rPr>
          <w:rFonts w:ascii="Sylfaen" w:hAnsi="Sylfaen"/>
          <w:szCs w:val="24"/>
        </w:rPr>
        <w:t>այացվում</w:t>
      </w:r>
      <w:r w:rsidR="00441884">
        <w:rPr>
          <w:rFonts w:ascii="Sylfaen" w:hAnsi="Sylfaen"/>
          <w:szCs w:val="24"/>
        </w:rPr>
        <w:t xml:space="preserve"> է</w:t>
      </w:r>
      <w:r w:rsidR="00236761">
        <w:rPr>
          <w:rFonts w:ascii="Sylfaen" w:hAnsi="Sylfaen"/>
          <w:szCs w:val="24"/>
        </w:rPr>
        <w:t xml:space="preserve"> որպես տնային տնտեսությու</w:t>
      </w:r>
      <w:r w:rsidR="00236761" w:rsidRPr="00236761">
        <w:rPr>
          <w:rFonts w:ascii="Sylfaen" w:hAnsi="Sylfaen"/>
          <w:szCs w:val="24"/>
        </w:rPr>
        <w:t>ն</w:t>
      </w:r>
      <w:r w:rsidR="00236761">
        <w:rPr>
          <w:rFonts w:ascii="Sylfaen" w:hAnsi="Sylfaen"/>
          <w:szCs w:val="24"/>
        </w:rPr>
        <w:t>ների տնօրին</w:t>
      </w:r>
      <w:r w:rsidR="00441884">
        <w:rPr>
          <w:rFonts w:ascii="Sylfaen" w:hAnsi="Sylfaen"/>
          <w:szCs w:val="24"/>
        </w:rPr>
        <w:t>վող</w:t>
      </w:r>
      <w:r w:rsidR="00236761">
        <w:rPr>
          <w:rFonts w:ascii="Sylfaen" w:hAnsi="Sylfaen"/>
          <w:szCs w:val="24"/>
        </w:rPr>
        <w:t xml:space="preserve"> </w:t>
      </w:r>
      <w:r w:rsidR="00236761" w:rsidRPr="00236761">
        <w:rPr>
          <w:rFonts w:ascii="Sylfaen" w:hAnsi="Sylfaen"/>
          <w:szCs w:val="24"/>
        </w:rPr>
        <w:t>եկամտի</w:t>
      </w:r>
      <w:r w:rsidR="00236761">
        <w:rPr>
          <w:rFonts w:ascii="Sylfaen" w:hAnsi="Sylfaen"/>
          <w:szCs w:val="24"/>
        </w:rPr>
        <w:t xml:space="preserve"> մի մաս: Եկամուտների ավելացումը տատանվում </w:t>
      </w:r>
      <w:r w:rsidR="00945AF4">
        <w:rPr>
          <w:rFonts w:ascii="Sylfaen" w:hAnsi="Sylfaen"/>
          <w:szCs w:val="24"/>
          <w:lang w:val="ru-RU"/>
        </w:rPr>
        <w:t>է</w:t>
      </w:r>
      <w:r w:rsidR="00945AF4" w:rsidRPr="003A6DCF">
        <w:rPr>
          <w:rFonts w:ascii="Sylfaen" w:hAnsi="Sylfaen"/>
          <w:szCs w:val="24"/>
        </w:rPr>
        <w:t xml:space="preserve"> </w:t>
      </w:r>
      <w:r w:rsidR="003F35C0" w:rsidRPr="00AD2F83">
        <w:rPr>
          <w:rFonts w:ascii="Sylfaen" w:hAnsi="Sylfaen"/>
          <w:szCs w:val="24"/>
        </w:rPr>
        <w:t>0</w:t>
      </w:r>
      <w:r w:rsidR="000A6E56" w:rsidRPr="00AD2F83">
        <w:rPr>
          <w:rFonts w:ascii="Sylfaen" w:hAnsi="Sylfaen"/>
          <w:szCs w:val="24"/>
        </w:rPr>
        <w:t>.1</w:t>
      </w:r>
      <w:r w:rsidR="00236761">
        <w:rPr>
          <w:rFonts w:ascii="Sylfaen" w:hAnsi="Sylfaen"/>
          <w:szCs w:val="24"/>
        </w:rPr>
        <w:t xml:space="preserve"> -</w:t>
      </w:r>
      <w:r w:rsidR="003F35C0" w:rsidRPr="00AD2F83">
        <w:rPr>
          <w:rFonts w:ascii="Sylfaen" w:hAnsi="Sylfaen"/>
          <w:szCs w:val="24"/>
        </w:rPr>
        <w:t xml:space="preserve"> 4.5</w:t>
      </w:r>
      <w:r w:rsidR="00236761">
        <w:rPr>
          <w:rFonts w:ascii="Sylfaen" w:hAnsi="Sylfaen"/>
          <w:szCs w:val="24"/>
        </w:rPr>
        <w:t xml:space="preserve"> տոկոսային կետերի միջակայքում</w:t>
      </w:r>
      <w:r w:rsidR="007D2D56">
        <w:rPr>
          <w:rFonts w:ascii="Sylfaen" w:hAnsi="Sylfaen"/>
          <w:szCs w:val="24"/>
        </w:rPr>
        <w:t xml:space="preserve"> և</w:t>
      </w:r>
      <w:r w:rsidR="00236761">
        <w:rPr>
          <w:rFonts w:ascii="Sylfaen" w:hAnsi="Sylfaen"/>
          <w:szCs w:val="24"/>
        </w:rPr>
        <w:t xml:space="preserve"> մեծան</w:t>
      </w:r>
      <w:r w:rsidR="007D2D56">
        <w:rPr>
          <w:rFonts w:ascii="Sylfaen" w:hAnsi="Sylfaen"/>
          <w:szCs w:val="24"/>
        </w:rPr>
        <w:t xml:space="preserve">ում է </w:t>
      </w:r>
      <w:r w:rsidR="00236761">
        <w:rPr>
          <w:rFonts w:ascii="Sylfaen" w:hAnsi="Sylfaen"/>
          <w:szCs w:val="24"/>
        </w:rPr>
        <w:t>եկամտային հարկի՝ 23-ից  մինչև 20 տոկոս նվազե</w:t>
      </w:r>
      <w:r w:rsidR="00635F5E">
        <w:rPr>
          <w:rFonts w:ascii="Sylfaen" w:hAnsi="Sylfaen"/>
          <w:szCs w:val="24"/>
        </w:rPr>
        <w:t>ցման</w:t>
      </w:r>
      <w:r w:rsidR="007D2D56">
        <w:rPr>
          <w:rFonts w:ascii="Sylfaen" w:hAnsi="Sylfaen"/>
          <w:szCs w:val="24"/>
        </w:rPr>
        <w:t>ը զուգընթաց</w:t>
      </w:r>
      <w:r w:rsidR="00236761">
        <w:rPr>
          <w:rFonts w:ascii="Sylfaen" w:hAnsi="Sylfaen"/>
          <w:szCs w:val="24"/>
        </w:rPr>
        <w:t xml:space="preserve">  </w:t>
      </w:r>
      <w:r w:rsidR="003F35C0" w:rsidRPr="00AD2F83">
        <w:rPr>
          <w:rFonts w:ascii="Sylfaen" w:hAnsi="Sylfaen"/>
          <w:szCs w:val="24"/>
        </w:rPr>
        <w:t>(</w:t>
      </w:r>
      <w:r w:rsidR="00635F5E">
        <w:rPr>
          <w:rFonts w:ascii="Sylfaen" w:hAnsi="Sylfaen"/>
          <w:szCs w:val="24"/>
        </w:rPr>
        <w:t xml:space="preserve">տես Աղյուսակ </w:t>
      </w:r>
      <w:r w:rsidR="003F35C0" w:rsidRPr="00AD2F83">
        <w:rPr>
          <w:rFonts w:ascii="Sylfaen" w:hAnsi="Sylfaen"/>
          <w:szCs w:val="24"/>
        </w:rPr>
        <w:t xml:space="preserve">3 </w:t>
      </w:r>
      <w:r w:rsidR="00635F5E">
        <w:rPr>
          <w:rFonts w:ascii="Sylfaen" w:hAnsi="Sylfaen"/>
          <w:szCs w:val="24"/>
        </w:rPr>
        <w:t xml:space="preserve">և Գծապատկեր </w:t>
      </w:r>
      <w:r w:rsidR="003F35C0" w:rsidRPr="00AD2F83">
        <w:rPr>
          <w:rFonts w:ascii="Sylfaen" w:hAnsi="Sylfaen"/>
          <w:szCs w:val="24"/>
        </w:rPr>
        <w:t>1)</w:t>
      </w:r>
      <w:r w:rsidR="00635F5E">
        <w:rPr>
          <w:rFonts w:ascii="Sylfaen" w:hAnsi="Sylfaen"/>
          <w:szCs w:val="24"/>
        </w:rPr>
        <w:t>:</w:t>
      </w:r>
    </w:p>
    <w:p w:rsidR="00B2008D" w:rsidRDefault="00B2008D" w:rsidP="00FC1764">
      <w:pPr>
        <w:rPr>
          <w:rFonts w:ascii="Sylfaen" w:hAnsi="Sylfaen" w:cs="Calibri"/>
          <w:color w:val="000000"/>
          <w:szCs w:val="24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31"/>
        <w:gridCol w:w="1429"/>
        <w:gridCol w:w="1429"/>
        <w:gridCol w:w="1429"/>
        <w:gridCol w:w="1432"/>
      </w:tblGrid>
      <w:tr w:rsidR="005A7C99" w:rsidRPr="003F2F66" w:rsidTr="00A57286">
        <w:trPr>
          <w:trHeight w:val="23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b/>
                <w:bCs/>
                <w:color w:val="000000"/>
                <w:sz w:val="22"/>
              </w:rPr>
              <w:t>Աղյուսակ 2. Տնային տնտեսությունների եկամուտների ավելացումը՝ պայմանավորված եկամտային հարկի բարեփոխումներով (որպես տնօրինվող եկամտի տեսակարար կշիռ, ըստ դեցիլների)</w:t>
            </w:r>
          </w:p>
        </w:tc>
      </w:tr>
      <w:tr w:rsidR="005A7C99" w:rsidRPr="003F2F66" w:rsidTr="00F3204C">
        <w:trPr>
          <w:trHeight w:val="323"/>
          <w:jc w:val="center"/>
        </w:trPr>
        <w:tc>
          <w:tcPr>
            <w:tcW w:w="1942" w:type="pct"/>
            <w:shd w:val="clear" w:color="auto" w:fill="auto"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b/>
                <w:bCs/>
                <w:color w:val="000000"/>
                <w:sz w:val="22"/>
              </w:rPr>
              <w:t>Տնօրինվող եկամտի դեցիլ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b/>
                <w:bCs/>
                <w:color w:val="000000"/>
                <w:sz w:val="22"/>
              </w:rPr>
              <w:t>2020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b/>
                <w:bCs/>
                <w:color w:val="000000"/>
                <w:sz w:val="22"/>
              </w:rPr>
              <w:t>2021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b/>
                <w:bCs/>
                <w:color w:val="000000"/>
                <w:sz w:val="22"/>
              </w:rPr>
              <w:t>2022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b/>
                <w:bCs/>
                <w:color w:val="000000"/>
                <w:sz w:val="22"/>
              </w:rPr>
              <w:t>2023</w:t>
            </w:r>
          </w:p>
        </w:tc>
      </w:tr>
      <w:tr w:rsidR="005A7C99" w:rsidRPr="003F2F66" w:rsidTr="00A57286">
        <w:trPr>
          <w:trHeight w:val="269"/>
          <w:jc w:val="center"/>
        </w:trPr>
        <w:tc>
          <w:tcPr>
            <w:tcW w:w="1942" w:type="pct"/>
            <w:shd w:val="clear" w:color="auto" w:fill="auto"/>
            <w:noWrap/>
            <w:vAlign w:val="bottom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 xml:space="preserve">Ամենաաղքատ </w:t>
            </w:r>
          </w:p>
        </w:tc>
        <w:tc>
          <w:tcPr>
            <w:tcW w:w="764" w:type="pct"/>
            <w:shd w:val="clear" w:color="000000" w:fill="F8696B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0.12%</w:t>
            </w:r>
          </w:p>
        </w:tc>
        <w:tc>
          <w:tcPr>
            <w:tcW w:w="764" w:type="pct"/>
            <w:shd w:val="clear" w:color="000000" w:fill="F86F6C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0.27%</w:t>
            </w:r>
          </w:p>
        </w:tc>
        <w:tc>
          <w:tcPr>
            <w:tcW w:w="764" w:type="pct"/>
            <w:shd w:val="clear" w:color="000000" w:fill="F8736C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0.41%</w:t>
            </w:r>
          </w:p>
        </w:tc>
        <w:tc>
          <w:tcPr>
            <w:tcW w:w="766" w:type="pct"/>
            <w:shd w:val="clear" w:color="000000" w:fill="F8716C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0.44%</w:t>
            </w:r>
          </w:p>
        </w:tc>
      </w:tr>
      <w:tr w:rsidR="005A7C99" w:rsidRPr="003F2F66" w:rsidTr="00A57286">
        <w:trPr>
          <w:trHeight w:val="269"/>
          <w:jc w:val="center"/>
        </w:trPr>
        <w:tc>
          <w:tcPr>
            <w:tcW w:w="1942" w:type="pct"/>
            <w:shd w:val="clear" w:color="auto" w:fill="auto"/>
            <w:noWrap/>
            <w:vAlign w:val="bottom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2</w:t>
            </w:r>
          </w:p>
        </w:tc>
        <w:tc>
          <w:tcPr>
            <w:tcW w:w="764" w:type="pct"/>
            <w:shd w:val="clear" w:color="000000" w:fill="F9806F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0.32%</w:t>
            </w:r>
          </w:p>
        </w:tc>
        <w:tc>
          <w:tcPr>
            <w:tcW w:w="764" w:type="pct"/>
            <w:shd w:val="clear" w:color="000000" w:fill="FA9C74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0.76%</w:t>
            </w:r>
          </w:p>
        </w:tc>
        <w:tc>
          <w:tcPr>
            <w:tcW w:w="764" w:type="pct"/>
            <w:shd w:val="clear" w:color="000000" w:fill="FBB279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0.93%</w:t>
            </w:r>
          </w:p>
        </w:tc>
        <w:tc>
          <w:tcPr>
            <w:tcW w:w="766" w:type="pct"/>
            <w:shd w:val="clear" w:color="000000" w:fill="FDC67C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1.32%</w:t>
            </w:r>
          </w:p>
        </w:tc>
      </w:tr>
      <w:tr w:rsidR="005A7C99" w:rsidRPr="003F2F66" w:rsidTr="00A57286">
        <w:trPr>
          <w:trHeight w:val="269"/>
          <w:jc w:val="center"/>
        </w:trPr>
        <w:tc>
          <w:tcPr>
            <w:tcW w:w="1942" w:type="pct"/>
            <w:shd w:val="clear" w:color="auto" w:fill="auto"/>
            <w:noWrap/>
            <w:vAlign w:val="bottom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3</w:t>
            </w:r>
          </w:p>
        </w:tc>
        <w:tc>
          <w:tcPr>
            <w:tcW w:w="764" w:type="pct"/>
            <w:shd w:val="clear" w:color="000000" w:fill="FA9272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0.37%</w:t>
            </w:r>
          </w:p>
        </w:tc>
        <w:tc>
          <w:tcPr>
            <w:tcW w:w="764" w:type="pct"/>
            <w:shd w:val="clear" w:color="000000" w:fill="FBAE78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0.85%</w:t>
            </w:r>
          </w:p>
        </w:tc>
        <w:tc>
          <w:tcPr>
            <w:tcW w:w="764" w:type="pct"/>
            <w:shd w:val="clear" w:color="000000" w:fill="FDC87D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1.47%</w:t>
            </w:r>
          </w:p>
        </w:tc>
        <w:tc>
          <w:tcPr>
            <w:tcW w:w="766" w:type="pct"/>
            <w:shd w:val="clear" w:color="000000" w:fill="FEDE81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1.77%</w:t>
            </w:r>
          </w:p>
        </w:tc>
      </w:tr>
      <w:tr w:rsidR="005A7C99" w:rsidRPr="003F2F66" w:rsidTr="00A57286">
        <w:trPr>
          <w:trHeight w:val="269"/>
          <w:jc w:val="center"/>
        </w:trPr>
        <w:tc>
          <w:tcPr>
            <w:tcW w:w="1942" w:type="pct"/>
            <w:shd w:val="clear" w:color="auto" w:fill="auto"/>
            <w:noWrap/>
            <w:vAlign w:val="bottom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4</w:t>
            </w:r>
          </w:p>
        </w:tc>
        <w:tc>
          <w:tcPr>
            <w:tcW w:w="764" w:type="pct"/>
            <w:shd w:val="clear" w:color="000000" w:fill="FA9D75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0.39%</w:t>
            </w:r>
          </w:p>
        </w:tc>
        <w:tc>
          <w:tcPr>
            <w:tcW w:w="764" w:type="pct"/>
            <w:shd w:val="clear" w:color="000000" w:fill="FCC47C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0.99%</w:t>
            </w:r>
          </w:p>
        </w:tc>
        <w:tc>
          <w:tcPr>
            <w:tcW w:w="764" w:type="pct"/>
            <w:shd w:val="clear" w:color="000000" w:fill="FEEA83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1.53%</w:t>
            </w:r>
          </w:p>
        </w:tc>
        <w:tc>
          <w:tcPr>
            <w:tcW w:w="766" w:type="pct"/>
            <w:shd w:val="clear" w:color="000000" w:fill="E7E583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2.14%</w:t>
            </w:r>
          </w:p>
        </w:tc>
      </w:tr>
      <w:tr w:rsidR="005A7C99" w:rsidRPr="003F2F66" w:rsidTr="00A57286">
        <w:trPr>
          <w:trHeight w:val="269"/>
          <w:jc w:val="center"/>
        </w:trPr>
        <w:tc>
          <w:tcPr>
            <w:tcW w:w="1942" w:type="pct"/>
            <w:shd w:val="clear" w:color="auto" w:fill="auto"/>
            <w:noWrap/>
            <w:vAlign w:val="bottom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5</w:t>
            </w:r>
          </w:p>
        </w:tc>
        <w:tc>
          <w:tcPr>
            <w:tcW w:w="764" w:type="pct"/>
            <w:shd w:val="clear" w:color="000000" w:fill="FBAD78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0.70%</w:t>
            </w:r>
          </w:p>
        </w:tc>
        <w:tc>
          <w:tcPr>
            <w:tcW w:w="764" w:type="pct"/>
            <w:shd w:val="clear" w:color="000000" w:fill="FEDF81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1.30%</w:t>
            </w:r>
          </w:p>
        </w:tc>
        <w:tc>
          <w:tcPr>
            <w:tcW w:w="764" w:type="pct"/>
            <w:shd w:val="clear" w:color="000000" w:fill="E3E383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1.82%</w:t>
            </w:r>
          </w:p>
        </w:tc>
        <w:tc>
          <w:tcPr>
            <w:tcW w:w="766" w:type="pct"/>
            <w:shd w:val="clear" w:color="000000" w:fill="C4DA81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2.56%</w:t>
            </w:r>
          </w:p>
        </w:tc>
      </w:tr>
      <w:tr w:rsidR="005A7C99" w:rsidRPr="003F2F66" w:rsidTr="00A57286">
        <w:trPr>
          <w:trHeight w:val="269"/>
          <w:jc w:val="center"/>
        </w:trPr>
        <w:tc>
          <w:tcPr>
            <w:tcW w:w="1942" w:type="pct"/>
            <w:shd w:val="clear" w:color="auto" w:fill="auto"/>
            <w:noWrap/>
            <w:vAlign w:val="bottom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6</w:t>
            </w:r>
          </w:p>
        </w:tc>
        <w:tc>
          <w:tcPr>
            <w:tcW w:w="764" w:type="pct"/>
            <w:shd w:val="clear" w:color="000000" w:fill="FCB87A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0.86%</w:t>
            </w:r>
          </w:p>
        </w:tc>
        <w:tc>
          <w:tcPr>
            <w:tcW w:w="764" w:type="pct"/>
            <w:shd w:val="clear" w:color="000000" w:fill="FAEA84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1.48%</w:t>
            </w:r>
          </w:p>
        </w:tc>
        <w:tc>
          <w:tcPr>
            <w:tcW w:w="764" w:type="pct"/>
            <w:shd w:val="clear" w:color="000000" w:fill="DDE283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2.27%</w:t>
            </w:r>
          </w:p>
        </w:tc>
        <w:tc>
          <w:tcPr>
            <w:tcW w:w="766" w:type="pct"/>
            <w:shd w:val="clear" w:color="000000" w:fill="B8D780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2.85%</w:t>
            </w:r>
          </w:p>
        </w:tc>
      </w:tr>
      <w:tr w:rsidR="005A7C99" w:rsidRPr="003F2F66" w:rsidTr="00A57286">
        <w:trPr>
          <w:trHeight w:val="269"/>
          <w:jc w:val="center"/>
        </w:trPr>
        <w:tc>
          <w:tcPr>
            <w:tcW w:w="1942" w:type="pct"/>
            <w:shd w:val="clear" w:color="auto" w:fill="auto"/>
            <w:noWrap/>
            <w:vAlign w:val="bottom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7</w:t>
            </w:r>
          </w:p>
        </w:tc>
        <w:tc>
          <w:tcPr>
            <w:tcW w:w="764" w:type="pct"/>
            <w:shd w:val="clear" w:color="000000" w:fill="FEE182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1.44%</w:t>
            </w:r>
          </w:p>
        </w:tc>
        <w:tc>
          <w:tcPr>
            <w:tcW w:w="764" w:type="pct"/>
            <w:shd w:val="clear" w:color="000000" w:fill="D5DF82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2.31%</w:t>
            </w:r>
          </w:p>
        </w:tc>
        <w:tc>
          <w:tcPr>
            <w:tcW w:w="764" w:type="pct"/>
            <w:shd w:val="clear" w:color="000000" w:fill="A7D27F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3.20%</w:t>
            </w:r>
          </w:p>
        </w:tc>
        <w:tc>
          <w:tcPr>
            <w:tcW w:w="766" w:type="pct"/>
            <w:shd w:val="clear" w:color="000000" w:fill="80C77D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3.96%</w:t>
            </w:r>
          </w:p>
        </w:tc>
      </w:tr>
      <w:tr w:rsidR="005A7C99" w:rsidRPr="003F2F66" w:rsidTr="00A57286">
        <w:trPr>
          <w:trHeight w:val="269"/>
          <w:jc w:val="center"/>
        </w:trPr>
        <w:tc>
          <w:tcPr>
            <w:tcW w:w="1942" w:type="pct"/>
            <w:shd w:val="clear" w:color="auto" w:fill="auto"/>
            <w:noWrap/>
            <w:vAlign w:val="bottom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8</w:t>
            </w:r>
          </w:p>
        </w:tc>
        <w:tc>
          <w:tcPr>
            <w:tcW w:w="764" w:type="pct"/>
            <w:shd w:val="clear" w:color="000000" w:fill="FEE683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1.55%</w:t>
            </w:r>
          </w:p>
        </w:tc>
        <w:tc>
          <w:tcPr>
            <w:tcW w:w="764" w:type="pct"/>
            <w:shd w:val="clear" w:color="000000" w:fill="CFDE82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2.46%</w:t>
            </w:r>
          </w:p>
        </w:tc>
        <w:tc>
          <w:tcPr>
            <w:tcW w:w="764" w:type="pct"/>
            <w:shd w:val="clear" w:color="000000" w:fill="96CD7E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3.38%</w:t>
            </w:r>
          </w:p>
        </w:tc>
        <w:tc>
          <w:tcPr>
            <w:tcW w:w="766" w:type="pct"/>
            <w:shd w:val="clear" w:color="000000" w:fill="63BE7B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4.31%</w:t>
            </w:r>
          </w:p>
        </w:tc>
      </w:tr>
      <w:tr w:rsidR="005A7C99" w:rsidRPr="003F2F66" w:rsidTr="00A57286">
        <w:trPr>
          <w:trHeight w:val="269"/>
          <w:jc w:val="center"/>
        </w:trPr>
        <w:tc>
          <w:tcPr>
            <w:tcW w:w="1942" w:type="pct"/>
            <w:shd w:val="clear" w:color="auto" w:fill="auto"/>
            <w:noWrap/>
            <w:vAlign w:val="bottom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9</w:t>
            </w:r>
          </w:p>
        </w:tc>
        <w:tc>
          <w:tcPr>
            <w:tcW w:w="764" w:type="pct"/>
            <w:shd w:val="clear" w:color="000000" w:fill="FDD27F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1.54%</w:t>
            </w:r>
          </w:p>
        </w:tc>
        <w:tc>
          <w:tcPr>
            <w:tcW w:w="764" w:type="pct"/>
            <w:shd w:val="clear" w:color="000000" w:fill="D3DF82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2.58%</w:t>
            </w:r>
          </w:p>
        </w:tc>
        <w:tc>
          <w:tcPr>
            <w:tcW w:w="764" w:type="pct"/>
            <w:shd w:val="clear" w:color="000000" w:fill="A3D17F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3.46%</w:t>
            </w:r>
          </w:p>
        </w:tc>
        <w:tc>
          <w:tcPr>
            <w:tcW w:w="766" w:type="pct"/>
            <w:shd w:val="clear" w:color="000000" w:fill="72C37C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4.52%</w:t>
            </w:r>
          </w:p>
        </w:tc>
      </w:tr>
      <w:tr w:rsidR="005A7C99" w:rsidRPr="003F2F66" w:rsidTr="00A57286">
        <w:trPr>
          <w:trHeight w:val="269"/>
          <w:jc w:val="center"/>
        </w:trPr>
        <w:tc>
          <w:tcPr>
            <w:tcW w:w="1942" w:type="pct"/>
            <w:shd w:val="clear" w:color="auto" w:fill="auto"/>
            <w:noWrap/>
            <w:vAlign w:val="bottom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Ամենահարուստ</w:t>
            </w:r>
          </w:p>
        </w:tc>
        <w:tc>
          <w:tcPr>
            <w:tcW w:w="764" w:type="pct"/>
            <w:shd w:val="clear" w:color="000000" w:fill="FFEB84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1.72%</w:t>
            </w:r>
          </w:p>
        </w:tc>
        <w:tc>
          <w:tcPr>
            <w:tcW w:w="764" w:type="pct"/>
            <w:shd w:val="clear" w:color="000000" w:fill="D0DE82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2.52%</w:t>
            </w:r>
          </w:p>
        </w:tc>
        <w:tc>
          <w:tcPr>
            <w:tcW w:w="764" w:type="pct"/>
            <w:shd w:val="clear" w:color="000000" w:fill="9ACE7F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3.48%</w:t>
            </w:r>
          </w:p>
        </w:tc>
        <w:tc>
          <w:tcPr>
            <w:tcW w:w="766" w:type="pct"/>
            <w:shd w:val="clear" w:color="000000" w:fill="69C07C"/>
            <w:noWrap/>
            <w:vAlign w:val="center"/>
            <w:hideMark/>
          </w:tcPr>
          <w:p w:rsidR="005A7C99" w:rsidRPr="003F2F66" w:rsidRDefault="005A7C99" w:rsidP="00A57286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3F2F66">
              <w:rPr>
                <w:rFonts w:ascii="Sylfaen" w:hAnsi="Sylfaen" w:cs="Calibri"/>
                <w:color w:val="000000"/>
                <w:sz w:val="22"/>
              </w:rPr>
              <w:t>4.46%</w:t>
            </w:r>
          </w:p>
        </w:tc>
      </w:tr>
    </w:tbl>
    <w:p w:rsidR="005A7C99" w:rsidRPr="003F2F66" w:rsidRDefault="005A7C99" w:rsidP="00F3204C">
      <w:pPr>
        <w:jc w:val="both"/>
        <w:rPr>
          <w:rFonts w:ascii="Sylfaen" w:hAnsi="Sylfaen" w:cs="Calibri"/>
          <w:color w:val="000000"/>
          <w:sz w:val="22"/>
          <w:szCs w:val="24"/>
        </w:rPr>
      </w:pPr>
      <w:r w:rsidRPr="003F2F66">
        <w:rPr>
          <w:rFonts w:ascii="Sylfaen" w:hAnsi="Sylfaen" w:cs="Calibri"/>
          <w:b/>
          <w:color w:val="000000"/>
          <w:sz w:val="22"/>
          <w:szCs w:val="24"/>
        </w:rPr>
        <w:t>Նշում՝</w:t>
      </w:r>
      <w:r w:rsidRPr="003F2F66">
        <w:rPr>
          <w:rFonts w:ascii="Sylfaen" w:hAnsi="Sylfaen" w:cs="Calibri"/>
          <w:color w:val="000000"/>
          <w:sz w:val="22"/>
          <w:szCs w:val="24"/>
        </w:rPr>
        <w:t xml:space="preserve"> եկամտի ավելացում =հարկվող եկամուտ*(եկամտային հարկի նախկին դրույքաչափը – եկամտային հարկի նոր դրույքաչափը): Դեցիլները ներկայացված են ըստ տնօրինվող եկամտի՝ նոր դրույքաչափերի պարագայում: Գունասանդղակը. կարմիրը՝ եկամտի ամենափոքր ավելացում, կանաչը՝ ամենամեծ ավելացում: </w:t>
      </w:r>
      <w:r w:rsidRPr="003F2F66">
        <w:rPr>
          <w:rFonts w:ascii="Sylfaen" w:hAnsi="Sylfaen" w:cs="Calibri"/>
          <w:b/>
          <w:color w:val="000000"/>
          <w:sz w:val="22"/>
          <w:szCs w:val="24"/>
        </w:rPr>
        <w:t xml:space="preserve">Աղբյուրը՝ </w:t>
      </w:r>
      <w:r w:rsidRPr="003F2F66">
        <w:rPr>
          <w:rFonts w:ascii="Sylfaen" w:hAnsi="Sylfaen" w:cs="Calibri"/>
          <w:color w:val="000000"/>
          <w:sz w:val="22"/>
          <w:szCs w:val="24"/>
        </w:rPr>
        <w:t>սեփական մշակումներ:</w:t>
      </w:r>
    </w:p>
    <w:p w:rsidR="00130234" w:rsidRPr="00F3204C" w:rsidRDefault="00130234" w:rsidP="00F3204C">
      <w:pPr>
        <w:jc w:val="both"/>
        <w:rPr>
          <w:rFonts w:ascii="Sylfaen" w:hAnsi="Sylfaen" w:cs="Calibri"/>
          <w:b/>
          <w:color w:val="000000"/>
          <w:sz w:val="20"/>
          <w:szCs w:val="24"/>
        </w:rPr>
      </w:pPr>
    </w:p>
    <w:p w:rsidR="00FE58D1" w:rsidRDefault="005B6619" w:rsidP="00130234">
      <w:pPr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 xml:space="preserve">Եկամտային հարկի բարեփոխումը ավելացնում է բոլորի եկամուտները, բայց օգուտները ավելի քան համաչափ են առավել ապահով բնակչության շրջանում:   </w:t>
      </w:r>
      <w:r w:rsidRPr="005B6619">
        <w:rPr>
          <w:rFonts w:ascii="Sylfaen" w:hAnsi="Sylfaen"/>
          <w:szCs w:val="24"/>
        </w:rPr>
        <w:t xml:space="preserve">Չնայած </w:t>
      </w:r>
      <w:r>
        <w:rPr>
          <w:rFonts w:ascii="Sylfaen" w:hAnsi="Sylfaen"/>
          <w:szCs w:val="24"/>
        </w:rPr>
        <w:t xml:space="preserve">եկամտային հարկի բարեփոխումներով պայմանավորված </w:t>
      </w:r>
      <w:r w:rsidR="00A44877">
        <w:rPr>
          <w:rFonts w:ascii="Sylfaen" w:hAnsi="Sylfaen"/>
          <w:szCs w:val="24"/>
        </w:rPr>
        <w:t>եկամտի ավելացումն առկա է եկամտի բաշխման ող</w:t>
      </w:r>
      <w:r w:rsidR="005867F4">
        <w:rPr>
          <w:rFonts w:ascii="Sylfaen" w:hAnsi="Sylfaen"/>
          <w:szCs w:val="24"/>
        </w:rPr>
        <w:t xml:space="preserve">ջ դաշտում, օգուտներն ավելի մեծ են </w:t>
      </w:r>
      <w:r w:rsidR="00B90644">
        <w:rPr>
          <w:rFonts w:ascii="Sylfaen" w:hAnsi="Sylfaen"/>
          <w:szCs w:val="24"/>
        </w:rPr>
        <w:t>վերին</w:t>
      </w:r>
      <w:r w:rsidR="005867F4">
        <w:rPr>
          <w:rFonts w:ascii="Sylfaen" w:hAnsi="Sylfaen"/>
          <w:szCs w:val="24"/>
        </w:rPr>
        <w:t xml:space="preserve"> դեցիլ</w:t>
      </w:r>
      <w:r w:rsidR="00B90644">
        <w:rPr>
          <w:rFonts w:ascii="Sylfaen" w:hAnsi="Sylfaen"/>
          <w:szCs w:val="24"/>
        </w:rPr>
        <w:t>ներում</w:t>
      </w:r>
      <w:r w:rsidR="005867F4">
        <w:rPr>
          <w:rFonts w:ascii="Sylfaen" w:hAnsi="Sylfaen"/>
          <w:szCs w:val="24"/>
        </w:rPr>
        <w:t xml:space="preserve">: </w:t>
      </w:r>
      <w:r w:rsidR="00B90644">
        <w:rPr>
          <w:rFonts w:ascii="Sylfaen" w:hAnsi="Sylfaen"/>
          <w:szCs w:val="24"/>
        </w:rPr>
        <w:t xml:space="preserve">Եկամուտների դեցիլային խմբերի առումով, եկամտային հարկի բարեփոխման արդյունքում ստացված դրական գրադիենտը կարող է կապվել </w:t>
      </w:r>
      <w:r w:rsidR="00FE58D1" w:rsidRPr="00AD2F83">
        <w:rPr>
          <w:rFonts w:ascii="Sylfaen" w:hAnsi="Sylfaen"/>
          <w:szCs w:val="24"/>
        </w:rPr>
        <w:t>(</w:t>
      </w:r>
      <w:r w:rsidR="00B90644">
        <w:rPr>
          <w:rFonts w:ascii="Sylfaen" w:hAnsi="Sylfaen"/>
          <w:szCs w:val="24"/>
        </w:rPr>
        <w:t>1</w:t>
      </w:r>
      <w:r w:rsidR="00FE58D1" w:rsidRPr="00AD2F83">
        <w:rPr>
          <w:rFonts w:ascii="Sylfaen" w:hAnsi="Sylfaen"/>
          <w:szCs w:val="24"/>
        </w:rPr>
        <w:t>)</w:t>
      </w:r>
      <w:r w:rsidR="00B90644">
        <w:rPr>
          <w:rFonts w:ascii="Sylfaen" w:hAnsi="Sylfaen"/>
          <w:szCs w:val="24"/>
        </w:rPr>
        <w:t xml:space="preserve"> թե՛ եկամտային հարկի եռա</w:t>
      </w:r>
      <w:r w:rsidR="00230045">
        <w:rPr>
          <w:rFonts w:ascii="Sylfaen" w:hAnsi="Sylfaen"/>
          <w:szCs w:val="24"/>
        </w:rPr>
        <w:t>դրույք</w:t>
      </w:r>
      <w:r w:rsidR="00B90644">
        <w:rPr>
          <w:rFonts w:ascii="Sylfaen" w:hAnsi="Sylfaen"/>
          <w:szCs w:val="24"/>
        </w:rPr>
        <w:t xml:space="preserve"> սանդղակից միասնական </w:t>
      </w:r>
      <w:r w:rsidR="00AA011F">
        <w:rPr>
          <w:rFonts w:ascii="Sylfaen" w:hAnsi="Sylfaen"/>
          <w:szCs w:val="24"/>
        </w:rPr>
        <w:t xml:space="preserve">դրույքաչափի համակարգին անցնելու հետ, որից շահում են հիմնականում եկամտի բաշխման վերին </w:t>
      </w:r>
      <w:r w:rsidR="00FE58D1" w:rsidRPr="00AD2F83">
        <w:rPr>
          <w:rFonts w:ascii="Sylfaen" w:hAnsi="Sylfaen"/>
          <w:szCs w:val="24"/>
        </w:rPr>
        <w:t>4</w:t>
      </w:r>
      <w:r w:rsidR="00AA011F">
        <w:rPr>
          <w:rFonts w:ascii="Sylfaen" w:hAnsi="Sylfaen"/>
          <w:szCs w:val="24"/>
        </w:rPr>
        <w:t xml:space="preserve"> դեցիլները</w:t>
      </w:r>
      <w:r w:rsidR="00FE58D1" w:rsidRPr="00AD2F83">
        <w:rPr>
          <w:rFonts w:ascii="Sylfaen" w:hAnsi="Sylfaen"/>
          <w:szCs w:val="24"/>
        </w:rPr>
        <w:t xml:space="preserve"> (</w:t>
      </w:r>
      <w:r w:rsidR="00AA011F">
        <w:rPr>
          <w:rFonts w:ascii="Sylfaen" w:hAnsi="Sylfaen"/>
          <w:szCs w:val="24"/>
        </w:rPr>
        <w:t xml:space="preserve">տես Գծապատկեր </w:t>
      </w:r>
      <w:r w:rsidR="00FE58D1" w:rsidRPr="00AD2F83">
        <w:rPr>
          <w:rFonts w:ascii="Sylfaen" w:hAnsi="Sylfaen"/>
          <w:szCs w:val="24"/>
        </w:rPr>
        <w:t>2),</w:t>
      </w:r>
      <w:r w:rsidR="00AA011F">
        <w:rPr>
          <w:rFonts w:ascii="Sylfaen" w:hAnsi="Sylfaen"/>
          <w:szCs w:val="24"/>
        </w:rPr>
        <w:t xml:space="preserve"> և</w:t>
      </w:r>
      <w:r w:rsidR="00FE58D1" w:rsidRPr="00AD2F83">
        <w:rPr>
          <w:rFonts w:ascii="Sylfaen" w:hAnsi="Sylfaen"/>
          <w:szCs w:val="24"/>
        </w:rPr>
        <w:t xml:space="preserve"> (</w:t>
      </w:r>
      <w:r w:rsidR="00AA011F">
        <w:rPr>
          <w:rFonts w:ascii="Sylfaen" w:hAnsi="Sylfaen"/>
          <w:szCs w:val="24"/>
        </w:rPr>
        <w:t>1</w:t>
      </w:r>
      <w:r w:rsidR="00FE58D1" w:rsidRPr="00AD2F83">
        <w:rPr>
          <w:rFonts w:ascii="Sylfaen" w:hAnsi="Sylfaen"/>
          <w:szCs w:val="24"/>
        </w:rPr>
        <w:t>)</w:t>
      </w:r>
      <w:r w:rsidR="00AA011F">
        <w:rPr>
          <w:rFonts w:ascii="Sylfaen" w:hAnsi="Sylfaen"/>
          <w:szCs w:val="24"/>
        </w:rPr>
        <w:t xml:space="preserve"> թե՛ եկամտային հարկի դրույքաչափի՝ 23-ից մինչև </w:t>
      </w:r>
      <w:r w:rsidR="00FE58D1" w:rsidRPr="00AD2F83">
        <w:rPr>
          <w:rFonts w:ascii="Sylfaen" w:hAnsi="Sylfaen"/>
          <w:szCs w:val="24"/>
        </w:rPr>
        <w:t>20</w:t>
      </w:r>
      <w:r w:rsidR="00AA011F">
        <w:rPr>
          <w:rFonts w:ascii="Sylfaen" w:hAnsi="Sylfaen"/>
          <w:szCs w:val="24"/>
        </w:rPr>
        <w:t xml:space="preserve"> տոկոս նվազեցման հետ, </w:t>
      </w:r>
      <w:r w:rsidR="00AA011F" w:rsidRPr="00AA011F">
        <w:rPr>
          <w:rFonts w:ascii="Sylfaen" w:hAnsi="Sylfaen"/>
          <w:szCs w:val="24"/>
        </w:rPr>
        <w:t xml:space="preserve">որը, </w:t>
      </w:r>
      <w:r w:rsidR="00AA011F">
        <w:rPr>
          <w:rFonts w:ascii="Sylfaen" w:hAnsi="Sylfaen"/>
          <w:szCs w:val="24"/>
        </w:rPr>
        <w:t>թեև</w:t>
      </w:r>
      <w:r w:rsidR="00AA011F" w:rsidRPr="00AA011F">
        <w:rPr>
          <w:rFonts w:ascii="Sylfaen" w:hAnsi="Sylfaen"/>
          <w:szCs w:val="24"/>
        </w:rPr>
        <w:t xml:space="preserve">, օգուտներ է բերում եկամուտների </w:t>
      </w:r>
      <w:r w:rsidR="00AA011F">
        <w:rPr>
          <w:rFonts w:ascii="Sylfaen" w:hAnsi="Sylfaen"/>
          <w:szCs w:val="24"/>
        </w:rPr>
        <w:t xml:space="preserve">ամբողջ </w:t>
      </w:r>
      <w:r w:rsidR="00AA011F" w:rsidRPr="00AA011F">
        <w:rPr>
          <w:rFonts w:ascii="Sylfaen" w:hAnsi="Sylfaen"/>
          <w:szCs w:val="24"/>
        </w:rPr>
        <w:t>բաշխմանը, սակայն ավելի համա</w:t>
      </w:r>
      <w:r w:rsidR="00AA011F">
        <w:rPr>
          <w:rFonts w:ascii="Sylfaen" w:hAnsi="Sylfaen"/>
          <w:szCs w:val="24"/>
        </w:rPr>
        <w:t xml:space="preserve">մասնորեն վերին դեցիլներին՝ աշխատանքից ստացվող </w:t>
      </w:r>
      <w:r w:rsidR="00AA011F" w:rsidRPr="00AA011F">
        <w:rPr>
          <w:rFonts w:ascii="Sylfaen" w:hAnsi="Sylfaen"/>
          <w:szCs w:val="24"/>
        </w:rPr>
        <w:t xml:space="preserve">հարկվող եկամտի հաշվին, </w:t>
      </w:r>
      <w:r w:rsidR="00230045">
        <w:rPr>
          <w:rFonts w:ascii="Sylfaen" w:hAnsi="Sylfaen"/>
          <w:szCs w:val="24"/>
        </w:rPr>
        <w:t xml:space="preserve">որը նրանց </w:t>
      </w:r>
      <w:r w:rsidR="00AA011F" w:rsidRPr="00AA011F">
        <w:rPr>
          <w:rFonts w:ascii="Sylfaen" w:hAnsi="Sylfaen"/>
          <w:szCs w:val="24"/>
        </w:rPr>
        <w:t>ընդհանուր եկամտի մեծ մաս</w:t>
      </w:r>
      <w:r w:rsidR="00230045">
        <w:rPr>
          <w:rFonts w:ascii="Sylfaen" w:hAnsi="Sylfaen"/>
          <w:szCs w:val="24"/>
        </w:rPr>
        <w:t>ն է կազմում</w:t>
      </w:r>
      <w:r w:rsidR="00AA011F">
        <w:rPr>
          <w:rFonts w:ascii="Sylfaen" w:hAnsi="Sylfaen"/>
          <w:szCs w:val="24"/>
        </w:rPr>
        <w:t xml:space="preserve"> </w:t>
      </w:r>
      <w:r w:rsidR="00FE58D1" w:rsidRPr="00AD2F83">
        <w:rPr>
          <w:rFonts w:ascii="Sylfaen" w:hAnsi="Sylfaen"/>
          <w:szCs w:val="24"/>
        </w:rPr>
        <w:t>(</w:t>
      </w:r>
      <w:r w:rsidR="00AA011F">
        <w:rPr>
          <w:rFonts w:ascii="Sylfaen" w:hAnsi="Sylfaen"/>
          <w:szCs w:val="24"/>
        </w:rPr>
        <w:t xml:space="preserve">տես նաև Գծապատկեր </w:t>
      </w:r>
      <w:r w:rsidR="00FE58D1" w:rsidRPr="00AD2F83">
        <w:rPr>
          <w:rFonts w:ascii="Sylfaen" w:hAnsi="Sylfaen"/>
          <w:szCs w:val="24"/>
        </w:rPr>
        <w:t>2)</w:t>
      </w:r>
      <w:r w:rsidR="00AA011F">
        <w:rPr>
          <w:rFonts w:ascii="Sylfaen" w:hAnsi="Sylfaen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D532C3" w:rsidRPr="00130234" w:rsidTr="00D532C3">
        <w:tc>
          <w:tcPr>
            <w:tcW w:w="4680" w:type="dxa"/>
          </w:tcPr>
          <w:p w:rsidR="00915AAD" w:rsidRPr="00130234" w:rsidRDefault="00C804E3" w:rsidP="00915AAD">
            <w:pPr>
              <w:rPr>
                <w:rFonts w:ascii="Sylfaen" w:hAnsi="Sylfaen" w:cs="Calibri"/>
                <w:color w:val="000000"/>
                <w:sz w:val="22"/>
              </w:rPr>
            </w:pPr>
            <w:r w:rsidRPr="00130234">
              <w:rPr>
                <w:rFonts w:ascii="Sylfaen" w:hAnsi="Sylfaen" w:cs="Calibri"/>
                <w:b/>
                <w:color w:val="000000"/>
                <w:sz w:val="22"/>
                <w:szCs w:val="24"/>
              </w:rPr>
              <w:lastRenderedPageBreak/>
              <w:t>Գծապատկեր</w:t>
            </w:r>
            <w:r w:rsidR="00915AAD" w:rsidRPr="00130234">
              <w:rPr>
                <w:rFonts w:ascii="Sylfaen" w:hAnsi="Sylfaen" w:cs="Calibri"/>
                <w:b/>
                <w:color w:val="000000"/>
                <w:sz w:val="22"/>
                <w:szCs w:val="24"/>
              </w:rPr>
              <w:t xml:space="preserve"> 1</w:t>
            </w:r>
            <w:r w:rsidRPr="00130234">
              <w:rPr>
                <w:rFonts w:ascii="Sylfaen" w:hAnsi="Sylfaen" w:cs="Calibri"/>
                <w:b/>
                <w:color w:val="000000"/>
                <w:sz w:val="22"/>
                <w:szCs w:val="24"/>
              </w:rPr>
              <w:t xml:space="preserve">. </w:t>
            </w:r>
            <w:r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Տնային տնտեսության</w:t>
            </w:r>
            <w:r w:rsidRPr="00130234">
              <w:rPr>
                <w:rFonts w:ascii="Sylfaen" w:hAnsi="Sylfaen" w:cs="Calibri"/>
                <w:color w:val="000000"/>
                <w:sz w:val="22"/>
              </w:rPr>
              <w:t xml:space="preserve"> եկամտի ավելացումը՝ պայմանավորված եկամտային հարկի բարեփոխումներով </w:t>
            </w:r>
            <w:r w:rsidR="00915AAD" w:rsidRPr="00130234">
              <w:rPr>
                <w:rFonts w:ascii="Sylfaen" w:hAnsi="Sylfaen" w:cs="Calibri"/>
                <w:color w:val="000000"/>
                <w:sz w:val="22"/>
              </w:rPr>
              <w:t xml:space="preserve"> </w:t>
            </w:r>
          </w:p>
          <w:p w:rsidR="00D532C3" w:rsidRPr="00130234" w:rsidRDefault="00C804E3" w:rsidP="007808BA">
            <w:pPr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13023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(որպես տնօրինվող եկամտի </w:t>
            </w:r>
            <w:r w:rsidR="007808BA"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տեսակարար կշիռ</w:t>
            </w:r>
            <w:r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, ըստ դեցիլների</w:t>
            </w:r>
            <w:r w:rsidR="00910815"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)</w:t>
            </w:r>
          </w:p>
        </w:tc>
        <w:tc>
          <w:tcPr>
            <w:tcW w:w="4680" w:type="dxa"/>
          </w:tcPr>
          <w:p w:rsidR="00D532C3" w:rsidRPr="00130234" w:rsidRDefault="00C804E3" w:rsidP="007808BA">
            <w:pPr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130234">
              <w:rPr>
                <w:rFonts w:ascii="Sylfaen" w:hAnsi="Sylfaen" w:cs="Calibri"/>
                <w:b/>
                <w:color w:val="000000"/>
                <w:sz w:val="22"/>
                <w:szCs w:val="24"/>
              </w:rPr>
              <w:t>Գծապատկեր</w:t>
            </w:r>
            <w:r w:rsidR="00D529DD" w:rsidRPr="00130234">
              <w:rPr>
                <w:rFonts w:ascii="Sylfaen" w:hAnsi="Sylfaen" w:cs="Calibri"/>
                <w:b/>
                <w:color w:val="000000"/>
                <w:sz w:val="22"/>
                <w:szCs w:val="24"/>
              </w:rPr>
              <w:t xml:space="preserve"> 2</w:t>
            </w:r>
            <w:r w:rsidRPr="00130234">
              <w:rPr>
                <w:rFonts w:ascii="Sylfaen" w:hAnsi="Sylfaen" w:cs="Calibri"/>
                <w:b/>
                <w:color w:val="000000"/>
                <w:sz w:val="22"/>
                <w:szCs w:val="24"/>
              </w:rPr>
              <w:t xml:space="preserve">. </w:t>
            </w:r>
            <w:r w:rsidR="00D529DD" w:rsidRPr="0013023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Ե</w:t>
            </w:r>
            <w:r w:rsidRPr="00130234">
              <w:rPr>
                <w:rFonts w:ascii="Sylfaen" w:hAnsi="Sylfaen" w:cs="Calibri"/>
                <w:color w:val="000000"/>
                <w:sz w:val="22"/>
              </w:rPr>
              <w:t xml:space="preserve">կամտային հարկի </w:t>
            </w:r>
            <w:proofErr w:type="gramStart"/>
            <w:r w:rsidRPr="00130234">
              <w:rPr>
                <w:rFonts w:ascii="Sylfaen" w:hAnsi="Sylfaen" w:cs="Calibri"/>
                <w:color w:val="000000"/>
                <w:sz w:val="22"/>
              </w:rPr>
              <w:t>բարեփոխումներով  պայմանավորված</w:t>
            </w:r>
            <w:proofErr w:type="gramEnd"/>
            <w:r w:rsidRPr="00130234">
              <w:rPr>
                <w:rFonts w:ascii="Sylfaen" w:hAnsi="Sylfaen" w:cs="Calibri"/>
                <w:color w:val="000000"/>
                <w:sz w:val="22"/>
              </w:rPr>
              <w:t xml:space="preserve"> տ</w:t>
            </w:r>
            <w:r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նային տնտեսության</w:t>
            </w:r>
            <w:r w:rsidRPr="00130234">
              <w:rPr>
                <w:rFonts w:ascii="Sylfaen" w:hAnsi="Sylfaen" w:cs="Calibri"/>
                <w:color w:val="000000"/>
                <w:sz w:val="22"/>
              </w:rPr>
              <w:t xml:space="preserve"> եկամտի ավելացման աղբյուրը</w:t>
            </w:r>
            <w:r w:rsidRPr="0013023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="00D81E01" w:rsidRPr="00130234">
              <w:rPr>
                <w:rFonts w:ascii="Sylfaen" w:hAnsi="Sylfaen" w:cs="Calibri"/>
                <w:color w:val="000000"/>
                <w:sz w:val="22"/>
              </w:rPr>
              <w:t>2023</w:t>
            </w:r>
            <w:r w:rsidRPr="00130234">
              <w:rPr>
                <w:rFonts w:ascii="Sylfaen" w:hAnsi="Sylfaen" w:cs="Calibri"/>
                <w:color w:val="000000"/>
                <w:sz w:val="22"/>
              </w:rPr>
              <w:t xml:space="preserve"> թ-ին</w:t>
            </w:r>
            <w:r w:rsidR="00D529DD" w:rsidRPr="00130234">
              <w:rPr>
                <w:rFonts w:ascii="Sylfaen" w:hAnsi="Sylfaen" w:cs="Calibri"/>
                <w:color w:val="000000"/>
                <w:sz w:val="22"/>
              </w:rPr>
              <w:t xml:space="preserve"> </w:t>
            </w:r>
            <w:r w:rsidR="00D529DD"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(</w:t>
            </w:r>
            <w:r w:rsidRPr="0013023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ըստ դեցիլների, որպես տնօրինվող եկամտի </w:t>
            </w:r>
            <w:r w:rsidR="007808BA"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տեսակարար կշիռ</w:t>
            </w:r>
            <w:r w:rsidR="00D529DD"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)</w:t>
            </w:r>
          </w:p>
        </w:tc>
      </w:tr>
      <w:tr w:rsidR="009259A0" w:rsidRPr="00AD2F83" w:rsidTr="00F60D52">
        <w:tc>
          <w:tcPr>
            <w:tcW w:w="4680" w:type="dxa"/>
          </w:tcPr>
          <w:p w:rsidR="009259A0" w:rsidRPr="00AD2F83" w:rsidRDefault="00F3204C" w:rsidP="00FC1764">
            <w:pPr>
              <w:rPr>
                <w:rFonts w:ascii="Sylfaen" w:hAnsi="Sylfae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1974850</wp:posOffset>
                      </wp:positionV>
                      <wp:extent cx="824865" cy="323850"/>
                      <wp:effectExtent l="0" t="0" r="0" b="0"/>
                      <wp:wrapNone/>
                      <wp:docPr id="1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2486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259A0" w:rsidRPr="005A7C99" w:rsidRDefault="009259A0" w:rsidP="005A7C99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  <w:jc w:val="right"/>
                                    <w:rPr>
                                      <w:rFonts w:ascii="Segoe Condensed" w:hAnsi="Segoe Condensed"/>
                                    </w:rPr>
                                  </w:pPr>
                                  <w:r w:rsidRPr="005A7C99">
                                    <w:rPr>
                                      <w:rFonts w:ascii="Arial" w:eastAsia="Calibri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lang w:val="hy-AM"/>
                                    </w:rPr>
                                    <w:t>Ամենաաղքատ</w:t>
                                  </w:r>
                                  <w:r w:rsidRPr="005A7C99">
                                    <w:rPr>
                                      <w:rFonts w:ascii="Segoe Condensed" w:eastAsia="Calibri" w:hAnsi="Segoe Condensed"/>
                                      <w:i/>
                                      <w:iCs/>
                                      <w:sz w:val="14"/>
                                      <w:szCs w:val="14"/>
                                      <w:lang w:val="hy-AM"/>
                                    </w:rPr>
                                    <w:t xml:space="preserve">  </w:t>
                                  </w:r>
                                </w:p>
                                <w:p w:rsidR="009259A0" w:rsidRPr="005A7C99" w:rsidRDefault="009259A0" w:rsidP="005A7C99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  <w:jc w:val="right"/>
                                    <w:rPr>
                                      <w:rFonts w:ascii="Segoe Condensed" w:hAnsi="Segoe Condensed"/>
                                    </w:rPr>
                                  </w:pPr>
                                  <w:r w:rsidRPr="005A7C99">
                                    <w:rPr>
                                      <w:rFonts w:ascii="Arial" w:eastAsia="Calibri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lang w:val="hy-AM"/>
                                    </w:rPr>
                                    <w:t>դեցիլը</w:t>
                                  </w:r>
                                </w:p>
                                <w:p w:rsidR="009259A0" w:rsidRPr="005A7C99" w:rsidRDefault="009259A0" w:rsidP="005A7C99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right"/>
                                    <w:rPr>
                                      <w:rFonts w:ascii="Segoe Condensed" w:hAnsi="Segoe Condensed"/>
                                    </w:rPr>
                                  </w:pPr>
                                  <w:r w:rsidRPr="005A7C99">
                                    <w:rPr>
                                      <w:rFonts w:ascii="Segoe Condensed" w:eastAsia="Calibri" w:hAnsi="Segoe Condensed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4" type="#_x0000_t202" style="position:absolute;margin-left:228.55pt;margin-top:155.5pt;width:64.9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" fillcolor="white [3201]" strokecolor="white [3212]" strokeweight=".5pt">
                      <v:path arrowok="t"/>
                      <v:textbox>
                        <w:txbxContent>
                          <w:p w:rsidR="009259A0" w:rsidRPr="005A7C99" w:rsidRDefault="009259A0" w:rsidP="005A7C99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right"/>
                              <w:rPr>
                                <w:rFonts w:ascii="Segoe Condensed" w:hAnsi="Segoe Condensed"/>
                              </w:rPr>
                            </w:pPr>
                            <w:r w:rsidRPr="005A7C99">
                              <w:rPr>
                                <w:rFonts w:ascii="Arial" w:eastAsia="Calibri" w:hAnsi="Arial" w:cs="Arial"/>
                                <w:i/>
                                <w:iCs/>
                                <w:sz w:val="14"/>
                                <w:szCs w:val="14"/>
                                <w:lang w:val="hy-AM"/>
                              </w:rPr>
                              <w:t>Ամենաաղքատ</w:t>
                            </w:r>
                            <w:r w:rsidRPr="005A7C99">
                              <w:rPr>
                                <w:rFonts w:ascii="Segoe Condensed" w:eastAsia="Calibri" w:hAnsi="Segoe Condensed"/>
                                <w:i/>
                                <w:iCs/>
                                <w:sz w:val="14"/>
                                <w:szCs w:val="14"/>
                                <w:lang w:val="hy-AM"/>
                              </w:rPr>
                              <w:t xml:space="preserve">  </w:t>
                            </w:r>
                          </w:p>
                          <w:p w:rsidR="009259A0" w:rsidRPr="005A7C99" w:rsidRDefault="009259A0" w:rsidP="005A7C99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right"/>
                              <w:rPr>
                                <w:rFonts w:ascii="Segoe Condensed" w:hAnsi="Segoe Condensed"/>
                              </w:rPr>
                            </w:pPr>
                            <w:r w:rsidRPr="005A7C99">
                              <w:rPr>
                                <w:rFonts w:ascii="Arial" w:eastAsia="Calibri" w:hAnsi="Arial" w:cs="Arial"/>
                                <w:i/>
                                <w:iCs/>
                                <w:sz w:val="14"/>
                                <w:szCs w:val="14"/>
                                <w:lang w:val="hy-AM"/>
                              </w:rPr>
                              <w:t>դեցիլը</w:t>
                            </w:r>
                          </w:p>
                          <w:p w:rsidR="009259A0" w:rsidRPr="005A7C99" w:rsidRDefault="009259A0" w:rsidP="005A7C99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="Segoe Condensed" w:hAnsi="Segoe Condensed"/>
                              </w:rPr>
                            </w:pPr>
                            <w:r w:rsidRPr="005A7C99">
                              <w:rPr>
                                <w:rFonts w:ascii="Segoe Condensed" w:eastAsia="Calibri" w:hAnsi="Segoe Condensed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C99" w:rsidRPr="00AD2F83">
              <w:rPr>
                <w:rFonts w:ascii="Sylfaen" w:hAnsi="Sylfaen"/>
                <w:noProof/>
              </w:rPr>
              <w:drawing>
                <wp:inline distT="0" distB="0" distL="0" distR="0" wp14:anchorId="00860BA3" wp14:editId="31790A30">
                  <wp:extent cx="2861945" cy="3080952"/>
                  <wp:effectExtent l="0" t="0" r="0" b="5715"/>
                  <wp:docPr id="9" name="Chart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59AFBE-5B45-4094-B654-F7593A3C0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4445</wp:posOffset>
                      </wp:positionV>
                      <wp:extent cx="899160" cy="317500"/>
                      <wp:effectExtent l="0" t="0" r="0" b="635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9916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259A0" w:rsidRPr="005A7C99" w:rsidRDefault="009259A0" w:rsidP="009259A0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  <w:rPr>
                                      <w:rFonts w:ascii="Segoe Condensed" w:hAnsi="Segoe Condensed"/>
                                    </w:rPr>
                                  </w:pPr>
                                  <w:r w:rsidRPr="005A7C99">
                                    <w:rPr>
                                      <w:rFonts w:ascii="Arial" w:eastAsia="Calibri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lang w:val="hy-AM"/>
                                    </w:rPr>
                                    <w:t>Ամենահարուստ</w:t>
                                  </w:r>
                                  <w:r w:rsidRPr="005A7C99">
                                    <w:rPr>
                                      <w:rFonts w:ascii="Segoe Condensed" w:eastAsia="Calibri" w:hAnsi="Segoe Condensed"/>
                                      <w:i/>
                                      <w:iCs/>
                                      <w:sz w:val="14"/>
                                      <w:szCs w:val="14"/>
                                      <w:lang w:val="hy-AM"/>
                                    </w:rPr>
                                    <w:t xml:space="preserve"> </w:t>
                                  </w:r>
                                </w:p>
                                <w:p w:rsidR="009259A0" w:rsidRPr="005A7C99" w:rsidRDefault="009259A0" w:rsidP="009259A0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  <w:jc w:val="right"/>
                                    <w:rPr>
                                      <w:rFonts w:ascii="Segoe Condensed" w:hAnsi="Segoe Condensed"/>
                                    </w:rPr>
                                  </w:pPr>
                                  <w:r w:rsidRPr="005A7C99">
                                    <w:rPr>
                                      <w:rFonts w:ascii="Arial" w:eastAsia="Calibri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lang w:val="hy-AM"/>
                                    </w:rPr>
                                    <w:t>դեցիլը</w:t>
                                  </w:r>
                                </w:p>
                                <w:p w:rsidR="009259A0" w:rsidRPr="005A7C99" w:rsidRDefault="009259A0" w:rsidP="009259A0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rPr>
                                      <w:rFonts w:ascii="Segoe Condensed" w:hAnsi="Segoe Condensed"/>
                                    </w:rPr>
                                  </w:pPr>
                                  <w:r w:rsidRPr="005A7C99">
                                    <w:rPr>
                                      <w:rFonts w:ascii="Segoe Condensed" w:eastAsia="Calibri" w:hAnsi="Segoe Condensed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5" type="#_x0000_t202" style="position:absolute;margin-left:228.55pt;margin-top:.35pt;width:70.8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" fillcolor="white [3201]" strokecolor="white [3212]" strokeweight=".5pt">
                      <v:path arrowok="t"/>
                      <v:textbox>
                        <w:txbxContent>
                          <w:p w:rsidR="009259A0" w:rsidRPr="005A7C99" w:rsidRDefault="009259A0" w:rsidP="009259A0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="Segoe Condensed" w:hAnsi="Segoe Condensed"/>
                              </w:rPr>
                            </w:pPr>
                            <w:r w:rsidRPr="005A7C99">
                              <w:rPr>
                                <w:rFonts w:ascii="Arial" w:eastAsia="Calibri" w:hAnsi="Arial" w:cs="Arial"/>
                                <w:i/>
                                <w:iCs/>
                                <w:sz w:val="14"/>
                                <w:szCs w:val="14"/>
                                <w:lang w:val="hy-AM"/>
                              </w:rPr>
                              <w:t>Ամենահարուստ</w:t>
                            </w:r>
                            <w:r w:rsidRPr="005A7C99">
                              <w:rPr>
                                <w:rFonts w:ascii="Segoe Condensed" w:eastAsia="Calibri" w:hAnsi="Segoe Condensed"/>
                                <w:i/>
                                <w:iCs/>
                                <w:sz w:val="14"/>
                                <w:szCs w:val="14"/>
                                <w:lang w:val="hy-AM"/>
                              </w:rPr>
                              <w:t xml:space="preserve"> </w:t>
                            </w:r>
                          </w:p>
                          <w:p w:rsidR="009259A0" w:rsidRPr="005A7C99" w:rsidRDefault="009259A0" w:rsidP="009259A0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right"/>
                              <w:rPr>
                                <w:rFonts w:ascii="Segoe Condensed" w:hAnsi="Segoe Condensed"/>
                              </w:rPr>
                            </w:pPr>
                            <w:r w:rsidRPr="005A7C99">
                              <w:rPr>
                                <w:rFonts w:ascii="Arial" w:eastAsia="Calibri" w:hAnsi="Arial" w:cs="Arial"/>
                                <w:i/>
                                <w:iCs/>
                                <w:sz w:val="14"/>
                                <w:szCs w:val="14"/>
                                <w:lang w:val="hy-AM"/>
                              </w:rPr>
                              <w:t>դեցիլը</w:t>
                            </w:r>
                          </w:p>
                          <w:p w:rsidR="009259A0" w:rsidRPr="005A7C99" w:rsidRDefault="009259A0" w:rsidP="009259A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Segoe Condensed" w:hAnsi="Segoe Condensed"/>
                              </w:rPr>
                            </w:pPr>
                            <w:r w:rsidRPr="005A7C99">
                              <w:rPr>
                                <w:rFonts w:ascii="Segoe Condensed" w:eastAsia="Calibri" w:hAnsi="Segoe Condensed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</w:tcPr>
          <w:p w:rsidR="009259A0" w:rsidRDefault="009259A0" w:rsidP="00FC1764">
            <w:pPr>
              <w:rPr>
                <w:rFonts w:ascii="Sylfaen" w:hAnsi="Sylfaen"/>
                <w:noProof/>
              </w:rPr>
            </w:pPr>
            <w:r>
              <w:rPr>
                <w:noProof/>
              </w:rPr>
              <w:drawing>
                <wp:inline distT="0" distB="0" distL="0" distR="0" wp14:anchorId="3F2BA77F" wp14:editId="08C5838A">
                  <wp:extent cx="2834640" cy="2293663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B8767D-7F61-4B7D-95CF-B7A7A8C4D6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3F2F66" w:rsidRPr="000B7603" w:rsidRDefault="005A7C99" w:rsidP="003F2F66">
            <w:pPr>
              <w:jc w:val="center"/>
              <w:rPr>
                <w:rFonts w:ascii="Sylfaen" w:hAnsi="Sylfaen"/>
                <w:noProof/>
              </w:rPr>
            </w:pPr>
            <w:r>
              <w:rPr>
                <w:noProof/>
              </w:rPr>
              <w:drawing>
                <wp:inline distT="0" distB="0" distL="0" distR="0" wp14:anchorId="0A07BDB3" wp14:editId="6755FEDA">
                  <wp:extent cx="2529016" cy="858871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194" cy="869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0234">
              <w:rPr>
                <w:noProof/>
              </w:rPr>
              <w:t xml:space="preserve"> </w:t>
            </w:r>
          </w:p>
        </w:tc>
      </w:tr>
      <w:tr w:rsidR="00D532C3" w:rsidRPr="00130234" w:rsidTr="00D532C3">
        <w:tc>
          <w:tcPr>
            <w:tcW w:w="4680" w:type="dxa"/>
          </w:tcPr>
          <w:p w:rsidR="00915AAD" w:rsidRPr="00130234" w:rsidRDefault="00BD16AB" w:rsidP="0002086C">
            <w:pPr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130234">
              <w:rPr>
                <w:rFonts w:ascii="Sylfaen" w:hAnsi="Sylfaen" w:cs="Calibri"/>
                <w:b/>
                <w:color w:val="000000"/>
                <w:sz w:val="22"/>
                <w:szCs w:val="24"/>
              </w:rPr>
              <w:t>Նշում՝</w:t>
            </w:r>
            <w:r w:rsidR="00915AAD" w:rsidRPr="0013023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Գծերի աջ կողմում գտնվող թվերը դեցիլներն են: Դեցիլները սահմանված են ըստ տնայիին տնտեսության տնօրինվող եկամտի՝ եկամտային հարկի հետբարեփոխումային դրույքաչափերով:</w:t>
            </w:r>
            <w:r w:rsidR="00F60D52" w:rsidRPr="0013023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Pr="00130234">
              <w:rPr>
                <w:rFonts w:ascii="Sylfaen" w:hAnsi="Sylfaen" w:cs="Calibri"/>
                <w:b/>
                <w:color w:val="000000"/>
                <w:sz w:val="22"/>
                <w:szCs w:val="24"/>
              </w:rPr>
              <w:t xml:space="preserve">Աղբյուրը՝ </w:t>
            </w:r>
            <w:r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սեփական մշակում</w:t>
            </w:r>
            <w:r w:rsidR="00184CE9"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ներ</w:t>
            </w:r>
            <w:r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:</w:t>
            </w:r>
          </w:p>
          <w:p w:rsidR="009259A0" w:rsidRPr="00130234" w:rsidRDefault="009259A0" w:rsidP="0002086C">
            <w:pPr>
              <w:rPr>
                <w:rFonts w:ascii="Sylfaen" w:hAnsi="Sylfaen" w:cs="Calibri"/>
                <w:color w:val="000000"/>
                <w:sz w:val="22"/>
                <w:szCs w:val="24"/>
              </w:rPr>
            </w:pPr>
          </w:p>
          <w:p w:rsidR="009259A0" w:rsidRPr="00130234" w:rsidRDefault="009259A0" w:rsidP="0002086C">
            <w:pPr>
              <w:rPr>
                <w:rFonts w:ascii="Sylfaen" w:hAnsi="Sylfaen" w:cs="Calibri"/>
                <w:color w:val="000000"/>
                <w:sz w:val="22"/>
                <w:szCs w:val="24"/>
              </w:rPr>
            </w:pPr>
          </w:p>
        </w:tc>
        <w:tc>
          <w:tcPr>
            <w:tcW w:w="4680" w:type="dxa"/>
          </w:tcPr>
          <w:p w:rsidR="00D532C3" w:rsidRDefault="00BD16AB" w:rsidP="003F2F66">
            <w:pPr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130234">
              <w:rPr>
                <w:rFonts w:ascii="Sylfaen" w:hAnsi="Sylfaen" w:cs="Calibri"/>
                <w:b/>
                <w:color w:val="000000"/>
                <w:sz w:val="22"/>
                <w:szCs w:val="24"/>
              </w:rPr>
              <w:t>Նշում՝</w:t>
            </w:r>
            <w:r w:rsidR="00D529DD" w:rsidRPr="0013023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վանդակների ներսում նշված տոկոսները ներկայացնում են յուրաքանչյուր աղբյուրի շնորհիվ ստացած ավելացումները: Վանդակներից դուրս գտնվող տոկոսները ներկայացնում են տնա</w:t>
            </w:r>
            <w:r w:rsidR="00184CE9"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յ</w:t>
            </w:r>
            <w:r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ին տնտեսության տնօրինվող եկամտի ամբողջ ավելացումը: Դ</w:t>
            </w:r>
            <w:r w:rsidR="00184CE9"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եցիլները սահմանված են ըստ տնայի</w:t>
            </w:r>
            <w:r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ն տնտեսության տնօրինվող եկամտի՝ եկամտային հարկի հետբարեփոխումային դրույքաչափերով:</w:t>
            </w:r>
            <w:r w:rsidRPr="00130234">
              <w:rPr>
                <w:rFonts w:ascii="Sylfaen" w:hAnsi="Sylfaen" w:cs="Calibri"/>
                <w:b/>
                <w:color w:val="000000"/>
                <w:sz w:val="22"/>
                <w:szCs w:val="24"/>
              </w:rPr>
              <w:t xml:space="preserve"> Աղբյուրը՝ </w:t>
            </w:r>
            <w:r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սեփական մշակում</w:t>
            </w:r>
            <w:r w:rsidR="00184CE9"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ներ</w:t>
            </w:r>
            <w:r w:rsidRPr="00130234">
              <w:rPr>
                <w:rFonts w:ascii="Sylfaen" w:hAnsi="Sylfaen" w:cs="Calibri"/>
                <w:color w:val="000000"/>
                <w:sz w:val="22"/>
                <w:szCs w:val="24"/>
              </w:rPr>
              <w:t>:</w:t>
            </w:r>
          </w:p>
          <w:p w:rsidR="003F2F66" w:rsidRPr="00130234" w:rsidRDefault="003F2F66" w:rsidP="003F2F66">
            <w:pPr>
              <w:rPr>
                <w:rFonts w:ascii="Sylfaen" w:hAnsi="Sylfaen" w:cs="Calibri"/>
                <w:color w:val="000000"/>
                <w:sz w:val="22"/>
                <w:szCs w:val="24"/>
              </w:rPr>
            </w:pPr>
          </w:p>
        </w:tc>
      </w:tr>
    </w:tbl>
    <w:p w:rsidR="00AB535E" w:rsidRPr="00AD2F83" w:rsidRDefault="00692227" w:rsidP="00F55CA6">
      <w:pPr>
        <w:jc w:val="both"/>
        <w:rPr>
          <w:rFonts w:ascii="Sylfaen" w:hAnsi="Sylfaen"/>
          <w:color w:val="FF0000"/>
          <w:szCs w:val="24"/>
        </w:rPr>
      </w:pPr>
      <w:bookmarkStart w:id="1" w:name="_Hlk6347194"/>
      <w:r>
        <w:rPr>
          <w:rFonts w:ascii="Sylfaen" w:hAnsi="Sylfaen" w:cs="Calibri"/>
          <w:b/>
          <w:color w:val="000000"/>
          <w:szCs w:val="24"/>
        </w:rPr>
        <w:t xml:space="preserve">Տնային տնտեսությունների եկամուտների ավելացման արդյունքում աղքատությունը կնվազի, բայց միայն այն ենթադրության պարագայում, որ մնացած ամեն ինչը կմնա անփոփոխ </w:t>
      </w:r>
      <w:r w:rsidR="000A6E56" w:rsidRPr="00AD2F83">
        <w:rPr>
          <w:rFonts w:ascii="Sylfaen" w:hAnsi="Sylfaen" w:cs="Calibri"/>
          <w:b/>
          <w:color w:val="000000"/>
          <w:szCs w:val="24"/>
        </w:rPr>
        <w:t>(</w:t>
      </w:r>
      <w:r w:rsidR="00863B77">
        <w:rPr>
          <w:rFonts w:ascii="Sylfaen" w:hAnsi="Sylfaen" w:cs="Calibri"/>
          <w:b/>
          <w:color w:val="000000"/>
          <w:szCs w:val="24"/>
        </w:rPr>
        <w:t>օրինակ՝ որ կորցրած հարկային մուտքերը չեն հանգեցնի պետական ծախսերի կրճատման</w:t>
      </w:r>
      <w:r w:rsidR="000A6E56" w:rsidRPr="00AD2F83">
        <w:rPr>
          <w:rFonts w:ascii="Sylfaen" w:hAnsi="Sylfaen" w:cs="Calibri"/>
          <w:b/>
          <w:color w:val="000000"/>
          <w:szCs w:val="24"/>
        </w:rPr>
        <w:t>)</w:t>
      </w:r>
      <w:bookmarkEnd w:id="1"/>
      <w:r w:rsidR="00863B77">
        <w:rPr>
          <w:rFonts w:ascii="Sylfaen" w:hAnsi="Sylfaen" w:cs="Calibri"/>
          <w:b/>
          <w:color w:val="000000"/>
          <w:szCs w:val="24"/>
        </w:rPr>
        <w:t>:</w:t>
      </w:r>
      <w:r w:rsidR="00910815" w:rsidRPr="00AD2F83">
        <w:rPr>
          <w:rFonts w:ascii="Sylfaen" w:hAnsi="Sylfaen" w:cs="Calibri"/>
          <w:b/>
          <w:color w:val="000000"/>
          <w:szCs w:val="24"/>
        </w:rPr>
        <w:t xml:space="preserve"> </w:t>
      </w:r>
      <w:r w:rsidR="00541769">
        <w:rPr>
          <w:rFonts w:ascii="Sylfaen" w:hAnsi="Sylfaen" w:cs="Calibri"/>
          <w:color w:val="000000"/>
          <w:szCs w:val="24"/>
        </w:rPr>
        <w:t xml:space="preserve">Մոդելավորումները ցույց են տալիս, որ </w:t>
      </w:r>
      <w:r w:rsidR="00853B2A" w:rsidRPr="00AD2F83">
        <w:rPr>
          <w:rFonts w:ascii="Sylfaen" w:hAnsi="Sylfaen"/>
          <w:szCs w:val="24"/>
        </w:rPr>
        <w:t>2020-23</w:t>
      </w:r>
      <w:r w:rsidR="00541769">
        <w:rPr>
          <w:rFonts w:ascii="Sylfaen" w:hAnsi="Sylfaen"/>
          <w:szCs w:val="24"/>
        </w:rPr>
        <w:t xml:space="preserve"> թվականներին</w:t>
      </w:r>
      <w:r w:rsidR="00853B2A" w:rsidRPr="00AD2F83">
        <w:rPr>
          <w:rFonts w:ascii="Sylfaen" w:hAnsi="Sylfaen"/>
          <w:szCs w:val="24"/>
        </w:rPr>
        <w:t xml:space="preserve">, </w:t>
      </w:r>
      <w:r w:rsidR="00541769">
        <w:rPr>
          <w:rFonts w:ascii="Sylfaen" w:hAnsi="Sylfaen"/>
          <w:szCs w:val="24"/>
        </w:rPr>
        <w:t xml:space="preserve">երբ եկամտային հարկի բարեփոխումը </w:t>
      </w:r>
      <w:r w:rsidR="009C789C">
        <w:rPr>
          <w:rFonts w:ascii="Sylfaen" w:hAnsi="Sylfaen"/>
          <w:szCs w:val="24"/>
        </w:rPr>
        <w:t>կ</w:t>
      </w:r>
      <w:r w:rsidR="00541769">
        <w:rPr>
          <w:rFonts w:ascii="Sylfaen" w:hAnsi="Sylfaen"/>
          <w:szCs w:val="24"/>
        </w:rPr>
        <w:t>սկս</w:t>
      </w:r>
      <w:r w:rsidR="009C789C">
        <w:rPr>
          <w:rFonts w:ascii="Sylfaen" w:hAnsi="Sylfaen"/>
          <w:szCs w:val="24"/>
        </w:rPr>
        <w:t>ի</w:t>
      </w:r>
      <w:r w:rsidR="00541769">
        <w:rPr>
          <w:rFonts w:ascii="Sylfaen" w:hAnsi="Sylfaen"/>
          <w:szCs w:val="24"/>
        </w:rPr>
        <w:t xml:space="preserve"> գործել, աղքատության մակարդակը կարող է նվազել </w:t>
      </w:r>
      <w:r w:rsidR="00154B7D">
        <w:rPr>
          <w:rFonts w:ascii="Sylfaen" w:hAnsi="Sylfaen"/>
          <w:szCs w:val="24"/>
        </w:rPr>
        <w:t xml:space="preserve">եկամտային հարկի բարեփոխումներով պայմանավորված եկամտի ավելացման արդյունքում </w:t>
      </w:r>
      <w:r w:rsidR="00853B2A" w:rsidRPr="00AD2F83">
        <w:rPr>
          <w:rFonts w:ascii="Sylfaen" w:hAnsi="Sylfaen"/>
          <w:szCs w:val="24"/>
        </w:rPr>
        <w:t>(</w:t>
      </w:r>
      <w:r w:rsidR="00154B7D">
        <w:rPr>
          <w:rFonts w:ascii="Sylfaen" w:hAnsi="Sylfaen"/>
          <w:szCs w:val="24"/>
        </w:rPr>
        <w:t xml:space="preserve">Գծապատկեր </w:t>
      </w:r>
      <w:r w:rsidR="00853B2A" w:rsidRPr="00AD2F83">
        <w:rPr>
          <w:rFonts w:ascii="Sylfaen" w:hAnsi="Sylfaen"/>
          <w:szCs w:val="24"/>
        </w:rPr>
        <w:t xml:space="preserve">3), </w:t>
      </w:r>
      <w:r w:rsidR="00154B7D">
        <w:rPr>
          <w:rFonts w:ascii="Sylfaen" w:hAnsi="Sylfaen"/>
          <w:szCs w:val="24"/>
        </w:rPr>
        <w:t>և</w:t>
      </w:r>
      <w:r w:rsidR="009C789C">
        <w:rPr>
          <w:rFonts w:ascii="Sylfaen" w:hAnsi="Sylfaen"/>
          <w:szCs w:val="24"/>
        </w:rPr>
        <w:t xml:space="preserve"> որ</w:t>
      </w:r>
      <w:r w:rsidR="00154B7D">
        <w:rPr>
          <w:rFonts w:ascii="Sylfaen" w:hAnsi="Sylfaen"/>
          <w:szCs w:val="24"/>
        </w:rPr>
        <w:t xml:space="preserve"> տարբերությունը “առանց բարեփոխումների” սցենարի համեմատությամբ ժամանակի ընթացքում կմեծանա</w:t>
      </w:r>
      <w:r w:rsidR="0023091F">
        <w:rPr>
          <w:rFonts w:ascii="Sylfaen" w:hAnsi="Sylfaen"/>
          <w:szCs w:val="24"/>
        </w:rPr>
        <w:t xml:space="preserve">: Աղքատության մակարդակի գնահատականը բարեփոխման պարագայում </w:t>
      </w:r>
      <w:r w:rsidR="000A6E56" w:rsidRPr="00AD2F83">
        <w:rPr>
          <w:rFonts w:ascii="Sylfaen" w:hAnsi="Sylfaen"/>
          <w:szCs w:val="24"/>
        </w:rPr>
        <w:t>(15.6</w:t>
      </w:r>
      <w:r w:rsidR="0023091F">
        <w:rPr>
          <w:rFonts w:ascii="Sylfaen" w:hAnsi="Sylfaen"/>
          <w:szCs w:val="24"/>
        </w:rPr>
        <w:t xml:space="preserve"> տոկոս </w:t>
      </w:r>
      <w:r w:rsidR="000A6E56" w:rsidRPr="00AD2F83">
        <w:rPr>
          <w:rFonts w:ascii="Sylfaen" w:hAnsi="Sylfaen"/>
          <w:szCs w:val="24"/>
        </w:rPr>
        <w:lastRenderedPageBreak/>
        <w:t>2023</w:t>
      </w:r>
      <w:r w:rsidR="0023091F">
        <w:rPr>
          <w:rFonts w:ascii="Sylfaen" w:hAnsi="Sylfaen"/>
          <w:szCs w:val="24"/>
        </w:rPr>
        <w:t xml:space="preserve"> թ-ին</w:t>
      </w:r>
      <w:r w:rsidR="000A6E56" w:rsidRPr="00AD2F83">
        <w:rPr>
          <w:rFonts w:ascii="Sylfaen" w:hAnsi="Sylfaen"/>
          <w:szCs w:val="24"/>
        </w:rPr>
        <w:t>)</w:t>
      </w:r>
      <w:r w:rsidR="0023091F">
        <w:rPr>
          <w:rFonts w:ascii="Sylfaen" w:hAnsi="Sylfaen"/>
          <w:szCs w:val="24"/>
        </w:rPr>
        <w:t xml:space="preserve"> կլինի գրեթե երկու տոկոսային կետով ավելի ցածր քան կլիներ “առանց բարեփոխումների” սցենարի </w:t>
      </w:r>
      <w:r w:rsidR="00D31231" w:rsidRPr="00AD2F83">
        <w:rPr>
          <w:rFonts w:ascii="Sylfaen" w:hAnsi="Sylfaen"/>
          <w:szCs w:val="24"/>
        </w:rPr>
        <w:t xml:space="preserve"> </w:t>
      </w:r>
      <w:r w:rsidR="0023091F">
        <w:rPr>
          <w:rFonts w:ascii="Sylfaen" w:hAnsi="Sylfaen"/>
          <w:szCs w:val="24"/>
        </w:rPr>
        <w:t>դեպքում</w:t>
      </w:r>
      <w:r w:rsidR="000A6E56" w:rsidRPr="00AD2F83">
        <w:rPr>
          <w:rFonts w:ascii="Sylfaen" w:hAnsi="Sylfaen"/>
          <w:szCs w:val="24"/>
        </w:rPr>
        <w:t xml:space="preserve"> (17.6</w:t>
      </w:r>
      <w:r w:rsidR="0023091F">
        <w:rPr>
          <w:rFonts w:ascii="Sylfaen" w:hAnsi="Sylfaen"/>
          <w:szCs w:val="24"/>
        </w:rPr>
        <w:t xml:space="preserve"> տոկոս </w:t>
      </w:r>
      <w:r w:rsidR="000A6E56" w:rsidRPr="00AD2F83">
        <w:rPr>
          <w:rFonts w:ascii="Sylfaen" w:hAnsi="Sylfaen"/>
          <w:szCs w:val="24"/>
        </w:rPr>
        <w:t>2023</w:t>
      </w:r>
      <w:r w:rsidR="0023091F">
        <w:rPr>
          <w:rFonts w:ascii="Sylfaen" w:hAnsi="Sylfaen"/>
          <w:szCs w:val="24"/>
        </w:rPr>
        <w:t xml:space="preserve"> թ-ին</w:t>
      </w:r>
      <w:r w:rsidR="000A6E56" w:rsidRPr="00AD2F83">
        <w:rPr>
          <w:rFonts w:ascii="Sylfaen" w:hAnsi="Sylfaen"/>
          <w:szCs w:val="24"/>
        </w:rPr>
        <w:t>)</w:t>
      </w:r>
      <w:r w:rsidR="0023091F">
        <w:rPr>
          <w:rFonts w:ascii="Sylfaen" w:hAnsi="Sylfaen"/>
          <w:szCs w:val="24"/>
        </w:rPr>
        <w:t xml:space="preserve">: </w:t>
      </w:r>
      <w:r w:rsidR="009C789C">
        <w:rPr>
          <w:rFonts w:ascii="Sylfaen" w:hAnsi="Sylfaen"/>
          <w:szCs w:val="24"/>
        </w:rPr>
        <w:t>Ինչ</w:t>
      </w:r>
      <w:r w:rsidR="003A6DCF" w:rsidRPr="003A6DCF">
        <w:rPr>
          <w:rFonts w:ascii="Sylfaen" w:hAnsi="Sylfaen"/>
          <w:szCs w:val="24"/>
        </w:rPr>
        <w:t xml:space="preserve"> </w:t>
      </w:r>
      <w:r w:rsidR="003A6DCF">
        <w:rPr>
          <w:rFonts w:ascii="Sylfaen" w:hAnsi="Sylfaen"/>
          <w:szCs w:val="24"/>
          <w:lang w:val="ru-RU"/>
        </w:rPr>
        <w:t>վերաբերում</w:t>
      </w:r>
      <w:r w:rsidR="003A6DCF" w:rsidRPr="003A6DCF">
        <w:rPr>
          <w:rFonts w:ascii="Sylfaen" w:hAnsi="Sylfaen"/>
          <w:szCs w:val="24"/>
        </w:rPr>
        <w:t xml:space="preserve"> </w:t>
      </w:r>
      <w:r w:rsidR="003A6DCF">
        <w:rPr>
          <w:rFonts w:ascii="Sylfaen" w:hAnsi="Sylfaen"/>
          <w:szCs w:val="24"/>
          <w:lang w:val="ru-RU"/>
        </w:rPr>
        <w:t>է</w:t>
      </w:r>
      <w:r w:rsidR="003A6DCF" w:rsidRPr="003A6DCF">
        <w:rPr>
          <w:rFonts w:ascii="Sylfaen" w:hAnsi="Sylfaen"/>
          <w:szCs w:val="24"/>
        </w:rPr>
        <w:t xml:space="preserve"> </w:t>
      </w:r>
      <w:r w:rsidR="004346FA" w:rsidRPr="00AD2F83">
        <w:rPr>
          <w:rFonts w:ascii="Sylfaen" w:hAnsi="Sylfaen"/>
          <w:szCs w:val="24"/>
        </w:rPr>
        <w:t>2018-23</w:t>
      </w:r>
      <w:r w:rsidR="007F00BA">
        <w:rPr>
          <w:rFonts w:ascii="Sylfaen" w:hAnsi="Sylfaen"/>
          <w:szCs w:val="24"/>
        </w:rPr>
        <w:t xml:space="preserve"> թվականների աղքատության մակարդակ</w:t>
      </w:r>
      <w:r w:rsidR="009C789C">
        <w:rPr>
          <w:rFonts w:ascii="Sylfaen" w:hAnsi="Sylfaen"/>
          <w:szCs w:val="24"/>
        </w:rPr>
        <w:t>ին, ապա այն</w:t>
      </w:r>
      <w:r w:rsidR="007F00BA">
        <w:rPr>
          <w:rFonts w:ascii="Sylfaen" w:hAnsi="Sylfaen"/>
          <w:szCs w:val="24"/>
        </w:rPr>
        <w:t xml:space="preserve"> մոդելավորում ենք, ենթադրելով, որ տնային տնտեսությունների տնօրինվող եկամուտն աճում է</w:t>
      </w:r>
      <w:r w:rsidR="009C789C">
        <w:rPr>
          <w:rFonts w:ascii="Sylfaen" w:hAnsi="Sylfaen"/>
          <w:szCs w:val="24"/>
        </w:rPr>
        <w:t xml:space="preserve"> </w:t>
      </w:r>
      <w:r w:rsidR="007F00BA">
        <w:rPr>
          <w:rFonts w:ascii="Sylfaen" w:hAnsi="Sylfaen"/>
          <w:szCs w:val="24"/>
        </w:rPr>
        <w:t>մեկ շնչին ընկնող ՀՆԱ/ տնային տնտեսության տնօրինվող եկամուտ առաձգականությանը</w:t>
      </w:r>
      <w:r w:rsidR="009C789C">
        <w:rPr>
          <w:rFonts w:ascii="Sylfaen" w:hAnsi="Sylfaen"/>
          <w:szCs w:val="24"/>
        </w:rPr>
        <w:t xml:space="preserve"> համապատասխան</w:t>
      </w:r>
      <w:r w:rsidR="007F00BA">
        <w:rPr>
          <w:rFonts w:ascii="Sylfaen" w:hAnsi="Sylfaen"/>
          <w:szCs w:val="24"/>
        </w:rPr>
        <w:t xml:space="preserve">, որը դիտարկվել է </w:t>
      </w:r>
      <w:r w:rsidR="00C5575A" w:rsidRPr="00AD2F83">
        <w:rPr>
          <w:rFonts w:ascii="Sylfaen" w:hAnsi="Sylfaen"/>
          <w:szCs w:val="24"/>
        </w:rPr>
        <w:t>2015-2017</w:t>
      </w:r>
      <w:r w:rsidR="007F00BA">
        <w:rPr>
          <w:rFonts w:ascii="Sylfaen" w:hAnsi="Sylfaen"/>
          <w:szCs w:val="24"/>
        </w:rPr>
        <w:t xml:space="preserve">թվականներին: </w:t>
      </w:r>
      <w:r w:rsidR="00456A4C" w:rsidRPr="00AD2F83">
        <w:rPr>
          <w:rFonts w:ascii="Sylfaen" w:hAnsi="Sylfaen"/>
          <w:szCs w:val="24"/>
        </w:rPr>
        <w:t>201</w:t>
      </w:r>
      <w:r w:rsidR="004346FA" w:rsidRPr="00AD2F83">
        <w:rPr>
          <w:rFonts w:ascii="Sylfaen" w:hAnsi="Sylfaen"/>
          <w:szCs w:val="24"/>
        </w:rPr>
        <w:t>8</w:t>
      </w:r>
      <w:r w:rsidR="00456A4C" w:rsidRPr="00AD2F83">
        <w:rPr>
          <w:rFonts w:ascii="Sylfaen" w:hAnsi="Sylfaen"/>
          <w:szCs w:val="24"/>
        </w:rPr>
        <w:t>-19</w:t>
      </w:r>
      <w:r w:rsidR="00C573A8">
        <w:rPr>
          <w:rFonts w:ascii="Sylfaen" w:hAnsi="Sylfaen"/>
          <w:szCs w:val="24"/>
        </w:rPr>
        <w:t xml:space="preserve"> թվականներին՝ նախքան եկամտային հարկի բարեփոխման կիրառումը, աղքատության մակարդակները երկու սցենարների դեպքում էլ նույնն են</w:t>
      </w:r>
      <w:r w:rsidR="00853B2A" w:rsidRPr="00AD2F83">
        <w:rPr>
          <w:rStyle w:val="FootnoteReference"/>
          <w:rFonts w:ascii="Sylfaen" w:hAnsi="Sylfaen"/>
          <w:szCs w:val="24"/>
        </w:rPr>
        <w:footnoteReference w:id="4"/>
      </w:r>
      <w:r w:rsidR="00C573A8">
        <w:rPr>
          <w:rFonts w:ascii="Sylfaen" w:hAnsi="Sylfaen"/>
          <w:szCs w:val="24"/>
        </w:rPr>
        <w:t>:</w:t>
      </w:r>
      <w:r w:rsidR="00F55CA6" w:rsidRPr="00AD2F83">
        <w:rPr>
          <w:rFonts w:ascii="Sylfaen" w:hAnsi="Sylfaen"/>
          <w:szCs w:val="24"/>
        </w:rPr>
        <w:t xml:space="preserve"> </w:t>
      </w:r>
    </w:p>
    <w:p w:rsidR="00115426" w:rsidRPr="00AD2F83" w:rsidRDefault="00115426" w:rsidP="00B9448F">
      <w:pPr>
        <w:rPr>
          <w:rFonts w:ascii="Sylfaen" w:hAnsi="Sylfae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D7F0D" w:rsidRPr="008D7F0D" w:rsidTr="00A57286">
        <w:tc>
          <w:tcPr>
            <w:tcW w:w="4675" w:type="dxa"/>
          </w:tcPr>
          <w:p w:rsidR="008D7F0D" w:rsidRPr="008D7F0D" w:rsidRDefault="008D7F0D" w:rsidP="00A57286">
            <w:pPr>
              <w:jc w:val="both"/>
              <w:rPr>
                <w:rFonts w:ascii="Sylfaen" w:hAnsi="Sylfaen"/>
                <w:sz w:val="22"/>
                <w:szCs w:val="24"/>
              </w:rPr>
            </w:pPr>
            <w:r w:rsidRPr="008D7F0D">
              <w:rPr>
                <w:rFonts w:ascii="Sylfaen" w:hAnsi="Sylfaen"/>
                <w:b/>
                <w:sz w:val="22"/>
                <w:szCs w:val="24"/>
              </w:rPr>
              <w:t>Գծապատկեր 3.</w:t>
            </w:r>
            <w:r w:rsidRPr="008D7F0D">
              <w:rPr>
                <w:rFonts w:ascii="Sylfaen" w:hAnsi="Sylfaen"/>
                <w:sz w:val="22"/>
                <w:szCs w:val="24"/>
              </w:rPr>
              <w:t xml:space="preserve"> Կանխատեսվող աղքատության մակարդակը եկամտային հարկի գծով առաջարկվող բարեփոխումների և առանց բարեփոխումների սցենարներում (ազգային աղքատության գիծը):</w:t>
            </w:r>
          </w:p>
        </w:tc>
        <w:tc>
          <w:tcPr>
            <w:tcW w:w="4675" w:type="dxa"/>
          </w:tcPr>
          <w:p w:rsidR="008D7F0D" w:rsidRPr="008D7F0D" w:rsidRDefault="008D7F0D" w:rsidP="00A57286">
            <w:pPr>
              <w:jc w:val="both"/>
              <w:rPr>
                <w:rFonts w:ascii="Sylfaen" w:hAnsi="Sylfaen"/>
                <w:sz w:val="22"/>
                <w:szCs w:val="24"/>
              </w:rPr>
            </w:pPr>
            <w:r w:rsidRPr="008D7F0D">
              <w:rPr>
                <w:rFonts w:ascii="Sylfaen" w:hAnsi="Sylfaen"/>
                <w:b/>
                <w:sz w:val="22"/>
                <w:szCs w:val="24"/>
              </w:rPr>
              <w:t>Գծապատկեր 4.</w:t>
            </w:r>
            <w:r w:rsidRPr="008D7F0D">
              <w:rPr>
                <w:rFonts w:ascii="Sylfaen" w:hAnsi="Sylfaen"/>
                <w:sz w:val="22"/>
                <w:szCs w:val="24"/>
              </w:rPr>
              <w:t xml:space="preserve"> Ջինիի գործակցի փոփոխությունները՝ պայմանավորված եկամտային հարկի բարեփոխումներով  </w:t>
            </w:r>
          </w:p>
          <w:p w:rsidR="008D7F0D" w:rsidRPr="008D7F0D" w:rsidRDefault="008D7F0D" w:rsidP="00A57286">
            <w:pPr>
              <w:jc w:val="both"/>
              <w:rPr>
                <w:rFonts w:ascii="Sylfaen" w:hAnsi="Sylfaen"/>
                <w:sz w:val="22"/>
                <w:szCs w:val="24"/>
              </w:rPr>
            </w:pPr>
            <w:r w:rsidRPr="008D7F0D">
              <w:rPr>
                <w:rFonts w:ascii="Sylfaen" w:hAnsi="Sylfaen"/>
                <w:sz w:val="22"/>
                <w:szCs w:val="24"/>
              </w:rPr>
              <w:t>(տնային տնտեսությունների տնօրինվող եկամտի հիման վրա):</w:t>
            </w:r>
          </w:p>
        </w:tc>
      </w:tr>
      <w:tr w:rsidR="008D7F0D" w:rsidRPr="00AD2F83" w:rsidTr="00A57286">
        <w:tc>
          <w:tcPr>
            <w:tcW w:w="4675" w:type="dxa"/>
          </w:tcPr>
          <w:p w:rsidR="008D7F0D" w:rsidRPr="00AD2F83" w:rsidRDefault="008D7F0D" w:rsidP="00A57286">
            <w:pPr>
              <w:jc w:val="both"/>
              <w:rPr>
                <w:rFonts w:ascii="Sylfaen" w:hAnsi="Sylfaen"/>
                <w:szCs w:val="24"/>
              </w:rPr>
            </w:pPr>
            <w:r w:rsidRPr="00AD2F83">
              <w:rPr>
                <w:rFonts w:ascii="Sylfaen" w:hAnsi="Sylfaen"/>
                <w:noProof/>
                <w:szCs w:val="24"/>
              </w:rPr>
              <w:drawing>
                <wp:inline distT="0" distB="0" distL="0" distR="0" wp14:anchorId="2AF4E56A" wp14:editId="1011CB8F">
                  <wp:extent cx="2811679" cy="2139950"/>
                  <wp:effectExtent l="0" t="0" r="0" b="0"/>
                  <wp:docPr id="6" name="Chart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898A41-D5EF-4BF1-8E5F-F1B4AA77F1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8D7F0D" w:rsidRPr="00AD2F83" w:rsidRDefault="008D7F0D" w:rsidP="00A57286">
            <w:pPr>
              <w:jc w:val="both"/>
              <w:rPr>
                <w:rFonts w:ascii="Sylfaen" w:hAnsi="Sylfaen"/>
                <w:szCs w:val="24"/>
              </w:rPr>
            </w:pPr>
            <w:r w:rsidRPr="00AD2F83">
              <w:rPr>
                <w:rFonts w:ascii="Sylfaen" w:hAnsi="Sylfaen"/>
                <w:noProof/>
                <w:szCs w:val="24"/>
              </w:rPr>
              <w:drawing>
                <wp:inline distT="0" distB="0" distL="0" distR="0" wp14:anchorId="15BADB55" wp14:editId="3C7D1010">
                  <wp:extent cx="2778760" cy="2127250"/>
                  <wp:effectExtent l="0" t="0" r="2540" b="6350"/>
                  <wp:docPr id="12" name="Chart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2BABB9-6908-43E7-9691-4C742147C49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8D7F0D" w:rsidRPr="008D7F0D" w:rsidTr="00A57286">
        <w:tc>
          <w:tcPr>
            <w:tcW w:w="4675" w:type="dxa"/>
          </w:tcPr>
          <w:p w:rsidR="008D7F0D" w:rsidRPr="008D7F0D" w:rsidRDefault="008D7F0D" w:rsidP="00A57286">
            <w:pPr>
              <w:jc w:val="both"/>
              <w:rPr>
                <w:rFonts w:ascii="Sylfaen" w:hAnsi="Sylfaen"/>
                <w:sz w:val="22"/>
                <w:szCs w:val="24"/>
              </w:rPr>
            </w:pPr>
            <w:r w:rsidRPr="008D7F0D">
              <w:rPr>
                <w:rFonts w:ascii="Sylfaen" w:hAnsi="Sylfaen"/>
                <w:b/>
                <w:sz w:val="22"/>
                <w:szCs w:val="24"/>
              </w:rPr>
              <w:t>Նշում`</w:t>
            </w:r>
            <w:r w:rsidRPr="008D7F0D">
              <w:rPr>
                <w:rFonts w:ascii="Sylfaen" w:hAnsi="Sylfaen"/>
                <w:sz w:val="22"/>
                <w:szCs w:val="24"/>
              </w:rPr>
              <w:t xml:space="preserve"> Ենթադրվում է, որ տնային տնտեսությունների տնօրինվող եկամուտը աճելու է 2018-2023 թթ. ըստ մեկ շնչին բաժին ընկնող ՀՆԱ/տնային տնտեսության եկամտի աճ առաձգականության, որը նկատվել է 2015-2017թթ.: </w:t>
            </w:r>
            <w:r w:rsidRPr="008D7F0D">
              <w:rPr>
                <w:rFonts w:ascii="Sylfaen" w:hAnsi="Sylfaen" w:cs="Calibri"/>
                <w:b/>
                <w:color w:val="000000"/>
                <w:sz w:val="22"/>
                <w:szCs w:val="24"/>
              </w:rPr>
              <w:t xml:space="preserve">Աղբյուրը՝ </w:t>
            </w:r>
            <w:r w:rsidRPr="008D7F0D">
              <w:rPr>
                <w:rFonts w:ascii="Sylfaen" w:hAnsi="Sylfaen" w:cs="Calibri"/>
                <w:color w:val="000000"/>
                <w:sz w:val="22"/>
                <w:szCs w:val="24"/>
              </w:rPr>
              <w:t>սեփական մշակումներ:</w:t>
            </w:r>
          </w:p>
        </w:tc>
        <w:tc>
          <w:tcPr>
            <w:tcW w:w="4675" w:type="dxa"/>
          </w:tcPr>
          <w:p w:rsidR="008D7F0D" w:rsidRPr="008D7F0D" w:rsidRDefault="008D7F0D" w:rsidP="00A57286">
            <w:pPr>
              <w:jc w:val="both"/>
              <w:rPr>
                <w:rFonts w:ascii="Sylfaen" w:hAnsi="Sylfaen"/>
                <w:sz w:val="22"/>
                <w:szCs w:val="24"/>
              </w:rPr>
            </w:pPr>
            <w:r w:rsidRPr="008D7F0D">
              <w:rPr>
                <w:rFonts w:ascii="Sylfaen" w:hAnsi="Sylfaen"/>
                <w:b/>
                <w:sz w:val="22"/>
                <w:szCs w:val="24"/>
              </w:rPr>
              <w:t xml:space="preserve">Նշում՝ </w:t>
            </w:r>
            <w:r w:rsidRPr="008D7F0D">
              <w:rPr>
                <w:rFonts w:ascii="Sylfaen" w:hAnsi="Sylfaen"/>
                <w:sz w:val="22"/>
                <w:szCs w:val="24"/>
              </w:rPr>
              <w:t xml:space="preserve">Ջինիի գործակիցը չափում է անհավասարությունը 0-1 միջակայքում (0=առավելագույն հավասարությունը, 1=առավելագույն անհավասարությունը):  </w:t>
            </w:r>
            <w:r w:rsidRPr="008D7F0D">
              <w:rPr>
                <w:rFonts w:ascii="Sylfaen" w:hAnsi="Sylfaen" w:cs="Calibri"/>
                <w:b/>
                <w:color w:val="000000"/>
                <w:sz w:val="22"/>
                <w:szCs w:val="24"/>
              </w:rPr>
              <w:t xml:space="preserve">Աղբյուրը՝ </w:t>
            </w:r>
            <w:r w:rsidRPr="008D7F0D">
              <w:rPr>
                <w:rFonts w:ascii="Sylfaen" w:hAnsi="Sylfaen" w:cs="Calibri"/>
                <w:color w:val="000000"/>
                <w:sz w:val="22"/>
                <w:szCs w:val="24"/>
              </w:rPr>
              <w:t>սեփական մշակումներ:</w:t>
            </w:r>
          </w:p>
        </w:tc>
      </w:tr>
    </w:tbl>
    <w:p w:rsidR="000933CF" w:rsidRDefault="000933CF" w:rsidP="00B9448F">
      <w:pPr>
        <w:rPr>
          <w:rFonts w:ascii="Sylfaen" w:hAnsi="Sylfaen"/>
          <w:b/>
          <w:szCs w:val="24"/>
        </w:rPr>
      </w:pPr>
    </w:p>
    <w:p w:rsidR="00C5575A" w:rsidRPr="00AD2F83" w:rsidRDefault="00694359" w:rsidP="00C5575A">
      <w:pPr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>Եկամտային հարկի բարեփոխումներով պայմանավորված տնային տնտեսությունների եկամուտների փոքր ավելացում</w:t>
      </w:r>
      <w:r w:rsidR="007D4A03">
        <w:rPr>
          <w:rFonts w:ascii="Sylfaen" w:hAnsi="Sylfaen"/>
          <w:b/>
          <w:szCs w:val="24"/>
        </w:rPr>
        <w:t>ներ</w:t>
      </w:r>
      <w:r>
        <w:rPr>
          <w:rFonts w:ascii="Sylfaen" w:hAnsi="Sylfaen"/>
          <w:b/>
          <w:szCs w:val="24"/>
        </w:rPr>
        <w:t>ը կ</w:t>
      </w:r>
      <w:r w:rsidR="007D4A03">
        <w:rPr>
          <w:rFonts w:ascii="Sylfaen" w:hAnsi="Sylfaen"/>
          <w:b/>
          <w:szCs w:val="24"/>
        </w:rPr>
        <w:t xml:space="preserve">հանգեցնեն </w:t>
      </w:r>
      <w:r>
        <w:rPr>
          <w:rFonts w:ascii="Sylfaen" w:hAnsi="Sylfaen"/>
          <w:b/>
          <w:szCs w:val="24"/>
        </w:rPr>
        <w:t>անհավասարության նվազագույն աճ</w:t>
      </w:r>
      <w:r w:rsidR="007D4A03">
        <w:rPr>
          <w:rFonts w:ascii="Sylfaen" w:hAnsi="Sylfaen"/>
          <w:b/>
          <w:szCs w:val="24"/>
        </w:rPr>
        <w:t>ի</w:t>
      </w:r>
      <w:r>
        <w:rPr>
          <w:rFonts w:ascii="Sylfaen" w:hAnsi="Sylfaen"/>
          <w:b/>
          <w:szCs w:val="24"/>
        </w:rPr>
        <w:t xml:space="preserve">, ընդ որում </w:t>
      </w:r>
      <w:r w:rsidR="007D4A03">
        <w:rPr>
          <w:rFonts w:ascii="Sylfaen" w:hAnsi="Sylfaen"/>
          <w:b/>
          <w:szCs w:val="24"/>
        </w:rPr>
        <w:t xml:space="preserve">Ջինիի գործակիցը </w:t>
      </w:r>
      <w:r>
        <w:rPr>
          <w:rFonts w:ascii="Sylfaen" w:hAnsi="Sylfaen"/>
          <w:b/>
          <w:szCs w:val="24"/>
        </w:rPr>
        <w:t>2023 թվականին</w:t>
      </w:r>
      <w:r w:rsidRPr="00AD2F83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b/>
          <w:szCs w:val="24"/>
        </w:rPr>
        <w:t xml:space="preserve">0,25-ից կհասնի </w:t>
      </w:r>
      <w:r w:rsidR="00C5575A" w:rsidRPr="00AD2F83">
        <w:rPr>
          <w:rFonts w:ascii="Sylfaen" w:hAnsi="Sylfaen"/>
          <w:b/>
          <w:szCs w:val="24"/>
        </w:rPr>
        <w:t>0.279</w:t>
      </w:r>
      <w:r w:rsidR="007D4A03">
        <w:rPr>
          <w:rFonts w:ascii="Sylfaen" w:hAnsi="Sylfaen"/>
          <w:b/>
          <w:szCs w:val="24"/>
        </w:rPr>
        <w:t>-ի</w:t>
      </w:r>
      <w:r w:rsidR="00C5575A" w:rsidRPr="00AD2F83">
        <w:rPr>
          <w:rFonts w:ascii="Sylfaen" w:hAnsi="Sylfaen"/>
          <w:b/>
          <w:szCs w:val="24"/>
        </w:rPr>
        <w:t xml:space="preserve"> (+0.004 </w:t>
      </w:r>
      <w:r>
        <w:rPr>
          <w:rFonts w:ascii="Sylfaen" w:hAnsi="Sylfaen"/>
          <w:b/>
          <w:szCs w:val="24"/>
        </w:rPr>
        <w:t>կետ</w:t>
      </w:r>
      <w:r w:rsidR="00C5575A" w:rsidRPr="00AD2F83">
        <w:rPr>
          <w:rFonts w:ascii="Sylfaen" w:hAnsi="Sylfaen"/>
          <w:b/>
          <w:szCs w:val="24"/>
        </w:rPr>
        <w:t>)</w:t>
      </w:r>
      <w:r>
        <w:rPr>
          <w:rFonts w:ascii="Sylfaen" w:hAnsi="Sylfaen"/>
          <w:b/>
          <w:szCs w:val="24"/>
        </w:rPr>
        <w:t>:</w:t>
      </w:r>
      <w:r w:rsidR="00C5575A" w:rsidRPr="00AD2F83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 xml:space="preserve">Գծապատկեր </w:t>
      </w:r>
      <w:r w:rsidR="00C5575A" w:rsidRPr="00AD2F83">
        <w:rPr>
          <w:rFonts w:ascii="Sylfaen" w:hAnsi="Sylfaen"/>
          <w:szCs w:val="24"/>
        </w:rPr>
        <w:t>4</w:t>
      </w:r>
      <w:r>
        <w:rPr>
          <w:rFonts w:ascii="Sylfaen" w:hAnsi="Sylfaen"/>
          <w:szCs w:val="24"/>
        </w:rPr>
        <w:t>-ում ներկայացված են անհավասարության մոդելա</w:t>
      </w:r>
      <w:r w:rsidR="008024AD">
        <w:rPr>
          <w:rFonts w:ascii="Sylfaen" w:hAnsi="Sylfaen"/>
          <w:szCs w:val="24"/>
        </w:rPr>
        <w:t>վորման արդյունքները Հայաստանում</w:t>
      </w:r>
      <w:r w:rsidR="008024AD" w:rsidRPr="008024AD">
        <w:rPr>
          <w:rFonts w:ascii="Sylfaen" w:hAnsi="Sylfaen"/>
          <w:szCs w:val="24"/>
        </w:rPr>
        <w:t xml:space="preserve">; </w:t>
      </w:r>
      <w:r w:rsidR="008024AD">
        <w:rPr>
          <w:rFonts w:ascii="Sylfaen" w:hAnsi="Sylfaen"/>
          <w:szCs w:val="24"/>
          <w:lang w:val="ru-RU"/>
        </w:rPr>
        <w:lastRenderedPageBreak/>
        <w:t>անհավասարությունը</w:t>
      </w:r>
      <w:r>
        <w:rPr>
          <w:rFonts w:ascii="Sylfaen" w:hAnsi="Sylfaen"/>
          <w:szCs w:val="24"/>
        </w:rPr>
        <w:t xml:space="preserve"> </w:t>
      </w:r>
      <w:r w:rsidR="007D4A03">
        <w:rPr>
          <w:rFonts w:ascii="Sylfaen" w:hAnsi="Sylfaen"/>
          <w:szCs w:val="24"/>
        </w:rPr>
        <w:t>չափվում է տնօրինվող եկամտի Ջ</w:t>
      </w:r>
      <w:r>
        <w:rPr>
          <w:rFonts w:ascii="Sylfaen" w:hAnsi="Sylfaen"/>
          <w:szCs w:val="24"/>
        </w:rPr>
        <w:t>ինիի գործակցով</w:t>
      </w:r>
      <w:r w:rsidR="008024AD" w:rsidRPr="008024AD">
        <w:rPr>
          <w:rFonts w:ascii="Sylfaen" w:hAnsi="Sylfaen"/>
          <w:szCs w:val="24"/>
        </w:rPr>
        <w:t xml:space="preserve"> </w:t>
      </w:r>
      <w:r w:rsidR="008024AD">
        <w:rPr>
          <w:rFonts w:ascii="Sylfaen" w:hAnsi="Sylfaen"/>
          <w:szCs w:val="24"/>
          <w:lang w:val="ru-RU"/>
        </w:rPr>
        <w:t>և</w:t>
      </w:r>
      <w:r w:rsidR="00C67A41">
        <w:rPr>
          <w:rFonts w:ascii="Sylfaen" w:hAnsi="Sylfaen"/>
          <w:szCs w:val="24"/>
        </w:rPr>
        <w:t xml:space="preserve"> տատանվում է զրոյի </w:t>
      </w:r>
      <w:r w:rsidR="00C5575A" w:rsidRPr="00AD2F83">
        <w:rPr>
          <w:rFonts w:ascii="Sylfaen" w:hAnsi="Sylfaen"/>
          <w:szCs w:val="24"/>
        </w:rPr>
        <w:t>(</w:t>
      </w:r>
      <w:r w:rsidR="00C67A41">
        <w:rPr>
          <w:rFonts w:ascii="Sylfaen" w:hAnsi="Sylfaen"/>
          <w:szCs w:val="24"/>
        </w:rPr>
        <w:t>առավելագույն հավասարություն</w:t>
      </w:r>
      <w:r w:rsidR="00C5575A" w:rsidRPr="00AD2F83">
        <w:rPr>
          <w:rFonts w:ascii="Sylfaen" w:hAnsi="Sylfaen"/>
          <w:szCs w:val="24"/>
        </w:rPr>
        <w:t>)</w:t>
      </w:r>
      <w:r w:rsidR="00C67A41">
        <w:rPr>
          <w:rFonts w:ascii="Sylfaen" w:hAnsi="Sylfaen"/>
          <w:szCs w:val="24"/>
        </w:rPr>
        <w:t xml:space="preserve"> և մեկի </w:t>
      </w:r>
      <w:r w:rsidR="00C5575A" w:rsidRPr="00AD2F83">
        <w:rPr>
          <w:rFonts w:ascii="Sylfaen" w:hAnsi="Sylfaen"/>
          <w:szCs w:val="24"/>
        </w:rPr>
        <w:t>(</w:t>
      </w:r>
      <w:r w:rsidR="00C67A41">
        <w:rPr>
          <w:rFonts w:ascii="Sylfaen" w:hAnsi="Sylfaen"/>
          <w:szCs w:val="24"/>
        </w:rPr>
        <w:t>առավելագույն անհավասարություն</w:t>
      </w:r>
      <w:r w:rsidR="00C5575A" w:rsidRPr="00AD2F83">
        <w:rPr>
          <w:rFonts w:ascii="Sylfaen" w:hAnsi="Sylfaen"/>
          <w:szCs w:val="24"/>
        </w:rPr>
        <w:t>)</w:t>
      </w:r>
      <w:r w:rsidR="00C67A41">
        <w:rPr>
          <w:rFonts w:ascii="Sylfaen" w:hAnsi="Sylfaen"/>
          <w:szCs w:val="24"/>
        </w:rPr>
        <w:t xml:space="preserve"> սահմաններում: “Առանց բարեփոխումների” սցենարի դեպքում </w:t>
      </w:r>
      <w:r w:rsidR="00C5575A" w:rsidRPr="00AD2F83">
        <w:rPr>
          <w:rFonts w:ascii="Sylfaen" w:hAnsi="Sylfaen"/>
          <w:szCs w:val="24"/>
        </w:rPr>
        <w:t>(</w:t>
      </w:r>
      <w:r w:rsidR="00C67A41">
        <w:rPr>
          <w:rFonts w:ascii="Sylfaen" w:hAnsi="Sylfaen"/>
          <w:szCs w:val="24"/>
        </w:rPr>
        <w:t>կարմիր գիծ</w:t>
      </w:r>
      <w:r w:rsidR="00C5575A" w:rsidRPr="00AD2F83">
        <w:rPr>
          <w:rFonts w:ascii="Sylfaen" w:hAnsi="Sylfaen"/>
          <w:szCs w:val="24"/>
        </w:rPr>
        <w:t>)</w:t>
      </w:r>
      <w:r w:rsidR="007D4A03">
        <w:rPr>
          <w:rFonts w:ascii="Sylfaen" w:hAnsi="Sylfaen"/>
          <w:szCs w:val="24"/>
        </w:rPr>
        <w:t xml:space="preserve"> տեսնում </w:t>
      </w:r>
      <w:r w:rsidR="00C67A41">
        <w:rPr>
          <w:rFonts w:ascii="Sylfaen" w:hAnsi="Sylfaen"/>
          <w:szCs w:val="24"/>
        </w:rPr>
        <w:t xml:space="preserve">ենք, որ </w:t>
      </w:r>
      <w:r w:rsidR="007D4A03">
        <w:rPr>
          <w:rFonts w:ascii="Sylfaen" w:hAnsi="Sylfaen"/>
          <w:szCs w:val="24"/>
        </w:rPr>
        <w:t>Ջ</w:t>
      </w:r>
      <w:r w:rsidR="00C67A41">
        <w:rPr>
          <w:rFonts w:ascii="Sylfaen" w:hAnsi="Sylfaen"/>
          <w:szCs w:val="24"/>
        </w:rPr>
        <w:t>ինի</w:t>
      </w:r>
      <w:r w:rsidR="007D4A03">
        <w:rPr>
          <w:rFonts w:ascii="Sylfaen" w:hAnsi="Sylfaen"/>
          <w:szCs w:val="24"/>
        </w:rPr>
        <w:t>ի գործակիցը</w:t>
      </w:r>
      <w:r w:rsidR="00C67A41">
        <w:rPr>
          <w:rFonts w:ascii="Sylfaen" w:hAnsi="Sylfaen"/>
          <w:szCs w:val="24"/>
        </w:rPr>
        <w:t xml:space="preserve">՝  բազիսային </w:t>
      </w:r>
      <w:r w:rsidR="00C67A41" w:rsidRPr="00AD2F83">
        <w:rPr>
          <w:rFonts w:ascii="Sylfaen" w:hAnsi="Sylfaen"/>
          <w:szCs w:val="24"/>
        </w:rPr>
        <w:t>2018</w:t>
      </w:r>
      <w:r w:rsidR="00C67A41">
        <w:rPr>
          <w:rFonts w:ascii="Sylfaen" w:hAnsi="Sylfaen"/>
          <w:szCs w:val="24"/>
        </w:rPr>
        <w:t xml:space="preserve"> թվականի համեմատությամբ</w:t>
      </w:r>
      <w:r w:rsidR="00C67A41" w:rsidRPr="00AD2F83">
        <w:rPr>
          <w:rFonts w:ascii="Sylfaen" w:hAnsi="Sylfaen"/>
          <w:szCs w:val="24"/>
        </w:rPr>
        <w:t xml:space="preserve"> (0.2746)</w:t>
      </w:r>
      <w:r w:rsidR="00C67A41">
        <w:rPr>
          <w:rFonts w:ascii="Sylfaen" w:hAnsi="Sylfaen"/>
          <w:szCs w:val="24"/>
        </w:rPr>
        <w:t xml:space="preserve">, մնում է անփոփոխ </w:t>
      </w:r>
      <w:r w:rsidR="00C5575A" w:rsidRPr="00AD2F83">
        <w:rPr>
          <w:rFonts w:ascii="Sylfaen" w:hAnsi="Sylfaen"/>
          <w:szCs w:val="24"/>
        </w:rPr>
        <w:t>2019-23</w:t>
      </w:r>
      <w:r w:rsidR="00C67A41">
        <w:rPr>
          <w:rFonts w:ascii="Sylfaen" w:hAnsi="Sylfaen"/>
          <w:szCs w:val="24"/>
        </w:rPr>
        <w:t xml:space="preserve"> թթ. ողջ </w:t>
      </w:r>
      <w:r w:rsidR="007D4A03">
        <w:rPr>
          <w:rFonts w:ascii="Sylfaen" w:hAnsi="Sylfaen"/>
          <w:szCs w:val="24"/>
        </w:rPr>
        <w:t xml:space="preserve">ժամանակահատվածի </w:t>
      </w:r>
      <w:r w:rsidR="00C67A41">
        <w:rPr>
          <w:rFonts w:ascii="Sylfaen" w:hAnsi="Sylfaen"/>
          <w:szCs w:val="24"/>
        </w:rPr>
        <w:t xml:space="preserve">ընթացքում; </w:t>
      </w:r>
      <w:r w:rsidR="00C67A41" w:rsidRPr="00C67A41">
        <w:rPr>
          <w:rFonts w:ascii="Sylfaen" w:hAnsi="Sylfaen"/>
          <w:szCs w:val="24"/>
        </w:rPr>
        <w:t xml:space="preserve">դա տեղի է ունենում, </w:t>
      </w:r>
      <w:r w:rsidR="00205D80">
        <w:rPr>
          <w:rFonts w:ascii="Sylfaen" w:hAnsi="Sylfaen"/>
          <w:szCs w:val="24"/>
          <w:lang w:val="ru-RU"/>
        </w:rPr>
        <w:t>որովհետև</w:t>
      </w:r>
      <w:r w:rsidR="00C67A41" w:rsidRPr="00C67A41">
        <w:rPr>
          <w:rFonts w:ascii="Sylfaen" w:hAnsi="Sylfaen"/>
          <w:szCs w:val="24"/>
        </w:rPr>
        <w:t xml:space="preserve"> մենք ենթադրե</w:t>
      </w:r>
      <w:r w:rsidR="007D4A03">
        <w:rPr>
          <w:rFonts w:ascii="Sylfaen" w:hAnsi="Sylfaen"/>
          <w:szCs w:val="24"/>
        </w:rPr>
        <w:t>լ ենք</w:t>
      </w:r>
      <w:r w:rsidR="00C67A41" w:rsidRPr="00C67A41">
        <w:rPr>
          <w:rFonts w:ascii="Sylfaen" w:hAnsi="Sylfaen"/>
          <w:szCs w:val="24"/>
        </w:rPr>
        <w:t>, որ եկամտի ամբողջական բաշխումը ամեն տարի աճում է համաչափորեն (հավասարապես բոլոր տնային տնտեսություններում):</w:t>
      </w:r>
      <w:r w:rsidR="009E03D7">
        <w:rPr>
          <w:rFonts w:ascii="Sylfaen" w:hAnsi="Sylfaen"/>
          <w:szCs w:val="24"/>
        </w:rPr>
        <w:t xml:space="preserve"> </w:t>
      </w:r>
      <w:r w:rsidR="002872E5">
        <w:rPr>
          <w:rFonts w:ascii="Sylfaen" w:hAnsi="Sylfaen"/>
          <w:szCs w:val="24"/>
        </w:rPr>
        <w:t>Ի տարբերություն</w:t>
      </w:r>
      <w:r w:rsidR="007D4A03">
        <w:rPr>
          <w:rFonts w:ascii="Sylfaen" w:hAnsi="Sylfaen"/>
          <w:szCs w:val="24"/>
        </w:rPr>
        <w:t xml:space="preserve"> դրան</w:t>
      </w:r>
      <w:r w:rsidR="002872E5" w:rsidRPr="00AD2F83">
        <w:rPr>
          <w:rFonts w:ascii="Sylfaen" w:hAnsi="Sylfaen"/>
          <w:szCs w:val="24"/>
        </w:rPr>
        <w:t xml:space="preserve">, </w:t>
      </w:r>
      <w:r w:rsidR="002872E5">
        <w:rPr>
          <w:rFonts w:ascii="Sylfaen" w:hAnsi="Sylfaen"/>
          <w:szCs w:val="24"/>
        </w:rPr>
        <w:t xml:space="preserve">եկամտային հարկի բարեփոխման սցենարի պարագայում </w:t>
      </w:r>
      <w:r w:rsidR="002872E5" w:rsidRPr="00AD2F83">
        <w:rPr>
          <w:rFonts w:ascii="Sylfaen" w:hAnsi="Sylfaen"/>
          <w:szCs w:val="24"/>
        </w:rPr>
        <w:t>(</w:t>
      </w:r>
      <w:r w:rsidR="002872E5">
        <w:rPr>
          <w:rFonts w:ascii="Sylfaen" w:hAnsi="Sylfaen"/>
          <w:szCs w:val="24"/>
        </w:rPr>
        <w:t>կապույտ կետավոր գիծ</w:t>
      </w:r>
      <w:r w:rsidR="002872E5" w:rsidRPr="00AD2F83">
        <w:rPr>
          <w:rFonts w:ascii="Sylfaen" w:hAnsi="Sylfaen"/>
          <w:szCs w:val="24"/>
        </w:rPr>
        <w:t>)</w:t>
      </w:r>
      <w:r w:rsidR="002872E5">
        <w:rPr>
          <w:rFonts w:ascii="Sylfaen" w:hAnsi="Sylfaen"/>
          <w:szCs w:val="24"/>
        </w:rPr>
        <w:t xml:space="preserve"> </w:t>
      </w:r>
      <w:r w:rsidR="007D4A03">
        <w:rPr>
          <w:rFonts w:ascii="Sylfaen" w:hAnsi="Sylfaen"/>
          <w:szCs w:val="24"/>
        </w:rPr>
        <w:t>տեսնում</w:t>
      </w:r>
      <w:r w:rsidR="002872E5">
        <w:rPr>
          <w:rFonts w:ascii="Sylfaen" w:hAnsi="Sylfaen"/>
          <w:szCs w:val="24"/>
        </w:rPr>
        <w:t xml:space="preserve"> ենք, որ Ջինիի </w:t>
      </w:r>
      <w:r w:rsidR="007D4A03">
        <w:rPr>
          <w:rFonts w:ascii="Sylfaen" w:hAnsi="Sylfaen"/>
          <w:szCs w:val="24"/>
        </w:rPr>
        <w:t>գործակիցը մի փոքր ավելի բարձր է, քան</w:t>
      </w:r>
      <w:r w:rsidR="002872E5">
        <w:rPr>
          <w:rFonts w:ascii="Sylfaen" w:hAnsi="Sylfaen"/>
          <w:szCs w:val="24"/>
        </w:rPr>
        <w:t xml:space="preserve"> առանց եկամտային հարկի բարեփոխման սցենարի</w:t>
      </w:r>
      <w:r w:rsidR="007D4A03">
        <w:rPr>
          <w:rFonts w:ascii="Sylfaen" w:hAnsi="Sylfaen"/>
          <w:szCs w:val="24"/>
        </w:rPr>
        <w:t xml:space="preserve"> դեպքում</w:t>
      </w:r>
      <w:r w:rsidR="002872E5">
        <w:rPr>
          <w:rFonts w:ascii="Sylfaen" w:hAnsi="Sylfaen"/>
          <w:szCs w:val="24"/>
        </w:rPr>
        <w:t>: Մենք հաշվարկել ենք, որ մինչև</w:t>
      </w:r>
      <w:r w:rsidR="002872E5" w:rsidRPr="00AD2F83">
        <w:rPr>
          <w:rFonts w:ascii="Sylfaen" w:hAnsi="Sylfaen"/>
          <w:szCs w:val="24"/>
        </w:rPr>
        <w:t xml:space="preserve"> 2023</w:t>
      </w:r>
      <w:r w:rsidR="002872E5">
        <w:rPr>
          <w:rFonts w:ascii="Sylfaen" w:hAnsi="Sylfaen"/>
          <w:szCs w:val="24"/>
        </w:rPr>
        <w:t xml:space="preserve"> թվականը Ջինիի գործակիցը </w:t>
      </w:r>
      <w:r w:rsidR="002872E5" w:rsidRPr="00AD2F83">
        <w:rPr>
          <w:rFonts w:ascii="Sylfaen" w:hAnsi="Sylfaen"/>
          <w:szCs w:val="24"/>
        </w:rPr>
        <w:t>0.2746</w:t>
      </w:r>
      <w:r w:rsidR="002872E5">
        <w:rPr>
          <w:rFonts w:ascii="Sylfaen" w:hAnsi="Sylfaen"/>
          <w:szCs w:val="24"/>
        </w:rPr>
        <w:t xml:space="preserve">-ից կբարձրանա մինչև </w:t>
      </w:r>
      <w:r w:rsidR="002872E5" w:rsidRPr="00AD2F83">
        <w:rPr>
          <w:rFonts w:ascii="Sylfaen" w:hAnsi="Sylfaen"/>
          <w:szCs w:val="24"/>
        </w:rPr>
        <w:t xml:space="preserve">0.2787 (+0.004 </w:t>
      </w:r>
      <w:r w:rsidR="002872E5">
        <w:rPr>
          <w:rFonts w:ascii="Sylfaen" w:hAnsi="Sylfaen"/>
          <w:szCs w:val="24"/>
        </w:rPr>
        <w:t>կետով</w:t>
      </w:r>
      <w:r w:rsidR="002872E5" w:rsidRPr="00AD2F83">
        <w:rPr>
          <w:rFonts w:ascii="Sylfaen" w:hAnsi="Sylfaen"/>
          <w:szCs w:val="24"/>
        </w:rPr>
        <w:t xml:space="preserve">), </w:t>
      </w:r>
      <w:r w:rsidR="002872E5" w:rsidRPr="00D64EC3">
        <w:rPr>
          <w:rFonts w:ascii="Sylfaen" w:hAnsi="Sylfaen"/>
          <w:szCs w:val="24"/>
        </w:rPr>
        <w:t xml:space="preserve">ինչը համահունչ է այն հանգամանքին, որ </w:t>
      </w:r>
      <w:r w:rsidR="002872E5">
        <w:rPr>
          <w:rFonts w:ascii="Sylfaen" w:hAnsi="Sylfaen"/>
          <w:szCs w:val="24"/>
        </w:rPr>
        <w:t>եկամտային հարկի</w:t>
      </w:r>
      <w:r w:rsidR="002872E5" w:rsidRPr="00D64EC3">
        <w:rPr>
          <w:rFonts w:ascii="Sylfaen" w:hAnsi="Sylfaen"/>
          <w:szCs w:val="24"/>
        </w:rPr>
        <w:t xml:space="preserve"> բարեփոխումներ</w:t>
      </w:r>
      <w:r w:rsidR="002872E5">
        <w:rPr>
          <w:rFonts w:ascii="Sylfaen" w:hAnsi="Sylfaen"/>
          <w:szCs w:val="24"/>
        </w:rPr>
        <w:t xml:space="preserve">ով պայմանավորված </w:t>
      </w:r>
      <w:r w:rsidR="002872E5" w:rsidRPr="00D64EC3">
        <w:rPr>
          <w:rFonts w:ascii="Sylfaen" w:hAnsi="Sylfaen"/>
          <w:szCs w:val="24"/>
        </w:rPr>
        <w:t>զուտ եկամտ</w:t>
      </w:r>
      <w:r w:rsidR="002872E5">
        <w:rPr>
          <w:rFonts w:ascii="Sylfaen" w:hAnsi="Sylfaen"/>
          <w:szCs w:val="24"/>
        </w:rPr>
        <w:t>ի ավելացումն ավելի</w:t>
      </w:r>
      <w:r w:rsidR="002872E5" w:rsidRPr="00D64EC3">
        <w:rPr>
          <w:rFonts w:ascii="Sylfaen" w:hAnsi="Sylfaen"/>
          <w:szCs w:val="24"/>
        </w:rPr>
        <w:t xml:space="preserve"> բարձր է վերին </w:t>
      </w:r>
      <w:r w:rsidR="002872E5">
        <w:rPr>
          <w:rFonts w:ascii="Sylfaen" w:hAnsi="Sylfaen"/>
          <w:szCs w:val="24"/>
        </w:rPr>
        <w:t>դեցիլներում:</w:t>
      </w:r>
      <w:r w:rsidR="00C5575A" w:rsidRPr="00AD2F83">
        <w:rPr>
          <w:rFonts w:ascii="Sylfaen" w:hAnsi="Sylfaen"/>
          <w:szCs w:val="24"/>
        </w:rPr>
        <w:t xml:space="preserve"> </w:t>
      </w:r>
    </w:p>
    <w:p w:rsidR="00882E32" w:rsidRPr="00AD2F83" w:rsidRDefault="00882E32" w:rsidP="00B9448F">
      <w:pPr>
        <w:rPr>
          <w:rFonts w:ascii="Sylfaen" w:hAnsi="Sylfaen"/>
          <w:b/>
          <w:szCs w:val="24"/>
        </w:rPr>
      </w:pPr>
    </w:p>
    <w:p w:rsidR="00371A72" w:rsidRPr="008D7F0D" w:rsidRDefault="002872E5" w:rsidP="008D7F0D">
      <w:pPr>
        <w:jc w:val="both"/>
        <w:rPr>
          <w:rFonts w:ascii="Sylfaen" w:hAnsi="Sylfaen"/>
          <w:bCs/>
        </w:rPr>
      </w:pPr>
      <w:r>
        <w:rPr>
          <w:rFonts w:ascii="Sylfaen" w:hAnsi="Sylfaen"/>
          <w:b/>
          <w:bCs/>
        </w:rPr>
        <w:t>Եկամտային հարկի բարեփոխման արդյունքում Հայաստանի եկամտահարկ</w:t>
      </w:r>
      <w:r w:rsidR="0047282A">
        <w:rPr>
          <w:rFonts w:ascii="Sylfaen" w:hAnsi="Sylfaen"/>
          <w:b/>
          <w:bCs/>
        </w:rPr>
        <w:t>այ</w:t>
      </w:r>
      <w:r>
        <w:rPr>
          <w:rFonts w:ascii="Sylfaen" w:hAnsi="Sylfaen"/>
          <w:b/>
          <w:bCs/>
        </w:rPr>
        <w:t>ի</w:t>
      </w:r>
      <w:r w:rsidR="0047282A">
        <w:rPr>
          <w:rFonts w:ascii="Sylfaen" w:hAnsi="Sylfaen"/>
          <w:b/>
          <w:bCs/>
        </w:rPr>
        <w:t>ն</w:t>
      </w:r>
      <w:r>
        <w:rPr>
          <w:rFonts w:ascii="Sylfaen" w:hAnsi="Sylfaen"/>
          <w:b/>
          <w:bCs/>
        </w:rPr>
        <w:t xml:space="preserve"> համակարգը կկորցնի </w:t>
      </w:r>
      <w:r w:rsidR="0047282A">
        <w:rPr>
          <w:rFonts w:ascii="Sylfaen" w:hAnsi="Sylfaen"/>
          <w:b/>
          <w:bCs/>
        </w:rPr>
        <w:t xml:space="preserve">իր </w:t>
      </w:r>
      <w:r>
        <w:rPr>
          <w:rFonts w:ascii="Sylfaen" w:hAnsi="Sylfaen"/>
          <w:b/>
          <w:bCs/>
        </w:rPr>
        <w:t xml:space="preserve">պրոգրեսիվությունը: </w:t>
      </w:r>
      <w:r w:rsidRPr="008C2989">
        <w:rPr>
          <w:rFonts w:ascii="Sylfaen" w:hAnsi="Sylfaen"/>
          <w:bCs/>
        </w:rPr>
        <w:t xml:space="preserve">Քանի որ </w:t>
      </w:r>
      <w:r>
        <w:rPr>
          <w:rFonts w:ascii="Sylfaen" w:hAnsi="Sylfaen"/>
          <w:bCs/>
        </w:rPr>
        <w:t>եկամտային հարկի</w:t>
      </w:r>
      <w:r w:rsidRPr="008C2989"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</w:rPr>
        <w:t>գործող եռա</w:t>
      </w:r>
      <w:r w:rsidR="00C14B4D">
        <w:rPr>
          <w:rFonts w:ascii="Sylfaen" w:hAnsi="Sylfaen"/>
          <w:bCs/>
        </w:rPr>
        <w:t>դրույք</w:t>
      </w:r>
      <w:r>
        <w:rPr>
          <w:rFonts w:ascii="Sylfaen" w:hAnsi="Sylfaen"/>
          <w:bCs/>
        </w:rPr>
        <w:t xml:space="preserve"> սանդղակով </w:t>
      </w:r>
      <w:r w:rsidRPr="008C2989">
        <w:rPr>
          <w:rFonts w:ascii="Sylfaen" w:hAnsi="Sylfaen"/>
          <w:bCs/>
        </w:rPr>
        <w:t>համակարգ</w:t>
      </w:r>
      <w:r>
        <w:rPr>
          <w:rFonts w:ascii="Sylfaen" w:hAnsi="Sylfaen"/>
          <w:bCs/>
        </w:rPr>
        <w:t>ը</w:t>
      </w:r>
      <w:r w:rsidRPr="008C2989"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</w:rPr>
        <w:t>անցնելու է միասնական համահարթ դրույքաչափով համակարգի, բաշխ</w:t>
      </w:r>
      <w:r w:rsidR="00205D80">
        <w:rPr>
          <w:rFonts w:ascii="Sylfaen" w:hAnsi="Sylfaen"/>
          <w:bCs/>
        </w:rPr>
        <w:t>ման առումով բացասական ազդեցությ</w:t>
      </w:r>
      <w:r w:rsidR="00205D80">
        <w:rPr>
          <w:rFonts w:ascii="Sylfaen" w:hAnsi="Sylfaen"/>
          <w:bCs/>
          <w:lang w:val="ru-RU"/>
        </w:rPr>
        <w:t>ու</w:t>
      </w:r>
      <w:r>
        <w:rPr>
          <w:rFonts w:ascii="Sylfaen" w:hAnsi="Sylfaen"/>
          <w:bCs/>
        </w:rPr>
        <w:t xml:space="preserve">ն </w:t>
      </w:r>
      <w:r w:rsidR="00205D80">
        <w:rPr>
          <w:rFonts w:ascii="Sylfaen" w:hAnsi="Sylfaen"/>
          <w:bCs/>
          <w:lang w:val="ru-RU"/>
        </w:rPr>
        <w:t>կլինի</w:t>
      </w:r>
      <w:r>
        <w:rPr>
          <w:rFonts w:ascii="Sylfaen" w:hAnsi="Sylfaen"/>
          <w:bCs/>
        </w:rPr>
        <w:t xml:space="preserve"> թե աշխատողներից գանձվող եկամտային հարկ</w:t>
      </w:r>
      <w:r w:rsidR="00205D80">
        <w:rPr>
          <w:rFonts w:ascii="Sylfaen" w:hAnsi="Sylfaen"/>
          <w:bCs/>
          <w:lang w:val="ru-RU"/>
        </w:rPr>
        <w:t>ի</w:t>
      </w:r>
      <w:r>
        <w:rPr>
          <w:rFonts w:ascii="Sylfaen" w:hAnsi="Sylfaen"/>
          <w:bCs/>
        </w:rPr>
        <w:t xml:space="preserve"> </w:t>
      </w:r>
      <w:r w:rsidRPr="008C2989">
        <w:rPr>
          <w:rFonts w:ascii="Sylfaen" w:hAnsi="Sylfaen"/>
          <w:bCs/>
        </w:rPr>
        <w:t>(</w:t>
      </w:r>
      <w:r>
        <w:rPr>
          <w:rFonts w:ascii="Sylfaen" w:hAnsi="Sylfaen"/>
          <w:bCs/>
        </w:rPr>
        <w:t>որը</w:t>
      </w:r>
      <w:r w:rsidRPr="008C2989">
        <w:rPr>
          <w:rFonts w:ascii="Sylfaen" w:hAnsi="Sylfaen"/>
          <w:bCs/>
        </w:rPr>
        <w:t xml:space="preserve"> դառնում է ավելի ռեգրեսիվ), </w:t>
      </w:r>
      <w:r>
        <w:rPr>
          <w:rFonts w:ascii="Sylfaen" w:hAnsi="Sylfaen"/>
          <w:bCs/>
        </w:rPr>
        <w:t>թե՛ ինքնազբաղվածներից գանձվող</w:t>
      </w:r>
      <w:r w:rsidR="00205D80" w:rsidRPr="00205D80">
        <w:rPr>
          <w:rFonts w:ascii="Sylfaen" w:hAnsi="Sylfaen"/>
          <w:bCs/>
        </w:rPr>
        <w:t xml:space="preserve"> </w:t>
      </w:r>
      <w:r w:rsidR="00205D80">
        <w:rPr>
          <w:rFonts w:ascii="Sylfaen" w:hAnsi="Sylfaen"/>
          <w:bCs/>
          <w:lang w:val="ru-RU"/>
        </w:rPr>
        <w:t>հարկի</w:t>
      </w:r>
      <w:r w:rsidR="00205D80" w:rsidRPr="00205D80">
        <w:rPr>
          <w:rFonts w:ascii="Sylfaen" w:hAnsi="Sylfaen"/>
          <w:bCs/>
        </w:rPr>
        <w:t xml:space="preserve"> </w:t>
      </w:r>
      <w:r w:rsidR="00205D80">
        <w:rPr>
          <w:rFonts w:ascii="Sylfaen" w:hAnsi="Sylfaen"/>
          <w:bCs/>
          <w:lang w:val="ru-RU"/>
        </w:rPr>
        <w:t>վրա</w:t>
      </w:r>
      <w:r>
        <w:rPr>
          <w:rFonts w:ascii="Sylfaen" w:hAnsi="Sylfaen"/>
          <w:bCs/>
        </w:rPr>
        <w:t xml:space="preserve"> </w:t>
      </w:r>
      <w:r w:rsidRPr="00AD2F83">
        <w:rPr>
          <w:rFonts w:ascii="Sylfaen" w:hAnsi="Sylfaen"/>
          <w:bCs/>
        </w:rPr>
        <w:t>(</w:t>
      </w:r>
      <w:r>
        <w:rPr>
          <w:rFonts w:ascii="Sylfaen" w:hAnsi="Sylfaen"/>
          <w:bCs/>
        </w:rPr>
        <w:t>որը դառնում է պակաս պրոգրեսիվ</w:t>
      </w:r>
      <w:r w:rsidRPr="00AD2F83">
        <w:rPr>
          <w:rFonts w:ascii="Sylfaen" w:hAnsi="Sylfaen"/>
          <w:bCs/>
        </w:rPr>
        <w:t>)</w:t>
      </w:r>
      <w:r w:rsidRPr="00AD2F83">
        <w:rPr>
          <w:rStyle w:val="FootnoteReference"/>
          <w:rFonts w:ascii="Sylfaen" w:hAnsi="Sylfaen"/>
          <w:bCs/>
        </w:rPr>
        <w:footnoteReference w:id="5"/>
      </w:r>
      <w:r>
        <w:rPr>
          <w:rFonts w:ascii="Sylfaen" w:hAnsi="Sylfaen"/>
          <w:bCs/>
        </w:rPr>
        <w:t xml:space="preserve">: </w:t>
      </w:r>
      <w:r w:rsidRPr="00897732">
        <w:rPr>
          <w:rFonts w:ascii="Sylfaen" w:hAnsi="Sylfaen"/>
          <w:bCs/>
        </w:rPr>
        <w:t>Ենթադրե</w:t>
      </w:r>
      <w:r>
        <w:rPr>
          <w:rFonts w:ascii="Sylfaen" w:hAnsi="Sylfaen"/>
          <w:bCs/>
        </w:rPr>
        <w:t>լով</w:t>
      </w:r>
      <w:r w:rsidRPr="00897732">
        <w:rPr>
          <w:rFonts w:ascii="Sylfaen" w:hAnsi="Sylfaen"/>
          <w:bCs/>
        </w:rPr>
        <w:t xml:space="preserve">, որ </w:t>
      </w:r>
      <w:r>
        <w:rPr>
          <w:rFonts w:ascii="Sylfaen" w:hAnsi="Sylfaen"/>
          <w:bCs/>
        </w:rPr>
        <w:t>հարկա</w:t>
      </w:r>
      <w:r w:rsidRPr="00897732">
        <w:rPr>
          <w:rFonts w:ascii="Sylfaen" w:hAnsi="Sylfaen"/>
          <w:bCs/>
        </w:rPr>
        <w:t>բյուջետային միջամտություններում այլ փոփոխություններ չ</w:t>
      </w:r>
      <w:r>
        <w:rPr>
          <w:rFonts w:ascii="Sylfaen" w:hAnsi="Sylfaen"/>
          <w:bCs/>
        </w:rPr>
        <w:t xml:space="preserve">են լինելու </w:t>
      </w:r>
      <w:r w:rsidRPr="00897732">
        <w:rPr>
          <w:rFonts w:ascii="Sylfaen" w:hAnsi="Sylfaen"/>
          <w:bCs/>
        </w:rPr>
        <w:t>(2014 թ</w:t>
      </w:r>
      <w:r w:rsidR="00C14B4D">
        <w:rPr>
          <w:rFonts w:ascii="Sylfaen" w:hAnsi="Sylfaen"/>
          <w:bCs/>
        </w:rPr>
        <w:t>.</w:t>
      </w:r>
      <w:r>
        <w:rPr>
          <w:rFonts w:ascii="Sylfaen" w:hAnsi="Sylfaen"/>
          <w:bCs/>
        </w:rPr>
        <w:t xml:space="preserve"> համեմատությամբ</w:t>
      </w:r>
      <w:r w:rsidRPr="00897732">
        <w:rPr>
          <w:rFonts w:ascii="Sylfaen" w:hAnsi="Sylfaen"/>
          <w:bCs/>
        </w:rPr>
        <w:t>),</w:t>
      </w:r>
      <w:r>
        <w:rPr>
          <w:rFonts w:ascii="Sylfaen" w:hAnsi="Sylfaen"/>
          <w:bCs/>
        </w:rPr>
        <w:t xml:space="preserve"> մ</w:t>
      </w:r>
      <w:r w:rsidRPr="00897732">
        <w:rPr>
          <w:rFonts w:ascii="Sylfaen" w:hAnsi="Sylfaen"/>
          <w:bCs/>
        </w:rPr>
        <w:t>ենք</w:t>
      </w:r>
      <w:r>
        <w:rPr>
          <w:rFonts w:ascii="Sylfaen" w:hAnsi="Sylfaen"/>
          <w:bCs/>
        </w:rPr>
        <w:t xml:space="preserve"> հաշվարկել </w:t>
      </w:r>
      <w:proofErr w:type="gramStart"/>
      <w:r>
        <w:rPr>
          <w:rFonts w:ascii="Sylfaen" w:hAnsi="Sylfaen"/>
          <w:bCs/>
        </w:rPr>
        <w:t xml:space="preserve">ենք, </w:t>
      </w:r>
      <w:r w:rsidRPr="00897732">
        <w:rPr>
          <w:rFonts w:ascii="Sylfaen" w:hAnsi="Sylfaen"/>
          <w:bCs/>
        </w:rPr>
        <w:t xml:space="preserve"> որ</w:t>
      </w:r>
      <w:proofErr w:type="gramEnd"/>
      <w:r w:rsidRPr="00897732"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</w:rPr>
        <w:t xml:space="preserve">եկամտային հարկի բարեփոխման պարագայում </w:t>
      </w:r>
      <w:r w:rsidRPr="00897732">
        <w:rPr>
          <w:rFonts w:ascii="Sylfaen" w:hAnsi="Sylfaen"/>
          <w:bCs/>
        </w:rPr>
        <w:t xml:space="preserve">ընդհանուր հարկային համակարգը (եկամտահարկ + անուղղակի հարկեր) կդառնա </w:t>
      </w:r>
      <w:r>
        <w:rPr>
          <w:rFonts w:ascii="Sylfaen" w:hAnsi="Sylfaen"/>
          <w:bCs/>
        </w:rPr>
        <w:t>պակաս պրոգրեսիվ</w:t>
      </w:r>
      <w:r w:rsidRPr="00AD2F83">
        <w:rPr>
          <w:rStyle w:val="FootnoteReference"/>
          <w:rFonts w:ascii="Sylfaen" w:hAnsi="Sylfaen"/>
          <w:bCs/>
        </w:rPr>
        <w:footnoteReference w:id="6"/>
      </w:r>
      <w:r>
        <w:rPr>
          <w:rFonts w:ascii="Sylfaen" w:hAnsi="Sylfaen"/>
          <w:bCs/>
        </w:rPr>
        <w:t>:</w:t>
      </w:r>
      <w:r w:rsidRPr="00AD2F83"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</w:rPr>
        <w:t>Ավելին, նույնիսկ</w:t>
      </w:r>
      <w:r w:rsidR="00C14B4D">
        <w:rPr>
          <w:rFonts w:ascii="Sylfaen" w:hAnsi="Sylfaen"/>
          <w:bCs/>
        </w:rPr>
        <w:t>, եթե</w:t>
      </w:r>
      <w:r>
        <w:rPr>
          <w:rFonts w:ascii="Sylfaen" w:hAnsi="Sylfaen"/>
          <w:bCs/>
        </w:rPr>
        <w:t xml:space="preserve"> տրանսֆերտները և </w:t>
      </w:r>
      <w:r w:rsidR="00C14B4D">
        <w:rPr>
          <w:rFonts w:ascii="Sylfaen" w:hAnsi="Sylfaen"/>
          <w:bCs/>
        </w:rPr>
        <w:t>առողջապահության և կրթության ոլորտներ</w:t>
      </w:r>
      <w:r w:rsidR="00205D80">
        <w:rPr>
          <w:rFonts w:ascii="Sylfaen" w:hAnsi="Sylfaen"/>
          <w:bCs/>
          <w:lang w:val="ru-RU"/>
        </w:rPr>
        <w:t>ում</w:t>
      </w:r>
      <w:r w:rsidR="00205D80" w:rsidRPr="00205D80">
        <w:rPr>
          <w:rFonts w:ascii="Sylfaen" w:hAnsi="Sylfaen"/>
          <w:bCs/>
        </w:rPr>
        <w:t xml:space="preserve"> </w:t>
      </w:r>
      <w:r w:rsidR="00205D80">
        <w:rPr>
          <w:rFonts w:ascii="Sylfaen" w:hAnsi="Sylfaen"/>
          <w:bCs/>
          <w:lang w:val="ru-RU"/>
        </w:rPr>
        <w:t>նախատեսված</w:t>
      </w:r>
      <w:r w:rsidR="00C14B4D"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</w:rPr>
        <w:t>բնաիրային նպաստները</w:t>
      </w:r>
      <w:r w:rsidR="00C14B4D">
        <w:rPr>
          <w:rFonts w:ascii="Sylfaen" w:hAnsi="Sylfaen"/>
          <w:bCs/>
        </w:rPr>
        <w:t xml:space="preserve"> վերադարձվեն</w:t>
      </w:r>
      <w:r>
        <w:rPr>
          <w:rFonts w:ascii="Sylfaen" w:hAnsi="Sylfaen"/>
          <w:bCs/>
        </w:rPr>
        <w:t xml:space="preserve"> տնային տնտեսություններին</w:t>
      </w:r>
      <w:r w:rsidR="00C14B4D">
        <w:rPr>
          <w:rFonts w:ascii="Sylfaen" w:hAnsi="Sylfaen"/>
          <w:bCs/>
        </w:rPr>
        <w:t xml:space="preserve">, </w:t>
      </w:r>
      <w:r>
        <w:rPr>
          <w:rFonts w:ascii="Sylfaen" w:hAnsi="Sylfaen"/>
          <w:bCs/>
        </w:rPr>
        <w:t>ընդհանուր հարկաբյուջետային համակարգը կունենա վերաբաշխ</w:t>
      </w:r>
      <w:r w:rsidR="00C14B4D">
        <w:rPr>
          <w:rFonts w:ascii="Sylfaen" w:hAnsi="Sylfaen"/>
          <w:bCs/>
        </w:rPr>
        <w:t xml:space="preserve">ողական </w:t>
      </w:r>
      <w:r>
        <w:rPr>
          <w:rFonts w:ascii="Sylfaen" w:hAnsi="Sylfaen"/>
          <w:bCs/>
        </w:rPr>
        <w:t>կորուստ</w:t>
      </w:r>
      <w:r w:rsidR="00C14B4D">
        <w:rPr>
          <w:rFonts w:ascii="Sylfaen" w:hAnsi="Sylfaen"/>
          <w:bCs/>
        </w:rPr>
        <w:t>ներ</w:t>
      </w:r>
      <w:r w:rsidR="00E405A2" w:rsidRPr="00AD2F83">
        <w:rPr>
          <w:rStyle w:val="FootnoteReference"/>
          <w:rFonts w:ascii="Sylfaen" w:hAnsi="Sylfaen"/>
          <w:bCs/>
        </w:rPr>
        <w:footnoteReference w:id="7"/>
      </w:r>
      <w:r>
        <w:rPr>
          <w:rFonts w:ascii="Sylfaen" w:hAnsi="Sylfaen"/>
          <w:bCs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B9448F" w:rsidRPr="00AD2F83" w:rsidTr="00B9448F">
        <w:tc>
          <w:tcPr>
            <w:tcW w:w="4675" w:type="dxa"/>
          </w:tcPr>
          <w:p w:rsidR="00B9448F" w:rsidRPr="00AD2F83" w:rsidRDefault="006A43F2" w:rsidP="00371A72">
            <w:pPr>
              <w:jc w:val="both"/>
              <w:rPr>
                <w:rFonts w:ascii="Sylfaen" w:hAnsi="Sylfaen"/>
                <w:szCs w:val="24"/>
              </w:rPr>
            </w:pPr>
            <w:r w:rsidRPr="008D7F0D">
              <w:rPr>
                <w:rFonts w:ascii="Sylfaen" w:hAnsi="Sylfaen"/>
                <w:b/>
                <w:sz w:val="22"/>
                <w:szCs w:val="24"/>
              </w:rPr>
              <w:lastRenderedPageBreak/>
              <w:t>Գծապատկեր</w:t>
            </w:r>
            <w:r w:rsidR="00B9448F" w:rsidRPr="008D7F0D">
              <w:rPr>
                <w:rFonts w:ascii="Sylfaen" w:hAnsi="Sylfaen"/>
                <w:b/>
                <w:sz w:val="22"/>
                <w:szCs w:val="24"/>
              </w:rPr>
              <w:t xml:space="preserve"> 5.</w:t>
            </w:r>
            <w:r w:rsidR="00B9448F" w:rsidRPr="008D7F0D">
              <w:rPr>
                <w:rFonts w:ascii="Sylfaen" w:hAnsi="Sylfaen"/>
                <w:sz w:val="22"/>
                <w:szCs w:val="24"/>
              </w:rPr>
              <w:t xml:space="preserve"> </w:t>
            </w:r>
            <w:r w:rsidR="00A74FBF" w:rsidRPr="008D7F0D">
              <w:rPr>
                <w:rFonts w:ascii="Sylfaen" w:hAnsi="Sylfaen"/>
                <w:sz w:val="22"/>
                <w:szCs w:val="24"/>
              </w:rPr>
              <w:t xml:space="preserve">Եկամտային հարկի բարեփոխումների տարեկան ծախսը՝ </w:t>
            </w:r>
            <w:r w:rsidR="00371A72" w:rsidRPr="008D7F0D">
              <w:rPr>
                <w:rFonts w:ascii="Sylfaen" w:hAnsi="Sylfaen"/>
                <w:sz w:val="22"/>
                <w:szCs w:val="24"/>
              </w:rPr>
              <w:t>ո</w:t>
            </w:r>
            <w:r w:rsidR="00A74FBF" w:rsidRPr="008D7F0D">
              <w:rPr>
                <w:rFonts w:ascii="Sylfaen" w:hAnsi="Sylfaen"/>
                <w:sz w:val="22"/>
                <w:szCs w:val="24"/>
              </w:rPr>
              <w:t>րպես ՀՆԱ-ի տ</w:t>
            </w:r>
            <w:r w:rsidR="00371A72" w:rsidRPr="008D7F0D">
              <w:rPr>
                <w:rFonts w:ascii="Sylfaen" w:hAnsi="Sylfaen"/>
                <w:sz w:val="22"/>
                <w:szCs w:val="24"/>
              </w:rPr>
              <w:t>եսակարար կշիռ</w:t>
            </w:r>
            <w:r w:rsidR="00A74FBF" w:rsidRPr="008D7F0D">
              <w:rPr>
                <w:rFonts w:ascii="Sylfaen" w:hAnsi="Sylfaen"/>
                <w:sz w:val="22"/>
                <w:szCs w:val="24"/>
              </w:rPr>
              <w:t xml:space="preserve"> </w:t>
            </w:r>
            <w:r w:rsidR="00B9448F" w:rsidRPr="008D7F0D">
              <w:rPr>
                <w:rFonts w:ascii="Sylfaen" w:hAnsi="Sylfaen"/>
                <w:sz w:val="22"/>
                <w:szCs w:val="24"/>
              </w:rPr>
              <w:t>(</w:t>
            </w:r>
            <w:r w:rsidR="00A74FBF" w:rsidRPr="008D7F0D">
              <w:rPr>
                <w:rFonts w:ascii="Sylfaen" w:hAnsi="Sylfaen"/>
                <w:sz w:val="22"/>
                <w:szCs w:val="24"/>
              </w:rPr>
              <w:t>Եկամտային հարկի  բարեփոխումների արդյունքում եկամտային հարկի գծով մուտքերի կրճատում )</w:t>
            </w:r>
          </w:p>
        </w:tc>
      </w:tr>
      <w:tr w:rsidR="00B9448F" w:rsidRPr="00AD2F83" w:rsidTr="00B9448F">
        <w:tc>
          <w:tcPr>
            <w:tcW w:w="4675" w:type="dxa"/>
          </w:tcPr>
          <w:p w:rsidR="00B9448F" w:rsidRPr="00AD2F83" w:rsidRDefault="00B9448F" w:rsidP="00B9448F">
            <w:pPr>
              <w:jc w:val="both"/>
              <w:rPr>
                <w:rFonts w:ascii="Sylfaen" w:hAnsi="Sylfaen"/>
                <w:szCs w:val="24"/>
              </w:rPr>
            </w:pPr>
            <w:r w:rsidRPr="00AD2F83">
              <w:rPr>
                <w:rFonts w:ascii="Sylfaen" w:hAnsi="Sylfaen"/>
                <w:noProof/>
                <w:szCs w:val="24"/>
                <w:shd w:val="clear" w:color="auto" w:fill="FAA4AA"/>
              </w:rPr>
              <w:drawing>
                <wp:inline distT="0" distB="0" distL="0" distR="0">
                  <wp:extent cx="2819400" cy="2061210"/>
                  <wp:effectExtent l="0" t="0" r="0" b="0"/>
                  <wp:docPr id="15" name="Chart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0F359D-1815-46C1-80F5-3A085080B7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B9448F" w:rsidRPr="00AD2F83" w:rsidTr="00B9448F">
        <w:tc>
          <w:tcPr>
            <w:tcW w:w="4675" w:type="dxa"/>
          </w:tcPr>
          <w:p w:rsidR="00B9448F" w:rsidRPr="00AD2F83" w:rsidRDefault="002872E5" w:rsidP="002872E5">
            <w:pPr>
              <w:jc w:val="both"/>
              <w:rPr>
                <w:rFonts w:ascii="Sylfaen" w:hAnsi="Sylfaen"/>
                <w:szCs w:val="24"/>
              </w:rPr>
            </w:pPr>
            <w:r w:rsidRPr="008D7F0D">
              <w:rPr>
                <w:rFonts w:ascii="Sylfaen" w:hAnsi="Sylfaen" w:cs="Calibri"/>
                <w:b/>
                <w:color w:val="000000"/>
                <w:sz w:val="22"/>
                <w:szCs w:val="24"/>
              </w:rPr>
              <w:t xml:space="preserve">Աղբյուրը՝ </w:t>
            </w:r>
            <w:r w:rsidRPr="008D7F0D">
              <w:rPr>
                <w:rFonts w:ascii="Sylfaen" w:hAnsi="Sylfaen" w:cs="Calibri"/>
                <w:color w:val="000000"/>
                <w:sz w:val="22"/>
                <w:szCs w:val="24"/>
              </w:rPr>
              <w:t>սեփական մշակումներ</w:t>
            </w:r>
          </w:p>
        </w:tc>
      </w:tr>
    </w:tbl>
    <w:p w:rsidR="00B9448F" w:rsidRPr="00AD2F83" w:rsidRDefault="002872E5" w:rsidP="00B9448F">
      <w:pPr>
        <w:jc w:val="both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 xml:space="preserve">Եկամտային հարկի բարեփոխման ազդեցությունը բյուջեի վրա բացասական կլինի: </w:t>
      </w:r>
      <w:r w:rsidRPr="0030538A">
        <w:rPr>
          <w:rFonts w:ascii="Sylfaen" w:hAnsi="Sylfaen"/>
          <w:szCs w:val="24"/>
        </w:rPr>
        <w:t xml:space="preserve">Եկամտային </w:t>
      </w:r>
      <w:r>
        <w:rPr>
          <w:rFonts w:ascii="Sylfaen" w:hAnsi="Sylfaen"/>
          <w:szCs w:val="24"/>
        </w:rPr>
        <w:t>հարկի գծով եկամուտներ</w:t>
      </w:r>
      <w:r w:rsidR="00BC5789">
        <w:rPr>
          <w:rFonts w:ascii="Sylfaen" w:hAnsi="Sylfaen"/>
          <w:szCs w:val="24"/>
          <w:lang w:val="ru-RU"/>
        </w:rPr>
        <w:t>ի</w:t>
      </w:r>
      <w:r>
        <w:rPr>
          <w:rFonts w:ascii="Sylfaen" w:hAnsi="Sylfaen"/>
          <w:szCs w:val="24"/>
        </w:rPr>
        <w:t xml:space="preserve"> կորուստը 2020 թ-ի</w:t>
      </w:r>
      <w:r w:rsidR="00205D80">
        <w:rPr>
          <w:rFonts w:ascii="Sylfaen" w:hAnsi="Sylfaen"/>
          <w:szCs w:val="24"/>
          <w:lang w:val="ru-RU"/>
        </w:rPr>
        <w:t>ն</w:t>
      </w:r>
      <w:r>
        <w:rPr>
          <w:rFonts w:ascii="Sylfaen" w:hAnsi="Sylfaen"/>
          <w:szCs w:val="24"/>
        </w:rPr>
        <w:t xml:space="preserve"> գնահատվում է ՀՆԱ-ի</w:t>
      </w:r>
      <w:r w:rsidRPr="00AD2F83">
        <w:rPr>
          <w:rFonts w:ascii="Sylfaen" w:hAnsi="Sylfaen"/>
          <w:szCs w:val="24"/>
        </w:rPr>
        <w:t xml:space="preserve"> 0.3</w:t>
      </w:r>
      <w:r>
        <w:rPr>
          <w:rFonts w:ascii="Sylfaen" w:hAnsi="Sylfaen"/>
          <w:szCs w:val="24"/>
        </w:rPr>
        <w:t xml:space="preserve"> տոկոսի չափով:</w:t>
      </w:r>
      <w:r w:rsidRPr="00AD2F83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Ավելին, քանի որ բարեփոխման շր</w:t>
      </w:r>
      <w:r w:rsidR="00BC5789">
        <w:rPr>
          <w:rFonts w:ascii="Sylfaen" w:hAnsi="Sylfaen"/>
          <w:szCs w:val="24"/>
        </w:rPr>
        <w:t>ջա</w:t>
      </w:r>
      <w:r w:rsidR="00BC5789">
        <w:rPr>
          <w:rFonts w:ascii="Sylfaen" w:hAnsi="Sylfaen"/>
          <w:szCs w:val="24"/>
          <w:lang w:val="ru-RU"/>
        </w:rPr>
        <w:t>ակ</w:t>
      </w:r>
      <w:r>
        <w:rPr>
          <w:rFonts w:ascii="Sylfaen" w:hAnsi="Sylfaen"/>
          <w:szCs w:val="24"/>
        </w:rPr>
        <w:t>ներում եկամտային հարկի դրույքաչափը աստիճանաբար կնվազի, ակնկ</w:t>
      </w:r>
      <w:r w:rsidR="00BC5789">
        <w:rPr>
          <w:rFonts w:ascii="Sylfaen" w:hAnsi="Sylfaen"/>
          <w:szCs w:val="24"/>
        </w:rPr>
        <w:t>ալվում է, որ 2023 թ-ին եկամտայի</w:t>
      </w:r>
      <w:r>
        <w:rPr>
          <w:rFonts w:ascii="Sylfaen" w:hAnsi="Sylfaen"/>
          <w:szCs w:val="24"/>
        </w:rPr>
        <w:t xml:space="preserve">ն հարկի գծով մուտքերի տարեկան կորուստը կկազմի ՀՆԱ-ի </w:t>
      </w:r>
      <w:r w:rsidRPr="00AD2F83">
        <w:rPr>
          <w:rFonts w:ascii="Sylfaen" w:hAnsi="Sylfaen"/>
          <w:szCs w:val="24"/>
        </w:rPr>
        <w:t>0.72</w:t>
      </w:r>
      <w:r>
        <w:rPr>
          <w:rFonts w:ascii="Sylfaen" w:hAnsi="Sylfaen"/>
          <w:szCs w:val="24"/>
        </w:rPr>
        <w:t xml:space="preserve"> տոկոս </w:t>
      </w:r>
      <w:r w:rsidRPr="00AD2F83">
        <w:rPr>
          <w:rFonts w:ascii="Sylfaen" w:hAnsi="Sylfaen"/>
          <w:szCs w:val="24"/>
        </w:rPr>
        <w:t xml:space="preserve"> (</w:t>
      </w:r>
      <w:r>
        <w:rPr>
          <w:rFonts w:ascii="Sylfaen" w:hAnsi="Sylfaen"/>
          <w:szCs w:val="24"/>
        </w:rPr>
        <w:t>Գծապատկեր</w:t>
      </w:r>
      <w:r w:rsidRPr="00AD2F83">
        <w:rPr>
          <w:rFonts w:ascii="Sylfaen" w:hAnsi="Sylfaen"/>
          <w:szCs w:val="24"/>
        </w:rPr>
        <w:t xml:space="preserve"> 5)</w:t>
      </w:r>
      <w:r>
        <w:rPr>
          <w:rFonts w:ascii="Sylfaen" w:hAnsi="Sylfaen"/>
          <w:szCs w:val="24"/>
        </w:rPr>
        <w:t>:</w:t>
      </w:r>
      <w:r w:rsidRPr="00AD2F83">
        <w:rPr>
          <w:rFonts w:ascii="Sylfaen" w:hAnsi="Sylfaen"/>
          <w:szCs w:val="24"/>
        </w:rPr>
        <w:t xml:space="preserve"> </w:t>
      </w:r>
      <w:r w:rsidRPr="006F335D">
        <w:rPr>
          <w:rFonts w:ascii="Sylfaen" w:hAnsi="Sylfaen"/>
          <w:szCs w:val="24"/>
        </w:rPr>
        <w:t xml:space="preserve">Այս հաշվարկը ցածր է կառավարության </w:t>
      </w:r>
      <w:r>
        <w:rPr>
          <w:rFonts w:ascii="Sylfaen" w:hAnsi="Sylfaen"/>
          <w:szCs w:val="24"/>
        </w:rPr>
        <w:t xml:space="preserve">կողմից </w:t>
      </w:r>
      <w:r w:rsidRPr="006F335D">
        <w:rPr>
          <w:rFonts w:ascii="Sylfaen" w:hAnsi="Sylfaen"/>
          <w:szCs w:val="24"/>
        </w:rPr>
        <w:t>2020 թ</w:t>
      </w:r>
      <w:r>
        <w:rPr>
          <w:rFonts w:ascii="Sylfaen" w:hAnsi="Sylfaen"/>
          <w:szCs w:val="24"/>
        </w:rPr>
        <w:t>-ի համար կատարված</w:t>
      </w:r>
      <w:r w:rsidRPr="006F335D">
        <w:rPr>
          <w:rFonts w:ascii="Sylfaen" w:hAnsi="Sylfaen"/>
          <w:szCs w:val="24"/>
        </w:rPr>
        <w:t xml:space="preserve"> պաշտոնական </w:t>
      </w:r>
      <w:r>
        <w:rPr>
          <w:rFonts w:ascii="Sylfaen" w:hAnsi="Sylfaen"/>
          <w:szCs w:val="24"/>
        </w:rPr>
        <w:t xml:space="preserve">հաշվարկից ընդամենը </w:t>
      </w:r>
      <w:r w:rsidRPr="006F335D">
        <w:rPr>
          <w:rFonts w:ascii="Sylfaen" w:hAnsi="Sylfaen"/>
          <w:szCs w:val="24"/>
        </w:rPr>
        <w:t>0.1 տոկոսային կետով</w:t>
      </w:r>
      <w:r>
        <w:rPr>
          <w:rFonts w:ascii="Sylfaen" w:hAnsi="Sylfaen"/>
          <w:szCs w:val="24"/>
        </w:rPr>
        <w:t xml:space="preserve"> </w:t>
      </w:r>
      <w:r w:rsidRPr="00AD2F83">
        <w:rPr>
          <w:rFonts w:ascii="Sylfaen" w:hAnsi="Sylfaen"/>
          <w:szCs w:val="24"/>
        </w:rPr>
        <w:t xml:space="preserve"> (</w:t>
      </w:r>
      <w:r>
        <w:rPr>
          <w:rFonts w:ascii="Sylfaen" w:hAnsi="Sylfaen"/>
          <w:szCs w:val="24"/>
        </w:rPr>
        <w:t>գնահատվում է ՀՆԱ-ի 0.4%-</w:t>
      </w:r>
      <w:r w:rsidRPr="00AD2F83">
        <w:rPr>
          <w:rFonts w:ascii="Sylfaen" w:hAnsi="Sylfaen"/>
          <w:szCs w:val="24"/>
        </w:rPr>
        <w:t>0.5%</w:t>
      </w:r>
      <w:r>
        <w:rPr>
          <w:rFonts w:ascii="Sylfaen" w:hAnsi="Sylfaen"/>
          <w:szCs w:val="24"/>
        </w:rPr>
        <w:t xml:space="preserve"> սահմաններում</w:t>
      </w:r>
      <w:r w:rsidRPr="00AD2F83">
        <w:rPr>
          <w:rFonts w:ascii="Sylfaen" w:hAnsi="Sylfaen"/>
          <w:szCs w:val="24"/>
        </w:rPr>
        <w:t>)</w:t>
      </w:r>
      <w:r>
        <w:rPr>
          <w:rFonts w:ascii="Sylfaen" w:hAnsi="Sylfaen"/>
          <w:szCs w:val="24"/>
        </w:rPr>
        <w:t>:</w:t>
      </w:r>
      <w:r w:rsidR="00B9448F" w:rsidRPr="00AD2F83">
        <w:rPr>
          <w:rFonts w:ascii="Sylfaen" w:hAnsi="Sylfaen"/>
          <w:szCs w:val="24"/>
        </w:rPr>
        <w:t xml:space="preserve"> </w:t>
      </w:r>
    </w:p>
    <w:p w:rsidR="006A0A30" w:rsidRPr="00AD2F83" w:rsidRDefault="006A0A30" w:rsidP="00662F5C">
      <w:pPr>
        <w:rPr>
          <w:rFonts w:ascii="Sylfaen" w:hAnsi="Sylfaen"/>
          <w:b/>
          <w:szCs w:val="24"/>
        </w:rPr>
      </w:pPr>
    </w:p>
    <w:p w:rsidR="00722DE3" w:rsidRPr="00AD2F83" w:rsidRDefault="00722DE3" w:rsidP="00722DE3">
      <w:pPr>
        <w:pStyle w:val="ListParagraph"/>
        <w:numPr>
          <w:ilvl w:val="0"/>
          <w:numId w:val="11"/>
        </w:numPr>
        <w:rPr>
          <w:rFonts w:ascii="Sylfaen" w:hAnsi="Sylfaen"/>
          <w:b/>
          <w:color w:val="4472C4" w:themeColor="accent1"/>
          <w:szCs w:val="24"/>
        </w:rPr>
      </w:pPr>
      <w:r>
        <w:rPr>
          <w:rFonts w:ascii="Sylfaen" w:hAnsi="Sylfaen"/>
          <w:b/>
          <w:color w:val="4472C4" w:themeColor="accent1"/>
          <w:szCs w:val="24"/>
        </w:rPr>
        <w:t>Ք</w:t>
      </w:r>
      <w:r w:rsidR="008024AD">
        <w:rPr>
          <w:rFonts w:ascii="Sylfaen" w:hAnsi="Sylfaen"/>
          <w:b/>
          <w:color w:val="4472C4" w:themeColor="accent1"/>
          <w:szCs w:val="24"/>
          <w:lang w:val="ru-RU"/>
        </w:rPr>
        <w:t>ննարկումներ ք</w:t>
      </w:r>
      <w:r>
        <w:rPr>
          <w:rFonts w:ascii="Sylfaen" w:hAnsi="Sylfaen"/>
          <w:b/>
          <w:color w:val="4472C4" w:themeColor="accent1"/>
          <w:szCs w:val="24"/>
        </w:rPr>
        <w:t xml:space="preserve">աղաքականության </w:t>
      </w:r>
      <w:r w:rsidR="008024AD">
        <w:rPr>
          <w:rFonts w:ascii="Sylfaen" w:hAnsi="Sylfaen"/>
          <w:b/>
          <w:color w:val="4472C4" w:themeColor="accent1"/>
          <w:szCs w:val="24"/>
          <w:lang w:val="ru-RU"/>
        </w:rPr>
        <w:t>շուրջ</w:t>
      </w:r>
    </w:p>
    <w:p w:rsidR="006A0A30" w:rsidRPr="00AD2F83" w:rsidRDefault="006A0A30" w:rsidP="00662F5C">
      <w:pPr>
        <w:rPr>
          <w:rFonts w:ascii="Sylfaen" w:hAnsi="Sylfaen"/>
          <w:b/>
          <w:szCs w:val="24"/>
        </w:rPr>
      </w:pPr>
    </w:p>
    <w:p w:rsidR="00722DE3" w:rsidRDefault="00722DE3" w:rsidP="00722DE3">
      <w:pPr>
        <w:jc w:val="both"/>
        <w:rPr>
          <w:rFonts w:ascii="Sylfaen" w:hAnsi="Sylfaen"/>
          <w:szCs w:val="24"/>
        </w:rPr>
      </w:pPr>
      <w:r w:rsidRPr="00D46E60">
        <w:rPr>
          <w:rFonts w:ascii="Sylfaen" w:hAnsi="Sylfaen"/>
          <w:b/>
          <w:szCs w:val="24"/>
        </w:rPr>
        <w:t>Առաջարկվող բարեփոխումների հաջողությունը մեծապես կախված է հարկային բազայի հետագա ընդլայն</w:t>
      </w:r>
      <w:r>
        <w:rPr>
          <w:rFonts w:ascii="Sylfaen" w:hAnsi="Sylfaen"/>
          <w:b/>
          <w:szCs w:val="24"/>
        </w:rPr>
        <w:t>ումից:</w:t>
      </w:r>
      <w:r w:rsidRPr="00AD2F83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szCs w:val="24"/>
        </w:rPr>
        <w:t>Ինչպես որ</w:t>
      </w:r>
      <w:r w:rsidRPr="00747FE5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 xml:space="preserve">ցույց է տվել </w:t>
      </w:r>
      <w:r w:rsidRPr="00747FE5">
        <w:rPr>
          <w:rFonts w:ascii="Sylfaen" w:hAnsi="Sylfaen"/>
          <w:szCs w:val="24"/>
        </w:rPr>
        <w:t xml:space="preserve">ներկայացված </w:t>
      </w:r>
      <w:r>
        <w:rPr>
          <w:rFonts w:ascii="Sylfaen" w:hAnsi="Sylfaen"/>
          <w:szCs w:val="24"/>
        </w:rPr>
        <w:t>մոդելավորումը</w:t>
      </w:r>
      <w:r w:rsidRPr="00747FE5">
        <w:rPr>
          <w:rFonts w:ascii="Sylfaen" w:hAnsi="Sylfaen"/>
          <w:szCs w:val="24"/>
        </w:rPr>
        <w:t>,</w:t>
      </w:r>
      <w:r>
        <w:rPr>
          <w:rFonts w:ascii="Sylfaen" w:hAnsi="Sylfaen"/>
          <w:szCs w:val="24"/>
        </w:rPr>
        <w:t xml:space="preserve"> եկամտային հարկի առաջարկվող բարեփոխումը բացասական ազդեցություն </w:t>
      </w:r>
      <w:r w:rsidR="008024AD">
        <w:rPr>
          <w:rFonts w:ascii="Sylfaen" w:hAnsi="Sylfaen"/>
          <w:szCs w:val="24"/>
        </w:rPr>
        <w:t xml:space="preserve">կունենա </w:t>
      </w:r>
      <w:r>
        <w:rPr>
          <w:rFonts w:ascii="Sylfaen" w:hAnsi="Sylfaen"/>
          <w:szCs w:val="24"/>
        </w:rPr>
        <w:t xml:space="preserve">հարկային համակարգի պրոգրեսիվության և բյուջետային մուտքերի վրա: </w:t>
      </w:r>
      <w:r w:rsidRPr="00356513">
        <w:rPr>
          <w:rFonts w:ascii="Sylfaen" w:hAnsi="Sylfaen"/>
          <w:szCs w:val="24"/>
        </w:rPr>
        <w:t>Առաջարկվող բարեփոխման նպատակն այն է, որ հարկային համակարգի պարզեցումը (փոքր բիզնեսի հարկային համակարգի հետ</w:t>
      </w:r>
      <w:r w:rsidR="008024AD" w:rsidRPr="008024AD">
        <w:rPr>
          <w:rFonts w:ascii="Sylfaen" w:hAnsi="Sylfaen"/>
          <w:szCs w:val="24"/>
        </w:rPr>
        <w:t xml:space="preserve"> </w:t>
      </w:r>
      <w:r w:rsidR="008024AD">
        <w:rPr>
          <w:rFonts w:ascii="Sylfaen" w:hAnsi="Sylfaen"/>
          <w:szCs w:val="24"/>
          <w:lang w:val="ru-RU"/>
        </w:rPr>
        <w:t>միասին</w:t>
      </w:r>
      <w:r w:rsidRPr="00356513">
        <w:rPr>
          <w:rFonts w:ascii="Sylfaen" w:hAnsi="Sylfaen"/>
          <w:szCs w:val="24"/>
        </w:rPr>
        <w:t xml:space="preserve">) </w:t>
      </w:r>
      <w:r>
        <w:rPr>
          <w:rFonts w:ascii="Sylfaen" w:hAnsi="Sylfaen"/>
          <w:szCs w:val="24"/>
        </w:rPr>
        <w:t>և</w:t>
      </w:r>
      <w:r w:rsidRPr="00356513">
        <w:rPr>
          <w:rFonts w:ascii="Sylfaen" w:hAnsi="Sylfaen"/>
          <w:szCs w:val="24"/>
        </w:rPr>
        <w:t xml:space="preserve"> հարկերի դրույքաչափեր</w:t>
      </w:r>
      <w:r>
        <w:rPr>
          <w:rFonts w:ascii="Sylfaen" w:hAnsi="Sylfaen"/>
          <w:szCs w:val="24"/>
        </w:rPr>
        <w:t xml:space="preserve">ի </w:t>
      </w:r>
      <w:r w:rsidRPr="00356513">
        <w:rPr>
          <w:rFonts w:ascii="Sylfaen" w:hAnsi="Sylfaen"/>
          <w:szCs w:val="24"/>
        </w:rPr>
        <w:t>իջեց</w:t>
      </w:r>
      <w:r>
        <w:rPr>
          <w:rFonts w:ascii="Sylfaen" w:hAnsi="Sylfaen"/>
          <w:szCs w:val="24"/>
        </w:rPr>
        <w:t>ումը (</w:t>
      </w:r>
      <w:r w:rsidRPr="00356513">
        <w:rPr>
          <w:rFonts w:ascii="Sylfaen" w:hAnsi="Sylfaen"/>
          <w:szCs w:val="24"/>
        </w:rPr>
        <w:t>շահութահարկի հետ</w:t>
      </w:r>
      <w:r>
        <w:rPr>
          <w:rFonts w:ascii="Sylfaen" w:hAnsi="Sylfaen"/>
          <w:szCs w:val="24"/>
        </w:rPr>
        <w:t xml:space="preserve"> միասին) կվերացնի </w:t>
      </w:r>
      <w:r w:rsidRPr="00356513">
        <w:rPr>
          <w:rFonts w:ascii="Sylfaen" w:hAnsi="Sylfaen"/>
          <w:szCs w:val="24"/>
        </w:rPr>
        <w:t xml:space="preserve"> եկամ</w:t>
      </w:r>
      <w:r>
        <w:rPr>
          <w:rFonts w:ascii="Sylfaen" w:hAnsi="Sylfaen"/>
          <w:szCs w:val="24"/>
        </w:rPr>
        <w:t>ու</w:t>
      </w:r>
      <w:r w:rsidRPr="00356513">
        <w:rPr>
          <w:rFonts w:ascii="Sylfaen" w:hAnsi="Sylfaen"/>
          <w:szCs w:val="24"/>
        </w:rPr>
        <w:t>տ</w:t>
      </w:r>
      <w:r>
        <w:rPr>
          <w:rFonts w:ascii="Sylfaen" w:hAnsi="Sylfaen"/>
          <w:szCs w:val="24"/>
        </w:rPr>
        <w:t>ներ</w:t>
      </w:r>
      <w:r w:rsidRPr="00356513">
        <w:rPr>
          <w:rFonts w:ascii="Sylfaen" w:hAnsi="Sylfaen"/>
          <w:szCs w:val="24"/>
        </w:rPr>
        <w:t xml:space="preserve">ի </w:t>
      </w:r>
      <w:r>
        <w:rPr>
          <w:rFonts w:ascii="Sylfaen" w:hAnsi="Sylfaen"/>
          <w:szCs w:val="24"/>
        </w:rPr>
        <w:t xml:space="preserve">իրական </w:t>
      </w:r>
      <w:r w:rsidRPr="00356513">
        <w:rPr>
          <w:rFonts w:ascii="Sylfaen" w:hAnsi="Sylfaen"/>
          <w:szCs w:val="24"/>
        </w:rPr>
        <w:t>ծավալներ</w:t>
      </w:r>
      <w:r>
        <w:rPr>
          <w:rFonts w:ascii="Sylfaen" w:hAnsi="Sylfaen"/>
          <w:szCs w:val="24"/>
        </w:rPr>
        <w:t>ը թերհայտարարագր</w:t>
      </w:r>
      <w:r w:rsidR="00B417DD">
        <w:rPr>
          <w:rFonts w:ascii="Sylfaen" w:hAnsi="Sylfaen"/>
          <w:szCs w:val="24"/>
          <w:lang w:val="ru-RU"/>
        </w:rPr>
        <w:t>ե</w:t>
      </w:r>
      <w:r>
        <w:rPr>
          <w:rFonts w:ascii="Sylfaen" w:hAnsi="Sylfaen"/>
          <w:szCs w:val="24"/>
        </w:rPr>
        <w:t xml:space="preserve">լու </w:t>
      </w:r>
      <w:r w:rsidR="00B417DD">
        <w:rPr>
          <w:rFonts w:ascii="Sylfaen" w:hAnsi="Sylfaen"/>
          <w:szCs w:val="24"/>
          <w:lang w:val="ru-RU"/>
        </w:rPr>
        <w:t>շարժառիթը</w:t>
      </w:r>
      <w:r w:rsidRPr="00AD2F83">
        <w:rPr>
          <w:rFonts w:ascii="Sylfaen" w:hAnsi="Sylfaen"/>
          <w:szCs w:val="24"/>
        </w:rPr>
        <w:t>,</w:t>
      </w:r>
      <w:r>
        <w:rPr>
          <w:rFonts w:ascii="Sylfaen" w:hAnsi="Sylfaen"/>
          <w:szCs w:val="24"/>
        </w:rPr>
        <w:t xml:space="preserve"> ինչը կհանգեցնի հարկային բազայի ընդլայնմանը: Բացի այդ, ներդրումները երկրում պետք է ավելանան </w:t>
      </w:r>
      <w:r w:rsidRPr="00AD2F83">
        <w:rPr>
          <w:rFonts w:ascii="Sylfaen" w:hAnsi="Sylfaen"/>
          <w:szCs w:val="24"/>
        </w:rPr>
        <w:t>(</w:t>
      </w:r>
      <w:r>
        <w:rPr>
          <w:rFonts w:ascii="Sylfaen" w:hAnsi="Sylfaen"/>
          <w:szCs w:val="24"/>
        </w:rPr>
        <w:t xml:space="preserve">ըստ </w:t>
      </w:r>
      <w:r w:rsidR="00B417DD">
        <w:rPr>
          <w:rFonts w:ascii="Sylfaen" w:hAnsi="Sylfaen"/>
          <w:szCs w:val="24"/>
        </w:rPr>
        <w:t>Լաֆֆերի կորը</w:t>
      </w:r>
      <w:r w:rsidR="00B417DD" w:rsidRPr="00B417DD">
        <w:rPr>
          <w:rFonts w:ascii="Sylfaen" w:hAnsi="Sylfaen"/>
          <w:szCs w:val="24"/>
        </w:rPr>
        <w:t xml:space="preserve"> </w:t>
      </w:r>
      <w:r w:rsidR="00B417DD">
        <w:rPr>
          <w:rFonts w:ascii="Sylfaen" w:hAnsi="Sylfaen"/>
          <w:szCs w:val="24"/>
          <w:lang w:val="ru-RU"/>
        </w:rPr>
        <w:t>նմանեցնող</w:t>
      </w:r>
      <w:r w:rsidR="00B417D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ինտուիցիայի</w:t>
      </w:r>
      <w:r w:rsidRPr="00AD2F83">
        <w:rPr>
          <w:rFonts w:ascii="Sylfaen" w:hAnsi="Sylfaen"/>
          <w:szCs w:val="24"/>
        </w:rPr>
        <w:t>)</w:t>
      </w:r>
      <w:r>
        <w:rPr>
          <w:rFonts w:ascii="Sylfaen" w:hAnsi="Sylfaen"/>
          <w:szCs w:val="24"/>
        </w:rPr>
        <w:t>:</w:t>
      </w:r>
      <w:r w:rsidRPr="00AD2F83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Սակայն</w:t>
      </w:r>
      <w:r w:rsidRPr="00000F70">
        <w:rPr>
          <w:rFonts w:ascii="Sylfaen" w:hAnsi="Sylfaen"/>
          <w:szCs w:val="24"/>
        </w:rPr>
        <w:t xml:space="preserve">, </w:t>
      </w:r>
      <w:r>
        <w:rPr>
          <w:rFonts w:ascii="Sylfaen" w:hAnsi="Sylfaen"/>
          <w:szCs w:val="24"/>
        </w:rPr>
        <w:t>հնարավոր է, անհրաժեշտություն լինի ավելի մանրամասն  քննարկել</w:t>
      </w:r>
      <w:r w:rsidR="00B417DD">
        <w:rPr>
          <w:rFonts w:ascii="Sylfaen" w:hAnsi="Sylfaen"/>
          <w:szCs w:val="24"/>
          <w:lang w:val="ru-RU"/>
        </w:rPr>
        <w:t>ու</w:t>
      </w:r>
      <w:r>
        <w:rPr>
          <w:rFonts w:ascii="Sylfaen" w:hAnsi="Sylfaen"/>
          <w:szCs w:val="24"/>
        </w:rPr>
        <w:t xml:space="preserve"> տվյալ բարեփոխ</w:t>
      </w:r>
      <w:r w:rsidRPr="00000F70">
        <w:rPr>
          <w:rFonts w:ascii="Sylfaen" w:hAnsi="Sylfaen"/>
          <w:szCs w:val="24"/>
        </w:rPr>
        <w:t>մ</w:t>
      </w:r>
      <w:r>
        <w:rPr>
          <w:rFonts w:ascii="Sylfaen" w:hAnsi="Sylfaen"/>
          <w:szCs w:val="24"/>
        </w:rPr>
        <w:t>ա</w:t>
      </w:r>
      <w:r w:rsidRPr="00000F70">
        <w:rPr>
          <w:rFonts w:ascii="Sylfaen" w:hAnsi="Sylfaen"/>
          <w:szCs w:val="24"/>
        </w:rPr>
        <w:t>ն</w:t>
      </w:r>
      <w:r>
        <w:rPr>
          <w:rFonts w:ascii="Sylfaen" w:hAnsi="Sylfaen"/>
          <w:szCs w:val="24"/>
        </w:rPr>
        <w:t xml:space="preserve"> հիմքում ընկած </w:t>
      </w:r>
      <w:r w:rsidRPr="00000F70">
        <w:rPr>
          <w:rFonts w:ascii="Sylfaen" w:hAnsi="Sylfaen"/>
          <w:szCs w:val="24"/>
        </w:rPr>
        <w:t>այս երկու ենթադրությունները</w:t>
      </w:r>
      <w:r>
        <w:rPr>
          <w:rFonts w:ascii="Sylfaen" w:hAnsi="Sylfaen"/>
          <w:szCs w:val="24"/>
        </w:rPr>
        <w:t xml:space="preserve"> և ակնկալվող արդյունքների մոդելավորումը կարող է օգնել հասկանալ, թե ինչ ազդեցություն պետք է ունենա բարեփոխումը</w:t>
      </w:r>
      <w:r w:rsidR="00DD7218" w:rsidRPr="00DD7218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հաջողված</w:t>
      </w:r>
      <w:r w:rsidR="00B417DD" w:rsidRPr="00B417DD">
        <w:rPr>
          <w:rFonts w:ascii="Sylfaen" w:hAnsi="Sylfaen"/>
          <w:szCs w:val="24"/>
        </w:rPr>
        <w:t xml:space="preserve"> </w:t>
      </w:r>
      <w:r w:rsidR="00B417DD">
        <w:rPr>
          <w:rFonts w:ascii="Sylfaen" w:hAnsi="Sylfaen"/>
          <w:szCs w:val="24"/>
          <w:lang w:val="ru-RU"/>
        </w:rPr>
        <w:t>համարվելու</w:t>
      </w:r>
      <w:r>
        <w:rPr>
          <w:rFonts w:ascii="Sylfaen" w:hAnsi="Sylfaen"/>
          <w:szCs w:val="24"/>
        </w:rPr>
        <w:t xml:space="preserve"> համար:  </w:t>
      </w:r>
    </w:p>
    <w:p w:rsidR="00D57C71" w:rsidRDefault="00722DE3" w:rsidP="00722DE3">
      <w:pPr>
        <w:jc w:val="both"/>
        <w:rPr>
          <w:rFonts w:ascii="Sylfaen" w:hAnsi="Sylfaen"/>
          <w:szCs w:val="24"/>
        </w:rPr>
      </w:pPr>
      <w:r w:rsidRPr="00E85AD5">
        <w:rPr>
          <w:rFonts w:ascii="Sylfaen" w:hAnsi="Sylfaen"/>
          <w:szCs w:val="24"/>
        </w:rPr>
        <w:t xml:space="preserve">Օրինակ, պարզ չէ, թե ինչպես </w:t>
      </w:r>
      <w:r>
        <w:rPr>
          <w:rFonts w:ascii="Sylfaen" w:hAnsi="Sylfaen"/>
          <w:szCs w:val="24"/>
        </w:rPr>
        <w:t>այն ընկերությունները</w:t>
      </w:r>
      <w:r w:rsidRPr="00E85AD5">
        <w:rPr>
          <w:rFonts w:ascii="Sylfaen" w:hAnsi="Sylfaen"/>
          <w:szCs w:val="24"/>
        </w:rPr>
        <w:t xml:space="preserve"> կամ անհատները, որոնք </w:t>
      </w:r>
      <w:r w:rsidR="00B417DD">
        <w:rPr>
          <w:rFonts w:ascii="Sylfaen" w:hAnsi="Sylfaen"/>
          <w:szCs w:val="24"/>
        </w:rPr>
        <w:t>եկամուտների թերհայտարարագրման միջոցով</w:t>
      </w:r>
      <w:r w:rsidR="00B417DD" w:rsidRPr="00E85AD5">
        <w:rPr>
          <w:rFonts w:ascii="Sylfaen" w:hAnsi="Sylfaen"/>
          <w:szCs w:val="24"/>
        </w:rPr>
        <w:t xml:space="preserve"> </w:t>
      </w:r>
      <w:r w:rsidRPr="00E85AD5">
        <w:rPr>
          <w:rFonts w:ascii="Sylfaen" w:hAnsi="Sylfaen"/>
          <w:szCs w:val="24"/>
        </w:rPr>
        <w:t xml:space="preserve">հաջողությամբ խուսափել են </w:t>
      </w:r>
      <w:r>
        <w:rPr>
          <w:rFonts w:ascii="Sylfaen" w:hAnsi="Sylfaen"/>
          <w:szCs w:val="24"/>
        </w:rPr>
        <w:t xml:space="preserve">բարձր դրույքաչափով </w:t>
      </w:r>
      <w:r w:rsidRPr="00E85AD5">
        <w:rPr>
          <w:rFonts w:ascii="Sylfaen" w:hAnsi="Sylfaen"/>
          <w:szCs w:val="24"/>
        </w:rPr>
        <w:t>հարկեր</w:t>
      </w:r>
      <w:r>
        <w:rPr>
          <w:rFonts w:ascii="Sylfaen" w:hAnsi="Sylfaen"/>
          <w:szCs w:val="24"/>
        </w:rPr>
        <w:t xml:space="preserve"> վճարելուց, </w:t>
      </w:r>
      <w:r w:rsidR="00B417DD">
        <w:rPr>
          <w:rFonts w:ascii="Sylfaen" w:hAnsi="Sylfaen"/>
          <w:szCs w:val="24"/>
        </w:rPr>
        <w:t xml:space="preserve">ավելի ցածր դրույքաչափով հարկման պարագայում </w:t>
      </w:r>
      <w:r>
        <w:rPr>
          <w:rFonts w:ascii="Sylfaen" w:hAnsi="Sylfaen"/>
          <w:szCs w:val="24"/>
        </w:rPr>
        <w:t xml:space="preserve">կդադարեցնեն </w:t>
      </w:r>
      <w:r w:rsidR="005A0AE4">
        <w:rPr>
          <w:rFonts w:ascii="Sylfaen" w:hAnsi="Sylfaen"/>
          <w:szCs w:val="24"/>
          <w:lang w:val="ru-RU"/>
        </w:rPr>
        <w:t>կիրառել</w:t>
      </w:r>
      <w:r>
        <w:rPr>
          <w:rFonts w:ascii="Sylfaen" w:hAnsi="Sylfaen"/>
          <w:szCs w:val="24"/>
        </w:rPr>
        <w:t xml:space="preserve"> այդ նույն գործելակերպ</w:t>
      </w:r>
      <w:r w:rsidR="005A0AE4">
        <w:rPr>
          <w:rFonts w:ascii="Sylfaen" w:hAnsi="Sylfaen"/>
          <w:szCs w:val="24"/>
          <w:lang w:val="ru-RU"/>
        </w:rPr>
        <w:t>ը</w:t>
      </w:r>
      <w:r>
        <w:rPr>
          <w:rFonts w:ascii="Sylfaen" w:hAnsi="Sylfaen"/>
          <w:szCs w:val="24"/>
        </w:rPr>
        <w:t xml:space="preserve"> և կսկսեն ներկայացնել </w:t>
      </w:r>
      <w:r w:rsidR="005A0AE4">
        <w:rPr>
          <w:rFonts w:ascii="Sylfaen" w:hAnsi="Sylfaen"/>
          <w:szCs w:val="24"/>
          <w:lang w:val="ru-RU"/>
        </w:rPr>
        <w:t>իրենց</w:t>
      </w:r>
      <w:r w:rsidR="005A0AE4" w:rsidRPr="005A0AE4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 xml:space="preserve">եկամուտների մասին ավելի ճշգրիտ հաշվետվություններ:  Կամ, պարզ չէ նաև, արդյոք </w:t>
      </w:r>
      <w:r w:rsidR="00C07B22">
        <w:rPr>
          <w:rFonts w:ascii="Sylfaen" w:hAnsi="Sylfaen"/>
          <w:szCs w:val="24"/>
        </w:rPr>
        <w:t>ընկերության համար ներդրումներ անելու առավել լուրջ խոչընդոտ</w:t>
      </w:r>
      <w:r w:rsidR="00C07B22">
        <w:rPr>
          <w:rFonts w:ascii="Sylfaen" w:hAnsi="Sylfaen"/>
          <w:szCs w:val="24"/>
          <w:lang w:val="ru-RU"/>
        </w:rPr>
        <w:t>ը</w:t>
      </w:r>
      <w:r w:rsidR="00C07B22">
        <w:rPr>
          <w:rFonts w:ascii="Sylfaen" w:hAnsi="Sylfaen"/>
          <w:szCs w:val="24"/>
        </w:rPr>
        <w:t xml:space="preserve">  </w:t>
      </w:r>
      <w:r>
        <w:rPr>
          <w:rFonts w:ascii="Sylfaen" w:hAnsi="Sylfaen"/>
          <w:szCs w:val="24"/>
        </w:rPr>
        <w:t>ավելի բարձր դրույքաչափ</w:t>
      </w:r>
      <w:r w:rsidR="00C07B22">
        <w:rPr>
          <w:rFonts w:ascii="Sylfaen" w:hAnsi="Sylfaen"/>
          <w:szCs w:val="24"/>
          <w:lang w:val="ru-RU"/>
        </w:rPr>
        <w:t>երն</w:t>
      </w:r>
      <w:r w:rsidR="00C07B22" w:rsidRPr="00C07B22">
        <w:rPr>
          <w:rFonts w:ascii="Sylfaen" w:hAnsi="Sylfaen"/>
          <w:szCs w:val="24"/>
        </w:rPr>
        <w:t xml:space="preserve"> </w:t>
      </w:r>
      <w:r w:rsidR="00C07B22">
        <w:rPr>
          <w:rFonts w:ascii="Sylfaen" w:hAnsi="Sylfaen"/>
          <w:szCs w:val="24"/>
          <w:lang w:val="ru-RU"/>
        </w:rPr>
        <w:t>են</w:t>
      </w:r>
      <w:r>
        <w:rPr>
          <w:rFonts w:ascii="Sylfaen" w:hAnsi="Sylfaen"/>
          <w:szCs w:val="24"/>
        </w:rPr>
        <w:t xml:space="preserve">: </w:t>
      </w:r>
      <w:r w:rsidRPr="00E85AD5">
        <w:rPr>
          <w:rFonts w:ascii="Sylfaen" w:hAnsi="Sylfaen"/>
          <w:szCs w:val="24"/>
        </w:rPr>
        <w:t>Իրականում, դա կարող է խ</w:t>
      </w:r>
      <w:r>
        <w:rPr>
          <w:rFonts w:ascii="Sylfaen" w:hAnsi="Sylfaen"/>
          <w:szCs w:val="24"/>
        </w:rPr>
        <w:t xml:space="preserve">ոչընդոտող գործոն </w:t>
      </w:r>
      <w:r w:rsidRPr="00E85AD5">
        <w:rPr>
          <w:rFonts w:ascii="Sylfaen" w:hAnsi="Sylfaen"/>
          <w:szCs w:val="24"/>
        </w:rPr>
        <w:t xml:space="preserve">լինել, բայց </w:t>
      </w:r>
      <w:r w:rsidRPr="00E85AD5">
        <w:rPr>
          <w:rFonts w:ascii="Sylfaen" w:hAnsi="Sylfaen"/>
          <w:szCs w:val="24"/>
        </w:rPr>
        <w:lastRenderedPageBreak/>
        <w:t xml:space="preserve">այլ ոլորտներում </w:t>
      </w:r>
      <w:r>
        <w:rPr>
          <w:rFonts w:ascii="Sylfaen" w:hAnsi="Sylfaen"/>
          <w:szCs w:val="24"/>
        </w:rPr>
        <w:t xml:space="preserve">ռեֆորմների </w:t>
      </w:r>
      <w:r w:rsidRPr="00E85AD5">
        <w:rPr>
          <w:rFonts w:ascii="Sylfaen" w:hAnsi="Sylfaen"/>
          <w:szCs w:val="24"/>
        </w:rPr>
        <w:t xml:space="preserve">կամ կարգավորման ոլորտում </w:t>
      </w:r>
      <w:r w:rsidR="005A0AE4" w:rsidRPr="00E85AD5">
        <w:rPr>
          <w:rFonts w:ascii="Sylfaen" w:hAnsi="Sylfaen"/>
          <w:szCs w:val="24"/>
        </w:rPr>
        <w:t xml:space="preserve">բարեփոխումների </w:t>
      </w:r>
      <w:r w:rsidR="00457858" w:rsidRPr="00E85AD5">
        <w:rPr>
          <w:rFonts w:ascii="Sylfaen" w:hAnsi="Sylfaen"/>
          <w:szCs w:val="24"/>
        </w:rPr>
        <w:t xml:space="preserve">(օրինակ, մրցակցության կարգավորում, ենթակառուցվածք </w:t>
      </w:r>
      <w:r w:rsidR="00457858">
        <w:rPr>
          <w:rFonts w:ascii="Sylfaen" w:hAnsi="Sylfaen"/>
          <w:szCs w:val="24"/>
        </w:rPr>
        <w:t>և կապ, նոր տնտեսությու</w:t>
      </w:r>
      <w:r w:rsidR="00457858" w:rsidRPr="00E85AD5">
        <w:rPr>
          <w:rFonts w:ascii="Sylfaen" w:hAnsi="Sylfaen"/>
          <w:szCs w:val="24"/>
        </w:rPr>
        <w:t>ն</w:t>
      </w:r>
      <w:r w:rsidR="00457858">
        <w:rPr>
          <w:rFonts w:ascii="Sylfaen" w:hAnsi="Sylfaen"/>
          <w:szCs w:val="24"/>
        </w:rPr>
        <w:t>ում</w:t>
      </w:r>
      <w:r w:rsidR="00457858" w:rsidRPr="00E85AD5">
        <w:rPr>
          <w:rFonts w:ascii="Sylfaen" w:hAnsi="Sylfaen"/>
          <w:szCs w:val="24"/>
        </w:rPr>
        <w:t xml:space="preserve"> պահանջ</w:t>
      </w:r>
      <w:r w:rsidR="00457858">
        <w:rPr>
          <w:rFonts w:ascii="Sylfaen" w:hAnsi="Sylfaen"/>
          <w:szCs w:val="24"/>
        </w:rPr>
        <w:t>վող</w:t>
      </w:r>
      <w:r w:rsidR="00457858" w:rsidRPr="00E85AD5">
        <w:rPr>
          <w:rFonts w:ascii="Sylfaen" w:hAnsi="Sylfaen"/>
          <w:szCs w:val="24"/>
        </w:rPr>
        <w:t xml:space="preserve"> հմտություններ)</w:t>
      </w:r>
      <w:r w:rsidR="00457858" w:rsidRPr="00457858">
        <w:rPr>
          <w:rFonts w:ascii="Sylfaen" w:hAnsi="Sylfaen"/>
          <w:szCs w:val="24"/>
        </w:rPr>
        <w:t xml:space="preserve"> </w:t>
      </w:r>
      <w:r w:rsidRPr="00E85AD5">
        <w:rPr>
          <w:rFonts w:ascii="Sylfaen" w:hAnsi="Sylfaen"/>
          <w:szCs w:val="24"/>
        </w:rPr>
        <w:t xml:space="preserve">բացակայության դեպքում </w:t>
      </w:r>
      <w:r>
        <w:rPr>
          <w:rFonts w:ascii="Sylfaen" w:hAnsi="Sylfaen"/>
          <w:szCs w:val="24"/>
        </w:rPr>
        <w:t>դրույքաչափերի նվազեցումից</w:t>
      </w:r>
      <w:r w:rsidRPr="00E85AD5">
        <w:rPr>
          <w:rFonts w:ascii="Sylfaen" w:hAnsi="Sylfaen"/>
          <w:szCs w:val="24"/>
        </w:rPr>
        <w:t xml:space="preserve"> հետո </w:t>
      </w:r>
      <w:r w:rsidR="00457858">
        <w:rPr>
          <w:rFonts w:ascii="Sylfaen" w:hAnsi="Sylfaen"/>
          <w:szCs w:val="24"/>
          <w:lang w:val="ru-RU"/>
        </w:rPr>
        <w:t>կատարվող</w:t>
      </w:r>
      <w:r w:rsidR="00457858" w:rsidRPr="00457858">
        <w:rPr>
          <w:rFonts w:ascii="Sylfaen" w:hAnsi="Sylfaen"/>
          <w:szCs w:val="24"/>
        </w:rPr>
        <w:t xml:space="preserve"> </w:t>
      </w:r>
      <w:r w:rsidRPr="00E85AD5">
        <w:rPr>
          <w:rFonts w:ascii="Sylfaen" w:hAnsi="Sylfaen"/>
          <w:szCs w:val="24"/>
        </w:rPr>
        <w:t>ներդրումների իրական աճը չի կարող փո</w:t>
      </w:r>
      <w:r>
        <w:rPr>
          <w:rFonts w:ascii="Sylfaen" w:hAnsi="Sylfaen"/>
          <w:szCs w:val="24"/>
        </w:rPr>
        <w:t>խհատուցել հարկային մուտքերի կորուստը:</w:t>
      </w:r>
    </w:p>
    <w:p w:rsidR="00D57C71" w:rsidRPr="00AD2F83" w:rsidRDefault="00D57C71" w:rsidP="00D57C71">
      <w:pPr>
        <w:rPr>
          <w:rFonts w:ascii="Sylfaen" w:hAnsi="Sylfaen"/>
          <w:szCs w:val="24"/>
        </w:rPr>
      </w:pPr>
      <w:r w:rsidRPr="00AD2F83">
        <w:rPr>
          <w:rFonts w:ascii="Sylfaen" w:hAnsi="Sylfaen"/>
          <w:szCs w:val="24"/>
        </w:rPr>
        <w:t xml:space="preserve"> </w:t>
      </w:r>
    </w:p>
    <w:p w:rsidR="004C3DE1" w:rsidRPr="00AD2F83" w:rsidRDefault="00457858" w:rsidP="004C3DE1">
      <w:pPr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  <w:lang w:val="ru-RU"/>
        </w:rPr>
        <w:t>Այսպես</w:t>
      </w:r>
      <w:r w:rsidRPr="00457858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b/>
          <w:szCs w:val="24"/>
          <w:lang w:val="ru-RU"/>
        </w:rPr>
        <w:t>կոչված</w:t>
      </w:r>
      <w:r w:rsidRPr="00457858">
        <w:rPr>
          <w:rFonts w:ascii="Sylfaen" w:hAnsi="Sylfaen"/>
          <w:b/>
          <w:szCs w:val="24"/>
        </w:rPr>
        <w:t xml:space="preserve"> </w:t>
      </w:r>
      <w:r w:rsidR="004C3DE1">
        <w:rPr>
          <w:rFonts w:ascii="Sylfaen" w:hAnsi="Sylfaen"/>
          <w:b/>
          <w:szCs w:val="24"/>
        </w:rPr>
        <w:t>“</w:t>
      </w:r>
      <w:r>
        <w:rPr>
          <w:rFonts w:ascii="Sylfaen" w:hAnsi="Sylfaen"/>
          <w:b/>
          <w:szCs w:val="24"/>
          <w:lang w:val="ru-RU"/>
        </w:rPr>
        <w:t>մ</w:t>
      </w:r>
      <w:r w:rsidR="004C3DE1">
        <w:rPr>
          <w:rFonts w:ascii="Sylfaen" w:hAnsi="Sylfaen"/>
          <w:b/>
          <w:szCs w:val="24"/>
        </w:rPr>
        <w:t>եղքի հարկ</w:t>
      </w:r>
      <w:r w:rsidR="004C3DE1" w:rsidRPr="006565B7">
        <w:rPr>
          <w:rFonts w:ascii="Sylfaen" w:hAnsi="Sylfaen"/>
          <w:b/>
          <w:szCs w:val="24"/>
        </w:rPr>
        <w:t>ի</w:t>
      </w:r>
      <w:r w:rsidR="004C3DE1">
        <w:rPr>
          <w:rFonts w:ascii="Sylfaen" w:hAnsi="Sylfaen"/>
          <w:b/>
          <w:szCs w:val="24"/>
        </w:rPr>
        <w:t>”</w:t>
      </w:r>
      <w:r w:rsidR="004C3DE1" w:rsidRPr="006565B7">
        <w:rPr>
          <w:rFonts w:ascii="Sylfaen" w:hAnsi="Sylfaen"/>
          <w:b/>
          <w:szCs w:val="24"/>
        </w:rPr>
        <w:t xml:space="preserve"> </w:t>
      </w:r>
      <w:r w:rsidR="004C3DE1">
        <w:rPr>
          <w:rFonts w:ascii="Sylfaen" w:hAnsi="Sylfaen"/>
          <w:b/>
          <w:szCs w:val="24"/>
        </w:rPr>
        <w:t>բարձրացումը</w:t>
      </w:r>
      <w:r>
        <w:rPr>
          <w:rFonts w:ascii="Sylfaen" w:hAnsi="Sylfaen"/>
          <w:b/>
          <w:szCs w:val="24"/>
        </w:rPr>
        <w:t xml:space="preserve"> ողջունելի միջոց է</w:t>
      </w:r>
      <w:r w:rsidR="004C3DE1" w:rsidRPr="006565B7">
        <w:rPr>
          <w:rFonts w:ascii="Sylfaen" w:hAnsi="Sylfaen"/>
          <w:b/>
          <w:szCs w:val="24"/>
        </w:rPr>
        <w:t xml:space="preserve"> հարկային բարեփոխումների</w:t>
      </w:r>
      <w:r w:rsidR="00E804B5">
        <w:rPr>
          <w:rFonts w:ascii="Sylfaen" w:hAnsi="Sylfaen"/>
          <w:b/>
          <w:szCs w:val="24"/>
          <w:lang w:val="ru-RU"/>
        </w:rPr>
        <w:t>ց</w:t>
      </w:r>
      <w:r w:rsidR="00E804B5" w:rsidRPr="00E804B5">
        <w:rPr>
          <w:rFonts w:ascii="Sylfaen" w:hAnsi="Sylfaen"/>
          <w:b/>
          <w:szCs w:val="24"/>
        </w:rPr>
        <w:t xml:space="preserve"> </w:t>
      </w:r>
      <w:r w:rsidR="00E804B5">
        <w:rPr>
          <w:rFonts w:ascii="Sylfaen" w:hAnsi="Sylfaen"/>
          <w:b/>
          <w:szCs w:val="24"/>
          <w:lang w:val="ru-RU"/>
        </w:rPr>
        <w:t>բխող</w:t>
      </w:r>
      <w:r w:rsidR="00E804B5" w:rsidRPr="00E804B5">
        <w:rPr>
          <w:rFonts w:ascii="Sylfaen" w:hAnsi="Sylfaen"/>
          <w:b/>
          <w:szCs w:val="24"/>
        </w:rPr>
        <w:t xml:space="preserve"> </w:t>
      </w:r>
      <w:r w:rsidR="004C3DE1" w:rsidRPr="006565B7">
        <w:rPr>
          <w:rFonts w:ascii="Sylfaen" w:hAnsi="Sylfaen"/>
          <w:b/>
          <w:szCs w:val="24"/>
        </w:rPr>
        <w:t>հարկային եկամուտների ենթադր</w:t>
      </w:r>
      <w:r w:rsidR="00E804B5">
        <w:rPr>
          <w:rFonts w:ascii="Sylfaen" w:hAnsi="Sylfaen"/>
          <w:b/>
          <w:szCs w:val="24"/>
          <w:lang w:val="ru-RU"/>
        </w:rPr>
        <w:t>վող</w:t>
      </w:r>
      <w:r w:rsidR="004C3DE1" w:rsidRPr="006565B7">
        <w:rPr>
          <w:rFonts w:ascii="Sylfaen" w:hAnsi="Sylfaen"/>
          <w:b/>
          <w:szCs w:val="24"/>
        </w:rPr>
        <w:t xml:space="preserve"> կորուստները փոխարինելու համար, չնայած դրա </w:t>
      </w:r>
      <w:r w:rsidR="004C3DE1">
        <w:rPr>
          <w:rFonts w:ascii="Sylfaen" w:hAnsi="Sylfaen"/>
          <w:b/>
          <w:szCs w:val="24"/>
        </w:rPr>
        <w:t>բաշխողական</w:t>
      </w:r>
      <w:r w:rsidR="004C3DE1" w:rsidRPr="006565B7">
        <w:rPr>
          <w:rFonts w:ascii="Sylfaen" w:hAnsi="Sylfaen"/>
          <w:b/>
          <w:szCs w:val="24"/>
        </w:rPr>
        <w:t xml:space="preserve"> ազդեցությունը հետագա վերլուծության կարիք ուն</w:t>
      </w:r>
      <w:r w:rsidR="004C3DE1">
        <w:rPr>
          <w:rFonts w:ascii="Sylfaen" w:hAnsi="Sylfaen"/>
          <w:b/>
          <w:szCs w:val="24"/>
        </w:rPr>
        <w:t>ի</w:t>
      </w:r>
      <w:r w:rsidR="004C3DE1" w:rsidRPr="006565B7">
        <w:rPr>
          <w:rFonts w:ascii="Sylfaen" w:hAnsi="Sylfaen"/>
          <w:b/>
          <w:szCs w:val="24"/>
        </w:rPr>
        <w:t>:</w:t>
      </w:r>
      <w:r w:rsidR="004C3DE1" w:rsidRPr="00AD2F83">
        <w:rPr>
          <w:rFonts w:ascii="Sylfaen" w:hAnsi="Sylfaen"/>
          <w:b/>
          <w:szCs w:val="24"/>
        </w:rPr>
        <w:t xml:space="preserve"> </w:t>
      </w:r>
      <w:r w:rsidR="004C3DE1">
        <w:rPr>
          <w:rFonts w:ascii="Sylfaen" w:hAnsi="Sylfaen"/>
          <w:szCs w:val="24"/>
        </w:rPr>
        <w:t xml:space="preserve">Հարկային </w:t>
      </w:r>
      <w:r w:rsidR="004C3DE1" w:rsidRPr="0058140E">
        <w:rPr>
          <w:rFonts w:ascii="Sylfaen" w:hAnsi="Sylfaen"/>
          <w:szCs w:val="24"/>
        </w:rPr>
        <w:t xml:space="preserve">բարեփոխումը նախատեսում է ծխախոտի, ալկոհոլային խմիչքների, գարեջրի, բարձր </w:t>
      </w:r>
      <w:r w:rsidR="004C3DE1">
        <w:rPr>
          <w:rFonts w:ascii="Sylfaen" w:hAnsi="Sylfaen"/>
          <w:szCs w:val="24"/>
        </w:rPr>
        <w:t xml:space="preserve">թվով </w:t>
      </w:r>
      <w:r w:rsidR="004C3DE1" w:rsidRPr="0058140E">
        <w:rPr>
          <w:rFonts w:ascii="Sylfaen" w:hAnsi="Sylfaen"/>
          <w:szCs w:val="24"/>
        </w:rPr>
        <w:t>ձիաուժ</w:t>
      </w:r>
      <w:r w:rsidR="004C3DE1">
        <w:rPr>
          <w:rFonts w:ascii="Sylfaen" w:hAnsi="Sylfaen"/>
          <w:szCs w:val="24"/>
        </w:rPr>
        <w:t xml:space="preserve"> ունեցող մեքենաների և</w:t>
      </w:r>
      <w:r w:rsidR="004C3DE1" w:rsidRPr="0058140E">
        <w:rPr>
          <w:rFonts w:ascii="Sylfaen" w:hAnsi="Sylfaen"/>
          <w:szCs w:val="24"/>
        </w:rPr>
        <w:t xml:space="preserve"> դ</w:t>
      </w:r>
      <w:r w:rsidR="004C3DE1">
        <w:rPr>
          <w:rFonts w:ascii="Sylfaen" w:hAnsi="Sylfaen"/>
          <w:szCs w:val="24"/>
        </w:rPr>
        <w:t xml:space="preserve">րամախաղերի հարկերի բարձրացում: </w:t>
      </w:r>
      <w:r w:rsidR="004C3DE1" w:rsidRPr="005B0A21">
        <w:rPr>
          <w:rFonts w:ascii="Sylfaen" w:hAnsi="Sylfaen"/>
          <w:szCs w:val="24"/>
        </w:rPr>
        <w:t xml:space="preserve">Այս միջոցները ողջունվում են հարկային եկամուտների նվազումը կանխելու համար, </w:t>
      </w:r>
      <w:r w:rsidR="00E804B5">
        <w:rPr>
          <w:rFonts w:ascii="Sylfaen" w:hAnsi="Sylfaen"/>
          <w:szCs w:val="24"/>
          <w:lang w:val="ru-RU"/>
        </w:rPr>
        <w:t>որը</w:t>
      </w:r>
      <w:r w:rsidR="004C3DE1">
        <w:rPr>
          <w:rFonts w:ascii="Sylfaen" w:hAnsi="Sylfaen"/>
          <w:szCs w:val="24"/>
        </w:rPr>
        <w:t xml:space="preserve"> կարող է</w:t>
      </w:r>
      <w:r w:rsidR="004C3DE1" w:rsidRPr="005B0A21">
        <w:rPr>
          <w:rFonts w:ascii="Sylfaen" w:hAnsi="Sylfaen"/>
          <w:szCs w:val="24"/>
        </w:rPr>
        <w:t xml:space="preserve"> հանգեցնել ֆինանսավորման ավելացման</w:t>
      </w:r>
      <w:r w:rsidR="004C3DE1">
        <w:rPr>
          <w:rFonts w:ascii="Sylfaen" w:hAnsi="Sylfaen"/>
          <w:szCs w:val="24"/>
        </w:rPr>
        <w:t xml:space="preserve"> անհրաժեշտության և</w:t>
      </w:r>
      <w:r w:rsidR="004C3DE1" w:rsidRPr="005B0A21">
        <w:rPr>
          <w:rFonts w:ascii="Sylfaen" w:hAnsi="Sylfaen"/>
          <w:szCs w:val="24"/>
        </w:rPr>
        <w:t xml:space="preserve"> մակրոտնտեսական անհավասարակշռության</w:t>
      </w:r>
      <w:r w:rsidR="004C3DE1">
        <w:rPr>
          <w:rFonts w:ascii="Sylfaen" w:hAnsi="Sylfaen"/>
          <w:szCs w:val="24"/>
        </w:rPr>
        <w:t>:</w:t>
      </w:r>
      <w:r w:rsidR="004C3DE1" w:rsidRPr="00AD2F83">
        <w:rPr>
          <w:rFonts w:ascii="Sylfaen" w:hAnsi="Sylfaen"/>
          <w:szCs w:val="24"/>
        </w:rPr>
        <w:t xml:space="preserve"> </w:t>
      </w:r>
      <w:r w:rsidR="004C3DE1">
        <w:rPr>
          <w:rFonts w:ascii="Sylfaen" w:hAnsi="Sylfaen"/>
          <w:szCs w:val="24"/>
        </w:rPr>
        <w:t xml:space="preserve">Սակայն միջազգային փորձը ցույց է տալիս, որ </w:t>
      </w:r>
      <w:r w:rsidR="004C3DE1" w:rsidRPr="005B0A21">
        <w:rPr>
          <w:rFonts w:ascii="Sylfaen" w:hAnsi="Sylfaen"/>
          <w:szCs w:val="24"/>
        </w:rPr>
        <w:t xml:space="preserve">այդ արտադրատեսակների նկատմամբ </w:t>
      </w:r>
      <w:r>
        <w:rPr>
          <w:rFonts w:ascii="Sylfaen" w:hAnsi="Sylfaen"/>
          <w:szCs w:val="24"/>
          <w:lang w:val="ru-RU"/>
        </w:rPr>
        <w:t>կիրառվող</w:t>
      </w:r>
      <w:r w:rsidRPr="00457858">
        <w:rPr>
          <w:rFonts w:ascii="Sylfaen" w:hAnsi="Sylfaen"/>
          <w:szCs w:val="24"/>
        </w:rPr>
        <w:t xml:space="preserve"> </w:t>
      </w:r>
      <w:r w:rsidR="004C3DE1" w:rsidRPr="005B0A21">
        <w:rPr>
          <w:rFonts w:ascii="Sylfaen" w:hAnsi="Sylfaen"/>
          <w:szCs w:val="24"/>
        </w:rPr>
        <w:t xml:space="preserve">հարկերի </w:t>
      </w:r>
      <w:r w:rsidR="00F7426B">
        <w:rPr>
          <w:rFonts w:ascii="Sylfaen" w:hAnsi="Sylfaen"/>
          <w:szCs w:val="24"/>
          <w:lang w:val="ru-RU"/>
        </w:rPr>
        <w:t>բարձրացումը</w:t>
      </w:r>
      <w:r w:rsidR="004C3DE1" w:rsidRPr="005B0A21">
        <w:rPr>
          <w:rFonts w:ascii="Sylfaen" w:hAnsi="Sylfaen"/>
          <w:szCs w:val="24"/>
        </w:rPr>
        <w:t xml:space="preserve"> կարող է կարճ ժամանակում </w:t>
      </w:r>
      <w:r w:rsidR="004C3DE1">
        <w:rPr>
          <w:rFonts w:ascii="Sylfaen" w:hAnsi="Sylfaen"/>
          <w:szCs w:val="24"/>
        </w:rPr>
        <w:t>ստանալ</w:t>
      </w:r>
      <w:r w:rsidR="004C3DE1" w:rsidRPr="005B0A21">
        <w:rPr>
          <w:rFonts w:ascii="Sylfaen" w:hAnsi="Sylfaen"/>
          <w:szCs w:val="24"/>
        </w:rPr>
        <w:t xml:space="preserve"> ռեգրեսիվ </w:t>
      </w:r>
      <w:r w:rsidR="004C3DE1">
        <w:rPr>
          <w:rFonts w:ascii="Sylfaen" w:hAnsi="Sylfaen"/>
          <w:szCs w:val="24"/>
        </w:rPr>
        <w:t>բնույթ: Ա</w:t>
      </w:r>
      <w:r w:rsidR="004C3DE1" w:rsidRPr="005B0A21">
        <w:rPr>
          <w:rFonts w:ascii="Sylfaen" w:hAnsi="Sylfaen"/>
          <w:szCs w:val="24"/>
        </w:rPr>
        <w:t>վելի համապարփակ վերլուծություններ</w:t>
      </w:r>
      <w:r w:rsidR="004C3DE1">
        <w:rPr>
          <w:rFonts w:ascii="Sylfaen" w:hAnsi="Sylfaen"/>
          <w:szCs w:val="24"/>
        </w:rPr>
        <w:t>ը</w:t>
      </w:r>
      <w:r w:rsidR="004C3DE1" w:rsidRPr="005B0A21">
        <w:rPr>
          <w:rFonts w:ascii="Sylfaen" w:hAnsi="Sylfaen"/>
          <w:szCs w:val="24"/>
        </w:rPr>
        <w:t xml:space="preserve"> (օրինակ, Fuchs, Orlic and Cancho, 2019) ցույց են տվել, որ </w:t>
      </w:r>
      <w:r w:rsidR="00F7426B">
        <w:rPr>
          <w:rFonts w:ascii="Sylfaen" w:hAnsi="Sylfaen"/>
          <w:szCs w:val="24"/>
          <w:lang w:val="ru-RU"/>
        </w:rPr>
        <w:t>նման</w:t>
      </w:r>
      <w:r w:rsidR="004C3DE1" w:rsidRPr="005B0A21">
        <w:rPr>
          <w:rFonts w:ascii="Sylfaen" w:hAnsi="Sylfaen"/>
          <w:szCs w:val="24"/>
        </w:rPr>
        <w:t xml:space="preserve"> ապրանք</w:t>
      </w:r>
      <w:r w:rsidR="004C3DE1">
        <w:rPr>
          <w:rFonts w:ascii="Sylfaen" w:hAnsi="Sylfaen"/>
          <w:szCs w:val="24"/>
        </w:rPr>
        <w:t>ների</w:t>
      </w:r>
      <w:r w:rsidR="004C3DE1" w:rsidRPr="005B0A21">
        <w:rPr>
          <w:rFonts w:ascii="Sylfaen" w:hAnsi="Sylfaen"/>
          <w:szCs w:val="24"/>
        </w:rPr>
        <w:t xml:space="preserve"> հարկերի ավելացումը կարող է հանգեցնել միջին </w:t>
      </w:r>
      <w:r w:rsidR="004C3DE1">
        <w:rPr>
          <w:rFonts w:ascii="Sylfaen" w:hAnsi="Sylfaen"/>
          <w:szCs w:val="24"/>
        </w:rPr>
        <w:t>և</w:t>
      </w:r>
      <w:r w:rsidR="004C3DE1" w:rsidRPr="005B0A21">
        <w:rPr>
          <w:rFonts w:ascii="Sylfaen" w:hAnsi="Sylfaen"/>
          <w:szCs w:val="24"/>
        </w:rPr>
        <w:t xml:space="preserve"> երկարաժամկետ կտրվածքով իրական բարելավումների (օրինակ, բացասական </w:t>
      </w:r>
      <w:r>
        <w:rPr>
          <w:rFonts w:ascii="Sylfaen" w:hAnsi="Sylfaen"/>
          <w:szCs w:val="24"/>
          <w:lang w:val="ru-RU"/>
        </w:rPr>
        <w:t>ազդեցություն</w:t>
      </w:r>
      <w:r w:rsidRPr="00457858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ունեցող</w:t>
      </w:r>
      <w:r w:rsidRPr="00457858">
        <w:rPr>
          <w:rFonts w:ascii="Sylfaen" w:hAnsi="Sylfaen"/>
          <w:szCs w:val="24"/>
        </w:rPr>
        <w:t xml:space="preserve"> </w:t>
      </w:r>
      <w:r w:rsidR="004C3DE1" w:rsidRPr="005B0A21">
        <w:rPr>
          <w:rFonts w:ascii="Sylfaen" w:hAnsi="Sylfaen"/>
          <w:szCs w:val="24"/>
        </w:rPr>
        <w:t xml:space="preserve">ապրանքների սպառման նվազում, </w:t>
      </w:r>
      <w:r w:rsidR="004C3DE1">
        <w:rPr>
          <w:rFonts w:ascii="Sylfaen" w:hAnsi="Sylfaen"/>
          <w:szCs w:val="24"/>
        </w:rPr>
        <w:t xml:space="preserve">առողջապահական </w:t>
      </w:r>
      <w:r w:rsidR="004C3DE1" w:rsidRPr="005B0A21">
        <w:rPr>
          <w:rFonts w:ascii="Sylfaen" w:hAnsi="Sylfaen"/>
          <w:szCs w:val="24"/>
        </w:rPr>
        <w:t>ծախսեր</w:t>
      </w:r>
      <w:r w:rsidR="004C3DE1">
        <w:rPr>
          <w:rFonts w:ascii="Sylfaen" w:hAnsi="Sylfaen"/>
          <w:szCs w:val="24"/>
        </w:rPr>
        <w:t>ի խնայողություններ և</w:t>
      </w:r>
      <w:r w:rsidR="004C3DE1" w:rsidRPr="005B0A21">
        <w:rPr>
          <w:rFonts w:ascii="Sylfaen" w:hAnsi="Sylfaen"/>
          <w:szCs w:val="24"/>
        </w:rPr>
        <w:t xml:space="preserve"> կյանքի տ</w:t>
      </w:r>
      <w:r w:rsidR="004C3DE1">
        <w:rPr>
          <w:rFonts w:ascii="Sylfaen" w:hAnsi="Sylfaen"/>
          <w:szCs w:val="24"/>
        </w:rPr>
        <w:t>և</w:t>
      </w:r>
      <w:r w:rsidR="004C3DE1" w:rsidRPr="005B0A21">
        <w:rPr>
          <w:rFonts w:ascii="Sylfaen" w:hAnsi="Sylfaen"/>
          <w:szCs w:val="24"/>
        </w:rPr>
        <w:t>ողության բարձրացում</w:t>
      </w:r>
      <w:r w:rsidR="004C3DE1" w:rsidRPr="00AD2F83">
        <w:rPr>
          <w:rFonts w:ascii="Sylfaen" w:hAnsi="Sylfaen"/>
          <w:szCs w:val="24"/>
        </w:rPr>
        <w:t xml:space="preserve">), </w:t>
      </w:r>
      <w:r w:rsidR="004C3DE1" w:rsidRPr="00B267FB">
        <w:rPr>
          <w:rFonts w:ascii="Sylfaen" w:hAnsi="Sylfaen"/>
          <w:szCs w:val="24"/>
        </w:rPr>
        <w:t>սակայն կարճ ժամանակահատվածում ազդեցության մեծությունը արժանի է հետագա վերլուծության:</w:t>
      </w:r>
      <w:r w:rsidR="004C3DE1" w:rsidRPr="00AD2F83">
        <w:rPr>
          <w:rFonts w:ascii="Sylfaen" w:hAnsi="Sylfaen"/>
          <w:szCs w:val="24"/>
        </w:rPr>
        <w:t xml:space="preserve"> </w:t>
      </w:r>
      <w:r w:rsidR="004C3DE1">
        <w:rPr>
          <w:rFonts w:ascii="Sylfaen" w:hAnsi="Sylfaen"/>
          <w:szCs w:val="24"/>
        </w:rPr>
        <w:t xml:space="preserve">Այս նպատակով է, որ ներկայիս </w:t>
      </w:r>
      <w:r w:rsidR="004C3DE1" w:rsidRPr="00AD2F83">
        <w:rPr>
          <w:rFonts w:ascii="Sylfaen" w:hAnsi="Sylfaen"/>
          <w:szCs w:val="24"/>
        </w:rPr>
        <w:t>CEQ</w:t>
      </w:r>
      <w:r w:rsidR="004C3DE1">
        <w:rPr>
          <w:rFonts w:ascii="Sylfaen" w:hAnsi="Sylfaen"/>
          <w:szCs w:val="24"/>
        </w:rPr>
        <w:t xml:space="preserve"> շրջանակը տրամադրում է լավ հիմք կարճաժամկետ հատվածում բաշխողական ազդեցությունը փորձարկելու համար, ինչը կարող է օգտակար լինել քաղաքական քննարկումների համար, իսկ  այդ հարկերի բարձրացման միջին ժամկետ և երկարաժամկետ ազդեցության վերլուծությունները </w:t>
      </w:r>
      <w:r w:rsidR="004C3DE1" w:rsidRPr="00AD2F83">
        <w:rPr>
          <w:rFonts w:ascii="Sylfaen" w:hAnsi="Sylfaen"/>
          <w:szCs w:val="24"/>
        </w:rPr>
        <w:t>(</w:t>
      </w:r>
      <w:r w:rsidR="004C3DE1">
        <w:rPr>
          <w:rFonts w:ascii="Sylfaen" w:hAnsi="Sylfaen"/>
          <w:szCs w:val="24"/>
        </w:rPr>
        <w:t xml:space="preserve">օրինակ՝ </w:t>
      </w:r>
      <w:r w:rsidR="004C3DE1" w:rsidRPr="00AD2F83">
        <w:rPr>
          <w:rFonts w:ascii="Sylfaen" w:hAnsi="Sylfaen"/>
          <w:szCs w:val="24"/>
        </w:rPr>
        <w:t xml:space="preserve"> </w:t>
      </w:r>
      <w:r w:rsidR="004C3DE1">
        <w:rPr>
          <w:rFonts w:ascii="Sylfaen" w:hAnsi="Sylfaen"/>
          <w:szCs w:val="24"/>
        </w:rPr>
        <w:t>կիրառելով ծախսերի և օգուտների ընդլայնված վերլուծություններ</w:t>
      </w:r>
      <w:r w:rsidR="004C3DE1" w:rsidRPr="00AD2F83">
        <w:rPr>
          <w:rFonts w:ascii="Sylfaen" w:hAnsi="Sylfaen"/>
          <w:szCs w:val="24"/>
        </w:rPr>
        <w:t>)</w:t>
      </w:r>
      <w:r w:rsidR="004C3DE1">
        <w:rPr>
          <w:rFonts w:ascii="Sylfaen" w:hAnsi="Sylfaen"/>
          <w:szCs w:val="24"/>
        </w:rPr>
        <w:t xml:space="preserve"> կարող են օգնել գնահատել ակնկալվող ազդեցության նշանը և մեծությունը:  </w:t>
      </w:r>
    </w:p>
    <w:p w:rsidR="0068382E" w:rsidRPr="00AD2F83" w:rsidRDefault="0068382E" w:rsidP="00D57C71">
      <w:pPr>
        <w:rPr>
          <w:rFonts w:ascii="Sylfaen" w:hAnsi="Sylfaen"/>
          <w:szCs w:val="24"/>
        </w:rPr>
      </w:pPr>
    </w:p>
    <w:p w:rsidR="000D718E" w:rsidRPr="00AD2F83" w:rsidRDefault="004C3DE1" w:rsidP="00F713B1">
      <w:pPr>
        <w:spacing w:after="160" w:line="259" w:lineRule="auto"/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 xml:space="preserve">Բարեփոխումների արդյունքում սոցիալապես պակաս ապահովված բնակչությանն ուղղվող ծախսերի պաշտպանությունը խիստ կարևոր է նրանց կենսապայմանների վատթարացումից խուսափելու և բարեփոխումների նկատմամբ հանրության դիմադրությունը կանխելու համար: </w:t>
      </w:r>
      <w:r w:rsidRPr="00112C1D">
        <w:rPr>
          <w:rFonts w:ascii="Sylfaen" w:hAnsi="Sylfaen"/>
          <w:szCs w:val="24"/>
        </w:rPr>
        <w:t xml:space="preserve">Անհայտ է, </w:t>
      </w:r>
      <w:r>
        <w:rPr>
          <w:rFonts w:ascii="Sylfaen" w:hAnsi="Sylfaen"/>
          <w:szCs w:val="24"/>
        </w:rPr>
        <w:t>կարող է</w:t>
      </w:r>
      <w:r w:rsidRPr="00112C1D">
        <w:rPr>
          <w:rFonts w:ascii="Sylfaen" w:hAnsi="Sylfaen"/>
          <w:szCs w:val="24"/>
        </w:rPr>
        <w:t xml:space="preserve"> արդյոք </w:t>
      </w:r>
      <w:r>
        <w:rPr>
          <w:rFonts w:ascii="Sylfaen" w:hAnsi="Sylfaen"/>
          <w:szCs w:val="24"/>
        </w:rPr>
        <w:t>հարկային մուտքերի</w:t>
      </w:r>
      <w:r w:rsidRPr="00112C1D">
        <w:rPr>
          <w:rFonts w:ascii="Sylfaen" w:hAnsi="Sylfaen"/>
          <w:szCs w:val="24"/>
        </w:rPr>
        <w:t xml:space="preserve"> պոտենցիալ նվազումը հանգեցնել հարկաբյուջետային ծախսերի </w:t>
      </w:r>
      <w:r>
        <w:rPr>
          <w:rFonts w:ascii="Sylfaen" w:hAnsi="Sylfaen"/>
          <w:szCs w:val="24"/>
        </w:rPr>
        <w:t>ճշգրտմ</w:t>
      </w:r>
      <w:r w:rsidRPr="00112C1D">
        <w:rPr>
          <w:rFonts w:ascii="Sylfaen" w:hAnsi="Sylfaen"/>
          <w:szCs w:val="24"/>
        </w:rPr>
        <w:t>ան անհրաժեշտության</w:t>
      </w:r>
      <w:r>
        <w:rPr>
          <w:rFonts w:ascii="Sylfaen" w:hAnsi="Sylfaen"/>
          <w:szCs w:val="24"/>
        </w:rPr>
        <w:t xml:space="preserve">ն այնպես, որ դա ավելի մեծ վնաս հասցնի </w:t>
      </w:r>
      <w:r>
        <w:rPr>
          <w:rFonts w:ascii="Sylfaen" w:hAnsi="Sylfaen"/>
          <w:szCs w:val="24"/>
          <w:lang w:val="ru-RU"/>
        </w:rPr>
        <w:t>անապահով</w:t>
      </w:r>
      <w:r w:rsidRPr="0064642B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բնակչությանը</w:t>
      </w:r>
      <w:r>
        <w:rPr>
          <w:rFonts w:ascii="Sylfaen" w:hAnsi="Sylfaen"/>
          <w:szCs w:val="24"/>
        </w:rPr>
        <w:t xml:space="preserve">: Նման դեպքում  </w:t>
      </w:r>
      <w:r w:rsidRPr="00112C1D">
        <w:rPr>
          <w:rFonts w:ascii="Sylfaen" w:hAnsi="Sylfaen"/>
          <w:szCs w:val="24"/>
        </w:rPr>
        <w:t>կենսաթոշակների կամ ուղղակի սոցիալական տրանսֆերտների (օրինակ, Ընտանեկան նպաստ</w:t>
      </w:r>
      <w:r w:rsidR="00C35961">
        <w:rPr>
          <w:rFonts w:ascii="Sylfaen" w:hAnsi="Sylfaen"/>
          <w:szCs w:val="24"/>
          <w:lang w:val="ru-RU"/>
        </w:rPr>
        <w:t>ներ</w:t>
      </w:r>
      <w:r w:rsidRPr="00112C1D">
        <w:rPr>
          <w:rFonts w:ascii="Sylfaen" w:hAnsi="Sylfaen"/>
          <w:szCs w:val="24"/>
        </w:rPr>
        <w:t>ի ծրագր</w:t>
      </w:r>
      <w:r>
        <w:rPr>
          <w:rFonts w:ascii="Sylfaen" w:hAnsi="Sylfaen"/>
          <w:szCs w:val="24"/>
          <w:lang w:val="ru-RU"/>
        </w:rPr>
        <w:t>ի</w:t>
      </w:r>
      <w:r w:rsidR="00C35961" w:rsidRPr="00C35961">
        <w:rPr>
          <w:rFonts w:ascii="Sylfaen" w:hAnsi="Sylfaen"/>
          <w:szCs w:val="24"/>
        </w:rPr>
        <w:t xml:space="preserve"> </w:t>
      </w:r>
      <w:r w:rsidR="00C35961">
        <w:rPr>
          <w:rFonts w:ascii="Sylfaen" w:hAnsi="Sylfaen"/>
          <w:szCs w:val="24"/>
          <w:lang w:val="ru-RU"/>
        </w:rPr>
        <w:t>շրջանակներում</w:t>
      </w:r>
      <w:r w:rsidRPr="00112C1D">
        <w:rPr>
          <w:rFonts w:ascii="Sylfaen" w:hAnsi="Sylfaen"/>
          <w:szCs w:val="24"/>
        </w:rPr>
        <w:t xml:space="preserve">) ճշգրտումները կարող </w:t>
      </w:r>
      <w:r>
        <w:rPr>
          <w:rFonts w:ascii="Sylfaen" w:hAnsi="Sylfaen"/>
          <w:szCs w:val="24"/>
        </w:rPr>
        <w:t>են</w:t>
      </w:r>
      <w:r w:rsidRPr="00112C1D">
        <w:rPr>
          <w:rFonts w:ascii="Sylfaen" w:hAnsi="Sylfaen"/>
          <w:szCs w:val="24"/>
        </w:rPr>
        <w:t xml:space="preserve"> ավելի </w:t>
      </w:r>
      <w:r>
        <w:rPr>
          <w:rFonts w:ascii="Sylfaen" w:hAnsi="Sylfaen"/>
          <w:szCs w:val="24"/>
        </w:rPr>
        <w:t xml:space="preserve">քան հակազդել տնային տնտեսության եկամուտների </w:t>
      </w:r>
      <w:r w:rsidR="00C35961">
        <w:rPr>
          <w:rFonts w:ascii="Sylfaen" w:hAnsi="Sylfaen"/>
          <w:szCs w:val="24"/>
          <w:lang w:val="ru-RU"/>
        </w:rPr>
        <w:t>ավելացմանը</w:t>
      </w:r>
      <w:r>
        <w:rPr>
          <w:rFonts w:ascii="Sylfaen" w:hAnsi="Sylfaen"/>
          <w:szCs w:val="24"/>
        </w:rPr>
        <w:t>:</w:t>
      </w:r>
      <w:r w:rsidRPr="0064642B">
        <w:rPr>
          <w:rFonts w:ascii="Sylfaen" w:hAnsi="Sylfaen"/>
          <w:szCs w:val="24"/>
        </w:rPr>
        <w:t xml:space="preserve"> </w:t>
      </w:r>
      <w:r w:rsidRPr="00E82A25">
        <w:rPr>
          <w:rFonts w:ascii="Sylfaen" w:hAnsi="Sylfaen"/>
          <w:szCs w:val="24"/>
        </w:rPr>
        <w:t>Հարկերի հավաքագրումը պահպան</w:t>
      </w:r>
      <w:r>
        <w:rPr>
          <w:rFonts w:ascii="Sylfaen" w:hAnsi="Sylfaen"/>
          <w:szCs w:val="24"/>
        </w:rPr>
        <w:t xml:space="preserve">ելու </w:t>
      </w:r>
      <w:r w:rsidRPr="00E82A25">
        <w:rPr>
          <w:rFonts w:ascii="Sylfaen" w:hAnsi="Sylfaen"/>
          <w:szCs w:val="24"/>
        </w:rPr>
        <w:t>համար առաջարկվող հարկերը</w:t>
      </w:r>
      <w:r w:rsidR="00E84C04" w:rsidRPr="00E84C04">
        <w:rPr>
          <w:rFonts w:ascii="Sylfaen" w:hAnsi="Sylfaen"/>
          <w:szCs w:val="24"/>
        </w:rPr>
        <w:t xml:space="preserve"> </w:t>
      </w:r>
      <w:r w:rsidR="00E84C04" w:rsidRPr="00E82A25">
        <w:rPr>
          <w:rFonts w:ascii="Sylfaen" w:hAnsi="Sylfaen"/>
          <w:szCs w:val="24"/>
        </w:rPr>
        <w:lastRenderedPageBreak/>
        <w:t>(օրինակ`ծխախոտ</w:t>
      </w:r>
      <w:r w:rsidR="00E84C04">
        <w:rPr>
          <w:rFonts w:ascii="Sylfaen" w:hAnsi="Sylfaen"/>
          <w:szCs w:val="24"/>
        </w:rPr>
        <w:t>ի</w:t>
      </w:r>
      <w:r w:rsidR="00E84C04" w:rsidRPr="00E82A25">
        <w:rPr>
          <w:rFonts w:ascii="Sylfaen" w:hAnsi="Sylfaen"/>
          <w:szCs w:val="24"/>
        </w:rPr>
        <w:t>, ալկոհոլային խմիչքների)</w:t>
      </w:r>
      <w:r w:rsidRPr="00E82A25">
        <w:rPr>
          <w:rFonts w:ascii="Sylfaen" w:hAnsi="Sylfaen"/>
          <w:szCs w:val="24"/>
        </w:rPr>
        <w:t>, որոնք ներառվ</w:t>
      </w:r>
      <w:r>
        <w:rPr>
          <w:rFonts w:ascii="Sylfaen" w:hAnsi="Sylfaen"/>
          <w:szCs w:val="24"/>
        </w:rPr>
        <w:t xml:space="preserve">ած չեն մոդելավորման </w:t>
      </w:r>
      <w:r w:rsidRPr="00E82A25">
        <w:rPr>
          <w:rFonts w:ascii="Sylfaen" w:hAnsi="Sylfaen"/>
          <w:szCs w:val="24"/>
        </w:rPr>
        <w:t>մեջ, կարող են ն</w:t>
      </w:r>
      <w:r>
        <w:rPr>
          <w:rFonts w:ascii="Sylfaen" w:hAnsi="Sylfaen"/>
          <w:szCs w:val="24"/>
        </w:rPr>
        <w:t xml:space="preserve">ույնպես </w:t>
      </w:r>
      <w:r w:rsidRPr="00E82A25">
        <w:rPr>
          <w:rFonts w:ascii="Sylfaen" w:hAnsi="Sylfaen"/>
          <w:szCs w:val="24"/>
        </w:rPr>
        <w:t>ավելի</w:t>
      </w:r>
      <w:r>
        <w:rPr>
          <w:rFonts w:ascii="Sylfaen" w:hAnsi="Sylfaen"/>
          <w:szCs w:val="24"/>
        </w:rPr>
        <w:t xml:space="preserve"> քան համամասնորեն հարվածել սոցիալապես պակաս ապահովվածներին՝ մի խմբին, որը գրեթե չի օգտվում բարեփոխումներից:</w:t>
      </w:r>
      <w:r w:rsidRPr="0064642B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Հետև</w:t>
      </w:r>
      <w:r w:rsidRPr="00651CC4">
        <w:rPr>
          <w:rFonts w:ascii="Sylfaen" w:hAnsi="Sylfaen"/>
          <w:szCs w:val="24"/>
        </w:rPr>
        <w:t>աբար, կար</w:t>
      </w:r>
      <w:r>
        <w:rPr>
          <w:rFonts w:ascii="Sylfaen" w:hAnsi="Sylfaen"/>
          <w:szCs w:val="24"/>
        </w:rPr>
        <w:t>և</w:t>
      </w:r>
      <w:r w:rsidRPr="00651CC4">
        <w:rPr>
          <w:rFonts w:ascii="Sylfaen" w:hAnsi="Sylfaen"/>
          <w:szCs w:val="24"/>
        </w:rPr>
        <w:t>որ կլինի խուսափել այդ ֆինանսական ծախսեր</w:t>
      </w:r>
      <w:r>
        <w:rPr>
          <w:rFonts w:ascii="Sylfaen" w:hAnsi="Sylfaen"/>
          <w:szCs w:val="24"/>
        </w:rPr>
        <w:t>ի</w:t>
      </w:r>
      <w:r w:rsidRPr="00651CC4">
        <w:rPr>
          <w:rFonts w:ascii="Sylfaen" w:hAnsi="Sylfaen"/>
          <w:szCs w:val="24"/>
        </w:rPr>
        <w:t xml:space="preserve"> կրճատումներից</w:t>
      </w:r>
      <w:r>
        <w:rPr>
          <w:rFonts w:ascii="Sylfaen" w:hAnsi="Sylfaen"/>
          <w:szCs w:val="24"/>
        </w:rPr>
        <w:t xml:space="preserve">, որպեսզի </w:t>
      </w:r>
      <w:r w:rsidRPr="00651CC4">
        <w:rPr>
          <w:rFonts w:ascii="Sylfaen" w:hAnsi="Sylfaen"/>
          <w:szCs w:val="24"/>
        </w:rPr>
        <w:t>հարկային համակարգ</w:t>
      </w:r>
      <w:r>
        <w:rPr>
          <w:rFonts w:ascii="Sylfaen" w:hAnsi="Sylfaen"/>
          <w:szCs w:val="24"/>
        </w:rPr>
        <w:t>ը</w:t>
      </w:r>
      <w:r w:rsidRPr="00651CC4">
        <w:rPr>
          <w:rFonts w:ascii="Sylfaen" w:hAnsi="Sylfaen"/>
          <w:szCs w:val="24"/>
        </w:rPr>
        <w:t xml:space="preserve"> (հարկերը</w:t>
      </w:r>
      <w:r>
        <w:rPr>
          <w:rFonts w:ascii="Sylfaen" w:hAnsi="Sylfaen"/>
          <w:szCs w:val="24"/>
        </w:rPr>
        <w:t xml:space="preserve"> և </w:t>
      </w:r>
      <w:r w:rsidR="00E84C04">
        <w:rPr>
          <w:rFonts w:ascii="Sylfaen" w:hAnsi="Sylfaen"/>
          <w:szCs w:val="24"/>
          <w:lang w:val="ru-RU"/>
        </w:rPr>
        <w:t>տրանսֆերտները</w:t>
      </w:r>
      <w:r w:rsidRPr="00651CC4">
        <w:rPr>
          <w:rFonts w:ascii="Sylfaen" w:hAnsi="Sylfaen"/>
          <w:szCs w:val="24"/>
        </w:rPr>
        <w:t>)</w:t>
      </w:r>
      <w:r w:rsidR="00E84C04" w:rsidRPr="00E84C04">
        <w:rPr>
          <w:rFonts w:ascii="Sylfaen" w:hAnsi="Sylfaen"/>
          <w:szCs w:val="24"/>
        </w:rPr>
        <w:t xml:space="preserve"> </w:t>
      </w:r>
      <w:r w:rsidR="00E84C04">
        <w:rPr>
          <w:rFonts w:ascii="Sylfaen" w:hAnsi="Sylfaen"/>
          <w:szCs w:val="24"/>
          <w:lang w:val="ru-RU"/>
        </w:rPr>
        <w:t>չվնասի</w:t>
      </w:r>
      <w:r w:rsidR="00E84C04" w:rsidRPr="00E84C04">
        <w:rPr>
          <w:rFonts w:ascii="Sylfaen" w:hAnsi="Sylfaen"/>
          <w:szCs w:val="24"/>
        </w:rPr>
        <w:t xml:space="preserve"> </w:t>
      </w:r>
      <w:r w:rsidR="00E84C04">
        <w:rPr>
          <w:rFonts w:ascii="Sylfaen" w:hAnsi="Sylfaen"/>
          <w:szCs w:val="24"/>
          <w:lang w:val="ru-RU"/>
        </w:rPr>
        <w:t>այդ</w:t>
      </w:r>
      <w:r w:rsidR="00E84C04" w:rsidRPr="00E84C04">
        <w:rPr>
          <w:rFonts w:ascii="Sylfaen" w:hAnsi="Sylfaen"/>
          <w:szCs w:val="24"/>
        </w:rPr>
        <w:t xml:space="preserve"> </w:t>
      </w:r>
      <w:r w:rsidR="00E84C04">
        <w:rPr>
          <w:rFonts w:ascii="Sylfaen" w:hAnsi="Sylfaen"/>
          <w:szCs w:val="24"/>
          <w:lang w:val="ru-RU"/>
        </w:rPr>
        <w:t>խավին</w:t>
      </w:r>
      <w:r w:rsidR="00E84C04" w:rsidRPr="00E84C04">
        <w:rPr>
          <w:rFonts w:ascii="Sylfaen" w:hAnsi="Sylfaen"/>
          <w:szCs w:val="24"/>
        </w:rPr>
        <w:t xml:space="preserve"> </w:t>
      </w:r>
      <w:r w:rsidR="00E84C04">
        <w:rPr>
          <w:rFonts w:ascii="Sylfaen" w:hAnsi="Sylfaen"/>
          <w:szCs w:val="24"/>
          <w:lang w:val="ru-RU"/>
        </w:rPr>
        <w:t>և</w:t>
      </w:r>
      <w:r w:rsidR="00E84C04" w:rsidRPr="00E84C04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չ</w:t>
      </w:r>
      <w:r w:rsidRPr="00651CC4">
        <w:rPr>
          <w:rFonts w:ascii="Sylfaen" w:hAnsi="Sylfaen"/>
          <w:szCs w:val="24"/>
        </w:rPr>
        <w:t>հա</w:t>
      </w:r>
      <w:r w:rsidR="00E84C04">
        <w:rPr>
          <w:rFonts w:ascii="Sylfaen" w:hAnsi="Sylfaen"/>
          <w:szCs w:val="24"/>
          <w:lang w:val="ru-RU"/>
        </w:rPr>
        <w:t>նգեցնի</w:t>
      </w:r>
      <w:r w:rsidR="00E84C04" w:rsidRPr="00E84C04">
        <w:rPr>
          <w:rFonts w:ascii="Sylfaen" w:hAnsi="Sylfaen"/>
          <w:szCs w:val="24"/>
        </w:rPr>
        <w:t xml:space="preserve"> </w:t>
      </w:r>
      <w:r w:rsidR="00E84C04">
        <w:rPr>
          <w:rFonts w:ascii="Sylfaen" w:hAnsi="Sylfaen"/>
          <w:szCs w:val="24"/>
          <w:lang w:val="ru-RU"/>
        </w:rPr>
        <w:t>նրանց</w:t>
      </w:r>
      <w:r w:rsidR="00E84C04" w:rsidRPr="00E84C04">
        <w:rPr>
          <w:rFonts w:ascii="Sylfaen" w:hAnsi="Sylfaen"/>
          <w:szCs w:val="24"/>
        </w:rPr>
        <w:t xml:space="preserve"> </w:t>
      </w:r>
      <w:r w:rsidR="00E84C04">
        <w:rPr>
          <w:rFonts w:ascii="Sylfaen" w:hAnsi="Sylfaen"/>
          <w:szCs w:val="24"/>
        </w:rPr>
        <w:t>կենսապայմանների վատթարաց</w:t>
      </w:r>
      <w:r>
        <w:rPr>
          <w:rFonts w:ascii="Sylfaen" w:hAnsi="Sylfaen"/>
          <w:szCs w:val="24"/>
        </w:rPr>
        <w:t>մ</w:t>
      </w:r>
      <w:r w:rsidR="00E84C04">
        <w:rPr>
          <w:rFonts w:ascii="Sylfaen" w:hAnsi="Sylfaen"/>
          <w:szCs w:val="24"/>
          <w:lang w:val="ru-RU"/>
        </w:rPr>
        <w:t>ամը</w:t>
      </w:r>
      <w:r>
        <w:rPr>
          <w:rFonts w:ascii="Sylfaen" w:hAnsi="Sylfaen"/>
          <w:szCs w:val="24"/>
        </w:rPr>
        <w:t>, ինչը կարող է</w:t>
      </w:r>
      <w:r w:rsidR="00E84C04" w:rsidRPr="00E84C04">
        <w:rPr>
          <w:rFonts w:ascii="Sylfaen" w:hAnsi="Sylfaen"/>
          <w:szCs w:val="24"/>
        </w:rPr>
        <w:t xml:space="preserve"> </w:t>
      </w:r>
      <w:r w:rsidR="00E84C04">
        <w:rPr>
          <w:rFonts w:ascii="Sylfaen" w:hAnsi="Sylfaen"/>
          <w:szCs w:val="24"/>
          <w:lang w:val="ru-RU"/>
        </w:rPr>
        <w:t>փոխել</w:t>
      </w:r>
      <w:r>
        <w:rPr>
          <w:rFonts w:ascii="Sylfaen" w:hAnsi="Sylfaen"/>
          <w:szCs w:val="24"/>
        </w:rPr>
        <w:t xml:space="preserve"> </w:t>
      </w:r>
      <w:r w:rsidR="00E84C04" w:rsidRPr="00651CC4">
        <w:rPr>
          <w:rFonts w:ascii="Sylfaen" w:hAnsi="Sylfaen"/>
          <w:szCs w:val="24"/>
        </w:rPr>
        <w:t>հասարակ</w:t>
      </w:r>
      <w:r w:rsidR="00E84C04">
        <w:rPr>
          <w:rFonts w:ascii="Sylfaen" w:hAnsi="Sylfaen"/>
          <w:szCs w:val="24"/>
          <w:lang w:val="ru-RU"/>
        </w:rPr>
        <w:t>ության</w:t>
      </w:r>
      <w:r w:rsidR="00E84C04" w:rsidRPr="00E84C04">
        <w:rPr>
          <w:rFonts w:ascii="Sylfaen" w:hAnsi="Sylfaen"/>
          <w:szCs w:val="24"/>
        </w:rPr>
        <w:t xml:space="preserve"> </w:t>
      </w:r>
      <w:r w:rsidR="00E84C04">
        <w:rPr>
          <w:rFonts w:ascii="Sylfaen" w:hAnsi="Sylfaen"/>
          <w:szCs w:val="24"/>
          <w:lang w:val="ru-RU"/>
        </w:rPr>
        <w:t>վերաբերմունքը</w:t>
      </w:r>
      <w:r w:rsidR="00E84C04" w:rsidRPr="00E84C04">
        <w:rPr>
          <w:rFonts w:ascii="Sylfaen" w:hAnsi="Sylfaen"/>
          <w:szCs w:val="24"/>
        </w:rPr>
        <w:t xml:space="preserve"> </w:t>
      </w:r>
      <w:r w:rsidR="00E84C04">
        <w:rPr>
          <w:rFonts w:ascii="Sylfaen" w:hAnsi="Sylfaen"/>
          <w:szCs w:val="24"/>
          <w:lang w:val="ru-RU"/>
        </w:rPr>
        <w:t>այդ</w:t>
      </w:r>
      <w:r w:rsidR="00E84C04" w:rsidRPr="00E84C04">
        <w:rPr>
          <w:rFonts w:ascii="Sylfaen" w:hAnsi="Sylfaen"/>
          <w:szCs w:val="24"/>
        </w:rPr>
        <w:t xml:space="preserve"> </w:t>
      </w:r>
      <w:r w:rsidRPr="00651CC4">
        <w:rPr>
          <w:rFonts w:ascii="Sylfaen" w:hAnsi="Sylfaen"/>
          <w:szCs w:val="24"/>
        </w:rPr>
        <w:t xml:space="preserve">բարեփոխումների </w:t>
      </w:r>
      <w:r w:rsidR="00E84C04">
        <w:rPr>
          <w:rFonts w:ascii="Sylfaen" w:hAnsi="Sylfaen"/>
          <w:szCs w:val="24"/>
          <w:lang w:val="ru-RU"/>
        </w:rPr>
        <w:t>նկատմամբ</w:t>
      </w:r>
      <w:r>
        <w:rPr>
          <w:rFonts w:ascii="Sylfaen" w:hAnsi="Sylfaen"/>
          <w:szCs w:val="24"/>
        </w:rPr>
        <w:t>:</w:t>
      </w:r>
      <w:r w:rsidR="00F105B8" w:rsidRPr="00AD2F83">
        <w:rPr>
          <w:rFonts w:ascii="Sylfaen" w:hAnsi="Sylfaen"/>
          <w:szCs w:val="24"/>
        </w:rPr>
        <w:br w:type="page"/>
      </w:r>
    </w:p>
    <w:p w:rsidR="004C3DE1" w:rsidRPr="00AD2F83" w:rsidRDefault="004C3DE1" w:rsidP="004C3DE1">
      <w:pPr>
        <w:rPr>
          <w:rFonts w:ascii="Sylfaen" w:hAnsi="Sylfaen"/>
          <w:b/>
          <w:color w:val="4472C4" w:themeColor="accent1"/>
          <w:szCs w:val="24"/>
        </w:rPr>
      </w:pPr>
      <w:r>
        <w:rPr>
          <w:rFonts w:ascii="Sylfaen" w:hAnsi="Sylfaen"/>
          <w:b/>
          <w:color w:val="4472C4" w:themeColor="accent1"/>
          <w:szCs w:val="24"/>
        </w:rPr>
        <w:lastRenderedPageBreak/>
        <w:t>Հղումներ</w:t>
      </w:r>
    </w:p>
    <w:p w:rsidR="004C3DE1" w:rsidRPr="00AD2F83" w:rsidRDefault="004C3DE1" w:rsidP="004C3DE1">
      <w:pPr>
        <w:rPr>
          <w:rFonts w:ascii="Sylfaen" w:hAnsi="Sylfaen"/>
          <w:b/>
          <w:szCs w:val="24"/>
        </w:rPr>
      </w:pPr>
    </w:p>
    <w:p w:rsidR="004C3DE1" w:rsidRPr="00F254AB" w:rsidRDefault="004C3DE1" w:rsidP="004C3DE1">
      <w:pPr>
        <w:pStyle w:val="FootnoteText"/>
        <w:jc w:val="both"/>
        <w:rPr>
          <w:rFonts w:ascii="Sylfaen" w:eastAsia="Times New Roman" w:hAnsi="Sylfaen" w:cs="Times New Roman"/>
          <w:sz w:val="24"/>
          <w:szCs w:val="24"/>
        </w:rPr>
      </w:pPr>
      <w:r w:rsidRPr="00F254AB">
        <w:rPr>
          <w:rFonts w:ascii="Sylfaen" w:eastAsia="Times New Roman" w:hAnsi="Sylfaen" w:cs="Times New Roman"/>
          <w:sz w:val="24"/>
          <w:szCs w:val="24"/>
        </w:rPr>
        <w:t>Deloitte (2018). Tax System in Armenia.</w:t>
      </w:r>
    </w:p>
    <w:p w:rsidR="004C3DE1" w:rsidRPr="00F254AB" w:rsidRDefault="004C3DE1" w:rsidP="004C3DE1">
      <w:pPr>
        <w:rPr>
          <w:rFonts w:ascii="Sylfaen" w:hAnsi="Sylfaen"/>
          <w:szCs w:val="24"/>
        </w:rPr>
      </w:pPr>
    </w:p>
    <w:p w:rsidR="004C3DE1" w:rsidRPr="00F254AB" w:rsidRDefault="004C3DE1" w:rsidP="004C3DE1">
      <w:pPr>
        <w:jc w:val="both"/>
        <w:rPr>
          <w:rFonts w:ascii="Sylfaen" w:hAnsi="Sylfaen"/>
          <w:szCs w:val="24"/>
        </w:rPr>
      </w:pPr>
      <w:r w:rsidRPr="00F254AB">
        <w:rPr>
          <w:rFonts w:ascii="Sylfaen" w:hAnsi="Sylfaen"/>
          <w:szCs w:val="24"/>
        </w:rPr>
        <w:t>Fuchs, Alan; Orlic, Edvard; and Cesar A. Cancho (2019) Time to Quit: The Tobacco Tax Increase and Household Welfare in Bosnia and Herzegovina. The World Bank.</w:t>
      </w:r>
    </w:p>
    <w:p w:rsidR="004C3DE1" w:rsidRPr="00F254AB" w:rsidRDefault="004C3DE1" w:rsidP="004C3DE1">
      <w:pPr>
        <w:jc w:val="both"/>
        <w:rPr>
          <w:rFonts w:ascii="Sylfaen" w:hAnsi="Sylfaen"/>
          <w:szCs w:val="24"/>
        </w:rPr>
      </w:pPr>
    </w:p>
    <w:p w:rsidR="004C3DE1" w:rsidRPr="00F254AB" w:rsidRDefault="004C3DE1" w:rsidP="004C3DE1">
      <w:pPr>
        <w:jc w:val="both"/>
        <w:rPr>
          <w:rFonts w:ascii="Sylfaen" w:hAnsi="Sylfaen"/>
          <w:szCs w:val="24"/>
        </w:rPr>
      </w:pPr>
      <w:r w:rsidRPr="00F254AB">
        <w:rPr>
          <w:rFonts w:ascii="Sylfaen" w:hAnsi="Sylfaen"/>
          <w:szCs w:val="24"/>
        </w:rPr>
        <w:t>International Monetary Fund (2017). 2017 Article IV Consultation for the Republic of Armenia. IMF Country Report No. 17/226</w:t>
      </w:r>
    </w:p>
    <w:p w:rsidR="004C3DE1" w:rsidRPr="00F254AB" w:rsidRDefault="004C3DE1" w:rsidP="004C3DE1">
      <w:pPr>
        <w:jc w:val="both"/>
        <w:rPr>
          <w:rFonts w:ascii="Sylfaen" w:hAnsi="Sylfaen"/>
          <w:szCs w:val="24"/>
        </w:rPr>
      </w:pPr>
    </w:p>
    <w:p w:rsidR="004C3DE1" w:rsidRPr="00F254AB" w:rsidRDefault="004C3DE1" w:rsidP="004C3DE1">
      <w:pPr>
        <w:spacing w:after="160" w:line="259" w:lineRule="auto"/>
        <w:jc w:val="both"/>
        <w:rPr>
          <w:rFonts w:ascii="Sylfaen" w:hAnsi="Sylfaen"/>
          <w:szCs w:val="24"/>
        </w:rPr>
      </w:pPr>
      <w:r w:rsidRPr="00F254AB">
        <w:rPr>
          <w:rFonts w:ascii="Sylfaen" w:hAnsi="Sylfaen"/>
          <w:szCs w:val="24"/>
        </w:rPr>
        <w:t>Lustig, N. (2018). Commitment to Equity Handbook: Estimating the Impact of Fiscal Policy on Inequality and Poverty. CEQ Institute at Tulane University and Brookings Institution’s Press</w:t>
      </w:r>
    </w:p>
    <w:p w:rsidR="004C3DE1" w:rsidRPr="00F254AB" w:rsidRDefault="00BD7D7E" w:rsidP="004C3DE1">
      <w:pPr>
        <w:spacing w:line="259" w:lineRule="auto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ru-RU"/>
        </w:rPr>
        <w:t>Հայաստանի</w:t>
      </w:r>
      <w:r w:rsidRPr="00BD7D7E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Հանրապետության</w:t>
      </w:r>
      <w:r w:rsidRPr="00BD7D7E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վիճակագրական</w:t>
      </w:r>
      <w:r w:rsidRPr="00BD7D7E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կոմիտե</w:t>
      </w:r>
      <w:r w:rsidR="004C3DE1" w:rsidRPr="00F254AB">
        <w:rPr>
          <w:rFonts w:ascii="Sylfaen" w:hAnsi="Sylfaen"/>
          <w:szCs w:val="24"/>
        </w:rPr>
        <w:t xml:space="preserve"> (2017)</w:t>
      </w:r>
      <w:r w:rsidRPr="00BD7D7E">
        <w:rPr>
          <w:rFonts w:ascii="Sylfaen" w:hAnsi="Sylfaen"/>
          <w:szCs w:val="24"/>
        </w:rPr>
        <w:t xml:space="preserve">: </w:t>
      </w:r>
      <w:r>
        <w:rPr>
          <w:rFonts w:ascii="Sylfaen" w:hAnsi="Sylfaen"/>
          <w:szCs w:val="24"/>
          <w:lang w:val="ru-RU"/>
        </w:rPr>
        <w:t>Սոցիալական</w:t>
      </w:r>
      <w:r w:rsidRPr="00BD7D7E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պատկերը</w:t>
      </w:r>
      <w:r w:rsidRPr="00BD7D7E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Հայաստանում</w:t>
      </w:r>
      <w:r w:rsidR="004C3DE1" w:rsidRPr="00F254AB">
        <w:rPr>
          <w:rFonts w:ascii="Sylfaen" w:hAnsi="Sylfaen"/>
          <w:szCs w:val="24"/>
        </w:rPr>
        <w:t>, 2017. [</w:t>
      </w:r>
      <w:r>
        <w:rPr>
          <w:rFonts w:ascii="Sylfaen" w:hAnsi="Sylfaen"/>
          <w:szCs w:val="24"/>
          <w:lang w:val="ru-RU"/>
        </w:rPr>
        <w:t xml:space="preserve">Մաս </w:t>
      </w:r>
      <w:r w:rsidR="004C3DE1" w:rsidRPr="00F254AB">
        <w:rPr>
          <w:rFonts w:ascii="Sylfaen" w:hAnsi="Sylfaen"/>
          <w:szCs w:val="24"/>
        </w:rPr>
        <w:t>1</w:t>
      </w:r>
      <w:r>
        <w:rPr>
          <w:rFonts w:ascii="Sylfaen" w:hAnsi="Sylfaen"/>
          <w:szCs w:val="24"/>
          <w:lang w:val="ru-RU"/>
        </w:rPr>
        <w:t xml:space="preserve">՝ Հայաստան: Աղքատության պատկերը </w:t>
      </w:r>
      <w:r w:rsidR="004C3DE1" w:rsidRPr="00F254AB">
        <w:rPr>
          <w:rFonts w:ascii="Sylfaen" w:hAnsi="Sylfaen"/>
          <w:szCs w:val="24"/>
        </w:rPr>
        <w:t>2008-2016</w:t>
      </w:r>
      <w:r>
        <w:rPr>
          <w:rFonts w:ascii="Sylfaen" w:hAnsi="Sylfaen"/>
          <w:szCs w:val="24"/>
          <w:lang w:val="ru-RU"/>
        </w:rPr>
        <w:t xml:space="preserve"> թվականներին</w:t>
      </w:r>
      <w:r w:rsidR="004C3DE1" w:rsidRPr="00F254AB">
        <w:rPr>
          <w:rFonts w:ascii="Sylfaen" w:hAnsi="Sylfaen"/>
          <w:szCs w:val="24"/>
        </w:rPr>
        <w:t>]</w:t>
      </w:r>
      <w:r>
        <w:rPr>
          <w:rFonts w:ascii="Sylfaen" w:hAnsi="Sylfaen"/>
          <w:szCs w:val="24"/>
          <w:lang w:val="ru-RU"/>
        </w:rPr>
        <w:t>:</w:t>
      </w:r>
      <w:r w:rsidR="004C3DE1" w:rsidRPr="00F254AB">
        <w:rPr>
          <w:rFonts w:ascii="Sylfaen" w:hAnsi="Sylfaen"/>
          <w:szCs w:val="24"/>
        </w:rPr>
        <w:t xml:space="preserve"> </w:t>
      </w:r>
    </w:p>
    <w:p w:rsidR="004C3DE1" w:rsidRPr="00F254AB" w:rsidRDefault="004C3DE1" w:rsidP="004C3DE1">
      <w:pPr>
        <w:spacing w:line="259" w:lineRule="auto"/>
        <w:jc w:val="both"/>
        <w:rPr>
          <w:rFonts w:ascii="Sylfaen" w:hAnsi="Sylfaen"/>
          <w:szCs w:val="24"/>
        </w:rPr>
      </w:pPr>
    </w:p>
    <w:p w:rsidR="004C3DE1" w:rsidRPr="00F254AB" w:rsidRDefault="004C3DE1" w:rsidP="004C3DE1">
      <w:pPr>
        <w:spacing w:line="259" w:lineRule="auto"/>
        <w:jc w:val="both"/>
        <w:rPr>
          <w:rFonts w:ascii="Sylfaen" w:hAnsi="Sylfaen"/>
          <w:szCs w:val="24"/>
        </w:rPr>
      </w:pPr>
      <w:r w:rsidRPr="00F254AB">
        <w:rPr>
          <w:rFonts w:ascii="Sylfaen" w:hAnsi="Sylfaen"/>
          <w:szCs w:val="24"/>
        </w:rPr>
        <w:t>The World Bank (2018). Armenia: Macro Poverty Outlook. Oct. 2018</w:t>
      </w:r>
    </w:p>
    <w:p w:rsidR="004C3DE1" w:rsidRPr="00F254AB" w:rsidRDefault="004C3DE1" w:rsidP="004C3DE1">
      <w:pPr>
        <w:spacing w:line="259" w:lineRule="auto"/>
        <w:jc w:val="both"/>
        <w:rPr>
          <w:rFonts w:ascii="Sylfaen" w:hAnsi="Sylfaen"/>
          <w:szCs w:val="24"/>
        </w:rPr>
      </w:pPr>
    </w:p>
    <w:p w:rsidR="004C3DE1" w:rsidRPr="00F254AB" w:rsidRDefault="004C3DE1" w:rsidP="004C3DE1">
      <w:pPr>
        <w:spacing w:line="259" w:lineRule="auto"/>
        <w:jc w:val="both"/>
        <w:rPr>
          <w:rFonts w:ascii="Sylfaen" w:hAnsi="Sylfaen"/>
          <w:szCs w:val="24"/>
        </w:rPr>
      </w:pPr>
      <w:r w:rsidRPr="00F254AB">
        <w:rPr>
          <w:rFonts w:ascii="Sylfaen" w:hAnsi="Sylfaen"/>
          <w:szCs w:val="24"/>
        </w:rPr>
        <w:t>The World Bank (2016). Fiscal Incidence Analysis for Armenia: Status Quo and Effects of Proposed Changes under the Unified Tax Code. DRAFT (Unpublished)</w:t>
      </w:r>
    </w:p>
    <w:p w:rsidR="004C3DE1" w:rsidRPr="00F254AB" w:rsidRDefault="004C3DE1" w:rsidP="004C3DE1">
      <w:pPr>
        <w:spacing w:line="259" w:lineRule="auto"/>
        <w:jc w:val="both"/>
        <w:rPr>
          <w:rFonts w:ascii="Sylfaen" w:hAnsi="Sylfaen"/>
          <w:szCs w:val="24"/>
        </w:rPr>
      </w:pPr>
    </w:p>
    <w:p w:rsidR="004C3DE1" w:rsidRPr="00F254AB" w:rsidRDefault="004C3DE1" w:rsidP="004C3DE1">
      <w:pPr>
        <w:spacing w:after="160" w:line="259" w:lineRule="auto"/>
        <w:jc w:val="both"/>
        <w:rPr>
          <w:rFonts w:ascii="Sylfaen" w:hAnsi="Sylfaen"/>
          <w:szCs w:val="24"/>
        </w:rPr>
      </w:pPr>
      <w:r w:rsidRPr="00F254AB">
        <w:rPr>
          <w:rFonts w:ascii="Sylfaen" w:hAnsi="Sylfaen"/>
          <w:szCs w:val="24"/>
        </w:rPr>
        <w:t>The World Bank (2014). Republic of Armenia, Public Expenditure Review: Expanding the Fiscal Envelope. Report No. 88586-AM</w:t>
      </w:r>
    </w:p>
    <w:p w:rsidR="004C3DE1" w:rsidRPr="00F254AB" w:rsidRDefault="004C3DE1" w:rsidP="004C3DE1">
      <w:pPr>
        <w:spacing w:after="160" w:line="259" w:lineRule="auto"/>
        <w:jc w:val="both"/>
        <w:rPr>
          <w:rFonts w:ascii="Sylfaen" w:hAnsi="Sylfaen"/>
          <w:b/>
          <w:szCs w:val="24"/>
        </w:rPr>
      </w:pPr>
      <w:r w:rsidRPr="00F254AB">
        <w:rPr>
          <w:rFonts w:ascii="Sylfaen" w:hAnsi="Sylfaen"/>
          <w:szCs w:val="24"/>
        </w:rPr>
        <w:t>United States Social Security Administration (2018). International Update: Recent Developments in Foreign Public and Private Pensions. SSA Publication No. 13-11712, July 2018</w:t>
      </w:r>
    </w:p>
    <w:p w:rsidR="001815C0" w:rsidRPr="00AD2F83" w:rsidRDefault="004C3DE1" w:rsidP="004C3DE1">
      <w:pPr>
        <w:spacing w:after="160" w:line="259" w:lineRule="auto"/>
        <w:jc w:val="both"/>
        <w:rPr>
          <w:rFonts w:ascii="Sylfaen" w:hAnsi="Sylfaen"/>
          <w:szCs w:val="24"/>
        </w:rPr>
      </w:pPr>
      <w:r w:rsidRPr="00F254AB">
        <w:rPr>
          <w:rFonts w:ascii="Sylfaen" w:hAnsi="Sylfaen"/>
          <w:szCs w:val="24"/>
        </w:rPr>
        <w:t>Younger, S. and Khachatryan, A. (2017). Fiscal Incidence in Armenia. CEQ Working Paper no. 43</w:t>
      </w:r>
      <w:r w:rsidR="00047107" w:rsidRPr="00AD2F83">
        <w:rPr>
          <w:rFonts w:ascii="Sylfaen" w:hAnsi="Sylfaen"/>
          <w:szCs w:val="24"/>
        </w:rPr>
        <w:br w:type="page"/>
      </w:r>
    </w:p>
    <w:p w:rsidR="004C3DE1" w:rsidRPr="00A14EB7" w:rsidRDefault="004C3DE1" w:rsidP="004C3DE1">
      <w:pPr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  <w:lang w:val="ru-RU"/>
        </w:rPr>
        <w:lastRenderedPageBreak/>
        <w:t>ՀԱՎԵԼՎԱԾ</w:t>
      </w:r>
    </w:p>
    <w:p w:rsidR="004C3DE1" w:rsidRPr="00AD2F83" w:rsidRDefault="004C3DE1" w:rsidP="004C3DE1">
      <w:pPr>
        <w:jc w:val="center"/>
        <w:rPr>
          <w:rFonts w:ascii="Sylfaen" w:hAnsi="Sylfaen"/>
          <w:szCs w:val="24"/>
        </w:rPr>
      </w:pPr>
    </w:p>
    <w:p w:rsidR="004C3DE1" w:rsidRPr="00AD2F83" w:rsidRDefault="004C3DE1" w:rsidP="004C3DE1">
      <w:pPr>
        <w:jc w:val="center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  <w:lang w:val="ru-RU"/>
        </w:rPr>
        <w:t>Շուկայ</w:t>
      </w:r>
      <w:r w:rsidR="00F7426B">
        <w:rPr>
          <w:rFonts w:ascii="Sylfaen" w:hAnsi="Sylfaen"/>
          <w:b/>
          <w:szCs w:val="24"/>
          <w:lang w:val="ru-RU"/>
        </w:rPr>
        <w:t>ական</w:t>
      </w:r>
      <w:r w:rsidR="00F7426B" w:rsidRPr="00F52CDB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b/>
          <w:szCs w:val="24"/>
          <w:lang w:val="ru-RU"/>
        </w:rPr>
        <w:t>եկամուտը</w:t>
      </w:r>
      <w:r w:rsidRPr="00A14EB7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b/>
          <w:szCs w:val="24"/>
          <w:lang w:val="ru-RU"/>
        </w:rPr>
        <w:t>որպես</w:t>
      </w:r>
      <w:r w:rsidRPr="00A14EB7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b/>
          <w:szCs w:val="24"/>
          <w:lang w:val="ru-RU"/>
        </w:rPr>
        <w:t>բարեկեցության</w:t>
      </w:r>
      <w:r w:rsidRPr="00A14EB7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b/>
          <w:szCs w:val="24"/>
          <w:lang w:val="ru-RU"/>
        </w:rPr>
        <w:t>ցուցանիշ</w:t>
      </w:r>
    </w:p>
    <w:p w:rsidR="004C3DE1" w:rsidRPr="00AD2F83" w:rsidRDefault="004C3DE1" w:rsidP="004C3DE1">
      <w:pPr>
        <w:jc w:val="both"/>
        <w:rPr>
          <w:rFonts w:ascii="Sylfaen" w:hAnsi="Sylfaen"/>
          <w:b/>
          <w:szCs w:val="24"/>
        </w:rPr>
      </w:pPr>
    </w:p>
    <w:p w:rsidR="004C3DE1" w:rsidRPr="00AD2F83" w:rsidRDefault="004C3DE1" w:rsidP="004C3DE1">
      <w:pPr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  <w:lang w:val="ru-RU"/>
        </w:rPr>
        <w:t>Զուտ</w:t>
      </w:r>
      <w:r w:rsidRPr="00061EC4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b/>
          <w:szCs w:val="24"/>
          <w:lang w:val="ru-RU"/>
        </w:rPr>
        <w:t>եկամտի</w:t>
      </w:r>
      <w:r w:rsidRPr="00061EC4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b/>
          <w:szCs w:val="24"/>
          <w:lang w:val="ru-RU"/>
        </w:rPr>
        <w:t>ավելացում</w:t>
      </w:r>
      <w:r w:rsidRPr="00061EC4">
        <w:rPr>
          <w:rFonts w:ascii="Sylfaen" w:hAnsi="Sylfaen"/>
          <w:b/>
          <w:szCs w:val="24"/>
        </w:rPr>
        <w:t>:</w:t>
      </w:r>
      <w:r w:rsidRPr="00AD2F83">
        <w:rPr>
          <w:rFonts w:ascii="Sylfaen" w:hAnsi="Sylfaen"/>
          <w:szCs w:val="24"/>
        </w:rPr>
        <w:t xml:space="preserve"> </w:t>
      </w:r>
      <w:r w:rsidRPr="00782393">
        <w:rPr>
          <w:rFonts w:ascii="Sylfaen" w:hAnsi="Sylfaen"/>
          <w:szCs w:val="24"/>
        </w:rPr>
        <w:t xml:space="preserve">Մենք գնահատում ենք </w:t>
      </w:r>
      <w:r>
        <w:rPr>
          <w:rFonts w:ascii="Sylfaen" w:hAnsi="Sylfaen"/>
          <w:szCs w:val="24"/>
        </w:rPr>
        <w:t xml:space="preserve">եկամտային հարկի </w:t>
      </w:r>
      <w:r w:rsidRPr="00782393">
        <w:rPr>
          <w:rFonts w:ascii="Sylfaen" w:hAnsi="Sylfaen"/>
          <w:szCs w:val="24"/>
        </w:rPr>
        <w:t>բարեփոխումներ</w:t>
      </w:r>
      <w:r>
        <w:rPr>
          <w:rFonts w:ascii="Sylfaen" w:hAnsi="Sylfaen"/>
          <w:szCs w:val="24"/>
        </w:rPr>
        <w:t xml:space="preserve">ով պայմանավորված </w:t>
      </w:r>
      <w:r w:rsidRPr="00782393">
        <w:rPr>
          <w:rFonts w:ascii="Sylfaen" w:hAnsi="Sylfaen"/>
          <w:szCs w:val="24"/>
        </w:rPr>
        <w:t>զուտ եկամուտների</w:t>
      </w:r>
      <w:r>
        <w:rPr>
          <w:rFonts w:ascii="Sylfaen" w:hAnsi="Sylfaen"/>
          <w:szCs w:val="24"/>
        </w:rPr>
        <w:t xml:space="preserve"> ավելացումը</w:t>
      </w:r>
      <w:r w:rsidRPr="00782393">
        <w:rPr>
          <w:rFonts w:ascii="Sylfaen" w:hAnsi="Sylfaen"/>
          <w:szCs w:val="24"/>
        </w:rPr>
        <w:t>`հաշվ</w:t>
      </w:r>
      <w:r>
        <w:rPr>
          <w:rFonts w:ascii="Sylfaen" w:hAnsi="Sylfaen"/>
          <w:szCs w:val="24"/>
        </w:rPr>
        <w:t>ելով եկամտային հարկի գծով</w:t>
      </w:r>
      <w:r w:rsidRPr="00782393">
        <w:rPr>
          <w:rFonts w:ascii="Sylfaen" w:hAnsi="Sylfaen"/>
          <w:szCs w:val="24"/>
        </w:rPr>
        <w:t xml:space="preserve"> պարտավորությունների միջ</w:t>
      </w:r>
      <w:r>
        <w:rPr>
          <w:rFonts w:ascii="Sylfaen" w:hAnsi="Sylfaen"/>
          <w:szCs w:val="24"/>
        </w:rPr>
        <w:t>և</w:t>
      </w:r>
      <w:r w:rsidRPr="00782393">
        <w:rPr>
          <w:rFonts w:ascii="Sylfaen" w:hAnsi="Sylfaen"/>
          <w:szCs w:val="24"/>
        </w:rPr>
        <w:t xml:space="preserve"> </w:t>
      </w:r>
      <w:r w:rsidR="00F52CDB" w:rsidRPr="00782393">
        <w:rPr>
          <w:rFonts w:ascii="Sylfaen" w:hAnsi="Sylfaen"/>
          <w:szCs w:val="24"/>
        </w:rPr>
        <w:t xml:space="preserve">տարբերությունը </w:t>
      </w:r>
      <w:r w:rsidRPr="00782393">
        <w:rPr>
          <w:rFonts w:ascii="Sylfaen" w:hAnsi="Sylfaen"/>
          <w:szCs w:val="24"/>
        </w:rPr>
        <w:t xml:space="preserve">(բարեփոխումների </w:t>
      </w:r>
      <w:r>
        <w:rPr>
          <w:rFonts w:ascii="Sylfaen" w:hAnsi="Sylfaen"/>
          <w:szCs w:val="24"/>
        </w:rPr>
        <w:t>բացակայության և</w:t>
      </w:r>
      <w:r w:rsidRPr="00782393">
        <w:rPr>
          <w:rFonts w:ascii="Sylfaen" w:hAnsi="Sylfaen"/>
          <w:szCs w:val="24"/>
        </w:rPr>
        <w:t xml:space="preserve"> բարեփոխումներ</w:t>
      </w:r>
      <w:r>
        <w:rPr>
          <w:rFonts w:ascii="Sylfaen" w:hAnsi="Sylfaen"/>
          <w:szCs w:val="24"/>
        </w:rPr>
        <w:t>ով սցենարներում</w:t>
      </w:r>
      <w:r w:rsidRPr="00782393">
        <w:rPr>
          <w:rFonts w:ascii="Sylfaen" w:hAnsi="Sylfaen"/>
          <w:b/>
          <w:szCs w:val="24"/>
        </w:rPr>
        <w:t>):</w:t>
      </w:r>
      <w:r>
        <w:rPr>
          <w:rFonts w:ascii="Sylfaen" w:hAnsi="Sylfaen"/>
          <w:b/>
          <w:szCs w:val="24"/>
        </w:rPr>
        <w:t xml:space="preserve"> </w:t>
      </w:r>
      <w:r w:rsidRPr="00236761">
        <w:rPr>
          <w:rFonts w:ascii="Sylfaen" w:hAnsi="Sylfaen"/>
          <w:szCs w:val="24"/>
        </w:rPr>
        <w:t>Այս հաշվարկը կատարվ</w:t>
      </w:r>
      <w:r>
        <w:rPr>
          <w:rFonts w:ascii="Sylfaen" w:hAnsi="Sylfaen"/>
          <w:szCs w:val="24"/>
        </w:rPr>
        <w:t xml:space="preserve">ում է </w:t>
      </w:r>
      <w:r w:rsidR="008F52DA">
        <w:rPr>
          <w:rFonts w:ascii="Sylfaen" w:hAnsi="Sylfaen"/>
          <w:szCs w:val="24"/>
        </w:rPr>
        <w:t>տարեկան</w:t>
      </w:r>
      <w:r w:rsidR="008F52DA" w:rsidRPr="00105F62">
        <w:rPr>
          <w:rFonts w:ascii="Sylfaen" w:hAnsi="Sylfaen"/>
          <w:szCs w:val="24"/>
        </w:rPr>
        <w:t xml:space="preserve"> </w:t>
      </w:r>
      <w:r w:rsidR="008F52DA">
        <w:rPr>
          <w:rFonts w:ascii="Sylfaen" w:hAnsi="Sylfaen"/>
          <w:szCs w:val="24"/>
          <w:lang w:val="ru-RU"/>
        </w:rPr>
        <w:t>կտրվածքով</w:t>
      </w:r>
      <w:r w:rsidR="008F52DA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տնային տնտեսությու</w:t>
      </w:r>
      <w:r w:rsidRPr="00236761">
        <w:rPr>
          <w:rFonts w:ascii="Sylfaen" w:hAnsi="Sylfaen"/>
          <w:szCs w:val="24"/>
        </w:rPr>
        <w:t>ն</w:t>
      </w:r>
      <w:r>
        <w:rPr>
          <w:rFonts w:ascii="Sylfaen" w:hAnsi="Sylfaen"/>
          <w:szCs w:val="24"/>
        </w:rPr>
        <w:t>ների</w:t>
      </w:r>
      <w:r w:rsidRPr="00236761">
        <w:rPr>
          <w:rFonts w:ascii="Sylfaen" w:hAnsi="Sylfaen"/>
          <w:szCs w:val="24"/>
        </w:rPr>
        <w:t xml:space="preserve"> մակարդակում</w:t>
      </w:r>
      <w:r>
        <w:rPr>
          <w:rFonts w:ascii="Sylfaen" w:hAnsi="Sylfaen"/>
          <w:szCs w:val="24"/>
        </w:rPr>
        <w:t xml:space="preserve"> և</w:t>
      </w:r>
      <w:r w:rsidRPr="00236761">
        <w:rPr>
          <w:rFonts w:ascii="Sylfaen" w:hAnsi="Sylfaen"/>
          <w:szCs w:val="24"/>
        </w:rPr>
        <w:t xml:space="preserve"> ներկ</w:t>
      </w:r>
      <w:r>
        <w:rPr>
          <w:rFonts w:ascii="Sylfaen" w:hAnsi="Sylfaen"/>
          <w:szCs w:val="24"/>
        </w:rPr>
        <w:t>այացվում որպես տնային տնտեսությու</w:t>
      </w:r>
      <w:r w:rsidRPr="00236761">
        <w:rPr>
          <w:rFonts w:ascii="Sylfaen" w:hAnsi="Sylfaen"/>
          <w:szCs w:val="24"/>
        </w:rPr>
        <w:t>ն</w:t>
      </w:r>
      <w:r>
        <w:rPr>
          <w:rFonts w:ascii="Sylfaen" w:hAnsi="Sylfaen"/>
          <w:szCs w:val="24"/>
        </w:rPr>
        <w:t xml:space="preserve">ների </w:t>
      </w:r>
      <w:r>
        <w:rPr>
          <w:rFonts w:ascii="Sylfaen" w:hAnsi="Sylfaen"/>
          <w:szCs w:val="24"/>
          <w:lang w:val="ru-RU"/>
        </w:rPr>
        <w:t>շուկայական</w:t>
      </w:r>
      <w:r>
        <w:rPr>
          <w:rFonts w:ascii="Sylfaen" w:hAnsi="Sylfaen"/>
          <w:szCs w:val="24"/>
        </w:rPr>
        <w:t xml:space="preserve"> </w:t>
      </w:r>
      <w:r w:rsidRPr="00236761">
        <w:rPr>
          <w:rFonts w:ascii="Sylfaen" w:hAnsi="Sylfaen"/>
          <w:szCs w:val="24"/>
        </w:rPr>
        <w:t>եկամտի</w:t>
      </w:r>
      <w:r>
        <w:rPr>
          <w:rFonts w:ascii="Sylfaen" w:hAnsi="Sylfaen"/>
          <w:szCs w:val="24"/>
        </w:rPr>
        <w:t xml:space="preserve"> մի մաս</w:t>
      </w:r>
      <w:r w:rsidRPr="00105F62">
        <w:rPr>
          <w:rFonts w:ascii="Sylfaen" w:hAnsi="Sylfaen"/>
          <w:szCs w:val="24"/>
        </w:rPr>
        <w:t xml:space="preserve"> </w:t>
      </w:r>
      <w:r w:rsidRPr="00AD2F83">
        <w:rPr>
          <w:rFonts w:ascii="Sylfaen" w:hAnsi="Sylfaen"/>
          <w:szCs w:val="24"/>
        </w:rPr>
        <w:t>(</w:t>
      </w:r>
      <w:r>
        <w:rPr>
          <w:rFonts w:ascii="Sylfaen" w:hAnsi="Sylfaen"/>
          <w:szCs w:val="24"/>
          <w:lang w:val="ru-RU"/>
        </w:rPr>
        <w:t>տես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Աղյուսակ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Ա</w:t>
      </w:r>
      <w:r w:rsidRPr="00AD2F83">
        <w:rPr>
          <w:rFonts w:ascii="Sylfaen" w:hAnsi="Sylfaen"/>
          <w:szCs w:val="24"/>
        </w:rPr>
        <w:t>1)</w:t>
      </w:r>
      <w:r w:rsidRPr="00105F62">
        <w:rPr>
          <w:rFonts w:ascii="Sylfaen" w:hAnsi="Sylfaen"/>
          <w:szCs w:val="24"/>
        </w:rPr>
        <w:t>:</w:t>
      </w:r>
      <w:r w:rsidRPr="00AD2F83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Ինչպես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ակնկալվում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էր</w:t>
      </w:r>
      <w:r w:rsidRPr="00105F62">
        <w:rPr>
          <w:rFonts w:ascii="Sylfaen" w:hAnsi="Sylfaen"/>
          <w:szCs w:val="24"/>
        </w:rPr>
        <w:t xml:space="preserve">, </w:t>
      </w:r>
      <w:r>
        <w:rPr>
          <w:rFonts w:ascii="Sylfaen" w:hAnsi="Sylfaen"/>
          <w:szCs w:val="24"/>
          <w:lang w:val="ru-RU"/>
        </w:rPr>
        <w:t>քանի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որ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եկամտային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հարկի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բարեփոխմամբ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սահմանվում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է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եկամտային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հարկի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ավելի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ցածր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միասնական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դրույքաչափ</w:t>
      </w:r>
      <w:r w:rsidRPr="00105F62">
        <w:rPr>
          <w:rFonts w:ascii="Sylfaen" w:hAnsi="Sylfaen"/>
          <w:szCs w:val="24"/>
        </w:rPr>
        <w:t xml:space="preserve">, </w:t>
      </w:r>
      <w:r w:rsidR="00F52CDB">
        <w:rPr>
          <w:rFonts w:ascii="Sylfaen" w:hAnsi="Sylfaen"/>
          <w:szCs w:val="24"/>
          <w:lang w:val="ru-RU"/>
        </w:rPr>
        <w:t>եկամտի</w:t>
      </w:r>
      <w:r w:rsidR="00F52CDB" w:rsidRPr="00105F62">
        <w:rPr>
          <w:rFonts w:ascii="Sylfaen" w:hAnsi="Sylfaen"/>
          <w:szCs w:val="24"/>
        </w:rPr>
        <w:t xml:space="preserve"> </w:t>
      </w:r>
      <w:r w:rsidR="00F52CDB">
        <w:rPr>
          <w:rFonts w:ascii="Sylfaen" w:hAnsi="Sylfaen"/>
          <w:szCs w:val="24"/>
          <w:lang w:val="ru-RU"/>
        </w:rPr>
        <w:t>դրական</w:t>
      </w:r>
      <w:r w:rsidR="00F52CDB" w:rsidRPr="00105F62">
        <w:rPr>
          <w:rFonts w:ascii="Sylfaen" w:hAnsi="Sylfaen"/>
          <w:szCs w:val="24"/>
        </w:rPr>
        <w:t xml:space="preserve"> </w:t>
      </w:r>
      <w:r w:rsidR="00F52CDB">
        <w:rPr>
          <w:rFonts w:ascii="Sylfaen" w:hAnsi="Sylfaen"/>
          <w:szCs w:val="24"/>
          <w:lang w:val="ru-RU"/>
        </w:rPr>
        <w:t>ավելացումները</w:t>
      </w:r>
      <w:r w:rsidR="00F52CDB" w:rsidRPr="00F52CDB">
        <w:rPr>
          <w:rFonts w:ascii="Sylfaen" w:hAnsi="Sylfaen"/>
          <w:szCs w:val="24"/>
        </w:rPr>
        <w:t xml:space="preserve"> </w:t>
      </w:r>
      <w:r w:rsidR="00F52CDB">
        <w:rPr>
          <w:rFonts w:ascii="Sylfaen" w:hAnsi="Sylfaen"/>
          <w:szCs w:val="24"/>
          <w:lang w:val="ru-RU"/>
        </w:rPr>
        <w:t>առկա</w:t>
      </w:r>
      <w:r w:rsidR="00F52CDB" w:rsidRPr="00105F62">
        <w:rPr>
          <w:rFonts w:ascii="Sylfaen" w:hAnsi="Sylfaen"/>
          <w:szCs w:val="24"/>
        </w:rPr>
        <w:t xml:space="preserve"> </w:t>
      </w:r>
      <w:r w:rsidR="00F52CDB">
        <w:rPr>
          <w:rFonts w:ascii="Sylfaen" w:hAnsi="Sylfaen"/>
          <w:szCs w:val="24"/>
          <w:lang w:val="ru-RU"/>
        </w:rPr>
        <w:t>են</w:t>
      </w:r>
      <w:r w:rsidR="00F52CDB" w:rsidRPr="00F52CDB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բոլոր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դեցիլներում</w:t>
      </w:r>
      <w:r w:rsidRPr="00105F62">
        <w:rPr>
          <w:rFonts w:ascii="Sylfaen" w:hAnsi="Sylfaen"/>
          <w:szCs w:val="24"/>
        </w:rPr>
        <w:t>: Բացի այդ, եկամուտները աճ</w:t>
      </w:r>
      <w:r w:rsidR="008F52DA">
        <w:rPr>
          <w:rFonts w:ascii="Sylfaen" w:hAnsi="Sylfaen"/>
          <w:szCs w:val="24"/>
          <w:lang w:val="ru-RU"/>
        </w:rPr>
        <w:t>ել</w:t>
      </w:r>
      <w:r w:rsidRPr="00105F62">
        <w:rPr>
          <w:rFonts w:ascii="Sylfaen" w:hAnsi="Sylfaen"/>
          <w:szCs w:val="24"/>
        </w:rPr>
        <w:t>ու են տարե</w:t>
      </w:r>
      <w:r>
        <w:rPr>
          <w:rFonts w:ascii="Sylfaen" w:hAnsi="Sylfaen"/>
          <w:szCs w:val="24"/>
          <w:lang w:val="ru-RU"/>
        </w:rPr>
        <w:t>ց</w:t>
      </w:r>
      <w:r w:rsidRPr="00105F6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տարի</w:t>
      </w:r>
      <w:r w:rsidR="008F52DA" w:rsidRPr="008F52DA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եկամտային</w:t>
      </w:r>
      <w:r w:rsidRPr="00A403E9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հարկի</w:t>
      </w:r>
      <w:r w:rsidRPr="00A403E9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դրույքաչափ</w:t>
      </w:r>
      <w:r w:rsidR="008F52DA">
        <w:rPr>
          <w:rFonts w:ascii="Sylfaen" w:hAnsi="Sylfaen"/>
          <w:szCs w:val="24"/>
          <w:lang w:val="ru-RU"/>
        </w:rPr>
        <w:t>ի</w:t>
      </w:r>
      <w:r w:rsidRPr="00A403E9">
        <w:rPr>
          <w:rFonts w:ascii="Sylfaen" w:hAnsi="Sylfaen"/>
          <w:szCs w:val="24"/>
        </w:rPr>
        <w:t xml:space="preserve"> </w:t>
      </w:r>
      <w:r w:rsidRPr="00105F62">
        <w:rPr>
          <w:rFonts w:ascii="Sylfaen" w:hAnsi="Sylfaen"/>
          <w:szCs w:val="24"/>
        </w:rPr>
        <w:t>աստիճանա</w:t>
      </w:r>
      <w:r w:rsidR="008F52DA">
        <w:rPr>
          <w:rFonts w:ascii="Sylfaen" w:hAnsi="Sylfaen"/>
          <w:szCs w:val="24"/>
          <w:lang w:val="ru-RU"/>
        </w:rPr>
        <w:t>կան</w:t>
      </w:r>
      <w:r w:rsidR="008F52DA" w:rsidRPr="008F52DA">
        <w:rPr>
          <w:rFonts w:ascii="Sylfaen" w:hAnsi="Sylfaen"/>
          <w:szCs w:val="24"/>
        </w:rPr>
        <w:t xml:space="preserve"> </w:t>
      </w:r>
      <w:r w:rsidR="008F52DA">
        <w:rPr>
          <w:rFonts w:ascii="Sylfaen" w:hAnsi="Sylfaen"/>
          <w:szCs w:val="24"/>
          <w:lang w:val="ru-RU"/>
        </w:rPr>
        <w:t>նվազեցմանը</w:t>
      </w:r>
      <w:r w:rsidR="008F52DA" w:rsidRPr="008F52DA">
        <w:rPr>
          <w:rFonts w:ascii="Sylfaen" w:hAnsi="Sylfaen"/>
          <w:szCs w:val="24"/>
        </w:rPr>
        <w:t xml:space="preserve"> </w:t>
      </w:r>
      <w:r w:rsidR="008F52DA">
        <w:rPr>
          <w:rFonts w:ascii="Sylfaen" w:hAnsi="Sylfaen"/>
          <w:szCs w:val="24"/>
          <w:lang w:val="ru-RU"/>
        </w:rPr>
        <w:t>զուգընթաց</w:t>
      </w:r>
      <w:r w:rsidRPr="00105F62">
        <w:rPr>
          <w:rFonts w:ascii="Sylfaen" w:hAnsi="Sylfaen"/>
          <w:szCs w:val="24"/>
        </w:rPr>
        <w:t>:</w:t>
      </w:r>
      <w:r w:rsidRPr="00A403E9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Օրինակ</w:t>
      </w:r>
      <w:r w:rsidRPr="00A403E9">
        <w:rPr>
          <w:rFonts w:ascii="Sylfaen" w:hAnsi="Sylfaen"/>
          <w:szCs w:val="24"/>
        </w:rPr>
        <w:t xml:space="preserve">, </w:t>
      </w:r>
      <w:r w:rsidRPr="00AD2F83">
        <w:rPr>
          <w:rFonts w:ascii="Sylfaen" w:hAnsi="Sylfaen"/>
          <w:szCs w:val="24"/>
        </w:rPr>
        <w:t xml:space="preserve"> </w:t>
      </w:r>
      <w:r w:rsidRPr="00A403E9">
        <w:rPr>
          <w:rFonts w:ascii="Sylfaen" w:hAnsi="Sylfaen"/>
          <w:szCs w:val="24"/>
        </w:rPr>
        <w:t>եկամտ</w:t>
      </w:r>
      <w:r>
        <w:rPr>
          <w:rFonts w:ascii="Sylfaen" w:hAnsi="Sylfaen"/>
          <w:szCs w:val="24"/>
          <w:lang w:val="ru-RU"/>
        </w:rPr>
        <w:t>ի</w:t>
      </w:r>
      <w:r w:rsidRPr="00A403E9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ավելացումը</w:t>
      </w:r>
      <w:r w:rsidRPr="00A403E9">
        <w:rPr>
          <w:rFonts w:ascii="Sylfaen" w:hAnsi="Sylfaen"/>
          <w:szCs w:val="24"/>
        </w:rPr>
        <w:t xml:space="preserve"> (որպես տնային տնտեսության շուկայական եկամտի տեսակարար կշիռ) աճում է 0-ից </w:t>
      </w:r>
      <w:r>
        <w:rPr>
          <w:rFonts w:ascii="Sylfaen" w:hAnsi="Sylfaen"/>
          <w:szCs w:val="24"/>
          <w:lang w:val="ru-RU"/>
        </w:rPr>
        <w:t>մինչև</w:t>
      </w:r>
      <w:r w:rsidRPr="00A403E9">
        <w:rPr>
          <w:rFonts w:ascii="Sylfaen" w:hAnsi="Sylfaen"/>
          <w:szCs w:val="24"/>
        </w:rPr>
        <w:t xml:space="preserve"> 0.6% 1-</w:t>
      </w:r>
      <w:r>
        <w:rPr>
          <w:rFonts w:ascii="Sylfaen" w:hAnsi="Sylfaen"/>
          <w:szCs w:val="24"/>
          <w:lang w:val="ru-RU"/>
        </w:rPr>
        <w:t>ին</w:t>
      </w:r>
      <w:r w:rsidRPr="00A403E9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դեցիլում</w:t>
      </w:r>
      <w:r w:rsidRPr="00A403E9">
        <w:rPr>
          <w:rFonts w:ascii="Sylfaen" w:hAnsi="Sylfaen"/>
          <w:szCs w:val="24"/>
        </w:rPr>
        <w:t xml:space="preserve"> (ամենա</w:t>
      </w:r>
      <w:r w:rsidR="00332DBA">
        <w:rPr>
          <w:rFonts w:ascii="Sylfaen" w:hAnsi="Sylfaen"/>
          <w:szCs w:val="24"/>
          <w:lang w:val="ru-RU"/>
        </w:rPr>
        <w:t>ստորին</w:t>
      </w:r>
      <w:r w:rsidR="00332DBA" w:rsidRPr="00332DBA">
        <w:rPr>
          <w:rFonts w:ascii="Sylfaen" w:hAnsi="Sylfaen"/>
          <w:szCs w:val="24"/>
        </w:rPr>
        <w:t xml:space="preserve"> </w:t>
      </w:r>
      <w:r w:rsidR="00332DBA">
        <w:rPr>
          <w:rFonts w:ascii="Sylfaen" w:hAnsi="Sylfaen"/>
          <w:szCs w:val="24"/>
          <w:lang w:val="ru-RU"/>
        </w:rPr>
        <w:t>դեցիլը</w:t>
      </w:r>
      <w:r w:rsidRPr="00A403E9">
        <w:rPr>
          <w:rFonts w:ascii="Sylfaen" w:hAnsi="Sylfaen"/>
          <w:szCs w:val="24"/>
        </w:rPr>
        <w:t>)</w:t>
      </w:r>
      <w:r>
        <w:rPr>
          <w:rFonts w:ascii="Sylfaen" w:hAnsi="Sylfaen"/>
          <w:szCs w:val="24"/>
          <w:lang w:val="ru-RU"/>
        </w:rPr>
        <w:t>՝</w:t>
      </w:r>
      <w:r w:rsidRPr="00A403E9">
        <w:rPr>
          <w:rFonts w:ascii="Sylfaen" w:hAnsi="Sylfaen"/>
          <w:szCs w:val="24"/>
        </w:rPr>
        <w:t xml:space="preserve"> 10-</w:t>
      </w:r>
      <w:r>
        <w:rPr>
          <w:rFonts w:ascii="Sylfaen" w:hAnsi="Sylfaen"/>
          <w:szCs w:val="24"/>
          <w:lang w:val="ru-RU"/>
        </w:rPr>
        <w:t>րդ</w:t>
      </w:r>
      <w:r w:rsidRPr="00A403E9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դեցիլի</w:t>
      </w:r>
      <w:r w:rsidRPr="00A403E9">
        <w:rPr>
          <w:rFonts w:ascii="Sylfaen" w:hAnsi="Sylfaen"/>
          <w:szCs w:val="24"/>
        </w:rPr>
        <w:t xml:space="preserve"> (ամենաբարձր) 2.3% -ից </w:t>
      </w:r>
      <w:r w:rsidR="00332DBA">
        <w:rPr>
          <w:rFonts w:ascii="Sylfaen" w:hAnsi="Sylfaen"/>
          <w:szCs w:val="24"/>
          <w:lang w:val="ru-RU"/>
        </w:rPr>
        <w:t>մինչև</w:t>
      </w:r>
      <w:r w:rsidR="00332DBA" w:rsidRPr="00332DBA">
        <w:rPr>
          <w:rFonts w:ascii="Sylfaen" w:hAnsi="Sylfaen"/>
          <w:szCs w:val="24"/>
        </w:rPr>
        <w:t xml:space="preserve"> </w:t>
      </w:r>
      <w:r w:rsidRPr="00A403E9">
        <w:rPr>
          <w:rFonts w:ascii="Sylfaen" w:hAnsi="Sylfaen"/>
          <w:szCs w:val="24"/>
        </w:rPr>
        <w:t>5.6% աճ</w:t>
      </w:r>
      <w:r>
        <w:rPr>
          <w:rFonts w:ascii="Sylfaen" w:hAnsi="Sylfaen"/>
          <w:szCs w:val="24"/>
          <w:lang w:val="ru-RU"/>
        </w:rPr>
        <w:t>ի</w:t>
      </w:r>
      <w:r w:rsidRPr="00A403E9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համեմատությամբ</w:t>
      </w:r>
      <w:r w:rsidRPr="00A403E9">
        <w:rPr>
          <w:rFonts w:ascii="Sylfaen" w:hAnsi="Sylfaen"/>
          <w:szCs w:val="24"/>
        </w:rPr>
        <w:t xml:space="preserve">: </w:t>
      </w:r>
      <w:r>
        <w:rPr>
          <w:rFonts w:ascii="Sylfaen" w:hAnsi="Sylfaen"/>
          <w:szCs w:val="24"/>
          <w:lang w:val="ru-RU"/>
        </w:rPr>
        <w:t>Սակայն</w:t>
      </w:r>
      <w:r w:rsidRPr="00A60A3C">
        <w:rPr>
          <w:rFonts w:ascii="Sylfaen" w:hAnsi="Sylfaen"/>
          <w:szCs w:val="24"/>
        </w:rPr>
        <w:t>, բացասական բաշխ</w:t>
      </w:r>
      <w:r>
        <w:rPr>
          <w:rFonts w:ascii="Sylfaen" w:hAnsi="Sylfaen"/>
          <w:szCs w:val="24"/>
          <w:lang w:val="ru-RU"/>
        </w:rPr>
        <w:t>ողական</w:t>
      </w:r>
      <w:r w:rsidRPr="00A60A3C">
        <w:rPr>
          <w:rFonts w:ascii="Sylfaen" w:hAnsi="Sylfaen"/>
          <w:szCs w:val="24"/>
        </w:rPr>
        <w:t xml:space="preserve"> կողմն այն է, որ </w:t>
      </w:r>
      <w:r>
        <w:rPr>
          <w:rFonts w:ascii="Sylfaen" w:hAnsi="Sylfaen"/>
          <w:szCs w:val="24"/>
          <w:lang w:val="ru-RU"/>
        </w:rPr>
        <w:t>եկամտային</w:t>
      </w:r>
      <w:r w:rsidRPr="00A60A3C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հարկի</w:t>
      </w:r>
      <w:r w:rsidRPr="00A60A3C">
        <w:rPr>
          <w:rFonts w:ascii="Sylfaen" w:hAnsi="Sylfaen"/>
          <w:szCs w:val="24"/>
        </w:rPr>
        <w:t xml:space="preserve"> բարեփոխումներ</w:t>
      </w:r>
      <w:r>
        <w:rPr>
          <w:rFonts w:ascii="Sylfaen" w:hAnsi="Sylfaen"/>
          <w:szCs w:val="24"/>
          <w:lang w:val="ru-RU"/>
        </w:rPr>
        <w:t>ով</w:t>
      </w:r>
      <w:r w:rsidRPr="00A60A3C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պայմանավորված</w:t>
      </w:r>
      <w:r>
        <w:rPr>
          <w:rFonts w:ascii="Sylfaen" w:hAnsi="Sylfaen"/>
          <w:szCs w:val="24"/>
        </w:rPr>
        <w:t xml:space="preserve"> եկամուտներ</w:t>
      </w:r>
      <w:r>
        <w:rPr>
          <w:rFonts w:ascii="Sylfaen" w:hAnsi="Sylfaen"/>
          <w:szCs w:val="24"/>
          <w:lang w:val="ru-RU"/>
        </w:rPr>
        <w:t>ի</w:t>
      </w:r>
      <w:r w:rsidRPr="00A60A3C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ավելացումներն</w:t>
      </w:r>
      <w:r w:rsidRPr="00A60A3C">
        <w:rPr>
          <w:rFonts w:ascii="Sylfaen" w:hAnsi="Sylfaen"/>
          <w:szCs w:val="24"/>
        </w:rPr>
        <w:t xml:space="preserve"> ավելի բարձր են վերին </w:t>
      </w:r>
      <w:r>
        <w:rPr>
          <w:rFonts w:ascii="Sylfaen" w:hAnsi="Sylfaen"/>
          <w:szCs w:val="24"/>
          <w:lang w:val="ru-RU"/>
        </w:rPr>
        <w:t>դեցիլներում</w:t>
      </w:r>
      <w:r w:rsidRPr="00A60A3C">
        <w:rPr>
          <w:rFonts w:ascii="Sylfaen" w:hAnsi="Sylfaen"/>
          <w:szCs w:val="24"/>
        </w:rPr>
        <w:t xml:space="preserve">  (7-10), </w:t>
      </w:r>
      <w:r>
        <w:rPr>
          <w:rFonts w:ascii="Sylfaen" w:hAnsi="Sylfaen"/>
          <w:szCs w:val="24"/>
          <w:lang w:val="ru-RU"/>
        </w:rPr>
        <w:t>ինչպես</w:t>
      </w:r>
      <w:r w:rsidRPr="00A60A3C">
        <w:rPr>
          <w:rFonts w:ascii="Sylfaen" w:hAnsi="Sylfaen"/>
          <w:szCs w:val="24"/>
        </w:rPr>
        <w:t xml:space="preserve"> ցույց է տալիս գունային սանդղակը</w:t>
      </w:r>
      <w:r w:rsidRPr="00AD2F83">
        <w:rPr>
          <w:rFonts w:ascii="Sylfaen" w:hAnsi="Sylfaen"/>
          <w:szCs w:val="24"/>
        </w:rPr>
        <w:t xml:space="preserve"> </w:t>
      </w:r>
      <w:r w:rsidRPr="00AD2F83">
        <w:rPr>
          <w:rStyle w:val="FootnoteReference"/>
          <w:rFonts w:ascii="Sylfaen" w:hAnsi="Sylfaen"/>
          <w:szCs w:val="24"/>
        </w:rPr>
        <w:footnoteReference w:id="8"/>
      </w:r>
      <w:r w:rsidRPr="00AD2F83">
        <w:rPr>
          <w:rFonts w:ascii="Sylfaen" w:hAnsi="Sylfaen"/>
          <w:szCs w:val="24"/>
        </w:rPr>
        <w:t xml:space="preserve"> (</w:t>
      </w:r>
      <w:r>
        <w:rPr>
          <w:rFonts w:ascii="Sylfaen" w:hAnsi="Sylfaen"/>
          <w:szCs w:val="24"/>
          <w:lang w:val="ru-RU"/>
        </w:rPr>
        <w:t>տես</w:t>
      </w:r>
      <w:r w:rsidRPr="002B19D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Աղյուսակ</w:t>
      </w:r>
      <w:r w:rsidRPr="002B19D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Ա</w:t>
      </w:r>
      <w:r w:rsidRPr="00AD2F83">
        <w:rPr>
          <w:rFonts w:ascii="Sylfaen" w:hAnsi="Sylfaen"/>
          <w:szCs w:val="24"/>
        </w:rPr>
        <w:t xml:space="preserve">1 </w:t>
      </w:r>
      <w:r>
        <w:rPr>
          <w:rFonts w:ascii="Sylfaen" w:hAnsi="Sylfaen"/>
          <w:szCs w:val="24"/>
          <w:lang w:val="ru-RU"/>
        </w:rPr>
        <w:t>և</w:t>
      </w:r>
      <w:r w:rsidRPr="002B19D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Գծապատկեր</w:t>
      </w:r>
      <w:r w:rsidRPr="002B19D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Ա</w:t>
      </w:r>
      <w:r w:rsidRPr="00AD2F83">
        <w:rPr>
          <w:rFonts w:ascii="Sylfaen" w:hAnsi="Sylfaen"/>
          <w:szCs w:val="24"/>
        </w:rPr>
        <w:t>1)</w:t>
      </w:r>
      <w:r>
        <w:rPr>
          <w:rFonts w:ascii="Sylfaen" w:hAnsi="Sylfaen"/>
          <w:szCs w:val="24"/>
        </w:rPr>
        <w:t>:</w:t>
      </w:r>
    </w:p>
    <w:p w:rsidR="001C16A0" w:rsidRPr="00AD2F83" w:rsidRDefault="001C16A0" w:rsidP="002147EA">
      <w:pPr>
        <w:jc w:val="both"/>
        <w:rPr>
          <w:rFonts w:ascii="Sylfaen" w:hAnsi="Sylfaen"/>
          <w:szCs w:val="24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5"/>
        <w:gridCol w:w="1177"/>
        <w:gridCol w:w="1177"/>
        <w:gridCol w:w="1177"/>
        <w:gridCol w:w="1174"/>
      </w:tblGrid>
      <w:tr w:rsidR="002243B5" w:rsidRPr="00C512D4" w:rsidTr="00C512D4">
        <w:trPr>
          <w:trHeight w:val="279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2243B5" w:rsidRPr="00C512D4" w:rsidRDefault="0066162C" w:rsidP="0066162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</w:rPr>
              <w:t>Աղյուսակ</w:t>
            </w:r>
            <w:r w:rsidR="002243B5" w:rsidRPr="00C512D4">
              <w:rPr>
                <w:rFonts w:ascii="Sylfaen" w:hAnsi="Sylfaen" w:cs="Calibri"/>
                <w:b/>
                <w:bCs/>
                <w:color w:val="000000"/>
                <w:sz w:val="22"/>
              </w:rPr>
              <w:t xml:space="preserve"> 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</w:rPr>
              <w:t>Ա</w:t>
            </w:r>
            <w:r w:rsidR="002243B5" w:rsidRPr="00C512D4">
              <w:rPr>
                <w:rFonts w:ascii="Sylfaen" w:hAnsi="Sylfaen" w:cs="Calibri"/>
                <w:b/>
                <w:bCs/>
                <w:color w:val="000000"/>
                <w:sz w:val="22"/>
              </w:rPr>
              <w:t xml:space="preserve">1. 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</w:rPr>
              <w:t xml:space="preserve">Տնային տնտեսությունների եկամուտների ավելացումները որպես ՇՈՒԿԱՅԱԿԱՆ ԵԿԱՄՈՒՏՆԵՐԻ </w:t>
            </w:r>
            <w:r w:rsidR="002243B5" w:rsidRPr="00C512D4">
              <w:rPr>
                <w:rFonts w:ascii="Sylfaen" w:hAnsi="Sylfaen" w:cs="Calibri"/>
                <w:b/>
                <w:bCs/>
                <w:color w:val="000000"/>
                <w:sz w:val="22"/>
              </w:rPr>
              <w:t xml:space="preserve">% </w:t>
            </w:r>
          </w:p>
        </w:tc>
      </w:tr>
      <w:tr w:rsidR="0066162C" w:rsidRPr="00C512D4" w:rsidTr="00C512D4">
        <w:trPr>
          <w:trHeight w:val="456"/>
          <w:jc w:val="center"/>
        </w:trPr>
        <w:tc>
          <w:tcPr>
            <w:tcW w:w="2525" w:type="pct"/>
            <w:shd w:val="clear" w:color="auto" w:fill="auto"/>
            <w:vAlign w:val="center"/>
            <w:hideMark/>
          </w:tcPr>
          <w:p w:rsidR="00A73DEE" w:rsidRPr="00C512D4" w:rsidRDefault="0066162C" w:rsidP="00A73DEE">
            <w:pPr>
              <w:rPr>
                <w:rFonts w:ascii="Sylfaen" w:hAnsi="Sylfaen" w:cs="Calibri"/>
                <w:b/>
                <w:bCs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</w:rPr>
              <w:t>Շուկայական եկամուտների դեցիլներ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</w:rPr>
              <w:t>2020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</w:rPr>
              <w:t>2021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</w:rPr>
              <w:t>2022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</w:rPr>
              <w:t>2023</w:t>
            </w:r>
          </w:p>
        </w:tc>
      </w:tr>
      <w:tr w:rsidR="0066162C" w:rsidRPr="00C512D4" w:rsidTr="00C512D4">
        <w:trPr>
          <w:trHeight w:val="233"/>
          <w:jc w:val="center"/>
        </w:trPr>
        <w:tc>
          <w:tcPr>
            <w:tcW w:w="2525" w:type="pct"/>
            <w:shd w:val="clear" w:color="auto" w:fill="auto"/>
            <w:noWrap/>
            <w:vAlign w:val="bottom"/>
            <w:hideMark/>
          </w:tcPr>
          <w:p w:rsidR="00A73DEE" w:rsidRPr="00C512D4" w:rsidRDefault="0066162C" w:rsidP="00332DBA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Ամենա</w:t>
            </w:r>
            <w:r w:rsidR="00332DBA" w:rsidRPr="00C512D4">
              <w:rPr>
                <w:rFonts w:ascii="Sylfaen" w:hAnsi="Sylfaen" w:cs="Calibri"/>
                <w:color w:val="000000"/>
                <w:sz w:val="22"/>
                <w:lang w:val="ru-RU"/>
              </w:rPr>
              <w:t>ստորին</w:t>
            </w:r>
          </w:p>
        </w:tc>
        <w:tc>
          <w:tcPr>
            <w:tcW w:w="619" w:type="pct"/>
            <w:shd w:val="clear" w:color="000000" w:fill="F8696B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0.0%</w:t>
            </w:r>
          </w:p>
        </w:tc>
        <w:tc>
          <w:tcPr>
            <w:tcW w:w="619" w:type="pct"/>
            <w:shd w:val="clear" w:color="000000" w:fill="F9826F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0.2%</w:t>
            </w:r>
          </w:p>
        </w:tc>
        <w:tc>
          <w:tcPr>
            <w:tcW w:w="619" w:type="pct"/>
            <w:shd w:val="clear" w:color="000000" w:fill="FA9A74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0.4%</w:t>
            </w:r>
          </w:p>
        </w:tc>
        <w:tc>
          <w:tcPr>
            <w:tcW w:w="619" w:type="pct"/>
            <w:shd w:val="clear" w:color="000000" w:fill="FCB379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0.6%</w:t>
            </w:r>
          </w:p>
        </w:tc>
      </w:tr>
      <w:tr w:rsidR="0066162C" w:rsidRPr="00C512D4" w:rsidTr="00C512D4">
        <w:trPr>
          <w:trHeight w:val="233"/>
          <w:jc w:val="center"/>
        </w:trPr>
        <w:tc>
          <w:tcPr>
            <w:tcW w:w="2525" w:type="pct"/>
            <w:shd w:val="clear" w:color="auto" w:fill="auto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2</w:t>
            </w:r>
          </w:p>
        </w:tc>
        <w:tc>
          <w:tcPr>
            <w:tcW w:w="619" w:type="pct"/>
            <w:shd w:val="clear" w:color="000000" w:fill="F86B6B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0.0%</w:t>
            </w:r>
          </w:p>
        </w:tc>
        <w:tc>
          <w:tcPr>
            <w:tcW w:w="619" w:type="pct"/>
            <w:shd w:val="clear" w:color="000000" w:fill="F97F6F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0.2%</w:t>
            </w:r>
          </w:p>
        </w:tc>
        <w:tc>
          <w:tcPr>
            <w:tcW w:w="619" w:type="pct"/>
            <w:shd w:val="clear" w:color="000000" w:fill="FA9373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0.4%</w:t>
            </w:r>
          </w:p>
        </w:tc>
        <w:tc>
          <w:tcPr>
            <w:tcW w:w="619" w:type="pct"/>
            <w:shd w:val="clear" w:color="000000" w:fill="FBA676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0.5%</w:t>
            </w:r>
          </w:p>
        </w:tc>
      </w:tr>
      <w:tr w:rsidR="0066162C" w:rsidRPr="00C512D4" w:rsidTr="00C512D4">
        <w:trPr>
          <w:trHeight w:val="233"/>
          <w:jc w:val="center"/>
        </w:trPr>
        <w:tc>
          <w:tcPr>
            <w:tcW w:w="2525" w:type="pct"/>
            <w:shd w:val="clear" w:color="auto" w:fill="auto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3</w:t>
            </w:r>
          </w:p>
        </w:tc>
        <w:tc>
          <w:tcPr>
            <w:tcW w:w="619" w:type="pct"/>
            <w:shd w:val="clear" w:color="000000" w:fill="F86D6B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0.0%</w:t>
            </w:r>
          </w:p>
        </w:tc>
        <w:tc>
          <w:tcPr>
            <w:tcW w:w="619" w:type="pct"/>
            <w:shd w:val="clear" w:color="000000" w:fill="FA9473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0.4%</w:t>
            </w:r>
          </w:p>
        </w:tc>
        <w:tc>
          <w:tcPr>
            <w:tcW w:w="619" w:type="pct"/>
            <w:shd w:val="clear" w:color="000000" w:fill="FCB97A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0.7%</w:t>
            </w:r>
          </w:p>
        </w:tc>
        <w:tc>
          <w:tcPr>
            <w:tcW w:w="619" w:type="pct"/>
            <w:shd w:val="clear" w:color="000000" w:fill="FEDF81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1.0%</w:t>
            </w:r>
          </w:p>
        </w:tc>
      </w:tr>
      <w:tr w:rsidR="0066162C" w:rsidRPr="00C512D4" w:rsidTr="00C512D4">
        <w:trPr>
          <w:trHeight w:val="233"/>
          <w:jc w:val="center"/>
        </w:trPr>
        <w:tc>
          <w:tcPr>
            <w:tcW w:w="2525" w:type="pct"/>
            <w:shd w:val="clear" w:color="auto" w:fill="auto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4</w:t>
            </w:r>
          </w:p>
        </w:tc>
        <w:tc>
          <w:tcPr>
            <w:tcW w:w="619" w:type="pct"/>
            <w:shd w:val="clear" w:color="000000" w:fill="F8746D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0.1%</w:t>
            </w:r>
          </w:p>
        </w:tc>
        <w:tc>
          <w:tcPr>
            <w:tcW w:w="619" w:type="pct"/>
            <w:shd w:val="clear" w:color="000000" w:fill="FBA877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0.5%</w:t>
            </w:r>
          </w:p>
        </w:tc>
        <w:tc>
          <w:tcPr>
            <w:tcW w:w="619" w:type="pct"/>
            <w:shd w:val="clear" w:color="000000" w:fill="FEDB80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1.0%</w:t>
            </w:r>
          </w:p>
        </w:tc>
        <w:tc>
          <w:tcPr>
            <w:tcW w:w="619" w:type="pct"/>
            <w:shd w:val="clear" w:color="000000" w:fill="F5E884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1.4%</w:t>
            </w:r>
          </w:p>
        </w:tc>
      </w:tr>
      <w:tr w:rsidR="0066162C" w:rsidRPr="00C512D4" w:rsidTr="00C512D4">
        <w:trPr>
          <w:trHeight w:val="233"/>
          <w:jc w:val="center"/>
        </w:trPr>
        <w:tc>
          <w:tcPr>
            <w:tcW w:w="2525" w:type="pct"/>
            <w:shd w:val="clear" w:color="auto" w:fill="auto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5</w:t>
            </w:r>
          </w:p>
        </w:tc>
        <w:tc>
          <w:tcPr>
            <w:tcW w:w="619" w:type="pct"/>
            <w:shd w:val="clear" w:color="000000" w:fill="F98B71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0.3%</w:t>
            </w:r>
          </w:p>
        </w:tc>
        <w:tc>
          <w:tcPr>
            <w:tcW w:w="619" w:type="pct"/>
            <w:shd w:val="clear" w:color="000000" w:fill="FDCB7D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0.8%</w:t>
            </w:r>
          </w:p>
        </w:tc>
        <w:tc>
          <w:tcPr>
            <w:tcW w:w="619" w:type="pct"/>
            <w:shd w:val="clear" w:color="000000" w:fill="F6E984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1.4%</w:t>
            </w:r>
          </w:p>
        </w:tc>
        <w:tc>
          <w:tcPr>
            <w:tcW w:w="619" w:type="pct"/>
            <w:shd w:val="clear" w:color="000000" w:fill="E3E383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1.9%</w:t>
            </w:r>
          </w:p>
        </w:tc>
      </w:tr>
      <w:tr w:rsidR="0066162C" w:rsidRPr="00C512D4" w:rsidTr="00C512D4">
        <w:trPr>
          <w:trHeight w:val="233"/>
          <w:jc w:val="center"/>
        </w:trPr>
        <w:tc>
          <w:tcPr>
            <w:tcW w:w="2525" w:type="pct"/>
            <w:shd w:val="clear" w:color="auto" w:fill="auto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6</w:t>
            </w:r>
          </w:p>
        </w:tc>
        <w:tc>
          <w:tcPr>
            <w:tcW w:w="619" w:type="pct"/>
            <w:shd w:val="clear" w:color="000000" w:fill="FA9D75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0.4%</w:t>
            </w:r>
          </w:p>
        </w:tc>
        <w:tc>
          <w:tcPr>
            <w:tcW w:w="619" w:type="pct"/>
            <w:shd w:val="clear" w:color="000000" w:fill="FEE582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1.1%</w:t>
            </w:r>
          </w:p>
        </w:tc>
        <w:tc>
          <w:tcPr>
            <w:tcW w:w="619" w:type="pct"/>
            <w:shd w:val="clear" w:color="000000" w:fill="ECE683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1.7%</w:t>
            </w:r>
          </w:p>
        </w:tc>
        <w:tc>
          <w:tcPr>
            <w:tcW w:w="619" w:type="pct"/>
            <w:shd w:val="clear" w:color="000000" w:fill="D7E082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2.3%</w:t>
            </w:r>
          </w:p>
        </w:tc>
      </w:tr>
      <w:tr w:rsidR="0066162C" w:rsidRPr="00C512D4" w:rsidTr="00C512D4">
        <w:trPr>
          <w:trHeight w:val="233"/>
          <w:jc w:val="center"/>
        </w:trPr>
        <w:tc>
          <w:tcPr>
            <w:tcW w:w="2525" w:type="pct"/>
            <w:shd w:val="clear" w:color="auto" w:fill="auto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7</w:t>
            </w:r>
          </w:p>
        </w:tc>
        <w:tc>
          <w:tcPr>
            <w:tcW w:w="619" w:type="pct"/>
            <w:shd w:val="clear" w:color="000000" w:fill="FEEB84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1.1%</w:t>
            </w:r>
          </w:p>
        </w:tc>
        <w:tc>
          <w:tcPr>
            <w:tcW w:w="619" w:type="pct"/>
            <w:shd w:val="clear" w:color="000000" w:fill="E6E483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1.8%</w:t>
            </w:r>
          </w:p>
        </w:tc>
        <w:tc>
          <w:tcPr>
            <w:tcW w:w="619" w:type="pct"/>
            <w:shd w:val="clear" w:color="000000" w:fill="CBDC81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2.6%</w:t>
            </w:r>
          </w:p>
        </w:tc>
        <w:tc>
          <w:tcPr>
            <w:tcW w:w="619" w:type="pct"/>
            <w:shd w:val="clear" w:color="000000" w:fill="AFD480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3.4%</w:t>
            </w:r>
          </w:p>
        </w:tc>
      </w:tr>
      <w:tr w:rsidR="0066162C" w:rsidRPr="00C512D4" w:rsidTr="00C512D4">
        <w:trPr>
          <w:trHeight w:val="233"/>
          <w:jc w:val="center"/>
        </w:trPr>
        <w:tc>
          <w:tcPr>
            <w:tcW w:w="2525" w:type="pct"/>
            <w:shd w:val="clear" w:color="auto" w:fill="auto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8</w:t>
            </w:r>
          </w:p>
        </w:tc>
        <w:tc>
          <w:tcPr>
            <w:tcW w:w="619" w:type="pct"/>
            <w:shd w:val="clear" w:color="000000" w:fill="FEE683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1.1%</w:t>
            </w:r>
          </w:p>
        </w:tc>
        <w:tc>
          <w:tcPr>
            <w:tcW w:w="619" w:type="pct"/>
            <w:shd w:val="clear" w:color="000000" w:fill="E3E383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1.9%</w:t>
            </w:r>
          </w:p>
        </w:tc>
        <w:tc>
          <w:tcPr>
            <w:tcW w:w="619" w:type="pct"/>
            <w:shd w:val="clear" w:color="000000" w:fill="C6DB81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2.8%</w:t>
            </w:r>
          </w:p>
        </w:tc>
        <w:tc>
          <w:tcPr>
            <w:tcW w:w="619" w:type="pct"/>
            <w:shd w:val="clear" w:color="000000" w:fill="A8D27F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3.6%</w:t>
            </w:r>
          </w:p>
        </w:tc>
      </w:tr>
      <w:tr w:rsidR="0066162C" w:rsidRPr="00C512D4" w:rsidTr="00C512D4">
        <w:trPr>
          <w:trHeight w:val="233"/>
          <w:jc w:val="center"/>
        </w:trPr>
        <w:tc>
          <w:tcPr>
            <w:tcW w:w="2525" w:type="pct"/>
            <w:shd w:val="clear" w:color="auto" w:fill="auto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9</w:t>
            </w:r>
          </w:p>
        </w:tc>
        <w:tc>
          <w:tcPr>
            <w:tcW w:w="619" w:type="pct"/>
            <w:shd w:val="clear" w:color="000000" w:fill="F0E784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1.5%</w:t>
            </w:r>
          </w:p>
        </w:tc>
        <w:tc>
          <w:tcPr>
            <w:tcW w:w="619" w:type="pct"/>
            <w:shd w:val="clear" w:color="000000" w:fill="D0DE82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2.5%</w:t>
            </w:r>
          </w:p>
        </w:tc>
        <w:tc>
          <w:tcPr>
            <w:tcW w:w="619" w:type="pct"/>
            <w:shd w:val="clear" w:color="000000" w:fill="ADD480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3.5%</w:t>
            </w:r>
          </w:p>
        </w:tc>
        <w:tc>
          <w:tcPr>
            <w:tcW w:w="619" w:type="pct"/>
            <w:shd w:val="clear" w:color="000000" w:fill="8ACA7E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4.5%</w:t>
            </w:r>
          </w:p>
        </w:tc>
      </w:tr>
      <w:tr w:rsidR="0066162C" w:rsidRPr="00C512D4" w:rsidTr="00C512D4">
        <w:trPr>
          <w:trHeight w:val="233"/>
          <w:jc w:val="center"/>
        </w:trPr>
        <w:tc>
          <w:tcPr>
            <w:tcW w:w="2525" w:type="pct"/>
            <w:shd w:val="clear" w:color="auto" w:fill="auto"/>
            <w:noWrap/>
            <w:vAlign w:val="bottom"/>
            <w:hideMark/>
          </w:tcPr>
          <w:p w:rsidR="00A73DEE" w:rsidRPr="00C512D4" w:rsidRDefault="0066162C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Ամենաբարձր</w:t>
            </w:r>
          </w:p>
        </w:tc>
        <w:tc>
          <w:tcPr>
            <w:tcW w:w="619" w:type="pct"/>
            <w:shd w:val="clear" w:color="000000" w:fill="D5DF82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2.3%</w:t>
            </w:r>
          </w:p>
        </w:tc>
        <w:tc>
          <w:tcPr>
            <w:tcW w:w="619" w:type="pct"/>
            <w:shd w:val="clear" w:color="000000" w:fill="B0D580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3.4%</w:t>
            </w:r>
          </w:p>
        </w:tc>
        <w:tc>
          <w:tcPr>
            <w:tcW w:w="619" w:type="pct"/>
            <w:shd w:val="clear" w:color="000000" w:fill="8ACA7E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4.5%</w:t>
            </w:r>
          </w:p>
        </w:tc>
        <w:tc>
          <w:tcPr>
            <w:tcW w:w="619" w:type="pct"/>
            <w:shd w:val="clear" w:color="000000" w:fill="63BE7B"/>
            <w:noWrap/>
            <w:vAlign w:val="bottom"/>
            <w:hideMark/>
          </w:tcPr>
          <w:p w:rsidR="00A73DEE" w:rsidRPr="00C512D4" w:rsidRDefault="00A73DEE" w:rsidP="002243B5">
            <w:pPr>
              <w:jc w:val="center"/>
              <w:rPr>
                <w:rFonts w:ascii="Sylfaen" w:hAnsi="Sylfaen" w:cs="Calibri"/>
                <w:color w:val="000000"/>
                <w:sz w:val="22"/>
              </w:rPr>
            </w:pPr>
            <w:r w:rsidRPr="00C512D4">
              <w:rPr>
                <w:rFonts w:ascii="Sylfaen" w:hAnsi="Sylfaen" w:cs="Calibri"/>
                <w:color w:val="000000"/>
                <w:sz w:val="22"/>
              </w:rPr>
              <w:t>5.6%</w:t>
            </w:r>
          </w:p>
        </w:tc>
      </w:tr>
    </w:tbl>
    <w:p w:rsidR="004C3DE1" w:rsidRPr="00C512D4" w:rsidRDefault="004C3DE1" w:rsidP="00C512D4">
      <w:pPr>
        <w:rPr>
          <w:rFonts w:ascii="Sylfaen" w:hAnsi="Sylfaen" w:cs="Calibri"/>
          <w:color w:val="000000"/>
          <w:sz w:val="22"/>
          <w:szCs w:val="24"/>
        </w:rPr>
      </w:pPr>
      <w:r w:rsidRPr="00C512D4">
        <w:rPr>
          <w:rFonts w:ascii="Sylfaen" w:hAnsi="Sylfaen" w:cs="Calibri"/>
          <w:b/>
          <w:color w:val="000000"/>
          <w:sz w:val="22"/>
          <w:szCs w:val="24"/>
          <w:lang w:val="ru-RU"/>
        </w:rPr>
        <w:t>Նշումներ՝</w:t>
      </w:r>
      <w:r w:rsidRPr="00C512D4">
        <w:rPr>
          <w:rFonts w:ascii="Sylfaen" w:hAnsi="Sylfaen" w:cs="Calibri"/>
          <w:b/>
          <w:color w:val="000000"/>
          <w:sz w:val="22"/>
          <w:szCs w:val="24"/>
        </w:rPr>
        <w:t xml:space="preserve"> </w:t>
      </w:r>
      <w:r w:rsidRPr="00C512D4">
        <w:rPr>
          <w:rFonts w:ascii="Sylfaen" w:hAnsi="Sylfaen" w:cs="Calibri"/>
          <w:color w:val="000000"/>
          <w:sz w:val="22"/>
          <w:szCs w:val="24"/>
        </w:rPr>
        <w:t>1/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եկամտի</w:t>
      </w:r>
      <w:r w:rsidRPr="00C512D4">
        <w:rPr>
          <w:rFonts w:ascii="Sylfaen" w:hAnsi="Sylfaen" w:cs="Calibri"/>
          <w:color w:val="000000"/>
          <w:sz w:val="22"/>
          <w:szCs w:val="24"/>
        </w:rPr>
        <w:t xml:space="preserve"> 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ավելացում</w:t>
      </w:r>
      <w:r w:rsidRPr="00C512D4">
        <w:rPr>
          <w:rFonts w:ascii="Sylfaen" w:hAnsi="Sylfaen" w:cs="Calibri"/>
          <w:color w:val="000000"/>
          <w:sz w:val="22"/>
          <w:szCs w:val="24"/>
        </w:rPr>
        <w:t>=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հարկվող</w:t>
      </w:r>
      <w:r w:rsidRPr="00C512D4">
        <w:rPr>
          <w:rFonts w:ascii="Sylfaen" w:hAnsi="Sylfaen" w:cs="Calibri"/>
          <w:color w:val="000000"/>
          <w:sz w:val="22"/>
          <w:szCs w:val="24"/>
        </w:rPr>
        <w:t xml:space="preserve"> 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եկամուտ</w:t>
      </w:r>
      <w:r w:rsidRPr="00C512D4">
        <w:rPr>
          <w:rFonts w:ascii="Sylfaen" w:hAnsi="Sylfaen" w:cs="Calibri"/>
          <w:color w:val="000000"/>
          <w:sz w:val="22"/>
          <w:szCs w:val="24"/>
        </w:rPr>
        <w:t>_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տարի</w:t>
      </w:r>
      <w:r w:rsidRPr="00C512D4">
        <w:rPr>
          <w:rFonts w:ascii="Sylfaen" w:hAnsi="Sylfaen" w:cs="Calibri"/>
          <w:color w:val="000000"/>
          <w:sz w:val="22"/>
          <w:szCs w:val="24"/>
        </w:rPr>
        <w:t>*(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ԵՀ</w:t>
      </w:r>
      <w:r w:rsidRPr="00C512D4">
        <w:rPr>
          <w:rFonts w:ascii="Sylfaen" w:hAnsi="Sylfaen" w:cs="Calibri"/>
          <w:color w:val="000000"/>
          <w:sz w:val="22"/>
          <w:szCs w:val="24"/>
        </w:rPr>
        <w:t xml:space="preserve"> 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դրույքաչափ</w:t>
      </w:r>
      <w:r w:rsidRPr="00C512D4">
        <w:rPr>
          <w:rFonts w:ascii="Sylfaen" w:hAnsi="Sylfaen" w:cs="Calibri"/>
          <w:color w:val="000000"/>
          <w:sz w:val="22"/>
          <w:szCs w:val="24"/>
        </w:rPr>
        <w:t>_</w:t>
      </w:r>
      <w:r w:rsidR="00332DBA" w:rsidRPr="00C512D4">
        <w:rPr>
          <w:rFonts w:ascii="Sylfaen" w:hAnsi="Sylfaen" w:cs="Calibri"/>
          <w:color w:val="000000"/>
          <w:sz w:val="22"/>
          <w:szCs w:val="24"/>
          <w:lang w:val="ru-RU"/>
        </w:rPr>
        <w:t>նախկ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ի</w:t>
      </w:r>
      <w:r w:rsidR="00332DBA" w:rsidRPr="00C512D4">
        <w:rPr>
          <w:rFonts w:ascii="Sylfaen" w:hAnsi="Sylfaen" w:cs="Calibri"/>
          <w:color w:val="000000"/>
          <w:sz w:val="22"/>
          <w:szCs w:val="24"/>
          <w:lang w:val="ru-RU"/>
        </w:rPr>
        <w:t>ն</w:t>
      </w:r>
      <w:r w:rsidRPr="00C512D4">
        <w:rPr>
          <w:rFonts w:ascii="Sylfaen" w:hAnsi="Sylfaen" w:cs="Calibri"/>
          <w:color w:val="000000"/>
          <w:sz w:val="22"/>
          <w:szCs w:val="24"/>
        </w:rPr>
        <w:t xml:space="preserve"> –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ԵՀ</w:t>
      </w:r>
      <w:r w:rsidRPr="00C512D4">
        <w:rPr>
          <w:rFonts w:ascii="Sylfaen" w:hAnsi="Sylfaen" w:cs="Calibri"/>
          <w:color w:val="000000"/>
          <w:sz w:val="22"/>
          <w:szCs w:val="24"/>
        </w:rPr>
        <w:t xml:space="preserve"> 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դրույքաչափ</w:t>
      </w:r>
      <w:r w:rsidRPr="00C512D4">
        <w:rPr>
          <w:rFonts w:ascii="Sylfaen" w:hAnsi="Sylfaen" w:cs="Calibri"/>
          <w:color w:val="000000"/>
          <w:sz w:val="22"/>
          <w:szCs w:val="24"/>
        </w:rPr>
        <w:t>_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նոր</w:t>
      </w:r>
      <w:r w:rsidRPr="00C512D4">
        <w:rPr>
          <w:rFonts w:ascii="Sylfaen" w:hAnsi="Sylfaen" w:cs="Calibri"/>
          <w:color w:val="000000"/>
          <w:sz w:val="22"/>
          <w:szCs w:val="24"/>
        </w:rPr>
        <w:t>): 2/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դեցիլներ</w:t>
      </w:r>
      <w:r w:rsidRPr="00C512D4">
        <w:rPr>
          <w:rFonts w:ascii="Sylfaen" w:hAnsi="Sylfaen" w:cs="Calibri"/>
          <w:color w:val="000000"/>
          <w:sz w:val="22"/>
          <w:szCs w:val="24"/>
        </w:rPr>
        <w:t xml:space="preserve"> 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ըստ</w:t>
      </w:r>
      <w:r w:rsidRPr="00C512D4">
        <w:rPr>
          <w:rFonts w:ascii="Sylfaen" w:hAnsi="Sylfaen" w:cs="Calibri"/>
          <w:color w:val="000000"/>
          <w:sz w:val="22"/>
          <w:szCs w:val="24"/>
        </w:rPr>
        <w:t xml:space="preserve"> 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շուկայական</w:t>
      </w:r>
      <w:r w:rsidRPr="00C512D4">
        <w:rPr>
          <w:rFonts w:ascii="Sylfaen" w:hAnsi="Sylfaen" w:cs="Calibri"/>
          <w:color w:val="000000"/>
          <w:sz w:val="22"/>
          <w:szCs w:val="24"/>
        </w:rPr>
        <w:t xml:space="preserve"> 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եկամտի</w:t>
      </w:r>
      <w:r w:rsidRPr="00C512D4">
        <w:rPr>
          <w:rFonts w:ascii="Sylfaen" w:hAnsi="Sylfaen" w:cs="Calibri"/>
          <w:color w:val="000000"/>
          <w:sz w:val="22"/>
          <w:szCs w:val="24"/>
        </w:rPr>
        <w:t>: 3/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Գունասանդղակ</w:t>
      </w:r>
      <w:r w:rsidRPr="00C512D4">
        <w:rPr>
          <w:rFonts w:ascii="Sylfaen" w:hAnsi="Sylfaen" w:cs="Calibri"/>
          <w:color w:val="000000"/>
          <w:sz w:val="22"/>
          <w:szCs w:val="24"/>
        </w:rPr>
        <w:t xml:space="preserve">. </w:t>
      </w:r>
      <w:r w:rsidR="00332DBA" w:rsidRPr="00C512D4">
        <w:rPr>
          <w:rFonts w:ascii="Sylfaen" w:hAnsi="Sylfaen" w:cs="Calibri"/>
          <w:color w:val="000000"/>
          <w:sz w:val="22"/>
          <w:szCs w:val="24"/>
          <w:lang w:val="ru-RU"/>
        </w:rPr>
        <w:t>կ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արմիր</w:t>
      </w:r>
      <w:r w:rsidR="00332DBA" w:rsidRPr="00C512D4">
        <w:rPr>
          <w:rFonts w:ascii="Sylfaen" w:hAnsi="Sylfaen" w:cs="Calibri"/>
          <w:color w:val="000000"/>
          <w:sz w:val="22"/>
          <w:szCs w:val="24"/>
          <w:lang w:val="ru-RU"/>
        </w:rPr>
        <w:t>ը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՝</w:t>
      </w:r>
      <w:r w:rsidRPr="00C512D4">
        <w:rPr>
          <w:rFonts w:ascii="Sylfaen" w:hAnsi="Sylfaen" w:cs="Calibri"/>
          <w:color w:val="000000"/>
          <w:sz w:val="22"/>
          <w:szCs w:val="24"/>
        </w:rPr>
        <w:t xml:space="preserve"> 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ամենացածր</w:t>
      </w:r>
      <w:r w:rsidRPr="00C512D4">
        <w:rPr>
          <w:rFonts w:ascii="Sylfaen" w:hAnsi="Sylfaen" w:cs="Calibri"/>
          <w:color w:val="000000"/>
          <w:sz w:val="22"/>
          <w:szCs w:val="24"/>
        </w:rPr>
        <w:t xml:space="preserve">; 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կանաչ</w:t>
      </w:r>
      <w:r w:rsidR="00332DBA" w:rsidRPr="00C512D4">
        <w:rPr>
          <w:rFonts w:ascii="Sylfaen" w:hAnsi="Sylfaen" w:cs="Calibri"/>
          <w:color w:val="000000"/>
          <w:sz w:val="22"/>
          <w:szCs w:val="24"/>
          <w:lang w:val="ru-RU"/>
        </w:rPr>
        <w:t>ը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՝</w:t>
      </w:r>
      <w:r w:rsidRPr="00C512D4">
        <w:rPr>
          <w:rFonts w:ascii="Sylfaen" w:hAnsi="Sylfaen" w:cs="Calibri"/>
          <w:color w:val="000000"/>
          <w:sz w:val="22"/>
          <w:szCs w:val="24"/>
        </w:rPr>
        <w:t xml:space="preserve"> </w:t>
      </w:r>
      <w:r w:rsidRPr="00C512D4">
        <w:rPr>
          <w:rFonts w:ascii="Sylfaen" w:hAnsi="Sylfaen" w:cs="Calibri"/>
          <w:color w:val="000000"/>
          <w:sz w:val="22"/>
          <w:szCs w:val="24"/>
          <w:lang w:val="ru-RU"/>
        </w:rPr>
        <w:t>ամենաբարձր</w:t>
      </w:r>
      <w:r w:rsidRPr="00C512D4">
        <w:rPr>
          <w:rFonts w:ascii="Sylfaen" w:hAnsi="Sylfaen" w:cs="Calibri"/>
          <w:color w:val="000000"/>
          <w:sz w:val="22"/>
          <w:szCs w:val="24"/>
        </w:rPr>
        <w:t>:</w:t>
      </w:r>
    </w:p>
    <w:p w:rsidR="002243B5" w:rsidRPr="00AD2F83" w:rsidRDefault="002243B5" w:rsidP="002243B5">
      <w:pPr>
        <w:rPr>
          <w:rFonts w:ascii="Sylfaen" w:hAnsi="Sylfae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A49EE" w:rsidRPr="00AD2F83" w:rsidTr="00DA49EE">
        <w:tc>
          <w:tcPr>
            <w:tcW w:w="4680" w:type="dxa"/>
          </w:tcPr>
          <w:p w:rsidR="00DA49EE" w:rsidRPr="00AD2F83" w:rsidRDefault="0066162C" w:rsidP="0066162C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Գծապատկեր Ա</w:t>
            </w:r>
            <w:r w:rsidR="00DA49EE" w:rsidRPr="00AD2F83">
              <w:rPr>
                <w:rFonts w:ascii="Sylfaen" w:hAnsi="Sylfaen" w:cs="Calibri"/>
                <w:color w:val="000000"/>
              </w:rPr>
              <w:t xml:space="preserve">1. </w:t>
            </w:r>
            <w:r>
              <w:rPr>
                <w:rFonts w:ascii="Sylfaen" w:hAnsi="Sylfaen" w:cs="Calibri"/>
                <w:color w:val="000000"/>
              </w:rPr>
              <w:t>Եկամտային հարկի բարեփոխումներով պայմանավորված զուտ եկամտի փոփոխությունը</w:t>
            </w:r>
            <w:r w:rsidR="00DA49EE" w:rsidRPr="00AD2F83">
              <w:rPr>
                <w:rFonts w:ascii="Sylfaen" w:hAnsi="Sylfaen" w:cs="Calibri"/>
                <w:color w:val="000000"/>
              </w:rPr>
              <w:t xml:space="preserve">, 2019-23 </w:t>
            </w:r>
            <w:r w:rsidR="0021133A">
              <w:rPr>
                <w:rFonts w:ascii="Sylfaen" w:hAnsi="Sylfaen" w:cs="Calibri"/>
                <w:color w:val="000000"/>
                <w:lang w:val="ru-RU"/>
              </w:rPr>
              <w:t>թթ</w:t>
            </w:r>
            <w:r w:rsidR="0021133A" w:rsidRPr="0021133A">
              <w:rPr>
                <w:rFonts w:ascii="Sylfaen" w:hAnsi="Sylfaen" w:cs="Calibri"/>
                <w:color w:val="000000"/>
              </w:rPr>
              <w:t xml:space="preserve">. </w:t>
            </w:r>
            <w:r w:rsidR="00DA49EE" w:rsidRPr="00AD2F83">
              <w:rPr>
                <w:rFonts w:ascii="Sylfaen" w:hAnsi="Sylfaen" w:cs="Calibri"/>
                <w:color w:val="000000"/>
              </w:rPr>
              <w:t>(</w:t>
            </w:r>
            <w:r>
              <w:rPr>
                <w:rFonts w:ascii="Sylfaen" w:hAnsi="Sylfaen" w:cs="Calibri"/>
                <w:color w:val="000000"/>
              </w:rPr>
              <w:t>դեցիլներ՝ ըստ տնային տնտեսությունների տնօրինվող եկամտի</w:t>
            </w:r>
            <w:r w:rsidR="00DA49EE" w:rsidRPr="00AD2F83">
              <w:rPr>
                <w:rFonts w:ascii="Sylfaen" w:hAnsi="Sylfaen" w:cs="Calibri"/>
                <w:color w:val="000000"/>
              </w:rPr>
              <w:t>)</w:t>
            </w:r>
          </w:p>
        </w:tc>
        <w:tc>
          <w:tcPr>
            <w:tcW w:w="4680" w:type="dxa"/>
          </w:tcPr>
          <w:p w:rsidR="00DA49EE" w:rsidRPr="00AD2F83" w:rsidRDefault="0066162C" w:rsidP="0066162C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Գծապատկեր</w:t>
            </w:r>
            <w:r w:rsidR="00DA49EE" w:rsidRPr="00AD2F83">
              <w:rPr>
                <w:rFonts w:ascii="Sylfaen" w:hAnsi="Sylfaen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</w:rPr>
              <w:t>Ա</w:t>
            </w:r>
            <w:r w:rsidR="00DA49EE" w:rsidRPr="00AD2F83">
              <w:rPr>
                <w:rFonts w:ascii="Sylfaen" w:hAnsi="Sylfaen" w:cs="Calibri"/>
                <w:color w:val="000000"/>
              </w:rPr>
              <w:t xml:space="preserve">2. </w:t>
            </w:r>
            <w:r>
              <w:rPr>
                <w:rFonts w:ascii="Sylfaen" w:hAnsi="Sylfaen" w:cs="Calibri"/>
                <w:color w:val="000000"/>
              </w:rPr>
              <w:t>Եկամտի ավելացումներ՝ ապաագրեգացնելով եկամտային հարկի փոփոխությունները</w:t>
            </w:r>
            <w:r w:rsidR="00DA49EE" w:rsidRPr="00AD2F83">
              <w:rPr>
                <w:rFonts w:ascii="Sylfaen" w:hAnsi="Sylfaen" w:cs="Calibri"/>
                <w:color w:val="000000"/>
              </w:rPr>
              <w:t xml:space="preserve"> (</w:t>
            </w:r>
            <w:r>
              <w:rPr>
                <w:rFonts w:ascii="Sylfaen" w:hAnsi="Sylfaen" w:cs="Calibri"/>
                <w:color w:val="000000"/>
              </w:rPr>
              <w:t xml:space="preserve">դեցիլներ՝ ըստ տնային տնտեսությունների շուկայական եկամտի, </w:t>
            </w:r>
            <w:r w:rsidR="00DA49EE" w:rsidRPr="00AD2F83">
              <w:rPr>
                <w:rFonts w:ascii="Sylfaen" w:hAnsi="Sylfaen" w:cs="Calibri"/>
                <w:color w:val="000000"/>
              </w:rPr>
              <w:t>2023</w:t>
            </w:r>
            <w:r>
              <w:rPr>
                <w:rFonts w:ascii="Sylfaen" w:hAnsi="Sylfaen" w:cs="Calibri"/>
                <w:color w:val="000000"/>
              </w:rPr>
              <w:t>թ.</w:t>
            </w:r>
            <w:r w:rsidR="00DA49EE" w:rsidRPr="00AD2F83">
              <w:rPr>
                <w:rFonts w:ascii="Sylfaen" w:hAnsi="Sylfaen" w:cs="Calibri"/>
                <w:color w:val="000000"/>
              </w:rPr>
              <w:t>)</w:t>
            </w:r>
          </w:p>
        </w:tc>
      </w:tr>
      <w:tr w:rsidR="00DA49EE" w:rsidRPr="00AD2F83" w:rsidTr="00DA49EE">
        <w:tc>
          <w:tcPr>
            <w:tcW w:w="4680" w:type="dxa"/>
          </w:tcPr>
          <w:p w:rsidR="00DA49EE" w:rsidRPr="00AD2F83" w:rsidRDefault="00DA49EE" w:rsidP="00DA49EE">
            <w:pPr>
              <w:rPr>
                <w:rFonts w:ascii="Sylfaen" w:hAnsi="Sylfaen" w:cs="Calibri"/>
                <w:color w:val="000000"/>
              </w:rPr>
            </w:pPr>
            <w:r w:rsidRPr="00AD2F83">
              <w:rPr>
                <w:rFonts w:ascii="Sylfaen" w:hAnsi="Sylfaen"/>
                <w:noProof/>
              </w:rPr>
              <w:drawing>
                <wp:inline distT="0" distB="0" distL="0" distR="0">
                  <wp:extent cx="2820035" cy="2486660"/>
                  <wp:effectExtent l="0" t="0" r="0" b="0"/>
                  <wp:docPr id="11" name="Chart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BDC102-3124-4E3A-8C52-59F29DDB5D3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DA49EE" w:rsidRPr="00AD2F83" w:rsidRDefault="000933CF" w:rsidP="00DA49EE">
            <w:pPr>
              <w:rPr>
                <w:rFonts w:ascii="Sylfaen" w:hAnsi="Sylfaen" w:cs="Calibri"/>
                <w:color w:val="000000"/>
              </w:rPr>
            </w:pPr>
            <w:r w:rsidRPr="000933CF">
              <w:rPr>
                <w:rFonts w:ascii="Sylfaen" w:hAnsi="Sylfaen"/>
                <w:noProof/>
                <w:szCs w:val="24"/>
              </w:rPr>
              <w:drawing>
                <wp:inline distT="0" distB="0" distL="0" distR="0">
                  <wp:extent cx="2861953" cy="2508885"/>
                  <wp:effectExtent l="0" t="0" r="0" b="0"/>
                  <wp:docPr id="5" name="Chart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0839F5-E095-4C83-A1B9-54CFB4317B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2147EA" w:rsidRDefault="002147EA" w:rsidP="00DA49EE">
      <w:pPr>
        <w:jc w:val="both"/>
        <w:rPr>
          <w:rFonts w:ascii="Sylfaen" w:hAnsi="Sylfaen"/>
          <w:b/>
          <w:szCs w:val="24"/>
        </w:rPr>
      </w:pPr>
    </w:p>
    <w:p w:rsidR="004B12B6" w:rsidRPr="004B12B6" w:rsidRDefault="004B12B6" w:rsidP="00DA49EE">
      <w:pPr>
        <w:jc w:val="both"/>
        <w:rPr>
          <w:rFonts w:ascii="Sylfaen" w:hAnsi="Sylfaen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65" w:tblpY="49"/>
        <w:tblW w:w="4960" w:type="pct"/>
        <w:tblLayout w:type="fixed"/>
        <w:tblLook w:val="04A0" w:firstRow="1" w:lastRow="0" w:firstColumn="1" w:lastColumn="0" w:noHBand="0" w:noVBand="1"/>
      </w:tblPr>
      <w:tblGrid>
        <w:gridCol w:w="2850"/>
        <w:gridCol w:w="939"/>
        <w:gridCol w:w="992"/>
        <w:gridCol w:w="1171"/>
        <w:gridCol w:w="1002"/>
        <w:gridCol w:w="2321"/>
      </w:tblGrid>
      <w:tr w:rsidR="004C3DE1" w:rsidRPr="00C512D4" w:rsidTr="004C3DE1">
        <w:trPr>
          <w:trHeight w:val="300"/>
        </w:trPr>
        <w:tc>
          <w:tcPr>
            <w:tcW w:w="5000" w:type="pct"/>
            <w:gridSpan w:val="6"/>
            <w:noWrap/>
          </w:tcPr>
          <w:p w:rsidR="004C3DE1" w:rsidRPr="00C512D4" w:rsidRDefault="004C3DE1" w:rsidP="004C3DE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  <w:lang w:val="ru-RU"/>
              </w:rPr>
              <w:t>Աղյուսակ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  <w:lang w:val="ru-RU"/>
              </w:rPr>
              <w:t>Ա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  <w:t xml:space="preserve">2. 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  <w:lang w:val="ru-RU"/>
              </w:rPr>
              <w:t>Ենթադրություններ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  <w:lang w:val="ru-RU"/>
              </w:rPr>
              <w:t>Հայաստանի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  <w:t xml:space="preserve"> </w:t>
            </w:r>
            <w:r w:rsidR="0021133A"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  <w:lang w:val="ru-RU"/>
              </w:rPr>
              <w:t>ե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  <w:lang w:val="ru-RU"/>
              </w:rPr>
              <w:t>կամտային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  <w:lang w:val="ru-RU"/>
              </w:rPr>
              <w:t>հարկի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  <w:lang w:val="ru-RU"/>
              </w:rPr>
              <w:t>բարեփոխման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  <w:lang w:val="ru-RU"/>
              </w:rPr>
              <w:t>մոդելավորման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  <w:lang w:val="ru-RU"/>
              </w:rPr>
              <w:t>համար</w:t>
            </w:r>
          </w:p>
        </w:tc>
      </w:tr>
      <w:tr w:rsidR="004C3DE1" w:rsidRPr="00C512D4" w:rsidTr="004C3DE1">
        <w:trPr>
          <w:trHeight w:val="300"/>
        </w:trPr>
        <w:tc>
          <w:tcPr>
            <w:tcW w:w="1537" w:type="pct"/>
            <w:noWrap/>
          </w:tcPr>
          <w:p w:rsidR="004C3DE1" w:rsidRPr="00C512D4" w:rsidRDefault="004C3DE1" w:rsidP="004C3DE1">
            <w:pPr>
              <w:rPr>
                <w:rFonts w:ascii="Sylfaen" w:hAnsi="Sylfaen" w:cs="Calibri"/>
                <w:b/>
                <w:color w:val="000000"/>
                <w:sz w:val="22"/>
                <w:szCs w:val="24"/>
                <w:lang w:val="ru-RU"/>
              </w:rPr>
            </w:pPr>
            <w:r w:rsidRPr="00C512D4">
              <w:rPr>
                <w:rFonts w:ascii="Sylfaen" w:hAnsi="Sylfaen" w:cs="Calibri"/>
                <w:b/>
                <w:color w:val="000000"/>
                <w:sz w:val="22"/>
                <w:szCs w:val="24"/>
                <w:lang w:val="ru-RU"/>
              </w:rPr>
              <w:t>Սցենարը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noWrap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noWrap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noWrap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noWrap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251" w:type="pct"/>
            <w:noWrap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4C3DE1" w:rsidRPr="00C512D4" w:rsidTr="004C3DE1">
        <w:trPr>
          <w:trHeight w:val="300"/>
        </w:trPr>
        <w:tc>
          <w:tcPr>
            <w:tcW w:w="1537" w:type="pct"/>
            <w:noWrap/>
            <w:hideMark/>
          </w:tcPr>
          <w:p w:rsidR="004C3DE1" w:rsidRPr="00C512D4" w:rsidRDefault="004C3DE1" w:rsidP="004C3DE1">
            <w:pPr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</w:pP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> 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Ենթադրություն/տարի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noWrap/>
            <w:hideMark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  <w:t>2020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noWrap/>
            <w:hideMark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  <w:t>2021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noWrap/>
            <w:hideMark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  <w:t>2022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noWrap/>
            <w:hideMark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  <w:t>2023</w:t>
            </w:r>
          </w:p>
        </w:tc>
        <w:tc>
          <w:tcPr>
            <w:tcW w:w="1251" w:type="pct"/>
            <w:noWrap/>
            <w:hideMark/>
          </w:tcPr>
          <w:p w:rsidR="004C3DE1" w:rsidRPr="00C512D4" w:rsidRDefault="00E049C2" w:rsidP="00E049C2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b/>
                <w:bCs/>
                <w:color w:val="000000"/>
                <w:sz w:val="22"/>
                <w:szCs w:val="24"/>
                <w:lang w:val="ru-RU"/>
              </w:rPr>
              <w:t>Փոփոխականը եկամտային հարկի մոդելում</w:t>
            </w:r>
          </w:p>
        </w:tc>
      </w:tr>
      <w:tr w:rsidR="004C3DE1" w:rsidRPr="00C512D4" w:rsidTr="004C3DE1">
        <w:trPr>
          <w:trHeight w:val="60"/>
        </w:trPr>
        <w:tc>
          <w:tcPr>
            <w:tcW w:w="1537" w:type="pct"/>
            <w:hideMark/>
          </w:tcPr>
          <w:p w:rsidR="004C3DE1" w:rsidRPr="00C512D4" w:rsidRDefault="004C3DE1" w:rsidP="001D5EC5">
            <w:pPr>
              <w:rPr>
                <w:rFonts w:ascii="Sylfaen" w:hAnsi="Sylfaen" w:cs="Calibri"/>
                <w:i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Եկամտի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աճը՝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</w:t>
            </w:r>
            <w:r w:rsidR="001D5EC5"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հիմնված</w:t>
            </w:r>
            <w:r w:rsidR="001D5EC5"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մեկ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շնչին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ընկնող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ՀՆԱ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>-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ի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նկատմամբ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առաձգականության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վրա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և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մեկ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շնչին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բաժին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ընկնող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ՀՆԱ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>-</w:t>
            </w:r>
            <w:r w:rsidR="00E049C2"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ի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կանխատեսումները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 (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կուտակային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>, 2014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թ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. 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համեմատությամբ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>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4.7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5.8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6.8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7.8</w:t>
            </w:r>
          </w:p>
        </w:tc>
        <w:tc>
          <w:tcPr>
            <w:tcW w:w="1251" w:type="pct"/>
            <w:vAlign w:val="center"/>
            <w:hideMark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Ֆորմալ աշխատավարձ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,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 xml:space="preserve"> տնօրնվող եկամուտ </w:t>
            </w:r>
          </w:p>
        </w:tc>
      </w:tr>
      <w:tr w:rsidR="004C3DE1" w:rsidRPr="00C512D4" w:rsidTr="004C3DE1">
        <w:trPr>
          <w:trHeight w:val="590"/>
        </w:trPr>
        <w:tc>
          <w:tcPr>
            <w:tcW w:w="1537" w:type="pct"/>
          </w:tcPr>
          <w:p w:rsidR="004C3DE1" w:rsidRPr="00C512D4" w:rsidRDefault="004C3DE1" w:rsidP="004C3DE1">
            <w:pPr>
              <w:rPr>
                <w:rFonts w:ascii="Sylfaen" w:hAnsi="Sylfaen" w:cs="Calibri"/>
                <w:i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ՀՆԱ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, 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ընթացիկ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գներով</w:t>
            </w:r>
          </w:p>
          <w:p w:rsidR="004C3DE1" w:rsidRPr="00C512D4" w:rsidRDefault="004C3DE1" w:rsidP="001D5EC5">
            <w:pPr>
              <w:rPr>
                <w:rFonts w:ascii="Sylfaen" w:hAnsi="Sylfaen" w:cs="Calibri"/>
                <w:i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(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միլիարդ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, </w:t>
            </w:r>
            <w:r w:rsidR="001D5EC5"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տեղական արժույթի միավորով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>)</w:t>
            </w:r>
          </w:p>
        </w:tc>
        <w:tc>
          <w:tcPr>
            <w:tcW w:w="506" w:type="pct"/>
            <w:noWrap/>
            <w:vAlign w:val="center"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7,248.89</w:t>
            </w:r>
          </w:p>
        </w:tc>
        <w:tc>
          <w:tcPr>
            <w:tcW w:w="535" w:type="pct"/>
            <w:noWrap/>
            <w:vAlign w:val="center"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7,873.70</w:t>
            </w:r>
          </w:p>
        </w:tc>
        <w:tc>
          <w:tcPr>
            <w:tcW w:w="631" w:type="pct"/>
            <w:noWrap/>
            <w:vAlign w:val="center"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8,556.24</w:t>
            </w:r>
          </w:p>
        </w:tc>
        <w:tc>
          <w:tcPr>
            <w:tcW w:w="540" w:type="pct"/>
            <w:noWrap/>
            <w:vAlign w:val="center"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9,300.03</w:t>
            </w:r>
          </w:p>
        </w:tc>
        <w:tc>
          <w:tcPr>
            <w:tcW w:w="1251" w:type="pct"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ԵՀ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մուտքերը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որպես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ՀՆԱ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-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ի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տեսակարար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կշիռ</w:t>
            </w:r>
          </w:p>
        </w:tc>
      </w:tr>
      <w:tr w:rsidR="004C3DE1" w:rsidRPr="00C512D4" w:rsidTr="004C3DE1">
        <w:trPr>
          <w:trHeight w:val="300"/>
        </w:trPr>
        <w:tc>
          <w:tcPr>
            <w:tcW w:w="1537" w:type="pct"/>
            <w:hideMark/>
          </w:tcPr>
          <w:p w:rsidR="004C3DE1" w:rsidRPr="00C512D4" w:rsidRDefault="004C3DE1" w:rsidP="004C3DE1">
            <w:pPr>
              <w:rPr>
                <w:rFonts w:ascii="Sylfaen" w:hAnsi="Sylfaen" w:cs="Calibri"/>
                <w:i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Եկամտա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յին 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t>հարկի դրույքաչափը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(%)</w:t>
            </w:r>
          </w:p>
        </w:tc>
        <w:tc>
          <w:tcPr>
            <w:tcW w:w="506" w:type="pct"/>
            <w:noWrap/>
            <w:hideMark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23.00</w:t>
            </w:r>
          </w:p>
        </w:tc>
        <w:tc>
          <w:tcPr>
            <w:tcW w:w="535" w:type="pct"/>
            <w:noWrap/>
            <w:hideMark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22.00</w:t>
            </w:r>
          </w:p>
        </w:tc>
        <w:tc>
          <w:tcPr>
            <w:tcW w:w="631" w:type="pct"/>
            <w:noWrap/>
            <w:hideMark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21.00</w:t>
            </w:r>
          </w:p>
        </w:tc>
        <w:tc>
          <w:tcPr>
            <w:tcW w:w="540" w:type="pct"/>
            <w:noWrap/>
            <w:hideMark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20.00</w:t>
            </w:r>
          </w:p>
        </w:tc>
        <w:tc>
          <w:tcPr>
            <w:tcW w:w="1251" w:type="pct"/>
            <w:noWrap/>
            <w:hideMark/>
          </w:tcPr>
          <w:p w:rsidR="004C3DE1" w:rsidRPr="00C512D4" w:rsidRDefault="004C3DE1" w:rsidP="002D2B6F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ԵՀ</w:t>
            </w:r>
            <w:r w:rsidR="002D2B6F"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-</w:t>
            </w:r>
            <w:r w:rsidR="002D2B6F"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ով</w:t>
            </w:r>
            <w:r w:rsidR="002D2B6F"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="002D2B6F"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="002D2B6F"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հարկվող</w:t>
            </w:r>
            <w:r w:rsidR="002D2B6F"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="002D2B6F"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եկամտի</w:t>
            </w:r>
            <w:r w:rsidR="002D2B6F"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հաշվարկը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, 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ԵՀ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lastRenderedPageBreak/>
              <w:t>պարտավորությունները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</w:p>
        </w:tc>
      </w:tr>
      <w:tr w:rsidR="004C3DE1" w:rsidRPr="00C512D4" w:rsidTr="004C3DE1">
        <w:trPr>
          <w:trHeight w:val="300"/>
        </w:trPr>
        <w:tc>
          <w:tcPr>
            <w:tcW w:w="1537" w:type="pct"/>
          </w:tcPr>
          <w:p w:rsidR="004C3DE1" w:rsidRPr="00C512D4" w:rsidRDefault="004C3DE1" w:rsidP="004C3DE1">
            <w:pPr>
              <w:rPr>
                <w:rFonts w:ascii="Sylfaen" w:hAnsi="Sylfaen" w:cs="Calibri"/>
                <w:i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  <w:lang w:val="ru-RU"/>
              </w:rPr>
              <w:lastRenderedPageBreak/>
              <w:t>ՍՎ դրույքաչափը</w:t>
            </w:r>
            <w:r w:rsidRPr="00C512D4">
              <w:rPr>
                <w:rFonts w:ascii="Sylfaen" w:hAnsi="Sylfaen" w:cs="Calibri"/>
                <w:i/>
                <w:color w:val="000000"/>
                <w:sz w:val="22"/>
                <w:szCs w:val="24"/>
              </w:rPr>
              <w:t xml:space="preserve"> (%)</w:t>
            </w:r>
          </w:p>
        </w:tc>
        <w:tc>
          <w:tcPr>
            <w:tcW w:w="506" w:type="pct"/>
            <w:noWrap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2.5</w:t>
            </w:r>
          </w:p>
        </w:tc>
        <w:tc>
          <w:tcPr>
            <w:tcW w:w="535" w:type="pct"/>
            <w:noWrap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3.5</w:t>
            </w:r>
          </w:p>
        </w:tc>
        <w:tc>
          <w:tcPr>
            <w:tcW w:w="631" w:type="pct"/>
            <w:noWrap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4.5</w:t>
            </w:r>
          </w:p>
        </w:tc>
        <w:tc>
          <w:tcPr>
            <w:tcW w:w="540" w:type="pct"/>
            <w:noWrap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>5.0</w:t>
            </w:r>
          </w:p>
        </w:tc>
        <w:tc>
          <w:tcPr>
            <w:tcW w:w="1251" w:type="pct"/>
            <w:noWrap/>
          </w:tcPr>
          <w:p w:rsidR="004C3DE1" w:rsidRPr="00C512D4" w:rsidRDefault="004C3DE1" w:rsidP="004C3DE1">
            <w:pPr>
              <w:jc w:val="right"/>
              <w:rPr>
                <w:rFonts w:ascii="Sylfaen" w:hAnsi="Sylfaen" w:cs="Calibri"/>
                <w:color w:val="000000"/>
                <w:sz w:val="22"/>
                <w:szCs w:val="24"/>
              </w:rPr>
            </w:pP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Հարկվող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եկամտի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գծով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եկամտային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հարկի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  <w:lang w:val="ru-RU"/>
              </w:rPr>
              <w:t>հաշվարկը</w:t>
            </w:r>
            <w:r w:rsidRPr="00C512D4">
              <w:rPr>
                <w:rFonts w:ascii="Sylfaen" w:hAnsi="Sylfaen" w:cs="Calibri"/>
                <w:color w:val="000000"/>
                <w:sz w:val="22"/>
                <w:szCs w:val="24"/>
              </w:rPr>
              <w:t xml:space="preserve"> </w:t>
            </w:r>
          </w:p>
        </w:tc>
      </w:tr>
    </w:tbl>
    <w:p w:rsidR="004C3DE1" w:rsidRPr="00C512D4" w:rsidRDefault="004C3DE1" w:rsidP="004C3DE1">
      <w:pPr>
        <w:jc w:val="both"/>
        <w:rPr>
          <w:rFonts w:ascii="Sylfaen" w:hAnsi="Sylfaen"/>
          <w:sz w:val="22"/>
          <w:szCs w:val="24"/>
        </w:rPr>
      </w:pPr>
      <w:r w:rsidRPr="00C512D4">
        <w:rPr>
          <w:rFonts w:ascii="Sylfaen" w:hAnsi="Sylfaen"/>
          <w:b/>
          <w:sz w:val="22"/>
          <w:szCs w:val="24"/>
          <w:lang w:val="ru-RU"/>
        </w:rPr>
        <w:t>Աղբյուրը՝</w:t>
      </w:r>
      <w:r w:rsidRPr="00C512D4">
        <w:rPr>
          <w:rFonts w:ascii="Sylfaen" w:hAnsi="Sylfaen"/>
          <w:b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սեփական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մշակումներ</w:t>
      </w:r>
      <w:r w:rsidR="00926427" w:rsidRPr="00C512D4">
        <w:rPr>
          <w:rFonts w:ascii="Sylfaen" w:hAnsi="Sylfaen"/>
          <w:sz w:val="22"/>
          <w:szCs w:val="24"/>
          <w:lang w:val="ru-RU"/>
        </w:rPr>
        <w:t>՝</w:t>
      </w:r>
      <w:r w:rsidR="00926427"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հիմնվ</w:t>
      </w:r>
      <w:r w:rsidR="00926427" w:rsidRPr="00C512D4">
        <w:rPr>
          <w:rFonts w:ascii="Sylfaen" w:hAnsi="Sylfaen"/>
          <w:sz w:val="22"/>
          <w:szCs w:val="24"/>
          <w:lang w:val="ru-RU"/>
        </w:rPr>
        <w:t>ած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Ֆ</w:t>
      </w:r>
      <w:r w:rsidR="00926427" w:rsidRPr="00C512D4">
        <w:rPr>
          <w:rFonts w:ascii="Sylfaen" w:hAnsi="Sylfaen"/>
          <w:sz w:val="22"/>
          <w:szCs w:val="24"/>
          <w:lang w:val="ru-RU"/>
        </w:rPr>
        <w:t>ինանսների</w:t>
      </w:r>
      <w:r w:rsidR="00926427" w:rsidRPr="00C512D4">
        <w:rPr>
          <w:rFonts w:ascii="Sylfaen" w:hAnsi="Sylfaen"/>
          <w:sz w:val="22"/>
          <w:szCs w:val="24"/>
        </w:rPr>
        <w:t xml:space="preserve"> </w:t>
      </w:r>
      <w:r w:rsidR="00926427" w:rsidRPr="00C512D4">
        <w:rPr>
          <w:rFonts w:ascii="Sylfaen" w:hAnsi="Sylfaen"/>
          <w:sz w:val="22"/>
          <w:szCs w:val="24"/>
          <w:lang w:val="ru-RU"/>
        </w:rPr>
        <w:t>նախարարության</w:t>
      </w:r>
      <w:r w:rsidR="00926427"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եկամտային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հարկի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և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սոցիալական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վճարների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դրույքաչափերի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վրա</w:t>
      </w:r>
      <w:r w:rsidRPr="00C512D4">
        <w:rPr>
          <w:rFonts w:ascii="Sylfaen" w:hAnsi="Sylfaen"/>
          <w:sz w:val="22"/>
          <w:szCs w:val="24"/>
        </w:rPr>
        <w:t xml:space="preserve">; </w:t>
      </w:r>
      <w:r w:rsidRPr="00C512D4">
        <w:rPr>
          <w:rFonts w:ascii="Sylfaen" w:hAnsi="Sylfaen"/>
          <w:sz w:val="22"/>
          <w:szCs w:val="24"/>
          <w:lang w:val="ru-RU"/>
        </w:rPr>
        <w:t>ՀԲ</w:t>
      </w:r>
      <w:r w:rsidRPr="00C512D4">
        <w:rPr>
          <w:rFonts w:ascii="Sylfaen" w:hAnsi="Sylfaen"/>
          <w:sz w:val="22"/>
          <w:szCs w:val="24"/>
        </w:rPr>
        <w:t>-</w:t>
      </w:r>
      <w:r w:rsidRPr="00C512D4">
        <w:rPr>
          <w:rFonts w:ascii="Sylfaen" w:hAnsi="Sylfaen"/>
          <w:sz w:val="22"/>
          <w:szCs w:val="24"/>
          <w:lang w:val="ru-RU"/>
        </w:rPr>
        <w:t>ի</w:t>
      </w:r>
      <w:r w:rsidRPr="00C512D4">
        <w:rPr>
          <w:rFonts w:ascii="Sylfaen" w:hAnsi="Sylfaen"/>
          <w:sz w:val="22"/>
          <w:szCs w:val="24"/>
        </w:rPr>
        <w:t xml:space="preserve"> MPO</w:t>
      </w:r>
      <w:r w:rsidR="00926427" w:rsidRPr="00C512D4">
        <w:rPr>
          <w:rFonts w:ascii="Sylfaen" w:hAnsi="Sylfaen"/>
          <w:sz w:val="22"/>
          <w:szCs w:val="24"/>
        </w:rPr>
        <w:t xml:space="preserve"> (</w:t>
      </w:r>
      <w:r w:rsidR="00926427" w:rsidRPr="00C512D4">
        <w:rPr>
          <w:rFonts w:ascii="Sylfaen" w:hAnsi="Sylfaen"/>
          <w:sz w:val="22"/>
          <w:szCs w:val="24"/>
          <w:lang w:val="ru-RU"/>
        </w:rPr>
        <w:t>Մակրո</w:t>
      </w:r>
      <w:r w:rsidR="00926427" w:rsidRPr="00C512D4">
        <w:rPr>
          <w:rFonts w:ascii="Sylfaen" w:hAnsi="Sylfaen"/>
          <w:sz w:val="22"/>
          <w:szCs w:val="24"/>
        </w:rPr>
        <w:t xml:space="preserve"> </w:t>
      </w:r>
      <w:r w:rsidR="00926427" w:rsidRPr="00C512D4">
        <w:rPr>
          <w:rFonts w:ascii="Sylfaen" w:hAnsi="Sylfaen"/>
          <w:sz w:val="22"/>
          <w:szCs w:val="24"/>
          <w:lang w:val="ru-RU"/>
        </w:rPr>
        <w:t>աղքատության</w:t>
      </w:r>
      <w:r w:rsidR="00926427" w:rsidRPr="00C512D4">
        <w:rPr>
          <w:rFonts w:ascii="Sylfaen" w:hAnsi="Sylfaen"/>
          <w:sz w:val="22"/>
          <w:szCs w:val="24"/>
        </w:rPr>
        <w:t xml:space="preserve"> </w:t>
      </w:r>
      <w:r w:rsidR="00926427" w:rsidRPr="00C512D4">
        <w:rPr>
          <w:rFonts w:ascii="Sylfaen" w:hAnsi="Sylfaen"/>
          <w:sz w:val="22"/>
          <w:szCs w:val="24"/>
          <w:lang w:val="ru-RU"/>
        </w:rPr>
        <w:t>հեռանկարները</w:t>
      </w:r>
      <w:r w:rsidR="00926427" w:rsidRPr="00C512D4">
        <w:rPr>
          <w:rFonts w:ascii="Sylfaen" w:hAnsi="Sylfaen"/>
          <w:sz w:val="22"/>
          <w:szCs w:val="24"/>
        </w:rPr>
        <w:t>)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և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ԱՄՀ</w:t>
      </w:r>
      <w:r w:rsidRPr="00C512D4">
        <w:rPr>
          <w:rFonts w:ascii="Sylfaen" w:hAnsi="Sylfaen"/>
          <w:sz w:val="22"/>
          <w:szCs w:val="24"/>
        </w:rPr>
        <w:t>-</w:t>
      </w:r>
      <w:r w:rsidRPr="00C512D4">
        <w:rPr>
          <w:rFonts w:ascii="Sylfaen" w:hAnsi="Sylfaen"/>
          <w:sz w:val="22"/>
          <w:szCs w:val="24"/>
          <w:lang w:val="ru-RU"/>
        </w:rPr>
        <w:t>ի</w:t>
      </w:r>
      <w:r w:rsidRPr="00C512D4">
        <w:rPr>
          <w:rFonts w:ascii="Sylfaen" w:hAnsi="Sylfaen"/>
          <w:sz w:val="22"/>
          <w:szCs w:val="24"/>
        </w:rPr>
        <w:t>-WEO (</w:t>
      </w:r>
      <w:r w:rsidR="00926427" w:rsidRPr="00C512D4">
        <w:rPr>
          <w:rFonts w:ascii="Sylfaen" w:hAnsi="Sylfaen"/>
          <w:sz w:val="22"/>
          <w:szCs w:val="24"/>
          <w:lang w:val="ru-RU"/>
        </w:rPr>
        <w:t>Գլոբալ</w:t>
      </w:r>
      <w:r w:rsidR="00926427" w:rsidRPr="00C512D4">
        <w:rPr>
          <w:rFonts w:ascii="Sylfaen" w:hAnsi="Sylfaen"/>
          <w:sz w:val="22"/>
          <w:szCs w:val="24"/>
        </w:rPr>
        <w:t xml:space="preserve"> </w:t>
      </w:r>
      <w:r w:rsidR="00926427" w:rsidRPr="00C512D4">
        <w:rPr>
          <w:rFonts w:ascii="Sylfaen" w:hAnsi="Sylfaen"/>
          <w:sz w:val="22"/>
          <w:szCs w:val="24"/>
          <w:lang w:val="ru-RU"/>
        </w:rPr>
        <w:t>տնտեսական</w:t>
      </w:r>
      <w:r w:rsidR="00926427" w:rsidRPr="00C512D4">
        <w:rPr>
          <w:rFonts w:ascii="Sylfaen" w:hAnsi="Sylfaen"/>
          <w:sz w:val="22"/>
          <w:szCs w:val="24"/>
        </w:rPr>
        <w:t xml:space="preserve"> </w:t>
      </w:r>
      <w:r w:rsidR="00926427" w:rsidRPr="00C512D4">
        <w:rPr>
          <w:rFonts w:ascii="Sylfaen" w:hAnsi="Sylfaen"/>
          <w:sz w:val="22"/>
          <w:szCs w:val="24"/>
          <w:lang w:val="ru-RU"/>
        </w:rPr>
        <w:t>հեռանկարները</w:t>
      </w:r>
      <w:r w:rsidR="00926427" w:rsidRPr="00C512D4">
        <w:rPr>
          <w:rFonts w:ascii="Sylfaen" w:hAnsi="Sylfaen"/>
          <w:sz w:val="22"/>
          <w:szCs w:val="24"/>
        </w:rPr>
        <w:t>/</w:t>
      </w:r>
      <w:r w:rsidRPr="00C512D4">
        <w:rPr>
          <w:rFonts w:ascii="Sylfaen" w:hAnsi="Sylfaen"/>
          <w:sz w:val="22"/>
          <w:szCs w:val="24"/>
          <w:lang w:val="ru-RU"/>
        </w:rPr>
        <w:t>ՀՆԱ</w:t>
      </w:r>
      <w:r w:rsidRPr="00C512D4">
        <w:rPr>
          <w:rFonts w:ascii="Sylfaen" w:hAnsi="Sylfaen"/>
          <w:sz w:val="22"/>
          <w:szCs w:val="24"/>
        </w:rPr>
        <w:t>-</w:t>
      </w:r>
      <w:r w:rsidRPr="00C512D4">
        <w:rPr>
          <w:rFonts w:ascii="Sylfaen" w:hAnsi="Sylfaen"/>
          <w:sz w:val="22"/>
          <w:szCs w:val="24"/>
          <w:lang w:val="ru-RU"/>
        </w:rPr>
        <w:t>ի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կանխատեսում</w:t>
      </w:r>
      <w:r w:rsidRPr="00C512D4">
        <w:rPr>
          <w:rFonts w:ascii="Sylfaen" w:hAnsi="Sylfaen"/>
          <w:sz w:val="22"/>
          <w:szCs w:val="24"/>
        </w:rPr>
        <w:t>)</w:t>
      </w:r>
      <w:r w:rsidR="00926427" w:rsidRPr="00C512D4">
        <w:rPr>
          <w:rFonts w:ascii="Sylfaen" w:hAnsi="Sylfaen"/>
          <w:sz w:val="22"/>
          <w:szCs w:val="24"/>
        </w:rPr>
        <w:t>,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և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տնօրինվող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եկամտի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վրա</w:t>
      </w:r>
      <w:r w:rsidRPr="00C512D4">
        <w:rPr>
          <w:rFonts w:ascii="Sylfaen" w:hAnsi="Sylfaen"/>
          <w:sz w:val="22"/>
          <w:szCs w:val="24"/>
        </w:rPr>
        <w:t xml:space="preserve"> (</w:t>
      </w:r>
      <w:r w:rsidRPr="00C512D4">
        <w:rPr>
          <w:rFonts w:ascii="Sylfaen" w:hAnsi="Sylfaen"/>
          <w:sz w:val="22"/>
          <w:szCs w:val="24"/>
          <w:lang w:val="ru-RU"/>
        </w:rPr>
        <w:t>ՏՏԿԱՀ</w:t>
      </w:r>
      <w:r w:rsidRPr="00C512D4">
        <w:rPr>
          <w:rFonts w:ascii="Sylfaen" w:hAnsi="Sylfaen"/>
          <w:sz w:val="22"/>
          <w:szCs w:val="24"/>
        </w:rPr>
        <w:t xml:space="preserve"> 2014): </w:t>
      </w:r>
      <w:r w:rsidRPr="00C512D4">
        <w:rPr>
          <w:rFonts w:ascii="Sylfaen" w:hAnsi="Sylfaen"/>
          <w:sz w:val="22"/>
          <w:szCs w:val="24"/>
          <w:lang w:val="ru-RU"/>
        </w:rPr>
        <w:t>Եկամտի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աճը</w:t>
      </w:r>
      <w:r w:rsidRPr="00C512D4">
        <w:rPr>
          <w:rFonts w:ascii="Sylfaen" w:hAnsi="Sylfaen"/>
          <w:sz w:val="22"/>
          <w:szCs w:val="24"/>
        </w:rPr>
        <w:t xml:space="preserve"> (</w:t>
      </w:r>
      <w:r w:rsidRPr="00C512D4">
        <w:rPr>
          <w:rFonts w:ascii="Sylfaen" w:hAnsi="Sylfaen"/>
          <w:sz w:val="22"/>
          <w:szCs w:val="24"/>
          <w:lang w:val="ru-RU"/>
        </w:rPr>
        <w:t>սեփական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մշակումներ</w:t>
      </w:r>
      <w:r w:rsidRPr="00C512D4">
        <w:rPr>
          <w:rFonts w:ascii="Sylfaen" w:hAnsi="Sylfaen"/>
          <w:sz w:val="22"/>
          <w:szCs w:val="24"/>
        </w:rPr>
        <w:t>)</w:t>
      </w:r>
      <w:r w:rsidR="00F52CDB" w:rsidRPr="00C512D4">
        <w:rPr>
          <w:rFonts w:ascii="Sylfaen" w:hAnsi="Sylfaen"/>
          <w:sz w:val="22"/>
          <w:szCs w:val="24"/>
        </w:rPr>
        <w:t xml:space="preserve"> 2014</w:t>
      </w:r>
      <w:r w:rsidR="00F52CDB" w:rsidRPr="00C512D4">
        <w:rPr>
          <w:rFonts w:ascii="Sylfaen" w:hAnsi="Sylfaen"/>
          <w:sz w:val="22"/>
          <w:szCs w:val="24"/>
          <w:lang w:val="ru-RU"/>
        </w:rPr>
        <w:t>թ</w:t>
      </w:r>
      <w:r w:rsidR="00F52CDB" w:rsidRPr="00C512D4">
        <w:rPr>
          <w:rFonts w:ascii="Sylfaen" w:hAnsi="Sylfaen"/>
          <w:sz w:val="22"/>
          <w:szCs w:val="24"/>
        </w:rPr>
        <w:t xml:space="preserve">. </w:t>
      </w:r>
      <w:r w:rsidR="00F52CDB" w:rsidRPr="00C512D4">
        <w:rPr>
          <w:rFonts w:ascii="Sylfaen" w:hAnsi="Sylfaen"/>
          <w:sz w:val="22"/>
          <w:szCs w:val="24"/>
          <w:lang w:val="ru-RU"/>
        </w:rPr>
        <w:t>համեմատությամբ</w:t>
      </w:r>
      <w:r w:rsidR="00F52CDB" w:rsidRPr="00C512D4">
        <w:rPr>
          <w:rFonts w:ascii="Sylfaen" w:hAnsi="Sylfaen"/>
          <w:sz w:val="22"/>
          <w:szCs w:val="24"/>
        </w:rPr>
        <w:t xml:space="preserve"> </w:t>
      </w:r>
      <w:r w:rsidR="00926427" w:rsidRPr="00C512D4">
        <w:rPr>
          <w:rFonts w:ascii="Sylfaen" w:hAnsi="Sylfaen"/>
          <w:sz w:val="22"/>
          <w:szCs w:val="24"/>
          <w:lang w:val="ru-RU"/>
        </w:rPr>
        <w:t>հիմնված</w:t>
      </w:r>
      <w:r w:rsidR="00926427" w:rsidRPr="00C512D4">
        <w:rPr>
          <w:rFonts w:ascii="Sylfaen" w:hAnsi="Sylfaen"/>
          <w:sz w:val="22"/>
          <w:szCs w:val="24"/>
        </w:rPr>
        <w:t xml:space="preserve"> </w:t>
      </w:r>
      <w:r w:rsidR="00F52CDB" w:rsidRPr="00C512D4">
        <w:rPr>
          <w:rFonts w:ascii="Sylfaen" w:hAnsi="Sylfaen"/>
          <w:sz w:val="22"/>
          <w:szCs w:val="24"/>
          <w:lang w:val="ru-RU"/>
        </w:rPr>
        <w:t>է</w:t>
      </w:r>
      <w:r w:rsidR="00F52CDB" w:rsidRPr="00C512D4">
        <w:rPr>
          <w:rFonts w:ascii="Sylfaen" w:hAnsi="Sylfaen"/>
          <w:sz w:val="22"/>
          <w:szCs w:val="24"/>
        </w:rPr>
        <w:t xml:space="preserve"> </w:t>
      </w:r>
      <w:r w:rsidR="00F52CDB" w:rsidRPr="00C512D4">
        <w:rPr>
          <w:rFonts w:ascii="Sylfaen" w:hAnsi="Sylfaen"/>
          <w:sz w:val="22"/>
          <w:szCs w:val="24"/>
          <w:lang w:val="ru-RU"/>
        </w:rPr>
        <w:t>տ</w:t>
      </w:r>
      <w:r w:rsidRPr="00C512D4">
        <w:rPr>
          <w:rFonts w:ascii="Sylfaen" w:hAnsi="Sylfaen"/>
          <w:sz w:val="22"/>
          <w:szCs w:val="24"/>
          <w:lang w:val="ru-RU"/>
        </w:rPr>
        <w:t>նօրինվող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եկամուտ</w:t>
      </w:r>
      <w:r w:rsidRPr="00C512D4">
        <w:rPr>
          <w:rFonts w:ascii="Sylfaen" w:hAnsi="Sylfaen"/>
          <w:sz w:val="22"/>
          <w:szCs w:val="24"/>
        </w:rPr>
        <w:t>/</w:t>
      </w:r>
      <w:r w:rsidR="00926427" w:rsidRPr="00C512D4">
        <w:rPr>
          <w:rFonts w:ascii="Sylfaen" w:hAnsi="Sylfaen"/>
          <w:sz w:val="22"/>
          <w:szCs w:val="24"/>
          <w:lang w:val="ru-RU"/>
        </w:rPr>
        <w:t>մեկ</w:t>
      </w:r>
      <w:r w:rsidR="00926427" w:rsidRPr="00C512D4">
        <w:rPr>
          <w:rFonts w:ascii="Sylfaen" w:hAnsi="Sylfaen"/>
          <w:sz w:val="22"/>
          <w:szCs w:val="24"/>
        </w:rPr>
        <w:t xml:space="preserve"> </w:t>
      </w:r>
      <w:r w:rsidR="00926427" w:rsidRPr="00C512D4">
        <w:rPr>
          <w:rFonts w:ascii="Sylfaen" w:hAnsi="Sylfaen"/>
          <w:sz w:val="22"/>
          <w:szCs w:val="24"/>
          <w:lang w:val="ru-RU"/>
        </w:rPr>
        <w:t>շնչին</w:t>
      </w:r>
      <w:r w:rsidR="00926427" w:rsidRPr="00C512D4">
        <w:rPr>
          <w:rFonts w:ascii="Sylfaen" w:hAnsi="Sylfaen"/>
          <w:sz w:val="22"/>
          <w:szCs w:val="24"/>
        </w:rPr>
        <w:t xml:space="preserve"> </w:t>
      </w:r>
      <w:r w:rsidR="00926427" w:rsidRPr="00C512D4">
        <w:rPr>
          <w:rFonts w:ascii="Sylfaen" w:hAnsi="Sylfaen"/>
          <w:sz w:val="22"/>
          <w:szCs w:val="24"/>
          <w:lang w:val="ru-RU"/>
        </w:rPr>
        <w:t>ընկնող</w:t>
      </w:r>
      <w:r w:rsidR="00926427" w:rsidRPr="00C512D4">
        <w:rPr>
          <w:rFonts w:ascii="Sylfaen" w:hAnsi="Sylfaen"/>
          <w:sz w:val="22"/>
          <w:szCs w:val="24"/>
        </w:rPr>
        <w:t xml:space="preserve"> </w:t>
      </w:r>
      <w:r w:rsidR="00926427" w:rsidRPr="00C512D4">
        <w:rPr>
          <w:rFonts w:ascii="Sylfaen" w:hAnsi="Sylfaen"/>
          <w:sz w:val="22"/>
          <w:szCs w:val="24"/>
          <w:lang w:val="ru-RU"/>
        </w:rPr>
        <w:t>ՀՆԱ</w:t>
      </w:r>
      <w:r w:rsidR="00926427"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առաձգականություն</w:t>
      </w:r>
      <w:r w:rsidRPr="00C512D4">
        <w:rPr>
          <w:rFonts w:ascii="Sylfaen" w:hAnsi="Sylfaen"/>
          <w:sz w:val="22"/>
          <w:szCs w:val="24"/>
        </w:rPr>
        <w:t>*</w:t>
      </w:r>
      <w:r w:rsidRPr="00C512D4">
        <w:rPr>
          <w:rFonts w:ascii="Sylfaen" w:hAnsi="Sylfaen"/>
          <w:sz w:val="22"/>
          <w:szCs w:val="24"/>
          <w:lang w:val="ru-RU"/>
        </w:rPr>
        <w:t>կուտակային</w:t>
      </w:r>
      <w:r w:rsidRPr="00C512D4">
        <w:rPr>
          <w:rFonts w:ascii="Sylfaen" w:hAnsi="Sylfaen"/>
          <w:sz w:val="22"/>
          <w:szCs w:val="24"/>
        </w:rPr>
        <w:t xml:space="preserve"> </w:t>
      </w:r>
      <w:r w:rsidR="00926427" w:rsidRPr="00C512D4">
        <w:rPr>
          <w:rFonts w:ascii="Sylfaen" w:hAnsi="Sylfaen"/>
          <w:sz w:val="22"/>
          <w:szCs w:val="24"/>
          <w:lang w:val="ru-RU"/>
        </w:rPr>
        <w:t>մեկ</w:t>
      </w:r>
      <w:r w:rsidR="00926427" w:rsidRPr="00C512D4">
        <w:rPr>
          <w:rFonts w:ascii="Sylfaen" w:hAnsi="Sylfaen"/>
          <w:sz w:val="22"/>
          <w:szCs w:val="24"/>
        </w:rPr>
        <w:t xml:space="preserve"> </w:t>
      </w:r>
      <w:r w:rsidR="00926427" w:rsidRPr="00C512D4">
        <w:rPr>
          <w:rFonts w:ascii="Sylfaen" w:hAnsi="Sylfaen"/>
          <w:sz w:val="22"/>
          <w:szCs w:val="24"/>
          <w:lang w:val="ru-RU"/>
        </w:rPr>
        <w:t>շնչին</w:t>
      </w:r>
      <w:r w:rsidR="00926427" w:rsidRPr="00C512D4">
        <w:rPr>
          <w:rFonts w:ascii="Sylfaen" w:hAnsi="Sylfaen"/>
          <w:sz w:val="22"/>
          <w:szCs w:val="24"/>
        </w:rPr>
        <w:t xml:space="preserve"> </w:t>
      </w:r>
      <w:r w:rsidR="00926427" w:rsidRPr="00C512D4">
        <w:rPr>
          <w:rFonts w:ascii="Sylfaen" w:hAnsi="Sylfaen"/>
          <w:sz w:val="22"/>
          <w:szCs w:val="24"/>
          <w:lang w:val="ru-RU"/>
        </w:rPr>
        <w:t>ընկնող</w:t>
      </w:r>
      <w:r w:rsidR="00926427" w:rsidRPr="00C512D4">
        <w:rPr>
          <w:rFonts w:ascii="Sylfaen" w:hAnsi="Sylfaen"/>
          <w:sz w:val="22"/>
          <w:szCs w:val="24"/>
        </w:rPr>
        <w:t xml:space="preserve"> </w:t>
      </w:r>
      <w:r w:rsidR="00926427" w:rsidRPr="00C512D4">
        <w:rPr>
          <w:rFonts w:ascii="Sylfaen" w:hAnsi="Sylfaen"/>
          <w:sz w:val="22"/>
          <w:szCs w:val="24"/>
          <w:lang w:val="ru-RU"/>
        </w:rPr>
        <w:t>ՀՆԱ</w:t>
      </w:r>
      <w:r w:rsidR="00926427" w:rsidRPr="00C512D4">
        <w:rPr>
          <w:rFonts w:ascii="Sylfaen" w:hAnsi="Sylfaen"/>
          <w:sz w:val="22"/>
          <w:szCs w:val="24"/>
        </w:rPr>
        <w:t>-</w:t>
      </w:r>
      <w:r w:rsidR="00926427" w:rsidRPr="00C512D4">
        <w:rPr>
          <w:rFonts w:ascii="Sylfaen" w:hAnsi="Sylfaen"/>
          <w:sz w:val="22"/>
          <w:szCs w:val="24"/>
          <w:lang w:val="ru-RU"/>
        </w:rPr>
        <w:t>ի</w:t>
      </w:r>
      <w:r w:rsidRPr="00C512D4">
        <w:rPr>
          <w:rFonts w:ascii="Sylfaen" w:hAnsi="Sylfaen"/>
          <w:sz w:val="22"/>
          <w:szCs w:val="24"/>
        </w:rPr>
        <w:t xml:space="preserve"> </w:t>
      </w:r>
      <w:r w:rsidRPr="00C512D4">
        <w:rPr>
          <w:rFonts w:ascii="Sylfaen" w:hAnsi="Sylfaen"/>
          <w:sz w:val="22"/>
          <w:szCs w:val="24"/>
          <w:lang w:val="ru-RU"/>
        </w:rPr>
        <w:t>աճ</w:t>
      </w:r>
      <w:r w:rsidR="00F52CDB" w:rsidRPr="00C512D4">
        <w:rPr>
          <w:rFonts w:ascii="Sylfaen" w:hAnsi="Sylfaen"/>
          <w:sz w:val="22"/>
          <w:szCs w:val="24"/>
          <w:lang w:val="ru-RU"/>
        </w:rPr>
        <w:t>ի</w:t>
      </w:r>
      <w:r w:rsidR="00F52CDB" w:rsidRPr="00C512D4">
        <w:rPr>
          <w:rFonts w:ascii="Sylfaen" w:hAnsi="Sylfaen"/>
          <w:sz w:val="22"/>
          <w:szCs w:val="24"/>
        </w:rPr>
        <w:t xml:space="preserve"> </w:t>
      </w:r>
      <w:r w:rsidR="00F52CDB" w:rsidRPr="00C512D4">
        <w:rPr>
          <w:rFonts w:ascii="Sylfaen" w:hAnsi="Sylfaen"/>
          <w:sz w:val="22"/>
          <w:szCs w:val="24"/>
          <w:lang w:val="ru-RU"/>
        </w:rPr>
        <w:t>վրա</w:t>
      </w:r>
      <w:r w:rsidRPr="00C512D4">
        <w:rPr>
          <w:rFonts w:ascii="Sylfaen" w:hAnsi="Sylfaen"/>
          <w:sz w:val="22"/>
          <w:szCs w:val="24"/>
        </w:rPr>
        <w:t xml:space="preserve">:  </w:t>
      </w:r>
    </w:p>
    <w:p w:rsidR="001120F5" w:rsidRPr="00AD2F83" w:rsidRDefault="001120F5" w:rsidP="00EC7C8D">
      <w:pPr>
        <w:jc w:val="both"/>
        <w:rPr>
          <w:rFonts w:ascii="Sylfaen" w:hAnsi="Sylfaen"/>
          <w:b/>
          <w:szCs w:val="24"/>
        </w:rPr>
      </w:pPr>
    </w:p>
    <w:p w:rsidR="00853B2A" w:rsidRPr="00AD2F83" w:rsidRDefault="00853B2A" w:rsidP="00EC7C8D">
      <w:pPr>
        <w:jc w:val="both"/>
        <w:rPr>
          <w:rFonts w:ascii="Sylfaen" w:hAnsi="Sylfaen"/>
          <w:b/>
          <w:szCs w:val="24"/>
        </w:rPr>
      </w:pPr>
      <w:bookmarkStart w:id="2" w:name="_GoBack"/>
      <w:bookmarkEnd w:id="2"/>
    </w:p>
    <w:p w:rsidR="004C3DE1" w:rsidRPr="00AD2F83" w:rsidRDefault="004C3DE1" w:rsidP="004C3DE1">
      <w:pPr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  <w:lang w:val="ru-RU"/>
        </w:rPr>
        <w:t>Ա</w:t>
      </w:r>
      <w:r w:rsidRPr="003E3428">
        <w:rPr>
          <w:rFonts w:ascii="Sylfaen" w:hAnsi="Sylfaen"/>
          <w:b/>
          <w:szCs w:val="24"/>
        </w:rPr>
        <w:t>ղքատության վրա ազդեցության մոդելավորմ</w:t>
      </w:r>
      <w:r>
        <w:rPr>
          <w:rFonts w:ascii="Sylfaen" w:hAnsi="Sylfaen"/>
          <w:b/>
          <w:szCs w:val="24"/>
          <w:lang w:val="ru-RU"/>
        </w:rPr>
        <w:t>ան</w:t>
      </w:r>
      <w:r w:rsidRPr="003E3428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b/>
          <w:szCs w:val="24"/>
          <w:lang w:val="ru-RU"/>
        </w:rPr>
        <w:t>վերաբերյալ</w:t>
      </w:r>
    </w:p>
    <w:p w:rsidR="004C3DE1" w:rsidRPr="00AD2F83" w:rsidRDefault="004C3DE1" w:rsidP="004C3DE1">
      <w:pPr>
        <w:jc w:val="both"/>
        <w:rPr>
          <w:rFonts w:ascii="Sylfaen" w:hAnsi="Sylfaen" w:cs="Calibri"/>
          <w:color w:val="000000"/>
          <w:szCs w:val="24"/>
        </w:rPr>
      </w:pPr>
    </w:p>
    <w:p w:rsidR="004C3DE1" w:rsidRPr="00AD2F83" w:rsidRDefault="004C3DE1" w:rsidP="004C3DE1">
      <w:pPr>
        <w:jc w:val="both"/>
        <w:rPr>
          <w:rFonts w:ascii="Sylfaen" w:hAnsi="Sylfaen"/>
          <w:b/>
          <w:szCs w:val="24"/>
        </w:rPr>
      </w:pPr>
      <w:r w:rsidRPr="003E3428">
        <w:rPr>
          <w:rFonts w:ascii="Sylfaen" w:hAnsi="Sylfaen" w:cs="Calibri"/>
          <w:color w:val="000000"/>
          <w:szCs w:val="24"/>
        </w:rPr>
        <w:t>Աղքատության վրա ազդեցությունը մոդելավորելու համար գնահատում ենք աղքատությունը`</w:t>
      </w:r>
      <w:r w:rsidR="001A7598" w:rsidRPr="001A7598">
        <w:rPr>
          <w:rFonts w:ascii="Sylfaen" w:hAnsi="Sylfaen" w:cs="Calibri"/>
          <w:color w:val="000000"/>
          <w:szCs w:val="24"/>
        </w:rPr>
        <w:t xml:space="preserve"> </w:t>
      </w:r>
      <w:r w:rsidR="001A7598" w:rsidRPr="003E3428">
        <w:rPr>
          <w:rFonts w:ascii="Sylfaen" w:hAnsi="Sylfaen" w:cs="Calibri"/>
          <w:color w:val="000000"/>
          <w:szCs w:val="24"/>
        </w:rPr>
        <w:t xml:space="preserve">տնային տնտեսության </w:t>
      </w:r>
      <w:r w:rsidR="001A7598">
        <w:rPr>
          <w:rFonts w:ascii="Sylfaen" w:hAnsi="Sylfaen" w:cs="Calibri"/>
          <w:color w:val="000000"/>
          <w:szCs w:val="24"/>
          <w:lang w:val="ru-RU"/>
        </w:rPr>
        <w:t>տնօրինվող</w:t>
      </w:r>
      <w:r w:rsidR="001A7598" w:rsidRPr="003E3428">
        <w:rPr>
          <w:rFonts w:ascii="Sylfaen" w:hAnsi="Sylfaen" w:cs="Calibri"/>
          <w:color w:val="000000"/>
          <w:szCs w:val="24"/>
        </w:rPr>
        <w:t xml:space="preserve"> եկամտի </w:t>
      </w:r>
      <w:r w:rsidR="001A7598">
        <w:rPr>
          <w:rFonts w:ascii="Sylfaen" w:hAnsi="Sylfaen" w:cs="Calibri"/>
          <w:color w:val="000000"/>
          <w:szCs w:val="24"/>
          <w:lang w:val="ru-RU"/>
        </w:rPr>
        <w:t>նկատմամբ</w:t>
      </w:r>
      <w:r w:rsidR="001A7598" w:rsidRPr="003E3428">
        <w:rPr>
          <w:rFonts w:ascii="Sylfaen" w:hAnsi="Sylfaen" w:cs="Calibri"/>
          <w:color w:val="000000"/>
          <w:szCs w:val="24"/>
        </w:rPr>
        <w:t xml:space="preserve"> </w:t>
      </w:r>
      <w:r w:rsidRPr="003E3428">
        <w:rPr>
          <w:rFonts w:ascii="Sylfaen" w:hAnsi="Sylfaen" w:cs="Calibri"/>
          <w:color w:val="000000"/>
          <w:szCs w:val="24"/>
        </w:rPr>
        <w:t xml:space="preserve">կիրառելով ազգային աղքատության գիծը: </w:t>
      </w:r>
      <w:r>
        <w:rPr>
          <w:rFonts w:ascii="Sylfaen" w:hAnsi="Sylfaen" w:cs="Calibri"/>
          <w:color w:val="000000"/>
          <w:szCs w:val="24"/>
          <w:lang w:val="ru-RU"/>
        </w:rPr>
        <w:t>Ստանում</w:t>
      </w:r>
      <w:r w:rsidRPr="003E3428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ենք</w:t>
      </w:r>
      <w:r w:rsidRPr="003E3428">
        <w:rPr>
          <w:rFonts w:ascii="Sylfaen" w:hAnsi="Sylfaen" w:cs="Calibri"/>
          <w:color w:val="000000"/>
          <w:szCs w:val="24"/>
        </w:rPr>
        <w:t xml:space="preserve"> աղքատության մակարդակ, </w:t>
      </w:r>
      <w:r>
        <w:rPr>
          <w:rFonts w:ascii="Sylfaen" w:hAnsi="Sylfaen" w:cs="Calibri"/>
          <w:color w:val="000000"/>
          <w:szCs w:val="24"/>
          <w:lang w:val="ru-RU"/>
        </w:rPr>
        <w:t>որը</w:t>
      </w:r>
      <w:r w:rsidRPr="003E3428">
        <w:rPr>
          <w:rFonts w:ascii="Sylfaen" w:hAnsi="Sylfaen" w:cs="Calibri"/>
          <w:color w:val="000000"/>
          <w:szCs w:val="24"/>
        </w:rPr>
        <w:t xml:space="preserve"> մոտավորապես մեկ տոկոսային կետ</w:t>
      </w:r>
      <w:r>
        <w:rPr>
          <w:rFonts w:ascii="Sylfaen" w:hAnsi="Sylfaen" w:cs="Calibri"/>
          <w:color w:val="000000"/>
          <w:szCs w:val="24"/>
          <w:lang w:val="ru-RU"/>
        </w:rPr>
        <w:t>ով</w:t>
      </w:r>
      <w:r w:rsidRPr="003E3428">
        <w:rPr>
          <w:rFonts w:ascii="Sylfaen" w:hAnsi="Sylfaen" w:cs="Calibri"/>
          <w:color w:val="000000"/>
          <w:szCs w:val="24"/>
        </w:rPr>
        <w:t xml:space="preserve"> ցածր </w:t>
      </w:r>
      <w:r>
        <w:rPr>
          <w:rFonts w:ascii="Sylfaen" w:hAnsi="Sylfaen" w:cs="Calibri"/>
          <w:color w:val="000000"/>
          <w:szCs w:val="24"/>
          <w:lang w:val="ru-RU"/>
        </w:rPr>
        <w:t>է</w:t>
      </w:r>
      <w:r w:rsidRPr="003E3428">
        <w:rPr>
          <w:rFonts w:ascii="Sylfaen" w:hAnsi="Sylfaen" w:cs="Calibri"/>
          <w:color w:val="000000"/>
          <w:szCs w:val="24"/>
        </w:rPr>
        <w:t xml:space="preserve">, </w:t>
      </w:r>
      <w:r>
        <w:rPr>
          <w:rFonts w:ascii="Sylfaen" w:hAnsi="Sylfaen" w:cs="Calibri"/>
          <w:color w:val="000000"/>
          <w:szCs w:val="24"/>
          <w:lang w:val="ru-RU"/>
        </w:rPr>
        <w:t>քան</w:t>
      </w:r>
      <w:r w:rsidRPr="003E3428">
        <w:rPr>
          <w:rFonts w:ascii="Sylfaen" w:hAnsi="Sylfaen" w:cs="Calibri"/>
          <w:color w:val="000000"/>
          <w:szCs w:val="24"/>
        </w:rPr>
        <w:t xml:space="preserve"> 2014 թ-ի պաշտոնա</w:t>
      </w:r>
      <w:r w:rsidR="00931201">
        <w:rPr>
          <w:rFonts w:ascii="Sylfaen" w:hAnsi="Sylfaen" w:cs="Calibri"/>
          <w:color w:val="000000"/>
          <w:szCs w:val="24"/>
          <w:lang w:val="ru-RU"/>
        </w:rPr>
        <w:t>պես</w:t>
      </w:r>
      <w:r w:rsidR="00931201" w:rsidRPr="00931201">
        <w:rPr>
          <w:rFonts w:ascii="Sylfaen" w:hAnsi="Sylfaen" w:cs="Calibri"/>
          <w:color w:val="000000"/>
          <w:szCs w:val="24"/>
        </w:rPr>
        <w:t xml:space="preserve"> </w:t>
      </w:r>
      <w:r w:rsidR="00931201">
        <w:rPr>
          <w:rFonts w:ascii="Sylfaen" w:hAnsi="Sylfaen" w:cs="Calibri"/>
          <w:color w:val="000000"/>
          <w:szCs w:val="24"/>
          <w:lang w:val="ru-RU"/>
        </w:rPr>
        <w:t>հայտարարված</w:t>
      </w:r>
      <w:r w:rsidRPr="003E3428">
        <w:rPr>
          <w:rFonts w:ascii="Sylfaen" w:hAnsi="Sylfaen" w:cs="Calibri"/>
          <w:color w:val="000000"/>
          <w:szCs w:val="24"/>
        </w:rPr>
        <w:t xml:space="preserve"> ազգային աղքատության մակարդակ</w:t>
      </w:r>
      <w:r>
        <w:rPr>
          <w:rFonts w:ascii="Sylfaen" w:hAnsi="Sylfaen" w:cs="Calibri"/>
          <w:color w:val="000000"/>
          <w:szCs w:val="24"/>
          <w:lang w:val="ru-RU"/>
        </w:rPr>
        <w:t>ը</w:t>
      </w:r>
      <w:r w:rsidR="00931201">
        <w:rPr>
          <w:rFonts w:ascii="Sylfaen" w:hAnsi="Sylfaen" w:cs="Calibri"/>
          <w:color w:val="000000"/>
          <w:szCs w:val="24"/>
        </w:rPr>
        <w:t xml:space="preserve"> (29%</w:t>
      </w:r>
      <w:r w:rsidRPr="003E3428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</w:rPr>
        <w:t>CEQ-ի</w:t>
      </w:r>
      <w:r w:rsidRPr="003E3428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հաշվարկով</w:t>
      </w:r>
      <w:r w:rsidR="00931201">
        <w:rPr>
          <w:rFonts w:ascii="Sylfaen" w:hAnsi="Sylfaen" w:cs="Calibri"/>
          <w:color w:val="000000"/>
          <w:szCs w:val="24"/>
          <w:lang w:val="ru-RU"/>
        </w:rPr>
        <w:t>՝</w:t>
      </w:r>
      <w:r w:rsidRPr="003E3428">
        <w:rPr>
          <w:rFonts w:ascii="Sylfaen" w:hAnsi="Sylfaen" w:cs="Calibri"/>
          <w:color w:val="000000"/>
          <w:szCs w:val="24"/>
        </w:rPr>
        <w:t xml:space="preserve">  աղքատության 30% պաշտոնական </w:t>
      </w:r>
      <w:r>
        <w:rPr>
          <w:rFonts w:ascii="Sylfaen" w:hAnsi="Sylfaen" w:cs="Calibri"/>
          <w:color w:val="000000"/>
          <w:szCs w:val="24"/>
          <w:lang w:val="ru-RU"/>
        </w:rPr>
        <w:t>մակարդակի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համեմատությամբ</w:t>
      </w:r>
      <w:r w:rsidRPr="003E3428">
        <w:rPr>
          <w:rFonts w:ascii="Sylfaen" w:hAnsi="Sylfaen" w:cs="Calibri"/>
          <w:color w:val="000000"/>
          <w:szCs w:val="24"/>
        </w:rPr>
        <w:t xml:space="preserve">), </w:t>
      </w:r>
      <w:r>
        <w:rPr>
          <w:rFonts w:ascii="Sylfaen" w:hAnsi="Sylfaen" w:cs="Calibri"/>
          <w:color w:val="000000"/>
          <w:szCs w:val="24"/>
          <w:lang w:val="ru-RU"/>
        </w:rPr>
        <w:t>որը</w:t>
      </w:r>
      <w:r w:rsidRPr="003E3428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հիմնված</w:t>
      </w:r>
      <w:r w:rsidRPr="003E3428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է</w:t>
      </w:r>
      <w:r w:rsidRPr="003E3428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սպառման</w:t>
      </w:r>
      <w:r w:rsidRPr="003E3428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այլ</w:t>
      </w:r>
      <w:r w:rsidRPr="003E3428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ագրեգատի</w:t>
      </w:r>
      <w:r w:rsidRPr="003E3428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վրա</w:t>
      </w:r>
      <w:r w:rsidRPr="003E3428">
        <w:rPr>
          <w:rFonts w:ascii="Sylfaen" w:hAnsi="Sylfaen" w:cs="Calibri"/>
          <w:color w:val="000000"/>
          <w:szCs w:val="24"/>
        </w:rPr>
        <w:t xml:space="preserve">: </w:t>
      </w:r>
      <w:r>
        <w:rPr>
          <w:rFonts w:ascii="Sylfaen" w:hAnsi="Sylfaen" w:cs="Calibri"/>
          <w:color w:val="000000"/>
          <w:szCs w:val="24"/>
          <w:lang w:val="ru-RU"/>
        </w:rPr>
        <w:t>Տնօրինվող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եկամտի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վրա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հիմնված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 w:rsidRPr="003E3428">
        <w:rPr>
          <w:rFonts w:ascii="Sylfaen" w:hAnsi="Sylfaen" w:cs="Calibri"/>
          <w:color w:val="000000"/>
          <w:szCs w:val="24"/>
        </w:rPr>
        <w:t xml:space="preserve">2015-2017թթ. </w:t>
      </w:r>
      <w:r>
        <w:rPr>
          <w:rFonts w:ascii="Sylfaen" w:hAnsi="Sylfaen" w:cs="Calibri"/>
          <w:color w:val="000000"/>
          <w:szCs w:val="24"/>
          <w:lang w:val="ru-RU"/>
        </w:rPr>
        <w:t>աղքատության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մակարդակի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հաշվարկը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նպատակ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 w:rsidRPr="003E3428">
        <w:rPr>
          <w:rFonts w:ascii="Sylfaen" w:hAnsi="Sylfaen" w:cs="Calibri"/>
          <w:color w:val="000000"/>
          <w:szCs w:val="24"/>
        </w:rPr>
        <w:t xml:space="preserve">է հետապնդում պահպանել այդ տարբերությունը </w:t>
      </w:r>
      <w:r>
        <w:rPr>
          <w:rFonts w:ascii="Sylfaen" w:hAnsi="Sylfaen" w:cs="Calibri"/>
          <w:color w:val="000000"/>
          <w:szCs w:val="24"/>
          <w:lang w:val="ru-RU"/>
        </w:rPr>
        <w:t>նշված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տարիների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վերաբերյալ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ներկայացված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աղքատության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պաշտոնական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մակարդակների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համեմատությամբ</w:t>
      </w:r>
      <w:r w:rsidRPr="00DC5F0A">
        <w:rPr>
          <w:rFonts w:ascii="Sylfaen" w:hAnsi="Sylfaen" w:cs="Calibri"/>
          <w:color w:val="000000"/>
          <w:szCs w:val="24"/>
        </w:rPr>
        <w:t xml:space="preserve">, </w:t>
      </w:r>
      <w:r>
        <w:rPr>
          <w:rFonts w:ascii="Sylfaen" w:hAnsi="Sylfaen" w:cs="Calibri"/>
          <w:color w:val="000000"/>
          <w:szCs w:val="24"/>
          <w:lang w:val="ru-RU"/>
        </w:rPr>
        <w:t>ինչի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արդյունքում</w:t>
      </w:r>
      <w:r w:rsidRPr="00DC5F0A">
        <w:rPr>
          <w:rFonts w:ascii="Sylfaen" w:hAnsi="Sylfaen" w:cs="Calibri"/>
          <w:color w:val="000000"/>
          <w:szCs w:val="24"/>
        </w:rPr>
        <w:t xml:space="preserve"> 2017 </w:t>
      </w:r>
      <w:r>
        <w:rPr>
          <w:rFonts w:ascii="Sylfaen" w:hAnsi="Sylfaen" w:cs="Calibri"/>
          <w:color w:val="000000"/>
          <w:szCs w:val="24"/>
          <w:lang w:val="ru-RU"/>
        </w:rPr>
        <w:t>թ</w:t>
      </w:r>
      <w:r w:rsidRPr="00DC5F0A">
        <w:rPr>
          <w:rFonts w:ascii="Sylfaen" w:hAnsi="Sylfaen" w:cs="Calibri"/>
          <w:color w:val="000000"/>
          <w:szCs w:val="24"/>
        </w:rPr>
        <w:t>-</w:t>
      </w:r>
      <w:r>
        <w:rPr>
          <w:rFonts w:ascii="Sylfaen" w:hAnsi="Sylfaen" w:cs="Calibri"/>
          <w:color w:val="000000"/>
          <w:szCs w:val="24"/>
          <w:lang w:val="ru-RU"/>
        </w:rPr>
        <w:t>ի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աղքատության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մակարդակը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կազմում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է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 w:rsidRPr="00AD2F83">
        <w:rPr>
          <w:rFonts w:ascii="Sylfaen" w:hAnsi="Sylfaen" w:cs="Calibri"/>
          <w:color w:val="000000"/>
          <w:szCs w:val="24"/>
        </w:rPr>
        <w:t>24.6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տոկոս՝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նույն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տարվա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աղքատության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պաշտոնական</w:t>
      </w:r>
      <w:r w:rsidRPr="00DC5F0A">
        <w:rPr>
          <w:rFonts w:ascii="Sylfaen" w:hAnsi="Sylfaen" w:cs="Calibri"/>
          <w:color w:val="000000"/>
          <w:szCs w:val="24"/>
        </w:rPr>
        <w:t xml:space="preserve"> </w:t>
      </w:r>
      <w:r w:rsidRPr="00AD2F83">
        <w:rPr>
          <w:rFonts w:ascii="Sylfaen" w:hAnsi="Sylfaen" w:cs="Calibri"/>
          <w:color w:val="000000"/>
          <w:szCs w:val="24"/>
        </w:rPr>
        <w:t xml:space="preserve"> 25.</w:t>
      </w:r>
      <w:r>
        <w:rPr>
          <w:rFonts w:ascii="Sylfaen" w:hAnsi="Sylfaen" w:cs="Calibri"/>
          <w:color w:val="000000"/>
          <w:szCs w:val="24"/>
        </w:rPr>
        <w:t>7 տ</w:t>
      </w:r>
      <w:r>
        <w:rPr>
          <w:rFonts w:ascii="Sylfaen" w:hAnsi="Sylfaen" w:cs="Calibri"/>
          <w:color w:val="000000"/>
          <w:szCs w:val="24"/>
          <w:lang w:val="ru-RU"/>
        </w:rPr>
        <w:t>ոկոս</w:t>
      </w:r>
      <w:r w:rsidRPr="004C3DE1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մակարդակի</w:t>
      </w:r>
      <w:r w:rsidRPr="004C3DE1">
        <w:rPr>
          <w:rFonts w:ascii="Sylfaen" w:hAnsi="Sylfaen" w:cs="Calibri"/>
          <w:color w:val="000000"/>
          <w:szCs w:val="24"/>
        </w:rPr>
        <w:t xml:space="preserve"> </w:t>
      </w:r>
      <w:r>
        <w:rPr>
          <w:rFonts w:ascii="Sylfaen" w:hAnsi="Sylfaen" w:cs="Calibri"/>
          <w:color w:val="000000"/>
          <w:szCs w:val="24"/>
          <w:lang w:val="ru-RU"/>
        </w:rPr>
        <w:t>համեմատությամբ</w:t>
      </w:r>
      <w:r w:rsidRPr="004C3DE1">
        <w:rPr>
          <w:rFonts w:ascii="Sylfaen" w:hAnsi="Sylfaen" w:cs="Calibri"/>
          <w:color w:val="000000"/>
          <w:szCs w:val="24"/>
        </w:rPr>
        <w:t xml:space="preserve">: </w:t>
      </w:r>
    </w:p>
    <w:p w:rsidR="00853B2A" w:rsidRPr="00AD2F83" w:rsidRDefault="00853B2A" w:rsidP="00EC7C8D">
      <w:pPr>
        <w:jc w:val="both"/>
        <w:rPr>
          <w:rFonts w:ascii="Sylfaen" w:hAnsi="Sylfaen" w:cs="Calibri"/>
          <w:color w:val="000000"/>
          <w:szCs w:val="24"/>
        </w:rPr>
      </w:pPr>
    </w:p>
    <w:p w:rsidR="00853B2A" w:rsidRDefault="00853B2A" w:rsidP="00EC7C8D">
      <w:pPr>
        <w:jc w:val="both"/>
        <w:rPr>
          <w:rFonts w:ascii="Sylfaen" w:hAnsi="Sylfaen"/>
          <w:b/>
          <w:szCs w:val="24"/>
        </w:rPr>
      </w:pPr>
    </w:p>
    <w:p w:rsidR="00160092" w:rsidRPr="00AD2F83" w:rsidRDefault="00160092" w:rsidP="00EC7C8D">
      <w:pPr>
        <w:jc w:val="both"/>
        <w:rPr>
          <w:rFonts w:ascii="Sylfaen" w:hAnsi="Sylfaen"/>
          <w:b/>
          <w:szCs w:val="24"/>
        </w:rPr>
      </w:pPr>
    </w:p>
    <w:sectPr w:rsidR="00160092" w:rsidRPr="00AD2F83" w:rsidSect="006C541D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BE0" w:rsidRDefault="00142BE0" w:rsidP="00D0793F">
      <w:r>
        <w:separator/>
      </w:r>
    </w:p>
  </w:endnote>
  <w:endnote w:type="continuationSeparator" w:id="0">
    <w:p w:rsidR="00142BE0" w:rsidRDefault="00142BE0" w:rsidP="00D0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227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4AD" w:rsidRDefault="00142BE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2CD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024AD" w:rsidRDefault="00802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BE0" w:rsidRDefault="00142BE0" w:rsidP="00D0793F">
      <w:r>
        <w:separator/>
      </w:r>
    </w:p>
  </w:footnote>
  <w:footnote w:type="continuationSeparator" w:id="0">
    <w:p w:rsidR="00142BE0" w:rsidRDefault="00142BE0" w:rsidP="00D0793F">
      <w:r>
        <w:continuationSeparator/>
      </w:r>
    </w:p>
  </w:footnote>
  <w:footnote w:id="1">
    <w:p w:rsidR="008024AD" w:rsidRPr="00DB69FD" w:rsidRDefault="008024AD" w:rsidP="00525DC8">
      <w:pPr>
        <w:pStyle w:val="FootnoteText"/>
        <w:jc w:val="both"/>
        <w:rPr>
          <w:rFonts w:ascii="Sylfaen" w:hAnsi="Sylfaen"/>
        </w:rPr>
      </w:pPr>
      <w:r w:rsidRPr="00894EC0">
        <w:rPr>
          <w:rStyle w:val="FootnoteReference"/>
          <w:rFonts w:ascii="Segoe Condensed" w:hAnsi="Segoe Condensed"/>
        </w:rPr>
        <w:footnoteRef/>
      </w:r>
      <w:r w:rsidRPr="00894EC0">
        <w:rPr>
          <w:rFonts w:ascii="Segoe Condensed" w:hAnsi="Segoe Condensed"/>
        </w:rPr>
        <w:t xml:space="preserve"> </w:t>
      </w:r>
      <w:r>
        <w:rPr>
          <w:rFonts w:ascii="Sylfaen" w:hAnsi="Sylfaen"/>
        </w:rPr>
        <w:t xml:space="preserve">Հեղինակներն են. Հեյդիլիզ Կառռասկոն </w:t>
      </w:r>
      <w:r>
        <w:rPr>
          <w:rFonts w:ascii="Segoe Condensed" w:hAnsi="Segoe Condensed"/>
        </w:rPr>
        <w:t>(</w:t>
      </w:r>
      <w:r>
        <w:rPr>
          <w:rFonts w:ascii="Sylfaen" w:hAnsi="Sylfaen"/>
        </w:rPr>
        <w:t>խորհրդատու</w:t>
      </w:r>
      <w:r w:rsidRPr="00894EC0">
        <w:rPr>
          <w:rFonts w:ascii="Segoe Condensed" w:hAnsi="Segoe Condensed"/>
        </w:rPr>
        <w:t xml:space="preserve">, </w:t>
      </w:r>
      <w:r w:rsidRPr="00DB69FD">
        <w:rPr>
          <w:rFonts w:ascii="Sylfaen" w:hAnsi="Sylfaen"/>
        </w:rPr>
        <w:t xml:space="preserve">GPV03) և Սեզար Կանչոն (տնտեսագետ, GPV03, </w:t>
      </w:r>
      <w:hyperlink r:id="rId1" w:history="1">
        <w:r w:rsidRPr="00DB69FD">
          <w:rPr>
            <w:rStyle w:val="Hyperlink"/>
            <w:rFonts w:ascii="Sylfaen" w:hAnsi="Sylfaen"/>
          </w:rPr>
          <w:t>ccancho@worldbank.org</w:t>
        </w:r>
      </w:hyperlink>
      <w:r w:rsidRPr="00DB69FD">
        <w:rPr>
          <w:rFonts w:ascii="Sylfaen" w:hAnsi="Sylfaen"/>
        </w:rPr>
        <w:t>)</w:t>
      </w:r>
      <w:r>
        <w:rPr>
          <w:rFonts w:ascii="Sylfaen" w:hAnsi="Sylfaen"/>
        </w:rPr>
        <w:t>; օգտագործվել են նաև</w:t>
      </w:r>
      <w:r w:rsidRPr="00DB69FD">
        <w:rPr>
          <w:rFonts w:ascii="Sylfaen" w:hAnsi="Sylfaen"/>
        </w:rPr>
        <w:t xml:space="preserve"> Ստեֆեն Յանգերի (CEQ (Հավասարության ապահովման հանձնառություն) Ինստիտուտ) և Հարություն Ավագյանի (</w:t>
      </w:r>
      <w:r>
        <w:rPr>
          <w:rFonts w:ascii="Sylfaen" w:hAnsi="Sylfaen"/>
        </w:rPr>
        <w:t>խորհրդատու</w:t>
      </w:r>
      <w:r w:rsidRPr="00DB69FD">
        <w:rPr>
          <w:rFonts w:ascii="Sylfaen" w:hAnsi="Sylfaen"/>
        </w:rPr>
        <w:t>, GPV03)</w:t>
      </w:r>
      <w:r>
        <w:rPr>
          <w:rFonts w:ascii="Sylfaen" w:hAnsi="Sylfaen"/>
        </w:rPr>
        <w:t xml:space="preserve"> նյութերը: Արժեքավոր մեկնաբանություններ են տրամադրել նաև Արմինե Մանուկյանը </w:t>
      </w:r>
      <w:r w:rsidRPr="00DB69FD">
        <w:rPr>
          <w:rFonts w:ascii="Sylfaen" w:hAnsi="Sylfaen"/>
        </w:rPr>
        <w:t>(</w:t>
      </w:r>
      <w:r>
        <w:rPr>
          <w:rFonts w:ascii="Sylfaen" w:hAnsi="Sylfaen"/>
        </w:rPr>
        <w:t>տնտեսագետ</w:t>
      </w:r>
      <w:r w:rsidRPr="00DB69FD">
        <w:rPr>
          <w:rFonts w:ascii="Sylfaen" w:hAnsi="Sylfaen"/>
        </w:rPr>
        <w:t>, GMTE2),</w:t>
      </w:r>
      <w:r>
        <w:rPr>
          <w:rFonts w:ascii="Sylfaen" w:hAnsi="Sylfaen"/>
        </w:rPr>
        <w:t xml:space="preserve"> Ալան Ֆյուչսը</w:t>
      </w:r>
      <w:r w:rsidRPr="00DB69FD">
        <w:rPr>
          <w:rFonts w:ascii="Sylfaen" w:hAnsi="Sylfaen"/>
        </w:rPr>
        <w:t xml:space="preserve"> (</w:t>
      </w:r>
      <w:r>
        <w:rPr>
          <w:rFonts w:ascii="Sylfaen" w:hAnsi="Sylfaen"/>
        </w:rPr>
        <w:t>ավագ տնտեսագետ</w:t>
      </w:r>
      <w:r w:rsidRPr="00DB69FD">
        <w:rPr>
          <w:rFonts w:ascii="Sylfaen" w:hAnsi="Sylfaen"/>
        </w:rPr>
        <w:t>, GPV03)</w:t>
      </w:r>
      <w:r>
        <w:rPr>
          <w:rFonts w:ascii="Sylfaen" w:hAnsi="Sylfaen"/>
        </w:rPr>
        <w:t xml:space="preserve"> և Ժենևյև Բոյրոն</w:t>
      </w:r>
      <w:r w:rsidRPr="00DB69FD">
        <w:rPr>
          <w:rFonts w:ascii="Sylfaen" w:hAnsi="Sylfaen"/>
        </w:rPr>
        <w:t xml:space="preserve"> (EFI</w:t>
      </w:r>
      <w:r>
        <w:rPr>
          <w:rFonts w:ascii="Sylfaen" w:hAnsi="Sylfaen"/>
        </w:rPr>
        <w:t xml:space="preserve"> (հավասար աճի, ֆինանսների և հաստատությունների ոլորտ) ծրագրերի ղեկավար</w:t>
      </w:r>
      <w:r w:rsidRPr="00DB69FD">
        <w:rPr>
          <w:rFonts w:ascii="Sylfaen" w:hAnsi="Sylfaen"/>
        </w:rPr>
        <w:t>, ECCSC)</w:t>
      </w:r>
      <w:r>
        <w:rPr>
          <w:rFonts w:ascii="Sylfaen" w:hAnsi="Sylfaen"/>
        </w:rPr>
        <w:t>:</w:t>
      </w:r>
    </w:p>
  </w:footnote>
  <w:footnote w:id="2">
    <w:p w:rsidR="008024AD" w:rsidRPr="00844370" w:rsidRDefault="008024AD" w:rsidP="005A12BB">
      <w:pPr>
        <w:pStyle w:val="FootnoteText"/>
        <w:jc w:val="both"/>
        <w:rPr>
          <w:rFonts w:ascii="Sylfaen" w:hAnsi="Sylfaen"/>
          <w:lang w:val="fr-FR"/>
        </w:rPr>
      </w:pPr>
      <w:r w:rsidRPr="00844370">
        <w:rPr>
          <w:rStyle w:val="FootnoteReference"/>
          <w:rFonts w:ascii="Sylfaen" w:hAnsi="Sylfaen" w:cstheme="minorHAnsi"/>
        </w:rPr>
        <w:footnoteRef/>
      </w:r>
      <w:r w:rsidRPr="00844370">
        <w:rPr>
          <w:rFonts w:ascii="Sylfaen" w:hAnsi="Sylfaen" w:cstheme="minorHAnsi"/>
          <w:szCs w:val="24"/>
          <w:lang w:val="fr-FR"/>
        </w:rPr>
        <w:t xml:space="preserve"> Deloitte (2018)</w:t>
      </w:r>
    </w:p>
  </w:footnote>
  <w:footnote w:id="3">
    <w:p w:rsidR="008024AD" w:rsidRPr="00844370" w:rsidRDefault="008024AD" w:rsidP="00902C00">
      <w:pPr>
        <w:pStyle w:val="FootnoteText"/>
        <w:jc w:val="both"/>
        <w:rPr>
          <w:rFonts w:ascii="Sylfaen" w:hAnsi="Sylfaen"/>
          <w:lang w:val="fr-FR"/>
        </w:rPr>
      </w:pPr>
      <w:r w:rsidRPr="00844370">
        <w:rPr>
          <w:rStyle w:val="FootnoteReference"/>
          <w:rFonts w:ascii="Sylfaen" w:hAnsi="Sylfaen" w:cstheme="minorHAnsi"/>
        </w:rPr>
        <w:footnoteRef/>
      </w:r>
      <w:r w:rsidRPr="00844370">
        <w:rPr>
          <w:rFonts w:ascii="Sylfaen" w:hAnsi="Sylfaen" w:cstheme="minorHAnsi"/>
          <w:lang w:val="fr-FR"/>
        </w:rPr>
        <w:t xml:space="preserve"> Հայաստան, ԱՄՀ Հոդված</w:t>
      </w:r>
      <w:r>
        <w:rPr>
          <w:rFonts w:ascii="Sylfaen" w:hAnsi="Sylfaen" w:cstheme="minorHAnsi"/>
          <w:lang w:val="fr-FR"/>
        </w:rPr>
        <w:t xml:space="preserve"> IV</w:t>
      </w:r>
      <w:r w:rsidRPr="00844370">
        <w:rPr>
          <w:rFonts w:ascii="Sylfaen" w:hAnsi="Sylfaen" w:cstheme="minorHAnsi"/>
          <w:lang w:val="fr-FR"/>
        </w:rPr>
        <w:t>, 2017</w:t>
      </w:r>
    </w:p>
  </w:footnote>
  <w:footnote w:id="4">
    <w:p w:rsidR="008024AD" w:rsidRPr="003153EC" w:rsidRDefault="008024AD">
      <w:pPr>
        <w:pStyle w:val="FootnoteText"/>
        <w:rPr>
          <w:rFonts w:ascii="Segoe Condensed" w:hAnsi="Segoe Condensed"/>
          <w:lang w:val="fr-FR"/>
        </w:rPr>
      </w:pPr>
      <w:r w:rsidRPr="00E939DB">
        <w:rPr>
          <w:rStyle w:val="FootnoteReference"/>
          <w:rFonts w:ascii="Segoe Condensed" w:hAnsi="Segoe Condensed"/>
        </w:rPr>
        <w:footnoteRef/>
      </w:r>
      <w:r w:rsidRPr="003153EC">
        <w:rPr>
          <w:rFonts w:ascii="Segoe Condensed" w:hAnsi="Segoe Condensed"/>
          <w:lang w:val="fr-FR"/>
        </w:rPr>
        <w:t xml:space="preserve"> </w:t>
      </w:r>
      <w:r>
        <w:rPr>
          <w:rFonts w:ascii="Sylfaen" w:hAnsi="Sylfaen"/>
        </w:rPr>
        <w:t>Մոդելավորման</w:t>
      </w:r>
      <w:r w:rsidRPr="003153EC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մեթոդաբանության</w:t>
      </w:r>
      <w:r w:rsidRPr="003153EC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վերաբերյալ</w:t>
      </w:r>
      <w:r w:rsidRPr="003153EC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մանրամասները</w:t>
      </w:r>
      <w:r w:rsidRPr="003153EC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տես</w:t>
      </w:r>
      <w:r w:rsidRPr="003153EC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Աղքատության</w:t>
      </w:r>
      <w:r w:rsidRPr="003153EC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վրա</w:t>
      </w:r>
      <w:r w:rsidRPr="003153EC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ազդեցության</w:t>
      </w:r>
      <w:r w:rsidRPr="003153EC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մոդելավորման</w:t>
      </w:r>
      <w:r w:rsidRPr="003153EC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Հավելվածում</w:t>
      </w:r>
      <w:r w:rsidRPr="003153EC">
        <w:rPr>
          <w:rFonts w:ascii="Sylfaen" w:hAnsi="Sylfaen"/>
          <w:lang w:val="fr-FR"/>
        </w:rPr>
        <w:t>:</w:t>
      </w:r>
    </w:p>
  </w:footnote>
  <w:footnote w:id="5">
    <w:p w:rsidR="008024AD" w:rsidRPr="00371A72" w:rsidRDefault="008024AD" w:rsidP="002872E5">
      <w:pPr>
        <w:pStyle w:val="FootnoteText"/>
        <w:jc w:val="both"/>
        <w:rPr>
          <w:rFonts w:ascii="Sylfaen" w:hAnsi="Sylfaen" w:cstheme="minorHAnsi"/>
          <w:lang w:val="fr-FR"/>
        </w:rPr>
      </w:pPr>
      <w:r w:rsidRPr="007814F3">
        <w:rPr>
          <w:rStyle w:val="FootnoteReference"/>
          <w:rFonts w:ascii="Segoe Condensed" w:hAnsi="Segoe Condensed" w:cstheme="minorHAnsi"/>
        </w:rPr>
        <w:footnoteRef/>
      </w:r>
      <w:r w:rsidRPr="00A41B3B">
        <w:rPr>
          <w:rFonts w:ascii="Segoe Condensed" w:hAnsi="Segoe Condensed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Եկամտային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հարկի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բարեփոխման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ժամանակահատվածում՝</w:t>
      </w:r>
      <w:r w:rsidRPr="00371A72">
        <w:rPr>
          <w:rFonts w:ascii="Sylfaen" w:hAnsi="Sylfaen" w:cstheme="minorHAnsi"/>
          <w:lang w:val="fr-FR"/>
        </w:rPr>
        <w:t xml:space="preserve"> 2020-23 </w:t>
      </w:r>
      <w:r w:rsidRPr="00371A72">
        <w:rPr>
          <w:rFonts w:ascii="Sylfaen" w:hAnsi="Sylfaen" w:cstheme="minorHAnsi"/>
        </w:rPr>
        <w:t>թվականներին</w:t>
      </w:r>
      <w:r w:rsidRPr="00371A72">
        <w:rPr>
          <w:rFonts w:ascii="Sylfaen" w:hAnsi="Sylfaen" w:cstheme="minorHAnsi"/>
          <w:lang w:val="fr-FR"/>
        </w:rPr>
        <w:t xml:space="preserve">, </w:t>
      </w:r>
      <w:r w:rsidRPr="00371A72">
        <w:rPr>
          <w:rFonts w:ascii="Sylfaen" w:hAnsi="Sylfaen" w:cstheme="minorHAnsi"/>
        </w:rPr>
        <w:t>աշխատողներից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գանձվող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եկամտային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հարկը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դառնում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է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մի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փոքր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ավելի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ռեգրեսիվ</w:t>
      </w:r>
      <w:r w:rsidRPr="00371A72">
        <w:rPr>
          <w:rFonts w:ascii="Sylfaen" w:hAnsi="Sylfaen" w:cstheme="minorHAnsi"/>
          <w:lang w:val="fr-FR"/>
        </w:rPr>
        <w:t xml:space="preserve"> (2018 և 2023 </w:t>
      </w:r>
      <w:r>
        <w:rPr>
          <w:rFonts w:ascii="Sylfaen" w:hAnsi="Sylfaen" w:cstheme="minorHAnsi"/>
          <w:lang w:val="fr-FR"/>
        </w:rPr>
        <w:t>թվականների համեմատության դեպքում</w:t>
      </w:r>
      <w:r w:rsidRPr="00371A72">
        <w:rPr>
          <w:rFonts w:ascii="Sylfaen" w:hAnsi="Sylfaen" w:cstheme="minorHAnsi"/>
          <w:lang w:val="fr-FR"/>
        </w:rPr>
        <w:t xml:space="preserve"> KI նվազում է -0.01-ից մինչև  -0.02,) իսկ ինքնազբաղվածներից գանձվող եկամտային հարկը դառնում է պակաս պրոգրեսիվ (KI 2018 թ-ի 0.180-ից 2023թ-ին նվազում է մինչև 0.163) :</w:t>
      </w:r>
    </w:p>
  </w:footnote>
  <w:footnote w:id="6">
    <w:p w:rsidR="008024AD" w:rsidRPr="00371A72" w:rsidRDefault="008024AD" w:rsidP="002872E5">
      <w:pPr>
        <w:pStyle w:val="FootnoteText"/>
        <w:jc w:val="both"/>
        <w:rPr>
          <w:rFonts w:ascii="Sylfaen" w:hAnsi="Sylfaen" w:cstheme="minorHAnsi"/>
          <w:lang w:val="fr-FR"/>
        </w:rPr>
      </w:pPr>
      <w:r w:rsidRPr="00371A72">
        <w:rPr>
          <w:rStyle w:val="FootnoteReference"/>
          <w:rFonts w:ascii="Sylfaen" w:hAnsi="Sylfaen" w:cstheme="minorHAnsi"/>
        </w:rPr>
        <w:footnoteRef/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="Sylfaen"/>
        </w:rPr>
        <w:t>Հաշվի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="Sylfaen"/>
        </w:rPr>
        <w:t>առնելով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="Sylfaen"/>
        </w:rPr>
        <w:t>այն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="Sylfaen"/>
        </w:rPr>
        <w:t>հանգամանքը</w:t>
      </w:r>
      <w:r w:rsidRPr="00371A72">
        <w:rPr>
          <w:rFonts w:ascii="Sylfaen" w:hAnsi="Sylfaen" w:cstheme="minorHAnsi"/>
          <w:lang w:val="fr-FR"/>
        </w:rPr>
        <w:t xml:space="preserve">, </w:t>
      </w:r>
      <w:r w:rsidRPr="00371A72">
        <w:rPr>
          <w:rFonts w:ascii="Sylfaen" w:hAnsi="Sylfaen" w:cs="Sylfaen"/>
        </w:rPr>
        <w:t>որ</w:t>
      </w:r>
      <w:r w:rsidRPr="00371A72">
        <w:rPr>
          <w:rFonts w:ascii="Sylfaen" w:hAnsi="Sylfaen" w:cs="Sylfaen"/>
          <w:lang w:val="fr-FR"/>
        </w:rPr>
        <w:t xml:space="preserve"> </w:t>
      </w:r>
      <w:r w:rsidRPr="00371A72">
        <w:rPr>
          <w:rFonts w:ascii="Sylfaen" w:hAnsi="Sylfaen" w:cstheme="minorHAnsi"/>
          <w:lang w:val="fr-FR"/>
        </w:rPr>
        <w:t xml:space="preserve"> CEQ 2014-</w:t>
      </w:r>
      <w:r w:rsidRPr="00371A72">
        <w:rPr>
          <w:rFonts w:ascii="Sylfaen" w:hAnsi="Sylfaen" w:cstheme="minorHAnsi"/>
        </w:rPr>
        <w:t>ում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ա</w:t>
      </w:r>
      <w:r w:rsidRPr="00371A72">
        <w:rPr>
          <w:rFonts w:ascii="Sylfaen" w:hAnsi="Sylfaen" w:cs="Sylfaen"/>
        </w:rPr>
        <w:t>նուղղակի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="Sylfaen"/>
        </w:rPr>
        <w:t>հարկերը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="Sylfaen"/>
        </w:rPr>
        <w:t>գնահատվել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="Sylfaen"/>
        </w:rPr>
        <w:t>են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="Sylfaen"/>
        </w:rPr>
        <w:t>որպես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="Sylfaen"/>
        </w:rPr>
        <w:t>չեզոք</w:t>
      </w:r>
      <w:r w:rsidRPr="00371A72">
        <w:rPr>
          <w:rFonts w:ascii="Sylfaen" w:hAnsi="Sylfaen" w:cstheme="minorHAnsi"/>
          <w:lang w:val="fr-FR"/>
        </w:rPr>
        <w:t xml:space="preserve">, </w:t>
      </w:r>
      <w:r w:rsidRPr="00371A72">
        <w:rPr>
          <w:rFonts w:ascii="Sylfaen" w:hAnsi="Sylfaen" w:cstheme="minorHAnsi"/>
        </w:rPr>
        <w:t>գումարած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="Sylfaen"/>
        </w:rPr>
        <w:t>այն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="Sylfaen"/>
        </w:rPr>
        <w:t>փաստը</w:t>
      </w:r>
      <w:r w:rsidRPr="00371A72">
        <w:rPr>
          <w:rFonts w:ascii="Sylfaen" w:hAnsi="Sylfaen" w:cstheme="minorHAnsi"/>
          <w:lang w:val="fr-FR"/>
        </w:rPr>
        <w:t xml:space="preserve">, </w:t>
      </w:r>
      <w:r w:rsidRPr="00371A72">
        <w:rPr>
          <w:rFonts w:ascii="Sylfaen" w:hAnsi="Sylfaen" w:cstheme="minorHAnsi"/>
        </w:rPr>
        <w:t>որ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եկամտային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հարկի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բարեփոխման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պարագայում</w:t>
      </w:r>
      <w:r w:rsidRPr="00371A72">
        <w:rPr>
          <w:rFonts w:ascii="Sylfaen" w:hAnsi="Sylfaen" w:cstheme="minorHAnsi"/>
          <w:lang w:val="fr-FR"/>
        </w:rPr>
        <w:t xml:space="preserve"> եկամտային հարկը կդառնա պակաս պրոգրեսիվ:  </w:t>
      </w:r>
    </w:p>
  </w:footnote>
  <w:footnote w:id="7">
    <w:p w:rsidR="008024AD" w:rsidRPr="00371A72" w:rsidRDefault="008024AD" w:rsidP="00E405A2">
      <w:pPr>
        <w:pStyle w:val="FootnoteText"/>
        <w:jc w:val="both"/>
        <w:rPr>
          <w:rFonts w:ascii="Sylfaen" w:hAnsi="Sylfaen"/>
          <w:lang w:val="fr-FR"/>
        </w:rPr>
      </w:pPr>
      <w:r w:rsidRPr="00371A72">
        <w:rPr>
          <w:rFonts w:ascii="Sylfaen" w:hAnsi="Sylfaen" w:cstheme="minorHAnsi"/>
          <w:vertAlign w:val="superscript"/>
        </w:rPr>
        <w:footnoteRef/>
      </w:r>
      <w:r w:rsidRPr="00371A72">
        <w:rPr>
          <w:rFonts w:ascii="Sylfaen" w:hAnsi="Sylfaen" w:cstheme="minorHAnsi"/>
          <w:lang w:val="fr-FR"/>
        </w:rPr>
        <w:t xml:space="preserve"> </w:t>
      </w:r>
      <w:r>
        <w:rPr>
          <w:rFonts w:ascii="Sylfaen" w:hAnsi="Sylfaen" w:cstheme="minorHAnsi"/>
        </w:rPr>
        <w:t>Եկամտային</w:t>
      </w:r>
      <w:r w:rsidRPr="00371A72">
        <w:rPr>
          <w:rFonts w:ascii="Sylfaen" w:hAnsi="Sylfaen" w:cstheme="minorHAnsi"/>
          <w:lang w:val="fr-FR"/>
        </w:rPr>
        <w:t xml:space="preserve"> </w:t>
      </w:r>
      <w:r>
        <w:rPr>
          <w:rFonts w:ascii="Sylfaen" w:hAnsi="Sylfaen" w:cstheme="minorHAnsi"/>
        </w:rPr>
        <w:t>հարկի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բարեփոխման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պարագայում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հարկաբյուջետային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համակարգի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վերաբաշխողական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ազդեցությունը</w:t>
      </w:r>
      <w:r w:rsidRPr="00371A72">
        <w:rPr>
          <w:rFonts w:ascii="Sylfaen" w:hAnsi="Sylfaen" w:cstheme="minorHAnsi"/>
          <w:lang w:val="fr-FR"/>
        </w:rPr>
        <w:t xml:space="preserve"> (</w:t>
      </w:r>
      <w:r w:rsidRPr="00371A72">
        <w:rPr>
          <w:rFonts w:ascii="Sylfaen" w:hAnsi="Sylfaen" w:cstheme="minorHAnsi"/>
        </w:rPr>
        <w:t>Ջինիի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տարբերությունը</w:t>
      </w:r>
      <w:r>
        <w:rPr>
          <w:rFonts w:ascii="Sylfaen" w:hAnsi="Sylfaen" w:cstheme="minorHAnsi"/>
        </w:rPr>
        <w:t>՝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Ջինիի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վերջնական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եկամտի</w:t>
      </w:r>
      <w:r>
        <w:rPr>
          <w:rFonts w:ascii="Sylfaen" w:hAnsi="Sylfaen" w:cstheme="minorHAnsi"/>
        </w:rPr>
        <w:t>ց</w:t>
      </w:r>
      <w:r w:rsidRPr="00371A72">
        <w:rPr>
          <w:rFonts w:ascii="Sylfaen" w:hAnsi="Sylfaen" w:cstheme="minorHAnsi"/>
          <w:lang w:val="fr-FR"/>
        </w:rPr>
        <w:t xml:space="preserve"> </w:t>
      </w:r>
      <w:r w:rsidRPr="00371A72">
        <w:rPr>
          <w:rFonts w:ascii="Sylfaen" w:hAnsi="Sylfaen" w:cstheme="minorHAnsi"/>
        </w:rPr>
        <w:t>հանած</w:t>
      </w:r>
      <w:r w:rsidRPr="00371A72">
        <w:rPr>
          <w:rFonts w:ascii="Sylfaen" w:hAnsi="Sylfaen" w:cstheme="minorHAnsi"/>
          <w:lang w:val="fr-FR"/>
        </w:rPr>
        <w:t xml:space="preserve"> շուկայական եկամուտը) -0.005 ցածր է «առանց եկամտային հարկի բարեփոխման« սցենարի համեմատությամբ: Սեփական հաշվարկները հիմնված են CEQ 2014-ի և </w:t>
      </w:r>
      <w:r>
        <w:rPr>
          <w:rFonts w:ascii="Sylfaen" w:hAnsi="Sylfaen" w:cstheme="minorHAnsi"/>
          <w:lang w:val="fr-FR"/>
        </w:rPr>
        <w:t>«</w:t>
      </w:r>
      <w:r w:rsidRPr="00371A72">
        <w:rPr>
          <w:rFonts w:ascii="Sylfaen" w:hAnsi="Sylfaen" w:cstheme="minorHAnsi"/>
          <w:lang w:val="fr-FR"/>
        </w:rPr>
        <w:t>2018</w:t>
      </w:r>
      <w:r>
        <w:rPr>
          <w:rFonts w:ascii="Sylfaen" w:hAnsi="Sylfaen" w:cstheme="minorHAnsi"/>
          <w:lang w:val="fr-FR"/>
        </w:rPr>
        <w:t xml:space="preserve"> 2.</w:t>
      </w:r>
      <w:r w:rsidRPr="00371A72">
        <w:rPr>
          <w:rFonts w:ascii="Sylfaen" w:hAnsi="Sylfaen" w:cstheme="minorHAnsi"/>
          <w:lang w:val="fr-FR"/>
        </w:rPr>
        <w:t xml:space="preserve"> </w:t>
      </w:r>
      <w:proofErr w:type="gramStart"/>
      <w:r>
        <w:rPr>
          <w:rFonts w:ascii="Sylfaen" w:hAnsi="Sylfaen" w:cstheme="minorHAnsi"/>
          <w:lang w:val="fr-FR"/>
        </w:rPr>
        <w:t>թ</w:t>
      </w:r>
      <w:r w:rsidRPr="00371A72">
        <w:rPr>
          <w:rFonts w:ascii="Sylfaen" w:hAnsi="Sylfaen" w:cstheme="minorHAnsi"/>
          <w:lang w:val="fr-FR"/>
        </w:rPr>
        <w:t>արմացված</w:t>
      </w:r>
      <w:proofErr w:type="gramEnd"/>
      <w:r w:rsidRPr="00371A72">
        <w:rPr>
          <w:rFonts w:ascii="Sylfaen" w:hAnsi="Sylfaen" w:cstheme="minorHAnsi"/>
          <w:lang w:val="fr-FR"/>
        </w:rPr>
        <w:t xml:space="preserve"> եկամտային հարկ</w:t>
      </w:r>
      <w:r>
        <w:rPr>
          <w:rFonts w:ascii="Sylfaen" w:hAnsi="Sylfaen" w:cstheme="minorHAnsi"/>
          <w:lang w:val="fr-FR"/>
        </w:rPr>
        <w:t>ի</w:t>
      </w:r>
      <w:r w:rsidRPr="00371A72">
        <w:rPr>
          <w:rFonts w:ascii="Sylfaen" w:hAnsi="Sylfaen" w:cstheme="minorHAnsi"/>
          <w:lang w:val="fr-FR"/>
        </w:rPr>
        <w:t xml:space="preserve">» </w:t>
      </w:r>
      <w:r>
        <w:rPr>
          <w:rFonts w:ascii="Sylfaen" w:hAnsi="Sylfaen" w:cstheme="minorHAnsi"/>
          <w:lang w:val="ru-RU"/>
        </w:rPr>
        <w:t>մարգինալ</w:t>
      </w:r>
      <w:r w:rsidRPr="00371A72">
        <w:rPr>
          <w:rFonts w:ascii="Sylfaen" w:hAnsi="Sylfaen" w:cstheme="minorHAnsi"/>
          <w:lang w:val="fr-FR"/>
        </w:rPr>
        <w:t xml:space="preserve"> ազդեցությունների վրա :</w:t>
      </w:r>
    </w:p>
  </w:footnote>
  <w:footnote w:id="8">
    <w:p w:rsidR="008024AD" w:rsidRPr="00AA0F4E" w:rsidRDefault="008024AD" w:rsidP="004C3DE1">
      <w:pPr>
        <w:pStyle w:val="FootnoteText"/>
        <w:rPr>
          <w:rFonts w:ascii="Sylfaen" w:hAnsi="Sylfaen" w:cstheme="minorHAnsi"/>
          <w:lang w:val="fr-FR"/>
        </w:rPr>
      </w:pPr>
      <w:r w:rsidRPr="004C6A73">
        <w:rPr>
          <w:rStyle w:val="FootnoteReference"/>
          <w:rFonts w:asciiTheme="minorHAnsi" w:hAnsiTheme="minorHAnsi" w:cstheme="minorHAnsi"/>
        </w:rPr>
        <w:footnoteRef/>
      </w:r>
      <w:r w:rsidRPr="004C6A73">
        <w:rPr>
          <w:rStyle w:val="FootnoteReference"/>
          <w:rFonts w:asciiTheme="minorHAnsi" w:hAnsiTheme="minorHAnsi" w:cstheme="minorHAnsi"/>
        </w:rPr>
        <w:footnoteRef/>
      </w:r>
      <w:r w:rsidRPr="00AA0F4E">
        <w:rPr>
          <w:rFonts w:asciiTheme="minorHAnsi" w:hAnsiTheme="minorHAnsi" w:cstheme="minorHAnsi"/>
          <w:lang w:val="fr-FR"/>
        </w:rPr>
        <w:t xml:space="preserve"> </w:t>
      </w:r>
      <w:r>
        <w:rPr>
          <w:rFonts w:ascii="Sylfaen" w:hAnsi="Sylfaen" w:cstheme="minorHAnsi"/>
          <w:lang w:val="ru-RU"/>
        </w:rPr>
        <w:t>Եկամտային</w:t>
      </w:r>
      <w:r w:rsidRPr="00AA0F4E">
        <w:rPr>
          <w:rFonts w:ascii="Sylfaen" w:hAnsi="Sylfaen" w:cstheme="minorHAnsi"/>
          <w:lang w:val="fr-FR"/>
        </w:rPr>
        <w:t xml:space="preserve"> </w:t>
      </w:r>
      <w:r>
        <w:rPr>
          <w:rFonts w:ascii="Sylfaen" w:hAnsi="Sylfaen" w:cstheme="minorHAnsi"/>
          <w:lang w:val="ru-RU"/>
        </w:rPr>
        <w:t>հարկի</w:t>
      </w:r>
      <w:r w:rsidRPr="00AA0F4E">
        <w:rPr>
          <w:rFonts w:ascii="Sylfaen" w:hAnsi="Sylfaen" w:cstheme="minorHAnsi"/>
          <w:lang w:val="fr-FR"/>
        </w:rPr>
        <w:t xml:space="preserve"> </w:t>
      </w:r>
      <w:r w:rsidRPr="00AA0F4E">
        <w:rPr>
          <w:rFonts w:ascii="Sylfaen" w:hAnsi="Sylfaen" w:cs="Sylfaen"/>
        </w:rPr>
        <w:t>բարեփոխումների</w:t>
      </w:r>
      <w:r w:rsidRPr="00AA0F4E">
        <w:rPr>
          <w:rFonts w:asciiTheme="minorHAnsi" w:hAnsiTheme="minorHAnsi" w:cstheme="minorHAnsi"/>
          <w:lang w:val="fr-FR"/>
        </w:rPr>
        <w:t xml:space="preserve"> </w:t>
      </w:r>
      <w:r w:rsidRPr="00AA0F4E">
        <w:rPr>
          <w:rFonts w:ascii="Sylfaen" w:hAnsi="Sylfaen" w:cs="Sylfaen"/>
        </w:rPr>
        <w:t>վերաբերյալ</w:t>
      </w:r>
      <w:r w:rsidRPr="00AA0F4E">
        <w:rPr>
          <w:rFonts w:asciiTheme="minorHAnsi" w:hAnsiTheme="minorHAnsi" w:cstheme="minorHAnsi"/>
          <w:lang w:val="fr-FR"/>
        </w:rPr>
        <w:t xml:space="preserve"> 2014-</w:t>
      </w:r>
      <w:r w:rsidRPr="00AA0F4E">
        <w:rPr>
          <w:rFonts w:ascii="Sylfaen" w:hAnsi="Sylfaen" w:cs="Sylfaen"/>
        </w:rPr>
        <w:t>ին</w:t>
      </w:r>
      <w:r w:rsidRPr="00AA0F4E">
        <w:rPr>
          <w:rFonts w:asciiTheme="minorHAnsi" w:hAnsiTheme="minorHAnsi" w:cstheme="minorHAnsi"/>
          <w:lang w:val="fr-FR"/>
        </w:rPr>
        <w:t xml:space="preserve"> </w:t>
      </w:r>
      <w:r w:rsidRPr="00AA0F4E">
        <w:rPr>
          <w:rFonts w:ascii="Sylfaen" w:hAnsi="Sylfaen" w:cs="Sylfaen"/>
        </w:rPr>
        <w:t>կատարված</w:t>
      </w:r>
      <w:r w:rsidRPr="00AA0F4E">
        <w:rPr>
          <w:rFonts w:asciiTheme="minorHAnsi" w:hAnsiTheme="minorHAnsi" w:cstheme="minorHAnsi"/>
          <w:lang w:val="fr-FR"/>
        </w:rPr>
        <w:t xml:space="preserve"> </w:t>
      </w:r>
      <w:r w:rsidRPr="00AA0F4E">
        <w:rPr>
          <w:rFonts w:ascii="Sylfaen" w:hAnsi="Sylfaen" w:cstheme="minorHAnsi"/>
          <w:lang w:val="fr-FR"/>
        </w:rPr>
        <w:t>CEQ</w:t>
      </w:r>
      <w:r w:rsidRPr="00AA0F4E">
        <w:rPr>
          <w:rFonts w:asciiTheme="minorHAnsi" w:hAnsiTheme="minorHAnsi" w:cstheme="minorHAnsi"/>
          <w:lang w:val="fr-FR"/>
        </w:rPr>
        <w:t xml:space="preserve"> </w:t>
      </w:r>
      <w:r w:rsidR="00332DBA">
        <w:rPr>
          <w:rFonts w:ascii="Sylfaen" w:hAnsi="Sylfaen" w:cstheme="minorHAnsi"/>
          <w:lang w:val="ru-RU"/>
        </w:rPr>
        <w:t>մոդելավոր</w:t>
      </w:r>
      <w:r>
        <w:rPr>
          <w:rFonts w:ascii="Sylfaen" w:hAnsi="Sylfaen" w:cstheme="minorHAnsi"/>
          <w:lang w:val="ru-RU"/>
        </w:rPr>
        <w:t>մ</w:t>
      </w:r>
      <w:r w:rsidR="00332DBA">
        <w:rPr>
          <w:rFonts w:ascii="Sylfaen" w:hAnsi="Sylfaen" w:cstheme="minorHAnsi"/>
          <w:lang w:val="ru-RU"/>
        </w:rPr>
        <w:t>ան</w:t>
      </w:r>
      <w:r w:rsidR="00332DBA" w:rsidRPr="00332DBA">
        <w:rPr>
          <w:rFonts w:ascii="Sylfaen" w:hAnsi="Sylfaen" w:cstheme="minorHAnsi"/>
          <w:lang w:val="fr-FR"/>
        </w:rPr>
        <w:t xml:space="preserve"> </w:t>
      </w:r>
      <w:r w:rsidR="00332DBA">
        <w:rPr>
          <w:rFonts w:ascii="Sylfaen" w:hAnsi="Sylfaen" w:cstheme="minorHAnsi"/>
          <w:lang w:val="ru-RU"/>
        </w:rPr>
        <w:t>արդյունքում</w:t>
      </w:r>
      <w:r w:rsidRPr="00AA0F4E">
        <w:rPr>
          <w:rFonts w:ascii="Sylfaen" w:hAnsi="Sylfaen" w:cstheme="minorHAnsi"/>
          <w:lang w:val="fr-FR"/>
        </w:rPr>
        <w:t xml:space="preserve"> </w:t>
      </w:r>
      <w:r>
        <w:rPr>
          <w:rFonts w:ascii="Sylfaen" w:hAnsi="Sylfaen" w:cstheme="minorHAnsi"/>
          <w:lang w:val="ru-RU"/>
        </w:rPr>
        <w:t>նույնպես</w:t>
      </w:r>
      <w:r w:rsidRPr="00AA0F4E">
        <w:rPr>
          <w:rFonts w:ascii="Sylfaen" w:hAnsi="Sylfaen" w:cstheme="minorHAnsi"/>
          <w:lang w:val="fr-FR"/>
        </w:rPr>
        <w:t xml:space="preserve"> </w:t>
      </w:r>
      <w:r>
        <w:rPr>
          <w:rFonts w:ascii="Sylfaen" w:hAnsi="Sylfaen" w:cstheme="minorHAnsi"/>
          <w:lang w:val="ru-RU"/>
        </w:rPr>
        <w:t>ստաց</w:t>
      </w:r>
      <w:r w:rsidR="00332DBA">
        <w:rPr>
          <w:rFonts w:ascii="Sylfaen" w:hAnsi="Sylfaen" w:cstheme="minorHAnsi"/>
          <w:lang w:val="ru-RU"/>
        </w:rPr>
        <w:t>վ</w:t>
      </w:r>
      <w:r>
        <w:rPr>
          <w:rFonts w:ascii="Sylfaen" w:hAnsi="Sylfaen" w:cstheme="minorHAnsi"/>
          <w:lang w:val="ru-RU"/>
        </w:rPr>
        <w:t>ել</w:t>
      </w:r>
      <w:r w:rsidRPr="00AA0F4E">
        <w:rPr>
          <w:rFonts w:ascii="Sylfaen" w:hAnsi="Sylfaen" w:cstheme="minorHAnsi"/>
          <w:lang w:val="fr-FR"/>
        </w:rPr>
        <w:t xml:space="preserve"> </w:t>
      </w:r>
      <w:r w:rsidR="00332DBA">
        <w:rPr>
          <w:rFonts w:ascii="Sylfaen" w:hAnsi="Sylfaen" w:cstheme="minorHAnsi"/>
          <w:lang w:val="ru-RU"/>
        </w:rPr>
        <w:t>են</w:t>
      </w:r>
      <w:r w:rsidRPr="00AA0F4E">
        <w:rPr>
          <w:rFonts w:ascii="Sylfaen" w:hAnsi="Sylfaen" w:cstheme="minorHAnsi"/>
          <w:lang w:val="fr-FR"/>
        </w:rPr>
        <w:t xml:space="preserve"> </w:t>
      </w:r>
      <w:r>
        <w:rPr>
          <w:rFonts w:ascii="Sylfaen" w:hAnsi="Sylfaen" w:cstheme="minorHAnsi"/>
          <w:lang w:val="ru-RU"/>
        </w:rPr>
        <w:t>նմանատիպ</w:t>
      </w:r>
      <w:r w:rsidRPr="00AA0F4E">
        <w:rPr>
          <w:rFonts w:asciiTheme="minorHAnsi" w:hAnsiTheme="minorHAnsi" w:cstheme="minorHAnsi"/>
          <w:lang w:val="fr-FR"/>
        </w:rPr>
        <w:t xml:space="preserve"> </w:t>
      </w:r>
      <w:r w:rsidRPr="00AA0F4E">
        <w:rPr>
          <w:rFonts w:ascii="Sylfaen" w:hAnsi="Sylfaen" w:cs="Sylfaen"/>
        </w:rPr>
        <w:t>որակական</w:t>
      </w:r>
      <w:r w:rsidRPr="00AA0F4E">
        <w:rPr>
          <w:rFonts w:asciiTheme="minorHAnsi" w:hAnsiTheme="minorHAnsi" w:cstheme="minorHAnsi"/>
          <w:lang w:val="fr-FR"/>
        </w:rPr>
        <w:t xml:space="preserve"> </w:t>
      </w:r>
      <w:r w:rsidRPr="00AA0F4E">
        <w:rPr>
          <w:rFonts w:ascii="Sylfaen" w:hAnsi="Sylfaen" w:cs="Sylfaen"/>
        </w:rPr>
        <w:t>արդյունքներ</w:t>
      </w:r>
      <w:r w:rsidRPr="00AA0F4E">
        <w:rPr>
          <w:rFonts w:asciiTheme="minorHAnsi" w:hAnsiTheme="minorHAnsi" w:cstheme="minorHAnsi"/>
          <w:lang w:val="fr-FR"/>
        </w:rPr>
        <w:t xml:space="preserve"> </w:t>
      </w:r>
      <w:r>
        <w:rPr>
          <w:rFonts w:ascii="Sylfaen" w:hAnsi="Sylfaen" w:cstheme="minorHAnsi"/>
          <w:lang w:val="ru-RU"/>
        </w:rPr>
        <w:t>եկամտային</w:t>
      </w:r>
      <w:r w:rsidRPr="00AA0F4E">
        <w:rPr>
          <w:rFonts w:ascii="Sylfaen" w:hAnsi="Sylfaen" w:cstheme="minorHAnsi"/>
          <w:lang w:val="fr-FR"/>
        </w:rPr>
        <w:t xml:space="preserve"> </w:t>
      </w:r>
      <w:r>
        <w:rPr>
          <w:rFonts w:ascii="Sylfaen" w:hAnsi="Sylfaen" w:cstheme="minorHAnsi"/>
          <w:lang w:val="ru-RU"/>
        </w:rPr>
        <w:t>հարկի</w:t>
      </w:r>
      <w:r w:rsidRPr="00AA0F4E">
        <w:rPr>
          <w:rFonts w:ascii="Sylfaen" w:hAnsi="Sylfaen" w:cstheme="minorHAnsi"/>
          <w:lang w:val="fr-FR"/>
        </w:rPr>
        <w:t xml:space="preserve"> </w:t>
      </w:r>
      <w:r>
        <w:rPr>
          <w:rFonts w:ascii="Sylfaen" w:hAnsi="Sylfaen" w:cstheme="minorHAnsi"/>
          <w:lang w:val="ru-RU"/>
        </w:rPr>
        <w:t>ազդեցության</w:t>
      </w:r>
      <w:r w:rsidRPr="00AA0F4E">
        <w:rPr>
          <w:rFonts w:ascii="Sylfaen" w:hAnsi="Sylfaen" w:cstheme="minorHAnsi"/>
          <w:lang w:val="fr-FR"/>
        </w:rPr>
        <w:t xml:space="preserve"> </w:t>
      </w:r>
      <w:r>
        <w:rPr>
          <w:rFonts w:ascii="Sylfaen" w:hAnsi="Sylfaen" w:cstheme="minorHAnsi"/>
          <w:lang w:val="ru-RU"/>
        </w:rPr>
        <w:t>վերաբերյալ՝</w:t>
      </w:r>
      <w:r w:rsidRPr="00AA0F4E">
        <w:rPr>
          <w:rFonts w:ascii="Sylfaen" w:hAnsi="Sylfaen" w:cstheme="minorHAnsi"/>
          <w:lang w:val="fr-FR"/>
        </w:rPr>
        <w:t xml:space="preserve"> </w:t>
      </w:r>
      <w:r>
        <w:rPr>
          <w:rFonts w:ascii="Sylfaen" w:hAnsi="Sylfaen" w:cstheme="minorHAnsi"/>
          <w:lang w:val="ru-RU"/>
        </w:rPr>
        <w:t>ըստ</w:t>
      </w:r>
      <w:r w:rsidRPr="00AA0F4E">
        <w:rPr>
          <w:rFonts w:ascii="Sylfaen" w:hAnsi="Sylfaen" w:cstheme="minorHAnsi"/>
          <w:lang w:val="fr-FR"/>
        </w:rPr>
        <w:t xml:space="preserve"> </w:t>
      </w:r>
      <w:r>
        <w:rPr>
          <w:rFonts w:ascii="Sylfaen" w:hAnsi="Sylfaen" w:cstheme="minorHAnsi"/>
          <w:lang w:val="ru-RU"/>
        </w:rPr>
        <w:t>դեցիլների</w:t>
      </w:r>
      <w:r w:rsidRPr="00AA0F4E">
        <w:rPr>
          <w:rFonts w:ascii="Sylfaen" w:hAnsi="Sylfaen" w:cstheme="minorHAnsi"/>
          <w:lang w:val="fr-FR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AD" w:rsidRDefault="008024AD" w:rsidP="00D079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4F65"/>
    <w:multiLevelType w:val="hybridMultilevel"/>
    <w:tmpl w:val="67FA7136"/>
    <w:lvl w:ilvl="0" w:tplc="C0004C08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A5BB7"/>
    <w:multiLevelType w:val="hybridMultilevel"/>
    <w:tmpl w:val="FBEAE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41C1E"/>
    <w:multiLevelType w:val="hybridMultilevel"/>
    <w:tmpl w:val="C892304C"/>
    <w:lvl w:ilvl="0" w:tplc="5A2818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32817"/>
    <w:multiLevelType w:val="hybridMultilevel"/>
    <w:tmpl w:val="7D5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2BD9"/>
    <w:multiLevelType w:val="hybridMultilevel"/>
    <w:tmpl w:val="8566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6182E"/>
    <w:multiLevelType w:val="hybridMultilevel"/>
    <w:tmpl w:val="F80A2B4E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34DA9"/>
    <w:multiLevelType w:val="multilevel"/>
    <w:tmpl w:val="DE5028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78B46F9"/>
    <w:multiLevelType w:val="hybridMultilevel"/>
    <w:tmpl w:val="EBCA635E"/>
    <w:lvl w:ilvl="0" w:tplc="35763CCC">
      <w:start w:val="20"/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8212A48"/>
    <w:multiLevelType w:val="hybridMultilevel"/>
    <w:tmpl w:val="5F92EDEE"/>
    <w:lvl w:ilvl="0" w:tplc="EFB0FD3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6E4C69"/>
    <w:multiLevelType w:val="hybridMultilevel"/>
    <w:tmpl w:val="EB76C954"/>
    <w:lvl w:ilvl="0" w:tplc="040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1C736A"/>
    <w:multiLevelType w:val="hybridMultilevel"/>
    <w:tmpl w:val="1424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05514"/>
    <w:multiLevelType w:val="hybridMultilevel"/>
    <w:tmpl w:val="5170C5A2"/>
    <w:lvl w:ilvl="0" w:tplc="C8562DB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C6"/>
    <w:rsid w:val="00000578"/>
    <w:rsid w:val="00001565"/>
    <w:rsid w:val="000022C8"/>
    <w:rsid w:val="00004559"/>
    <w:rsid w:val="0000578A"/>
    <w:rsid w:val="0000722E"/>
    <w:rsid w:val="000103EC"/>
    <w:rsid w:val="00010B77"/>
    <w:rsid w:val="00011768"/>
    <w:rsid w:val="000167BB"/>
    <w:rsid w:val="0002086C"/>
    <w:rsid w:val="000211B1"/>
    <w:rsid w:val="0002174C"/>
    <w:rsid w:val="000247DC"/>
    <w:rsid w:val="00025664"/>
    <w:rsid w:val="00025C31"/>
    <w:rsid w:val="000274E0"/>
    <w:rsid w:val="00030447"/>
    <w:rsid w:val="00030A26"/>
    <w:rsid w:val="0003160B"/>
    <w:rsid w:val="000316F6"/>
    <w:rsid w:val="00034D35"/>
    <w:rsid w:val="00035A99"/>
    <w:rsid w:val="00042183"/>
    <w:rsid w:val="000437C5"/>
    <w:rsid w:val="00043CA0"/>
    <w:rsid w:val="00046220"/>
    <w:rsid w:val="00047053"/>
    <w:rsid w:val="00047107"/>
    <w:rsid w:val="000477BC"/>
    <w:rsid w:val="000510A6"/>
    <w:rsid w:val="00051384"/>
    <w:rsid w:val="000515D0"/>
    <w:rsid w:val="00051C31"/>
    <w:rsid w:val="00052AE7"/>
    <w:rsid w:val="00053D7D"/>
    <w:rsid w:val="00055582"/>
    <w:rsid w:val="00055EB4"/>
    <w:rsid w:val="0005719F"/>
    <w:rsid w:val="000576C3"/>
    <w:rsid w:val="000604C9"/>
    <w:rsid w:val="00060895"/>
    <w:rsid w:val="00061381"/>
    <w:rsid w:val="0006309A"/>
    <w:rsid w:val="0006585E"/>
    <w:rsid w:val="00066531"/>
    <w:rsid w:val="00067189"/>
    <w:rsid w:val="00067624"/>
    <w:rsid w:val="00067FBF"/>
    <w:rsid w:val="000716D7"/>
    <w:rsid w:val="00072001"/>
    <w:rsid w:val="000727E3"/>
    <w:rsid w:val="00075022"/>
    <w:rsid w:val="0007740B"/>
    <w:rsid w:val="000777DD"/>
    <w:rsid w:val="00077981"/>
    <w:rsid w:val="000816F8"/>
    <w:rsid w:val="00081FF5"/>
    <w:rsid w:val="000838B0"/>
    <w:rsid w:val="0008440A"/>
    <w:rsid w:val="00084615"/>
    <w:rsid w:val="0008525E"/>
    <w:rsid w:val="00085988"/>
    <w:rsid w:val="0008758E"/>
    <w:rsid w:val="000917CB"/>
    <w:rsid w:val="00091FAF"/>
    <w:rsid w:val="00093393"/>
    <w:rsid w:val="000933CF"/>
    <w:rsid w:val="00093A4C"/>
    <w:rsid w:val="000A08EC"/>
    <w:rsid w:val="000A0BD6"/>
    <w:rsid w:val="000A5474"/>
    <w:rsid w:val="000A6E56"/>
    <w:rsid w:val="000A7291"/>
    <w:rsid w:val="000B2BAA"/>
    <w:rsid w:val="000B3D37"/>
    <w:rsid w:val="000B3D78"/>
    <w:rsid w:val="000B4A4A"/>
    <w:rsid w:val="000B5B73"/>
    <w:rsid w:val="000B7603"/>
    <w:rsid w:val="000B7C01"/>
    <w:rsid w:val="000B7D62"/>
    <w:rsid w:val="000C05D7"/>
    <w:rsid w:val="000C0AB1"/>
    <w:rsid w:val="000C2627"/>
    <w:rsid w:val="000C3D4A"/>
    <w:rsid w:val="000C3EA2"/>
    <w:rsid w:val="000C4A47"/>
    <w:rsid w:val="000C535B"/>
    <w:rsid w:val="000C66E8"/>
    <w:rsid w:val="000C790A"/>
    <w:rsid w:val="000D02B0"/>
    <w:rsid w:val="000D1CC4"/>
    <w:rsid w:val="000D1D51"/>
    <w:rsid w:val="000D2127"/>
    <w:rsid w:val="000D2C3B"/>
    <w:rsid w:val="000D2F00"/>
    <w:rsid w:val="000D5ECE"/>
    <w:rsid w:val="000D690B"/>
    <w:rsid w:val="000D718E"/>
    <w:rsid w:val="000E010F"/>
    <w:rsid w:val="000E0260"/>
    <w:rsid w:val="000E1815"/>
    <w:rsid w:val="000E27B7"/>
    <w:rsid w:val="000E43D3"/>
    <w:rsid w:val="000E4699"/>
    <w:rsid w:val="000E4D1E"/>
    <w:rsid w:val="000E76F4"/>
    <w:rsid w:val="000F12FF"/>
    <w:rsid w:val="000F249A"/>
    <w:rsid w:val="000F28EF"/>
    <w:rsid w:val="000F2DCD"/>
    <w:rsid w:val="000F34D5"/>
    <w:rsid w:val="000F4735"/>
    <w:rsid w:val="00105AED"/>
    <w:rsid w:val="00107A41"/>
    <w:rsid w:val="001120F5"/>
    <w:rsid w:val="00112C1D"/>
    <w:rsid w:val="0011315A"/>
    <w:rsid w:val="0011492D"/>
    <w:rsid w:val="00115426"/>
    <w:rsid w:val="0011626B"/>
    <w:rsid w:val="001163AE"/>
    <w:rsid w:val="001169D5"/>
    <w:rsid w:val="00116DBB"/>
    <w:rsid w:val="00120C4E"/>
    <w:rsid w:val="00122062"/>
    <w:rsid w:val="001228FD"/>
    <w:rsid w:val="00124F02"/>
    <w:rsid w:val="0012689B"/>
    <w:rsid w:val="00127C91"/>
    <w:rsid w:val="0013021A"/>
    <w:rsid w:val="00130234"/>
    <w:rsid w:val="001318D9"/>
    <w:rsid w:val="00132DC2"/>
    <w:rsid w:val="0013326B"/>
    <w:rsid w:val="00134A94"/>
    <w:rsid w:val="001357F7"/>
    <w:rsid w:val="00136594"/>
    <w:rsid w:val="001367A3"/>
    <w:rsid w:val="001369F7"/>
    <w:rsid w:val="00140477"/>
    <w:rsid w:val="00140BD3"/>
    <w:rsid w:val="00140F77"/>
    <w:rsid w:val="00142BE0"/>
    <w:rsid w:val="00145FA5"/>
    <w:rsid w:val="00150FFD"/>
    <w:rsid w:val="00151D62"/>
    <w:rsid w:val="0015454E"/>
    <w:rsid w:val="00154B7D"/>
    <w:rsid w:val="0015505D"/>
    <w:rsid w:val="00155AD4"/>
    <w:rsid w:val="00160092"/>
    <w:rsid w:val="001601F5"/>
    <w:rsid w:val="00161922"/>
    <w:rsid w:val="001660F1"/>
    <w:rsid w:val="00172AEC"/>
    <w:rsid w:val="00174122"/>
    <w:rsid w:val="001743D9"/>
    <w:rsid w:val="00174FDB"/>
    <w:rsid w:val="001779DD"/>
    <w:rsid w:val="0018143B"/>
    <w:rsid w:val="001815C0"/>
    <w:rsid w:val="00182FB0"/>
    <w:rsid w:val="00183F80"/>
    <w:rsid w:val="00184CE9"/>
    <w:rsid w:val="00184F38"/>
    <w:rsid w:val="00185802"/>
    <w:rsid w:val="00186F17"/>
    <w:rsid w:val="00187A29"/>
    <w:rsid w:val="0019035D"/>
    <w:rsid w:val="00191AEF"/>
    <w:rsid w:val="001926EB"/>
    <w:rsid w:val="00194B2B"/>
    <w:rsid w:val="00194EEB"/>
    <w:rsid w:val="00195C15"/>
    <w:rsid w:val="00197270"/>
    <w:rsid w:val="001975AD"/>
    <w:rsid w:val="001976AC"/>
    <w:rsid w:val="00197CD4"/>
    <w:rsid w:val="001A07A3"/>
    <w:rsid w:val="001A0A07"/>
    <w:rsid w:val="001A2753"/>
    <w:rsid w:val="001A37DC"/>
    <w:rsid w:val="001A4B74"/>
    <w:rsid w:val="001A4F94"/>
    <w:rsid w:val="001A5364"/>
    <w:rsid w:val="001A58CA"/>
    <w:rsid w:val="001A6E88"/>
    <w:rsid w:val="001A7492"/>
    <w:rsid w:val="001A7598"/>
    <w:rsid w:val="001B06BA"/>
    <w:rsid w:val="001B0B83"/>
    <w:rsid w:val="001B21BB"/>
    <w:rsid w:val="001B224C"/>
    <w:rsid w:val="001B226F"/>
    <w:rsid w:val="001B3F5E"/>
    <w:rsid w:val="001B6FF7"/>
    <w:rsid w:val="001B74F5"/>
    <w:rsid w:val="001C139B"/>
    <w:rsid w:val="001C16A0"/>
    <w:rsid w:val="001C2154"/>
    <w:rsid w:val="001C287E"/>
    <w:rsid w:val="001C3CFA"/>
    <w:rsid w:val="001C3FA6"/>
    <w:rsid w:val="001C4179"/>
    <w:rsid w:val="001C4495"/>
    <w:rsid w:val="001C6963"/>
    <w:rsid w:val="001D04F0"/>
    <w:rsid w:val="001D1883"/>
    <w:rsid w:val="001D1C17"/>
    <w:rsid w:val="001D2A65"/>
    <w:rsid w:val="001D48E8"/>
    <w:rsid w:val="001D497C"/>
    <w:rsid w:val="001D5EC5"/>
    <w:rsid w:val="001D7A64"/>
    <w:rsid w:val="001E1A16"/>
    <w:rsid w:val="001E1D76"/>
    <w:rsid w:val="001E27B8"/>
    <w:rsid w:val="001E3031"/>
    <w:rsid w:val="001E676F"/>
    <w:rsid w:val="001F0CAD"/>
    <w:rsid w:val="001F184F"/>
    <w:rsid w:val="001F1E02"/>
    <w:rsid w:val="001F2448"/>
    <w:rsid w:val="001F2AD2"/>
    <w:rsid w:val="001F353B"/>
    <w:rsid w:val="001F65A4"/>
    <w:rsid w:val="001F7712"/>
    <w:rsid w:val="002000A4"/>
    <w:rsid w:val="00200264"/>
    <w:rsid w:val="0020128A"/>
    <w:rsid w:val="0020339B"/>
    <w:rsid w:val="00203502"/>
    <w:rsid w:val="00203982"/>
    <w:rsid w:val="00205119"/>
    <w:rsid w:val="002057A3"/>
    <w:rsid w:val="00205D80"/>
    <w:rsid w:val="00210DB4"/>
    <w:rsid w:val="00211184"/>
    <w:rsid w:val="0021133A"/>
    <w:rsid w:val="00211ABF"/>
    <w:rsid w:val="00212C43"/>
    <w:rsid w:val="00214037"/>
    <w:rsid w:val="0021418D"/>
    <w:rsid w:val="002147EA"/>
    <w:rsid w:val="00214C65"/>
    <w:rsid w:val="002157E1"/>
    <w:rsid w:val="002163FA"/>
    <w:rsid w:val="002211FF"/>
    <w:rsid w:val="002238AD"/>
    <w:rsid w:val="0022401A"/>
    <w:rsid w:val="002241B9"/>
    <w:rsid w:val="00224355"/>
    <w:rsid w:val="002243B5"/>
    <w:rsid w:val="00227208"/>
    <w:rsid w:val="002274A2"/>
    <w:rsid w:val="00230045"/>
    <w:rsid w:val="0023091F"/>
    <w:rsid w:val="00232890"/>
    <w:rsid w:val="002335ED"/>
    <w:rsid w:val="00233D80"/>
    <w:rsid w:val="00233EE7"/>
    <w:rsid w:val="00233F4D"/>
    <w:rsid w:val="00235919"/>
    <w:rsid w:val="00236310"/>
    <w:rsid w:val="00236761"/>
    <w:rsid w:val="00237392"/>
    <w:rsid w:val="0024023A"/>
    <w:rsid w:val="00240EE0"/>
    <w:rsid w:val="00242567"/>
    <w:rsid w:val="002427C8"/>
    <w:rsid w:val="00243B6E"/>
    <w:rsid w:val="00244DF8"/>
    <w:rsid w:val="00244DFC"/>
    <w:rsid w:val="00244E53"/>
    <w:rsid w:val="00247E21"/>
    <w:rsid w:val="00247FFD"/>
    <w:rsid w:val="00251463"/>
    <w:rsid w:val="00251D5B"/>
    <w:rsid w:val="00254A08"/>
    <w:rsid w:val="002553CA"/>
    <w:rsid w:val="00260593"/>
    <w:rsid w:val="0026322A"/>
    <w:rsid w:val="0026566A"/>
    <w:rsid w:val="0027223F"/>
    <w:rsid w:val="00272725"/>
    <w:rsid w:val="00273A0A"/>
    <w:rsid w:val="00274DEF"/>
    <w:rsid w:val="00275459"/>
    <w:rsid w:val="00276C7C"/>
    <w:rsid w:val="00276D56"/>
    <w:rsid w:val="002805A6"/>
    <w:rsid w:val="0028270A"/>
    <w:rsid w:val="00283D3B"/>
    <w:rsid w:val="002872E5"/>
    <w:rsid w:val="002878FB"/>
    <w:rsid w:val="00290A08"/>
    <w:rsid w:val="00292434"/>
    <w:rsid w:val="002933A5"/>
    <w:rsid w:val="00295528"/>
    <w:rsid w:val="002969CC"/>
    <w:rsid w:val="00297060"/>
    <w:rsid w:val="002A1398"/>
    <w:rsid w:val="002A1AC9"/>
    <w:rsid w:val="002A3870"/>
    <w:rsid w:val="002A4645"/>
    <w:rsid w:val="002A5C68"/>
    <w:rsid w:val="002A61C1"/>
    <w:rsid w:val="002A6DEA"/>
    <w:rsid w:val="002B3B2D"/>
    <w:rsid w:val="002B5B60"/>
    <w:rsid w:val="002B6525"/>
    <w:rsid w:val="002B6A5D"/>
    <w:rsid w:val="002B792A"/>
    <w:rsid w:val="002C265E"/>
    <w:rsid w:val="002C336B"/>
    <w:rsid w:val="002C42F6"/>
    <w:rsid w:val="002C6696"/>
    <w:rsid w:val="002C6E66"/>
    <w:rsid w:val="002C7BA3"/>
    <w:rsid w:val="002D1D37"/>
    <w:rsid w:val="002D2B6F"/>
    <w:rsid w:val="002D3975"/>
    <w:rsid w:val="002D78B0"/>
    <w:rsid w:val="002E0554"/>
    <w:rsid w:val="002E0A84"/>
    <w:rsid w:val="002E2048"/>
    <w:rsid w:val="002E27DC"/>
    <w:rsid w:val="002E3209"/>
    <w:rsid w:val="002E54E3"/>
    <w:rsid w:val="002E5519"/>
    <w:rsid w:val="002E796F"/>
    <w:rsid w:val="002F0846"/>
    <w:rsid w:val="002F33A2"/>
    <w:rsid w:val="002F3D78"/>
    <w:rsid w:val="002F3F62"/>
    <w:rsid w:val="002F4089"/>
    <w:rsid w:val="002F4670"/>
    <w:rsid w:val="002F5C29"/>
    <w:rsid w:val="002F6472"/>
    <w:rsid w:val="002F6A50"/>
    <w:rsid w:val="0030014D"/>
    <w:rsid w:val="003013CA"/>
    <w:rsid w:val="00301CD8"/>
    <w:rsid w:val="00301E18"/>
    <w:rsid w:val="00302B4E"/>
    <w:rsid w:val="00302BFE"/>
    <w:rsid w:val="003045A2"/>
    <w:rsid w:val="00305F5F"/>
    <w:rsid w:val="003069F8"/>
    <w:rsid w:val="00307DC8"/>
    <w:rsid w:val="00307FEB"/>
    <w:rsid w:val="00312791"/>
    <w:rsid w:val="00313AA0"/>
    <w:rsid w:val="003141F7"/>
    <w:rsid w:val="003153EC"/>
    <w:rsid w:val="00323BB4"/>
    <w:rsid w:val="00332DBA"/>
    <w:rsid w:val="003333D5"/>
    <w:rsid w:val="00333479"/>
    <w:rsid w:val="003352F8"/>
    <w:rsid w:val="00341842"/>
    <w:rsid w:val="00345FAE"/>
    <w:rsid w:val="003470C6"/>
    <w:rsid w:val="0034797F"/>
    <w:rsid w:val="00351489"/>
    <w:rsid w:val="00352AF7"/>
    <w:rsid w:val="00354A13"/>
    <w:rsid w:val="0035586E"/>
    <w:rsid w:val="00356301"/>
    <w:rsid w:val="00360E52"/>
    <w:rsid w:val="00361E11"/>
    <w:rsid w:val="003663BC"/>
    <w:rsid w:val="0036686D"/>
    <w:rsid w:val="0036690A"/>
    <w:rsid w:val="00366D8E"/>
    <w:rsid w:val="003670A6"/>
    <w:rsid w:val="003702B2"/>
    <w:rsid w:val="003705EF"/>
    <w:rsid w:val="00371A72"/>
    <w:rsid w:val="00372FDA"/>
    <w:rsid w:val="0037430A"/>
    <w:rsid w:val="00374EF4"/>
    <w:rsid w:val="00375DBA"/>
    <w:rsid w:val="00377FFD"/>
    <w:rsid w:val="00380A47"/>
    <w:rsid w:val="0038134D"/>
    <w:rsid w:val="00385213"/>
    <w:rsid w:val="0038595B"/>
    <w:rsid w:val="00386047"/>
    <w:rsid w:val="0039050F"/>
    <w:rsid w:val="003923C4"/>
    <w:rsid w:val="0039245F"/>
    <w:rsid w:val="003929AC"/>
    <w:rsid w:val="003929F7"/>
    <w:rsid w:val="003958D9"/>
    <w:rsid w:val="003959A0"/>
    <w:rsid w:val="003A0402"/>
    <w:rsid w:val="003A2844"/>
    <w:rsid w:val="003A2DE7"/>
    <w:rsid w:val="003A331F"/>
    <w:rsid w:val="003A3394"/>
    <w:rsid w:val="003A5A73"/>
    <w:rsid w:val="003A5FCD"/>
    <w:rsid w:val="003A65ED"/>
    <w:rsid w:val="003A6944"/>
    <w:rsid w:val="003A6DCF"/>
    <w:rsid w:val="003A7E50"/>
    <w:rsid w:val="003B0253"/>
    <w:rsid w:val="003B0F12"/>
    <w:rsid w:val="003B1E7C"/>
    <w:rsid w:val="003B3F2E"/>
    <w:rsid w:val="003B4BB0"/>
    <w:rsid w:val="003B4E32"/>
    <w:rsid w:val="003B65EE"/>
    <w:rsid w:val="003B6699"/>
    <w:rsid w:val="003C0C07"/>
    <w:rsid w:val="003C0D03"/>
    <w:rsid w:val="003C0F3A"/>
    <w:rsid w:val="003C1034"/>
    <w:rsid w:val="003C5313"/>
    <w:rsid w:val="003C5611"/>
    <w:rsid w:val="003C5F45"/>
    <w:rsid w:val="003C76CF"/>
    <w:rsid w:val="003C7925"/>
    <w:rsid w:val="003D26C3"/>
    <w:rsid w:val="003D2BBF"/>
    <w:rsid w:val="003D372F"/>
    <w:rsid w:val="003D4704"/>
    <w:rsid w:val="003D7972"/>
    <w:rsid w:val="003E16B2"/>
    <w:rsid w:val="003E2F81"/>
    <w:rsid w:val="003E44A9"/>
    <w:rsid w:val="003E46FE"/>
    <w:rsid w:val="003F062E"/>
    <w:rsid w:val="003F0692"/>
    <w:rsid w:val="003F2F66"/>
    <w:rsid w:val="003F3134"/>
    <w:rsid w:val="003F35C0"/>
    <w:rsid w:val="003F3739"/>
    <w:rsid w:val="003F3861"/>
    <w:rsid w:val="003F542B"/>
    <w:rsid w:val="003F7B44"/>
    <w:rsid w:val="004012F5"/>
    <w:rsid w:val="00402222"/>
    <w:rsid w:val="0040353E"/>
    <w:rsid w:val="00403C1E"/>
    <w:rsid w:val="0040489F"/>
    <w:rsid w:val="00404A44"/>
    <w:rsid w:val="004051AC"/>
    <w:rsid w:val="00410425"/>
    <w:rsid w:val="00410B1D"/>
    <w:rsid w:val="004118EF"/>
    <w:rsid w:val="00412199"/>
    <w:rsid w:val="00413806"/>
    <w:rsid w:val="00413E46"/>
    <w:rsid w:val="004146FB"/>
    <w:rsid w:val="004151D4"/>
    <w:rsid w:val="00415D50"/>
    <w:rsid w:val="00417C05"/>
    <w:rsid w:val="00417DE4"/>
    <w:rsid w:val="004205A4"/>
    <w:rsid w:val="0042144D"/>
    <w:rsid w:val="00423F19"/>
    <w:rsid w:val="004241B7"/>
    <w:rsid w:val="004252E6"/>
    <w:rsid w:val="00426B61"/>
    <w:rsid w:val="0043196F"/>
    <w:rsid w:val="00433EF5"/>
    <w:rsid w:val="004346FA"/>
    <w:rsid w:val="004356FF"/>
    <w:rsid w:val="004371CB"/>
    <w:rsid w:val="00437F0F"/>
    <w:rsid w:val="00440246"/>
    <w:rsid w:val="00441884"/>
    <w:rsid w:val="004433F7"/>
    <w:rsid w:val="0044482C"/>
    <w:rsid w:val="00445D9D"/>
    <w:rsid w:val="00446CE4"/>
    <w:rsid w:val="0044738B"/>
    <w:rsid w:val="00450B7A"/>
    <w:rsid w:val="0045199D"/>
    <w:rsid w:val="00451F58"/>
    <w:rsid w:val="00453BF5"/>
    <w:rsid w:val="00454685"/>
    <w:rsid w:val="004548A2"/>
    <w:rsid w:val="00455168"/>
    <w:rsid w:val="004558D7"/>
    <w:rsid w:val="004559C0"/>
    <w:rsid w:val="00455E2F"/>
    <w:rsid w:val="00456A4C"/>
    <w:rsid w:val="00457858"/>
    <w:rsid w:val="00457C20"/>
    <w:rsid w:val="00465312"/>
    <w:rsid w:val="00470825"/>
    <w:rsid w:val="00470CD1"/>
    <w:rsid w:val="0047282A"/>
    <w:rsid w:val="00472AF5"/>
    <w:rsid w:val="004745CB"/>
    <w:rsid w:val="00476408"/>
    <w:rsid w:val="004802A8"/>
    <w:rsid w:val="004824F3"/>
    <w:rsid w:val="004846E2"/>
    <w:rsid w:val="00485640"/>
    <w:rsid w:val="00485C6F"/>
    <w:rsid w:val="004867E7"/>
    <w:rsid w:val="00491407"/>
    <w:rsid w:val="004938C3"/>
    <w:rsid w:val="004950CF"/>
    <w:rsid w:val="00495D0A"/>
    <w:rsid w:val="004973C8"/>
    <w:rsid w:val="004A0639"/>
    <w:rsid w:val="004A15DA"/>
    <w:rsid w:val="004A18D6"/>
    <w:rsid w:val="004A2B3A"/>
    <w:rsid w:val="004A2BA6"/>
    <w:rsid w:val="004A315D"/>
    <w:rsid w:val="004A358C"/>
    <w:rsid w:val="004A37AF"/>
    <w:rsid w:val="004A3941"/>
    <w:rsid w:val="004A459B"/>
    <w:rsid w:val="004A4B69"/>
    <w:rsid w:val="004A5443"/>
    <w:rsid w:val="004A586C"/>
    <w:rsid w:val="004A6330"/>
    <w:rsid w:val="004A646E"/>
    <w:rsid w:val="004A6D8D"/>
    <w:rsid w:val="004A6E2D"/>
    <w:rsid w:val="004A7A03"/>
    <w:rsid w:val="004B1112"/>
    <w:rsid w:val="004B12B6"/>
    <w:rsid w:val="004B20CE"/>
    <w:rsid w:val="004B3F79"/>
    <w:rsid w:val="004B7724"/>
    <w:rsid w:val="004C04B1"/>
    <w:rsid w:val="004C10DD"/>
    <w:rsid w:val="004C18D2"/>
    <w:rsid w:val="004C2B5E"/>
    <w:rsid w:val="004C31CD"/>
    <w:rsid w:val="004C37AC"/>
    <w:rsid w:val="004C3D91"/>
    <w:rsid w:val="004C3DE1"/>
    <w:rsid w:val="004C404E"/>
    <w:rsid w:val="004C4597"/>
    <w:rsid w:val="004C5905"/>
    <w:rsid w:val="004C5E59"/>
    <w:rsid w:val="004C6A73"/>
    <w:rsid w:val="004D0476"/>
    <w:rsid w:val="004D059A"/>
    <w:rsid w:val="004D09A5"/>
    <w:rsid w:val="004D1A0E"/>
    <w:rsid w:val="004D1FE5"/>
    <w:rsid w:val="004D2CA6"/>
    <w:rsid w:val="004D6A25"/>
    <w:rsid w:val="004E0AFA"/>
    <w:rsid w:val="004E0E51"/>
    <w:rsid w:val="004E14DD"/>
    <w:rsid w:val="004E32CC"/>
    <w:rsid w:val="004E5DBE"/>
    <w:rsid w:val="004E6D04"/>
    <w:rsid w:val="004E7CA1"/>
    <w:rsid w:val="004F0403"/>
    <w:rsid w:val="004F1158"/>
    <w:rsid w:val="004F2E01"/>
    <w:rsid w:val="004F339C"/>
    <w:rsid w:val="004F612E"/>
    <w:rsid w:val="004F698B"/>
    <w:rsid w:val="004F6D5B"/>
    <w:rsid w:val="005001B6"/>
    <w:rsid w:val="005002F8"/>
    <w:rsid w:val="0050035C"/>
    <w:rsid w:val="00503D91"/>
    <w:rsid w:val="00504D5E"/>
    <w:rsid w:val="00505214"/>
    <w:rsid w:val="00510996"/>
    <w:rsid w:val="00513F9F"/>
    <w:rsid w:val="00516F0D"/>
    <w:rsid w:val="00517871"/>
    <w:rsid w:val="00517EBD"/>
    <w:rsid w:val="00524D77"/>
    <w:rsid w:val="00524E04"/>
    <w:rsid w:val="00525757"/>
    <w:rsid w:val="00525DC8"/>
    <w:rsid w:val="00527870"/>
    <w:rsid w:val="00527C22"/>
    <w:rsid w:val="00531023"/>
    <w:rsid w:val="00535362"/>
    <w:rsid w:val="00536301"/>
    <w:rsid w:val="00536971"/>
    <w:rsid w:val="005405D5"/>
    <w:rsid w:val="00540D78"/>
    <w:rsid w:val="00541444"/>
    <w:rsid w:val="00541769"/>
    <w:rsid w:val="00541D9E"/>
    <w:rsid w:val="00543B32"/>
    <w:rsid w:val="00545A48"/>
    <w:rsid w:val="005464D3"/>
    <w:rsid w:val="00547B71"/>
    <w:rsid w:val="005507D7"/>
    <w:rsid w:val="00551160"/>
    <w:rsid w:val="00551609"/>
    <w:rsid w:val="00553359"/>
    <w:rsid w:val="00553B1E"/>
    <w:rsid w:val="00557E5F"/>
    <w:rsid w:val="00564D63"/>
    <w:rsid w:val="00564F9B"/>
    <w:rsid w:val="00566181"/>
    <w:rsid w:val="00567411"/>
    <w:rsid w:val="00567B30"/>
    <w:rsid w:val="00570AC0"/>
    <w:rsid w:val="0057341A"/>
    <w:rsid w:val="005740AA"/>
    <w:rsid w:val="00574751"/>
    <w:rsid w:val="00576674"/>
    <w:rsid w:val="00577078"/>
    <w:rsid w:val="00580E05"/>
    <w:rsid w:val="00581CFA"/>
    <w:rsid w:val="0058263C"/>
    <w:rsid w:val="005827EB"/>
    <w:rsid w:val="00582E79"/>
    <w:rsid w:val="00583057"/>
    <w:rsid w:val="00583FD2"/>
    <w:rsid w:val="00585411"/>
    <w:rsid w:val="00585830"/>
    <w:rsid w:val="005867F4"/>
    <w:rsid w:val="0058699B"/>
    <w:rsid w:val="005871DB"/>
    <w:rsid w:val="00587C30"/>
    <w:rsid w:val="0059099C"/>
    <w:rsid w:val="00592A76"/>
    <w:rsid w:val="005959E7"/>
    <w:rsid w:val="00595D94"/>
    <w:rsid w:val="00597836"/>
    <w:rsid w:val="00597C1D"/>
    <w:rsid w:val="005A0137"/>
    <w:rsid w:val="005A0AE4"/>
    <w:rsid w:val="005A0D3F"/>
    <w:rsid w:val="005A1244"/>
    <w:rsid w:val="005A12BB"/>
    <w:rsid w:val="005A1F2D"/>
    <w:rsid w:val="005A297C"/>
    <w:rsid w:val="005A2AC2"/>
    <w:rsid w:val="005A2CE8"/>
    <w:rsid w:val="005A375E"/>
    <w:rsid w:val="005A3DB1"/>
    <w:rsid w:val="005A6716"/>
    <w:rsid w:val="005A6E25"/>
    <w:rsid w:val="005A7C99"/>
    <w:rsid w:val="005B057B"/>
    <w:rsid w:val="005B104B"/>
    <w:rsid w:val="005B2351"/>
    <w:rsid w:val="005B5170"/>
    <w:rsid w:val="005B6619"/>
    <w:rsid w:val="005B6768"/>
    <w:rsid w:val="005B736C"/>
    <w:rsid w:val="005B7DA2"/>
    <w:rsid w:val="005C028C"/>
    <w:rsid w:val="005C6B4E"/>
    <w:rsid w:val="005C6E5E"/>
    <w:rsid w:val="005C6E9B"/>
    <w:rsid w:val="005D296A"/>
    <w:rsid w:val="005D2BE6"/>
    <w:rsid w:val="005D5E4D"/>
    <w:rsid w:val="005D6761"/>
    <w:rsid w:val="005D6E47"/>
    <w:rsid w:val="005E0D08"/>
    <w:rsid w:val="005E1180"/>
    <w:rsid w:val="005E236F"/>
    <w:rsid w:val="005E2B58"/>
    <w:rsid w:val="005E4A3C"/>
    <w:rsid w:val="005E585A"/>
    <w:rsid w:val="005E5EF8"/>
    <w:rsid w:val="005F10D4"/>
    <w:rsid w:val="005F22D4"/>
    <w:rsid w:val="005F3C10"/>
    <w:rsid w:val="005F52D4"/>
    <w:rsid w:val="005F5F76"/>
    <w:rsid w:val="005F75DB"/>
    <w:rsid w:val="006010E3"/>
    <w:rsid w:val="00601B85"/>
    <w:rsid w:val="0060226D"/>
    <w:rsid w:val="0060536F"/>
    <w:rsid w:val="00605522"/>
    <w:rsid w:val="00605C98"/>
    <w:rsid w:val="00606A83"/>
    <w:rsid w:val="006104C6"/>
    <w:rsid w:val="0061177E"/>
    <w:rsid w:val="00612404"/>
    <w:rsid w:val="00612582"/>
    <w:rsid w:val="00612BEF"/>
    <w:rsid w:val="00612E00"/>
    <w:rsid w:val="0061602E"/>
    <w:rsid w:val="006205D8"/>
    <w:rsid w:val="00622F7F"/>
    <w:rsid w:val="006233F0"/>
    <w:rsid w:val="00623EAC"/>
    <w:rsid w:val="00624FF3"/>
    <w:rsid w:val="00625331"/>
    <w:rsid w:val="00625391"/>
    <w:rsid w:val="0062556E"/>
    <w:rsid w:val="0062594A"/>
    <w:rsid w:val="006271E0"/>
    <w:rsid w:val="00630AEC"/>
    <w:rsid w:val="006346F5"/>
    <w:rsid w:val="00635583"/>
    <w:rsid w:val="00635F5E"/>
    <w:rsid w:val="00636162"/>
    <w:rsid w:val="00637CD3"/>
    <w:rsid w:val="00642C4D"/>
    <w:rsid w:val="0064481C"/>
    <w:rsid w:val="00645291"/>
    <w:rsid w:val="006504AC"/>
    <w:rsid w:val="006518D4"/>
    <w:rsid w:val="00651CC4"/>
    <w:rsid w:val="00653AD6"/>
    <w:rsid w:val="0065551B"/>
    <w:rsid w:val="00655F9E"/>
    <w:rsid w:val="00656C07"/>
    <w:rsid w:val="00657069"/>
    <w:rsid w:val="00657240"/>
    <w:rsid w:val="00660AFD"/>
    <w:rsid w:val="00660B34"/>
    <w:rsid w:val="0066162C"/>
    <w:rsid w:val="00661D55"/>
    <w:rsid w:val="00662F5C"/>
    <w:rsid w:val="006635BF"/>
    <w:rsid w:val="00664F74"/>
    <w:rsid w:val="00664F7A"/>
    <w:rsid w:val="00665147"/>
    <w:rsid w:val="0066591E"/>
    <w:rsid w:val="00666D5F"/>
    <w:rsid w:val="006702A3"/>
    <w:rsid w:val="00671437"/>
    <w:rsid w:val="006718FC"/>
    <w:rsid w:val="00674034"/>
    <w:rsid w:val="00674C16"/>
    <w:rsid w:val="0068070C"/>
    <w:rsid w:val="00681DA1"/>
    <w:rsid w:val="006822B5"/>
    <w:rsid w:val="00682D19"/>
    <w:rsid w:val="00682D66"/>
    <w:rsid w:val="0068382E"/>
    <w:rsid w:val="00686815"/>
    <w:rsid w:val="00687A21"/>
    <w:rsid w:val="006915A8"/>
    <w:rsid w:val="00691AED"/>
    <w:rsid w:val="006920B5"/>
    <w:rsid w:val="00692227"/>
    <w:rsid w:val="00694359"/>
    <w:rsid w:val="00697F76"/>
    <w:rsid w:val="006A0A30"/>
    <w:rsid w:val="006A14B0"/>
    <w:rsid w:val="006A1F69"/>
    <w:rsid w:val="006A3490"/>
    <w:rsid w:val="006A3A7B"/>
    <w:rsid w:val="006A405B"/>
    <w:rsid w:val="006A43F2"/>
    <w:rsid w:val="006A5E58"/>
    <w:rsid w:val="006A617B"/>
    <w:rsid w:val="006A6FD4"/>
    <w:rsid w:val="006B05AA"/>
    <w:rsid w:val="006B05E9"/>
    <w:rsid w:val="006B0784"/>
    <w:rsid w:val="006B2B01"/>
    <w:rsid w:val="006B346F"/>
    <w:rsid w:val="006B3C1F"/>
    <w:rsid w:val="006B5241"/>
    <w:rsid w:val="006C0929"/>
    <w:rsid w:val="006C194F"/>
    <w:rsid w:val="006C1B6F"/>
    <w:rsid w:val="006C541D"/>
    <w:rsid w:val="006C5C89"/>
    <w:rsid w:val="006C62C3"/>
    <w:rsid w:val="006C6A44"/>
    <w:rsid w:val="006C6D33"/>
    <w:rsid w:val="006C782A"/>
    <w:rsid w:val="006C7C41"/>
    <w:rsid w:val="006D0B69"/>
    <w:rsid w:val="006D2A8F"/>
    <w:rsid w:val="006D4FE3"/>
    <w:rsid w:val="006D5091"/>
    <w:rsid w:val="006D6100"/>
    <w:rsid w:val="006D7AE6"/>
    <w:rsid w:val="006E0358"/>
    <w:rsid w:val="006E05B4"/>
    <w:rsid w:val="006E54FE"/>
    <w:rsid w:val="006E7317"/>
    <w:rsid w:val="006F119D"/>
    <w:rsid w:val="006F201C"/>
    <w:rsid w:val="006F2645"/>
    <w:rsid w:val="006F3F73"/>
    <w:rsid w:val="006F53B7"/>
    <w:rsid w:val="006F7451"/>
    <w:rsid w:val="006F7E4C"/>
    <w:rsid w:val="00701E41"/>
    <w:rsid w:val="0070423A"/>
    <w:rsid w:val="00706C54"/>
    <w:rsid w:val="00711732"/>
    <w:rsid w:val="00715B80"/>
    <w:rsid w:val="00717EBA"/>
    <w:rsid w:val="00721116"/>
    <w:rsid w:val="00721C80"/>
    <w:rsid w:val="007229BB"/>
    <w:rsid w:val="00722DE3"/>
    <w:rsid w:val="0072474A"/>
    <w:rsid w:val="00725592"/>
    <w:rsid w:val="00725DD1"/>
    <w:rsid w:val="00730003"/>
    <w:rsid w:val="0073095E"/>
    <w:rsid w:val="007316FC"/>
    <w:rsid w:val="00733D59"/>
    <w:rsid w:val="00734D75"/>
    <w:rsid w:val="007407C7"/>
    <w:rsid w:val="00740F45"/>
    <w:rsid w:val="007417A1"/>
    <w:rsid w:val="00742F97"/>
    <w:rsid w:val="0074348B"/>
    <w:rsid w:val="007439C6"/>
    <w:rsid w:val="00745AB3"/>
    <w:rsid w:val="00745EF4"/>
    <w:rsid w:val="00746E04"/>
    <w:rsid w:val="007501E3"/>
    <w:rsid w:val="007601B2"/>
    <w:rsid w:val="007678F4"/>
    <w:rsid w:val="00770C4F"/>
    <w:rsid w:val="00771AB6"/>
    <w:rsid w:val="00772781"/>
    <w:rsid w:val="00774245"/>
    <w:rsid w:val="007764E1"/>
    <w:rsid w:val="007800F6"/>
    <w:rsid w:val="007808BA"/>
    <w:rsid w:val="00781346"/>
    <w:rsid w:val="00781474"/>
    <w:rsid w:val="007814F3"/>
    <w:rsid w:val="00782393"/>
    <w:rsid w:val="007833BC"/>
    <w:rsid w:val="0078376B"/>
    <w:rsid w:val="00784FBD"/>
    <w:rsid w:val="00787D51"/>
    <w:rsid w:val="00787E1F"/>
    <w:rsid w:val="00790782"/>
    <w:rsid w:val="00792CDE"/>
    <w:rsid w:val="007966E9"/>
    <w:rsid w:val="007A1922"/>
    <w:rsid w:val="007A2215"/>
    <w:rsid w:val="007A5B20"/>
    <w:rsid w:val="007A65B6"/>
    <w:rsid w:val="007A7167"/>
    <w:rsid w:val="007A7AB9"/>
    <w:rsid w:val="007B07BA"/>
    <w:rsid w:val="007B0F00"/>
    <w:rsid w:val="007B110A"/>
    <w:rsid w:val="007B2282"/>
    <w:rsid w:val="007B2E0E"/>
    <w:rsid w:val="007B536C"/>
    <w:rsid w:val="007B5BAD"/>
    <w:rsid w:val="007B7532"/>
    <w:rsid w:val="007B7DA3"/>
    <w:rsid w:val="007C32DA"/>
    <w:rsid w:val="007C7286"/>
    <w:rsid w:val="007D0776"/>
    <w:rsid w:val="007D155C"/>
    <w:rsid w:val="007D1A5D"/>
    <w:rsid w:val="007D1E11"/>
    <w:rsid w:val="007D2D56"/>
    <w:rsid w:val="007D3A2B"/>
    <w:rsid w:val="007D3F3B"/>
    <w:rsid w:val="007D4A03"/>
    <w:rsid w:val="007D5888"/>
    <w:rsid w:val="007D6FC9"/>
    <w:rsid w:val="007E05F6"/>
    <w:rsid w:val="007E13EF"/>
    <w:rsid w:val="007E18A5"/>
    <w:rsid w:val="007E2470"/>
    <w:rsid w:val="007E4319"/>
    <w:rsid w:val="007E4CA9"/>
    <w:rsid w:val="007E5916"/>
    <w:rsid w:val="007E655F"/>
    <w:rsid w:val="007E688E"/>
    <w:rsid w:val="007E7998"/>
    <w:rsid w:val="007F00BA"/>
    <w:rsid w:val="007F0591"/>
    <w:rsid w:val="007F1A11"/>
    <w:rsid w:val="007F2296"/>
    <w:rsid w:val="007F32C4"/>
    <w:rsid w:val="007F3A71"/>
    <w:rsid w:val="007F6D61"/>
    <w:rsid w:val="008024AD"/>
    <w:rsid w:val="00802D19"/>
    <w:rsid w:val="00803850"/>
    <w:rsid w:val="00803E35"/>
    <w:rsid w:val="00804614"/>
    <w:rsid w:val="00805698"/>
    <w:rsid w:val="00806F89"/>
    <w:rsid w:val="0080710A"/>
    <w:rsid w:val="00807F18"/>
    <w:rsid w:val="00814B62"/>
    <w:rsid w:val="00817C17"/>
    <w:rsid w:val="008200A9"/>
    <w:rsid w:val="008240CF"/>
    <w:rsid w:val="00827431"/>
    <w:rsid w:val="008319C0"/>
    <w:rsid w:val="00832865"/>
    <w:rsid w:val="008336DF"/>
    <w:rsid w:val="00833C5C"/>
    <w:rsid w:val="0084137B"/>
    <w:rsid w:val="0084140C"/>
    <w:rsid w:val="0084277B"/>
    <w:rsid w:val="00844370"/>
    <w:rsid w:val="00844ADD"/>
    <w:rsid w:val="00845DE0"/>
    <w:rsid w:val="00847212"/>
    <w:rsid w:val="00847D79"/>
    <w:rsid w:val="0085026F"/>
    <w:rsid w:val="00852321"/>
    <w:rsid w:val="00853B2A"/>
    <w:rsid w:val="008629BC"/>
    <w:rsid w:val="0086349C"/>
    <w:rsid w:val="008636F4"/>
    <w:rsid w:val="00863B77"/>
    <w:rsid w:val="0086405F"/>
    <w:rsid w:val="00864211"/>
    <w:rsid w:val="0087013E"/>
    <w:rsid w:val="008745C5"/>
    <w:rsid w:val="0087569B"/>
    <w:rsid w:val="00875879"/>
    <w:rsid w:val="00880887"/>
    <w:rsid w:val="0088296B"/>
    <w:rsid w:val="00882E32"/>
    <w:rsid w:val="0088317C"/>
    <w:rsid w:val="008832F8"/>
    <w:rsid w:val="00885705"/>
    <w:rsid w:val="00885972"/>
    <w:rsid w:val="00885C2E"/>
    <w:rsid w:val="00885C90"/>
    <w:rsid w:val="008878BB"/>
    <w:rsid w:val="00887F67"/>
    <w:rsid w:val="008944A4"/>
    <w:rsid w:val="00894EC0"/>
    <w:rsid w:val="0089666B"/>
    <w:rsid w:val="00897FD8"/>
    <w:rsid w:val="008A05B9"/>
    <w:rsid w:val="008A09C3"/>
    <w:rsid w:val="008A26BE"/>
    <w:rsid w:val="008A4D8A"/>
    <w:rsid w:val="008A7D6C"/>
    <w:rsid w:val="008B2B0A"/>
    <w:rsid w:val="008B2B78"/>
    <w:rsid w:val="008B7FC9"/>
    <w:rsid w:val="008C1687"/>
    <w:rsid w:val="008C16AA"/>
    <w:rsid w:val="008C1A5C"/>
    <w:rsid w:val="008C1D89"/>
    <w:rsid w:val="008C291E"/>
    <w:rsid w:val="008C29B3"/>
    <w:rsid w:val="008C72F2"/>
    <w:rsid w:val="008D0D8B"/>
    <w:rsid w:val="008D1783"/>
    <w:rsid w:val="008D185D"/>
    <w:rsid w:val="008D54BD"/>
    <w:rsid w:val="008D786E"/>
    <w:rsid w:val="008D7F0D"/>
    <w:rsid w:val="008E0025"/>
    <w:rsid w:val="008E1327"/>
    <w:rsid w:val="008E14F3"/>
    <w:rsid w:val="008E1B74"/>
    <w:rsid w:val="008E1C96"/>
    <w:rsid w:val="008E2C1C"/>
    <w:rsid w:val="008E561D"/>
    <w:rsid w:val="008E5FC4"/>
    <w:rsid w:val="008F1335"/>
    <w:rsid w:val="008F310A"/>
    <w:rsid w:val="008F4487"/>
    <w:rsid w:val="008F4D52"/>
    <w:rsid w:val="008F52DA"/>
    <w:rsid w:val="008F6CF0"/>
    <w:rsid w:val="009009E2"/>
    <w:rsid w:val="00901912"/>
    <w:rsid w:val="00902444"/>
    <w:rsid w:val="00902C00"/>
    <w:rsid w:val="00902DDE"/>
    <w:rsid w:val="00904AA2"/>
    <w:rsid w:val="00904E67"/>
    <w:rsid w:val="00906EC8"/>
    <w:rsid w:val="00910815"/>
    <w:rsid w:val="00912F55"/>
    <w:rsid w:val="009131E9"/>
    <w:rsid w:val="00914C0B"/>
    <w:rsid w:val="00915AAD"/>
    <w:rsid w:val="00916BB6"/>
    <w:rsid w:val="009177EC"/>
    <w:rsid w:val="009219C4"/>
    <w:rsid w:val="00923040"/>
    <w:rsid w:val="0092378A"/>
    <w:rsid w:val="009259A0"/>
    <w:rsid w:val="00925ACE"/>
    <w:rsid w:val="00925ECC"/>
    <w:rsid w:val="00926427"/>
    <w:rsid w:val="0092642E"/>
    <w:rsid w:val="00926D97"/>
    <w:rsid w:val="009302BC"/>
    <w:rsid w:val="00931201"/>
    <w:rsid w:val="0093444C"/>
    <w:rsid w:val="00935B44"/>
    <w:rsid w:val="00935E3F"/>
    <w:rsid w:val="00936294"/>
    <w:rsid w:val="009409F3"/>
    <w:rsid w:val="00940D89"/>
    <w:rsid w:val="009410A9"/>
    <w:rsid w:val="00942C63"/>
    <w:rsid w:val="00945051"/>
    <w:rsid w:val="00945358"/>
    <w:rsid w:val="00945AF4"/>
    <w:rsid w:val="00946A7E"/>
    <w:rsid w:val="00947E81"/>
    <w:rsid w:val="00951302"/>
    <w:rsid w:val="00951A42"/>
    <w:rsid w:val="00954918"/>
    <w:rsid w:val="009558AA"/>
    <w:rsid w:val="00955929"/>
    <w:rsid w:val="009568A9"/>
    <w:rsid w:val="00956FE1"/>
    <w:rsid w:val="0095738B"/>
    <w:rsid w:val="009576EB"/>
    <w:rsid w:val="00960234"/>
    <w:rsid w:val="00962B43"/>
    <w:rsid w:val="00962E55"/>
    <w:rsid w:val="009643DC"/>
    <w:rsid w:val="00964546"/>
    <w:rsid w:val="00966217"/>
    <w:rsid w:val="00966594"/>
    <w:rsid w:val="00971B6E"/>
    <w:rsid w:val="00974095"/>
    <w:rsid w:val="00975797"/>
    <w:rsid w:val="009775A8"/>
    <w:rsid w:val="009778AF"/>
    <w:rsid w:val="00981E81"/>
    <w:rsid w:val="0098485B"/>
    <w:rsid w:val="00985530"/>
    <w:rsid w:val="00991451"/>
    <w:rsid w:val="00991C68"/>
    <w:rsid w:val="00992A5A"/>
    <w:rsid w:val="00993FA2"/>
    <w:rsid w:val="00994187"/>
    <w:rsid w:val="0099431C"/>
    <w:rsid w:val="009A2BD7"/>
    <w:rsid w:val="009A30CF"/>
    <w:rsid w:val="009A423D"/>
    <w:rsid w:val="009B1578"/>
    <w:rsid w:val="009B1603"/>
    <w:rsid w:val="009B2FA6"/>
    <w:rsid w:val="009B7408"/>
    <w:rsid w:val="009C124C"/>
    <w:rsid w:val="009C26AF"/>
    <w:rsid w:val="009C2F65"/>
    <w:rsid w:val="009C3C04"/>
    <w:rsid w:val="009C6A8B"/>
    <w:rsid w:val="009C7817"/>
    <w:rsid w:val="009C789C"/>
    <w:rsid w:val="009C790D"/>
    <w:rsid w:val="009D0848"/>
    <w:rsid w:val="009D229C"/>
    <w:rsid w:val="009D35BB"/>
    <w:rsid w:val="009D3668"/>
    <w:rsid w:val="009D368B"/>
    <w:rsid w:val="009D4A51"/>
    <w:rsid w:val="009D6531"/>
    <w:rsid w:val="009E03D7"/>
    <w:rsid w:val="009E6513"/>
    <w:rsid w:val="009E6A3B"/>
    <w:rsid w:val="009F2D0E"/>
    <w:rsid w:val="009F4AB9"/>
    <w:rsid w:val="009F4C91"/>
    <w:rsid w:val="009F508A"/>
    <w:rsid w:val="009F726A"/>
    <w:rsid w:val="009F774D"/>
    <w:rsid w:val="00A015E7"/>
    <w:rsid w:val="00A02DEB"/>
    <w:rsid w:val="00A043AB"/>
    <w:rsid w:val="00A053F2"/>
    <w:rsid w:val="00A0592D"/>
    <w:rsid w:val="00A05B9B"/>
    <w:rsid w:val="00A07C79"/>
    <w:rsid w:val="00A10199"/>
    <w:rsid w:val="00A10666"/>
    <w:rsid w:val="00A10826"/>
    <w:rsid w:val="00A1102C"/>
    <w:rsid w:val="00A119CA"/>
    <w:rsid w:val="00A132F7"/>
    <w:rsid w:val="00A137E5"/>
    <w:rsid w:val="00A17FE5"/>
    <w:rsid w:val="00A217B8"/>
    <w:rsid w:val="00A21EA3"/>
    <w:rsid w:val="00A21F86"/>
    <w:rsid w:val="00A2317C"/>
    <w:rsid w:val="00A26153"/>
    <w:rsid w:val="00A26F7E"/>
    <w:rsid w:val="00A315A3"/>
    <w:rsid w:val="00A33F62"/>
    <w:rsid w:val="00A33FA8"/>
    <w:rsid w:val="00A3538F"/>
    <w:rsid w:val="00A363CE"/>
    <w:rsid w:val="00A41A39"/>
    <w:rsid w:val="00A41B3B"/>
    <w:rsid w:val="00A42FC8"/>
    <w:rsid w:val="00A44877"/>
    <w:rsid w:val="00A450AA"/>
    <w:rsid w:val="00A45993"/>
    <w:rsid w:val="00A5106B"/>
    <w:rsid w:val="00A5162E"/>
    <w:rsid w:val="00A51688"/>
    <w:rsid w:val="00A5393E"/>
    <w:rsid w:val="00A543C2"/>
    <w:rsid w:val="00A5476E"/>
    <w:rsid w:val="00A548A2"/>
    <w:rsid w:val="00A578D9"/>
    <w:rsid w:val="00A60BF2"/>
    <w:rsid w:val="00A62275"/>
    <w:rsid w:val="00A628A4"/>
    <w:rsid w:val="00A637FA"/>
    <w:rsid w:val="00A63851"/>
    <w:rsid w:val="00A63B6E"/>
    <w:rsid w:val="00A64C83"/>
    <w:rsid w:val="00A658AD"/>
    <w:rsid w:val="00A65DDC"/>
    <w:rsid w:val="00A708BA"/>
    <w:rsid w:val="00A720A3"/>
    <w:rsid w:val="00A73485"/>
    <w:rsid w:val="00A73DEE"/>
    <w:rsid w:val="00A74030"/>
    <w:rsid w:val="00A74097"/>
    <w:rsid w:val="00A743EB"/>
    <w:rsid w:val="00A74631"/>
    <w:rsid w:val="00A74FBF"/>
    <w:rsid w:val="00A75960"/>
    <w:rsid w:val="00A76B98"/>
    <w:rsid w:val="00A840C7"/>
    <w:rsid w:val="00A85910"/>
    <w:rsid w:val="00A859C5"/>
    <w:rsid w:val="00A85B85"/>
    <w:rsid w:val="00A85BBC"/>
    <w:rsid w:val="00A86D0F"/>
    <w:rsid w:val="00A86F0B"/>
    <w:rsid w:val="00A904BC"/>
    <w:rsid w:val="00A91718"/>
    <w:rsid w:val="00AA011F"/>
    <w:rsid w:val="00AA076C"/>
    <w:rsid w:val="00AA0861"/>
    <w:rsid w:val="00AA0AA8"/>
    <w:rsid w:val="00AA1F14"/>
    <w:rsid w:val="00AA3A1F"/>
    <w:rsid w:val="00AA5D5E"/>
    <w:rsid w:val="00AA7DD5"/>
    <w:rsid w:val="00AB004A"/>
    <w:rsid w:val="00AB0A9C"/>
    <w:rsid w:val="00AB1646"/>
    <w:rsid w:val="00AB25F0"/>
    <w:rsid w:val="00AB535E"/>
    <w:rsid w:val="00AB5C59"/>
    <w:rsid w:val="00AB6FD9"/>
    <w:rsid w:val="00AC115D"/>
    <w:rsid w:val="00AC2BDF"/>
    <w:rsid w:val="00AC2C65"/>
    <w:rsid w:val="00AC3624"/>
    <w:rsid w:val="00AC4C2C"/>
    <w:rsid w:val="00AC5183"/>
    <w:rsid w:val="00AC7ACF"/>
    <w:rsid w:val="00AD13C2"/>
    <w:rsid w:val="00AD245A"/>
    <w:rsid w:val="00AD2F83"/>
    <w:rsid w:val="00AD5769"/>
    <w:rsid w:val="00AD5857"/>
    <w:rsid w:val="00AE4778"/>
    <w:rsid w:val="00AE4999"/>
    <w:rsid w:val="00AE4A40"/>
    <w:rsid w:val="00AE7D36"/>
    <w:rsid w:val="00AF2B20"/>
    <w:rsid w:val="00AF3537"/>
    <w:rsid w:val="00AF4114"/>
    <w:rsid w:val="00AF483E"/>
    <w:rsid w:val="00AF5E95"/>
    <w:rsid w:val="00B031BF"/>
    <w:rsid w:val="00B05357"/>
    <w:rsid w:val="00B054F6"/>
    <w:rsid w:val="00B058BF"/>
    <w:rsid w:val="00B05E1C"/>
    <w:rsid w:val="00B06647"/>
    <w:rsid w:val="00B069F5"/>
    <w:rsid w:val="00B07719"/>
    <w:rsid w:val="00B07DF0"/>
    <w:rsid w:val="00B11327"/>
    <w:rsid w:val="00B12F2C"/>
    <w:rsid w:val="00B1521F"/>
    <w:rsid w:val="00B16948"/>
    <w:rsid w:val="00B2008D"/>
    <w:rsid w:val="00B20973"/>
    <w:rsid w:val="00B20C47"/>
    <w:rsid w:val="00B22DE1"/>
    <w:rsid w:val="00B22E39"/>
    <w:rsid w:val="00B254E0"/>
    <w:rsid w:val="00B25E3F"/>
    <w:rsid w:val="00B26A53"/>
    <w:rsid w:val="00B3040B"/>
    <w:rsid w:val="00B30B84"/>
    <w:rsid w:val="00B333AB"/>
    <w:rsid w:val="00B3406F"/>
    <w:rsid w:val="00B36221"/>
    <w:rsid w:val="00B417DD"/>
    <w:rsid w:val="00B42EFF"/>
    <w:rsid w:val="00B44D6C"/>
    <w:rsid w:val="00B44DAD"/>
    <w:rsid w:val="00B46F17"/>
    <w:rsid w:val="00B47F8F"/>
    <w:rsid w:val="00B51274"/>
    <w:rsid w:val="00B531EC"/>
    <w:rsid w:val="00B53370"/>
    <w:rsid w:val="00B54CE2"/>
    <w:rsid w:val="00B56F52"/>
    <w:rsid w:val="00B57862"/>
    <w:rsid w:val="00B578CF"/>
    <w:rsid w:val="00B62B87"/>
    <w:rsid w:val="00B6369D"/>
    <w:rsid w:val="00B657C1"/>
    <w:rsid w:val="00B65AF4"/>
    <w:rsid w:val="00B66949"/>
    <w:rsid w:val="00B673C0"/>
    <w:rsid w:val="00B703C5"/>
    <w:rsid w:val="00B70C71"/>
    <w:rsid w:val="00B740AA"/>
    <w:rsid w:val="00B7794F"/>
    <w:rsid w:val="00B80514"/>
    <w:rsid w:val="00B82B5C"/>
    <w:rsid w:val="00B836FA"/>
    <w:rsid w:val="00B866E8"/>
    <w:rsid w:val="00B871E3"/>
    <w:rsid w:val="00B878FC"/>
    <w:rsid w:val="00B90217"/>
    <w:rsid w:val="00B90644"/>
    <w:rsid w:val="00B9448F"/>
    <w:rsid w:val="00B95902"/>
    <w:rsid w:val="00B95D80"/>
    <w:rsid w:val="00B97169"/>
    <w:rsid w:val="00BA0F63"/>
    <w:rsid w:val="00BA173B"/>
    <w:rsid w:val="00BA3C38"/>
    <w:rsid w:val="00BA42B5"/>
    <w:rsid w:val="00BA4925"/>
    <w:rsid w:val="00BA4A40"/>
    <w:rsid w:val="00BA5A6A"/>
    <w:rsid w:val="00BA7552"/>
    <w:rsid w:val="00BA7B7E"/>
    <w:rsid w:val="00BB06E7"/>
    <w:rsid w:val="00BB6A0B"/>
    <w:rsid w:val="00BB753C"/>
    <w:rsid w:val="00BB79E7"/>
    <w:rsid w:val="00BC0722"/>
    <w:rsid w:val="00BC3F21"/>
    <w:rsid w:val="00BC5196"/>
    <w:rsid w:val="00BC5789"/>
    <w:rsid w:val="00BC6085"/>
    <w:rsid w:val="00BC7670"/>
    <w:rsid w:val="00BD16AB"/>
    <w:rsid w:val="00BD1F50"/>
    <w:rsid w:val="00BD7D7E"/>
    <w:rsid w:val="00BE13C9"/>
    <w:rsid w:val="00BE20FD"/>
    <w:rsid w:val="00BE4FE5"/>
    <w:rsid w:val="00BE7A5D"/>
    <w:rsid w:val="00BF0825"/>
    <w:rsid w:val="00BF16CC"/>
    <w:rsid w:val="00BF3AE7"/>
    <w:rsid w:val="00BF6332"/>
    <w:rsid w:val="00C04FB0"/>
    <w:rsid w:val="00C066DA"/>
    <w:rsid w:val="00C07B22"/>
    <w:rsid w:val="00C07C20"/>
    <w:rsid w:val="00C1032B"/>
    <w:rsid w:val="00C139EC"/>
    <w:rsid w:val="00C13C59"/>
    <w:rsid w:val="00C14B4D"/>
    <w:rsid w:val="00C15E2C"/>
    <w:rsid w:val="00C2099B"/>
    <w:rsid w:val="00C25A86"/>
    <w:rsid w:val="00C25C03"/>
    <w:rsid w:val="00C25DEC"/>
    <w:rsid w:val="00C31E5E"/>
    <w:rsid w:val="00C32D74"/>
    <w:rsid w:val="00C32DC1"/>
    <w:rsid w:val="00C338A4"/>
    <w:rsid w:val="00C33B1E"/>
    <w:rsid w:val="00C33C71"/>
    <w:rsid w:val="00C33CB0"/>
    <w:rsid w:val="00C3499E"/>
    <w:rsid w:val="00C35961"/>
    <w:rsid w:val="00C37657"/>
    <w:rsid w:val="00C4029C"/>
    <w:rsid w:val="00C42A7C"/>
    <w:rsid w:val="00C4308F"/>
    <w:rsid w:val="00C43372"/>
    <w:rsid w:val="00C443FE"/>
    <w:rsid w:val="00C44AF5"/>
    <w:rsid w:val="00C457A4"/>
    <w:rsid w:val="00C47656"/>
    <w:rsid w:val="00C47FDC"/>
    <w:rsid w:val="00C51252"/>
    <w:rsid w:val="00C512D4"/>
    <w:rsid w:val="00C516A5"/>
    <w:rsid w:val="00C520A8"/>
    <w:rsid w:val="00C536AD"/>
    <w:rsid w:val="00C55641"/>
    <w:rsid w:val="00C55717"/>
    <w:rsid w:val="00C5575A"/>
    <w:rsid w:val="00C55A90"/>
    <w:rsid w:val="00C56082"/>
    <w:rsid w:val="00C5656A"/>
    <w:rsid w:val="00C573A8"/>
    <w:rsid w:val="00C614AB"/>
    <w:rsid w:val="00C62275"/>
    <w:rsid w:val="00C6230C"/>
    <w:rsid w:val="00C6554C"/>
    <w:rsid w:val="00C66F7B"/>
    <w:rsid w:val="00C67A41"/>
    <w:rsid w:val="00C67B23"/>
    <w:rsid w:val="00C70631"/>
    <w:rsid w:val="00C746D0"/>
    <w:rsid w:val="00C764BA"/>
    <w:rsid w:val="00C77133"/>
    <w:rsid w:val="00C7717B"/>
    <w:rsid w:val="00C77E82"/>
    <w:rsid w:val="00C804E3"/>
    <w:rsid w:val="00C80831"/>
    <w:rsid w:val="00C80FAE"/>
    <w:rsid w:val="00C81B9B"/>
    <w:rsid w:val="00C81EC3"/>
    <w:rsid w:val="00C8306E"/>
    <w:rsid w:val="00C83549"/>
    <w:rsid w:val="00C8419F"/>
    <w:rsid w:val="00C85F38"/>
    <w:rsid w:val="00C86702"/>
    <w:rsid w:val="00C90F23"/>
    <w:rsid w:val="00C96C92"/>
    <w:rsid w:val="00C96D89"/>
    <w:rsid w:val="00CA1768"/>
    <w:rsid w:val="00CA6191"/>
    <w:rsid w:val="00CB0483"/>
    <w:rsid w:val="00CB1BAA"/>
    <w:rsid w:val="00CB21EA"/>
    <w:rsid w:val="00CB270B"/>
    <w:rsid w:val="00CB3E65"/>
    <w:rsid w:val="00CC016F"/>
    <w:rsid w:val="00CC16D3"/>
    <w:rsid w:val="00CC4081"/>
    <w:rsid w:val="00CC415B"/>
    <w:rsid w:val="00CC4B13"/>
    <w:rsid w:val="00CC62D1"/>
    <w:rsid w:val="00CC690A"/>
    <w:rsid w:val="00CC7E39"/>
    <w:rsid w:val="00CD0B3E"/>
    <w:rsid w:val="00CD215F"/>
    <w:rsid w:val="00CD2270"/>
    <w:rsid w:val="00CD5A24"/>
    <w:rsid w:val="00CD5F0A"/>
    <w:rsid w:val="00CD676B"/>
    <w:rsid w:val="00CE0EF4"/>
    <w:rsid w:val="00CE1971"/>
    <w:rsid w:val="00CE46ED"/>
    <w:rsid w:val="00CE4D06"/>
    <w:rsid w:val="00CE61A1"/>
    <w:rsid w:val="00CF0A1A"/>
    <w:rsid w:val="00CF2166"/>
    <w:rsid w:val="00CF3292"/>
    <w:rsid w:val="00CF4262"/>
    <w:rsid w:val="00CF4D0C"/>
    <w:rsid w:val="00CF6538"/>
    <w:rsid w:val="00CF6727"/>
    <w:rsid w:val="00CF6A45"/>
    <w:rsid w:val="00CF75BD"/>
    <w:rsid w:val="00CF7D52"/>
    <w:rsid w:val="00CF7E7B"/>
    <w:rsid w:val="00D00D20"/>
    <w:rsid w:val="00D01FD1"/>
    <w:rsid w:val="00D02EEE"/>
    <w:rsid w:val="00D0380F"/>
    <w:rsid w:val="00D05A61"/>
    <w:rsid w:val="00D05B0F"/>
    <w:rsid w:val="00D062CF"/>
    <w:rsid w:val="00D06A1A"/>
    <w:rsid w:val="00D0793F"/>
    <w:rsid w:val="00D10EC5"/>
    <w:rsid w:val="00D13B80"/>
    <w:rsid w:val="00D14F7F"/>
    <w:rsid w:val="00D152C1"/>
    <w:rsid w:val="00D1556A"/>
    <w:rsid w:val="00D15DE4"/>
    <w:rsid w:val="00D16819"/>
    <w:rsid w:val="00D200FB"/>
    <w:rsid w:val="00D20627"/>
    <w:rsid w:val="00D21AD0"/>
    <w:rsid w:val="00D21C43"/>
    <w:rsid w:val="00D239D4"/>
    <w:rsid w:val="00D25434"/>
    <w:rsid w:val="00D2695E"/>
    <w:rsid w:val="00D26A78"/>
    <w:rsid w:val="00D26ACB"/>
    <w:rsid w:val="00D27E67"/>
    <w:rsid w:val="00D31231"/>
    <w:rsid w:val="00D32D80"/>
    <w:rsid w:val="00D3512E"/>
    <w:rsid w:val="00D363DC"/>
    <w:rsid w:val="00D36AE0"/>
    <w:rsid w:val="00D36ECA"/>
    <w:rsid w:val="00D37A6A"/>
    <w:rsid w:val="00D40709"/>
    <w:rsid w:val="00D422B1"/>
    <w:rsid w:val="00D43E08"/>
    <w:rsid w:val="00D44E4D"/>
    <w:rsid w:val="00D454C5"/>
    <w:rsid w:val="00D463F9"/>
    <w:rsid w:val="00D470B7"/>
    <w:rsid w:val="00D505B2"/>
    <w:rsid w:val="00D529DD"/>
    <w:rsid w:val="00D52A46"/>
    <w:rsid w:val="00D532C3"/>
    <w:rsid w:val="00D55227"/>
    <w:rsid w:val="00D57C71"/>
    <w:rsid w:val="00D57EC3"/>
    <w:rsid w:val="00D604FF"/>
    <w:rsid w:val="00D607C8"/>
    <w:rsid w:val="00D6125C"/>
    <w:rsid w:val="00D61F3B"/>
    <w:rsid w:val="00D634D5"/>
    <w:rsid w:val="00D63A89"/>
    <w:rsid w:val="00D63C1F"/>
    <w:rsid w:val="00D644E1"/>
    <w:rsid w:val="00D66755"/>
    <w:rsid w:val="00D67C92"/>
    <w:rsid w:val="00D70701"/>
    <w:rsid w:val="00D70A8C"/>
    <w:rsid w:val="00D740D4"/>
    <w:rsid w:val="00D75015"/>
    <w:rsid w:val="00D7591F"/>
    <w:rsid w:val="00D77188"/>
    <w:rsid w:val="00D77735"/>
    <w:rsid w:val="00D77AA7"/>
    <w:rsid w:val="00D80EBA"/>
    <w:rsid w:val="00D81E01"/>
    <w:rsid w:val="00D825DC"/>
    <w:rsid w:val="00D82CCE"/>
    <w:rsid w:val="00D82E6C"/>
    <w:rsid w:val="00D83EFA"/>
    <w:rsid w:val="00D84719"/>
    <w:rsid w:val="00D84C84"/>
    <w:rsid w:val="00D855C6"/>
    <w:rsid w:val="00D85F78"/>
    <w:rsid w:val="00D8765D"/>
    <w:rsid w:val="00D90A58"/>
    <w:rsid w:val="00D91C0C"/>
    <w:rsid w:val="00D94211"/>
    <w:rsid w:val="00D94E92"/>
    <w:rsid w:val="00D95129"/>
    <w:rsid w:val="00D95490"/>
    <w:rsid w:val="00DA2E46"/>
    <w:rsid w:val="00DA3D83"/>
    <w:rsid w:val="00DA433B"/>
    <w:rsid w:val="00DA49EE"/>
    <w:rsid w:val="00DA4C2C"/>
    <w:rsid w:val="00DA5739"/>
    <w:rsid w:val="00DA6A61"/>
    <w:rsid w:val="00DA6B55"/>
    <w:rsid w:val="00DA6D08"/>
    <w:rsid w:val="00DA792D"/>
    <w:rsid w:val="00DB0AA0"/>
    <w:rsid w:val="00DB0CA7"/>
    <w:rsid w:val="00DB1FFB"/>
    <w:rsid w:val="00DB3559"/>
    <w:rsid w:val="00DB4B46"/>
    <w:rsid w:val="00DB69FD"/>
    <w:rsid w:val="00DB79F4"/>
    <w:rsid w:val="00DB7AAA"/>
    <w:rsid w:val="00DC1849"/>
    <w:rsid w:val="00DC1B1B"/>
    <w:rsid w:val="00DC1C8E"/>
    <w:rsid w:val="00DC4CA3"/>
    <w:rsid w:val="00DC7E2A"/>
    <w:rsid w:val="00DD0172"/>
    <w:rsid w:val="00DD13A0"/>
    <w:rsid w:val="00DD48B2"/>
    <w:rsid w:val="00DD6AD6"/>
    <w:rsid w:val="00DD6D7F"/>
    <w:rsid w:val="00DD7208"/>
    <w:rsid w:val="00DD7218"/>
    <w:rsid w:val="00DD7E5D"/>
    <w:rsid w:val="00DE1288"/>
    <w:rsid w:val="00DE1B15"/>
    <w:rsid w:val="00DE28A4"/>
    <w:rsid w:val="00DE3444"/>
    <w:rsid w:val="00DE6283"/>
    <w:rsid w:val="00DF04B2"/>
    <w:rsid w:val="00DF0DBF"/>
    <w:rsid w:val="00DF1558"/>
    <w:rsid w:val="00DF16C3"/>
    <w:rsid w:val="00DF44D0"/>
    <w:rsid w:val="00DF5AE6"/>
    <w:rsid w:val="00E01F56"/>
    <w:rsid w:val="00E02678"/>
    <w:rsid w:val="00E02E2E"/>
    <w:rsid w:val="00E049C2"/>
    <w:rsid w:val="00E05EEA"/>
    <w:rsid w:val="00E070B9"/>
    <w:rsid w:val="00E0723D"/>
    <w:rsid w:val="00E1186E"/>
    <w:rsid w:val="00E13F36"/>
    <w:rsid w:val="00E14420"/>
    <w:rsid w:val="00E1462C"/>
    <w:rsid w:val="00E15099"/>
    <w:rsid w:val="00E15ACD"/>
    <w:rsid w:val="00E2148D"/>
    <w:rsid w:val="00E2328D"/>
    <w:rsid w:val="00E24398"/>
    <w:rsid w:val="00E27620"/>
    <w:rsid w:val="00E27A65"/>
    <w:rsid w:val="00E27C27"/>
    <w:rsid w:val="00E30E9F"/>
    <w:rsid w:val="00E30F6B"/>
    <w:rsid w:val="00E31B93"/>
    <w:rsid w:val="00E32365"/>
    <w:rsid w:val="00E33AA2"/>
    <w:rsid w:val="00E405A2"/>
    <w:rsid w:val="00E406E3"/>
    <w:rsid w:val="00E43CF2"/>
    <w:rsid w:val="00E45ACF"/>
    <w:rsid w:val="00E461AF"/>
    <w:rsid w:val="00E46270"/>
    <w:rsid w:val="00E4664B"/>
    <w:rsid w:val="00E4741F"/>
    <w:rsid w:val="00E54F62"/>
    <w:rsid w:val="00E56369"/>
    <w:rsid w:val="00E56E8D"/>
    <w:rsid w:val="00E56F3A"/>
    <w:rsid w:val="00E57DBF"/>
    <w:rsid w:val="00E60FB6"/>
    <w:rsid w:val="00E6118A"/>
    <w:rsid w:val="00E6138D"/>
    <w:rsid w:val="00E6197F"/>
    <w:rsid w:val="00E62AC7"/>
    <w:rsid w:val="00E635D2"/>
    <w:rsid w:val="00E63D57"/>
    <w:rsid w:val="00E6651B"/>
    <w:rsid w:val="00E70A68"/>
    <w:rsid w:val="00E70C28"/>
    <w:rsid w:val="00E7169F"/>
    <w:rsid w:val="00E7215E"/>
    <w:rsid w:val="00E7363E"/>
    <w:rsid w:val="00E73B78"/>
    <w:rsid w:val="00E7584C"/>
    <w:rsid w:val="00E75857"/>
    <w:rsid w:val="00E804B5"/>
    <w:rsid w:val="00E80D20"/>
    <w:rsid w:val="00E8143F"/>
    <w:rsid w:val="00E82A25"/>
    <w:rsid w:val="00E82C8E"/>
    <w:rsid w:val="00E837E4"/>
    <w:rsid w:val="00E84C04"/>
    <w:rsid w:val="00E85375"/>
    <w:rsid w:val="00E874EC"/>
    <w:rsid w:val="00E87C65"/>
    <w:rsid w:val="00E90C9C"/>
    <w:rsid w:val="00E93915"/>
    <w:rsid w:val="00E939DB"/>
    <w:rsid w:val="00E93A12"/>
    <w:rsid w:val="00E95164"/>
    <w:rsid w:val="00E964EB"/>
    <w:rsid w:val="00E96B62"/>
    <w:rsid w:val="00E97682"/>
    <w:rsid w:val="00E97BF8"/>
    <w:rsid w:val="00E97E5F"/>
    <w:rsid w:val="00EA0622"/>
    <w:rsid w:val="00EA16B9"/>
    <w:rsid w:val="00EA35CF"/>
    <w:rsid w:val="00EA6D89"/>
    <w:rsid w:val="00EA7CFF"/>
    <w:rsid w:val="00EB72C2"/>
    <w:rsid w:val="00EC1883"/>
    <w:rsid w:val="00EC1D33"/>
    <w:rsid w:val="00EC1E69"/>
    <w:rsid w:val="00EC32DB"/>
    <w:rsid w:val="00EC421C"/>
    <w:rsid w:val="00EC4D9E"/>
    <w:rsid w:val="00EC5249"/>
    <w:rsid w:val="00EC58D3"/>
    <w:rsid w:val="00EC7108"/>
    <w:rsid w:val="00EC7C8D"/>
    <w:rsid w:val="00ED0C32"/>
    <w:rsid w:val="00ED2A6F"/>
    <w:rsid w:val="00ED41E8"/>
    <w:rsid w:val="00ED49C1"/>
    <w:rsid w:val="00ED58AC"/>
    <w:rsid w:val="00ED66A0"/>
    <w:rsid w:val="00ED79F3"/>
    <w:rsid w:val="00EE1110"/>
    <w:rsid w:val="00EE1617"/>
    <w:rsid w:val="00EE1A7D"/>
    <w:rsid w:val="00EE2458"/>
    <w:rsid w:val="00EE2B85"/>
    <w:rsid w:val="00EE313D"/>
    <w:rsid w:val="00EF2767"/>
    <w:rsid w:val="00EF2934"/>
    <w:rsid w:val="00EF2E60"/>
    <w:rsid w:val="00EF2FC8"/>
    <w:rsid w:val="00EF3F6D"/>
    <w:rsid w:val="00EF43CB"/>
    <w:rsid w:val="00EF5A4A"/>
    <w:rsid w:val="00EF662B"/>
    <w:rsid w:val="00EF6B69"/>
    <w:rsid w:val="00EF6E6C"/>
    <w:rsid w:val="00EF759F"/>
    <w:rsid w:val="00F012DA"/>
    <w:rsid w:val="00F02B65"/>
    <w:rsid w:val="00F03224"/>
    <w:rsid w:val="00F03489"/>
    <w:rsid w:val="00F03ABD"/>
    <w:rsid w:val="00F0565D"/>
    <w:rsid w:val="00F0688F"/>
    <w:rsid w:val="00F06CEB"/>
    <w:rsid w:val="00F06CFE"/>
    <w:rsid w:val="00F06F08"/>
    <w:rsid w:val="00F07259"/>
    <w:rsid w:val="00F0731D"/>
    <w:rsid w:val="00F076B3"/>
    <w:rsid w:val="00F105B8"/>
    <w:rsid w:val="00F10959"/>
    <w:rsid w:val="00F14A8D"/>
    <w:rsid w:val="00F14CC8"/>
    <w:rsid w:val="00F16EBB"/>
    <w:rsid w:val="00F20292"/>
    <w:rsid w:val="00F20689"/>
    <w:rsid w:val="00F216A6"/>
    <w:rsid w:val="00F21C37"/>
    <w:rsid w:val="00F21C9F"/>
    <w:rsid w:val="00F23C0F"/>
    <w:rsid w:val="00F2636C"/>
    <w:rsid w:val="00F30D25"/>
    <w:rsid w:val="00F3204C"/>
    <w:rsid w:val="00F35F82"/>
    <w:rsid w:val="00F36C78"/>
    <w:rsid w:val="00F3712D"/>
    <w:rsid w:val="00F37D3E"/>
    <w:rsid w:val="00F37E5D"/>
    <w:rsid w:val="00F40295"/>
    <w:rsid w:val="00F40395"/>
    <w:rsid w:val="00F40FAE"/>
    <w:rsid w:val="00F41E59"/>
    <w:rsid w:val="00F42147"/>
    <w:rsid w:val="00F428DA"/>
    <w:rsid w:val="00F4574D"/>
    <w:rsid w:val="00F46592"/>
    <w:rsid w:val="00F469C4"/>
    <w:rsid w:val="00F46D94"/>
    <w:rsid w:val="00F5000A"/>
    <w:rsid w:val="00F50B95"/>
    <w:rsid w:val="00F50BC6"/>
    <w:rsid w:val="00F50CC8"/>
    <w:rsid w:val="00F528B1"/>
    <w:rsid w:val="00F52CDB"/>
    <w:rsid w:val="00F54A12"/>
    <w:rsid w:val="00F54F0F"/>
    <w:rsid w:val="00F54F27"/>
    <w:rsid w:val="00F55501"/>
    <w:rsid w:val="00F55CA6"/>
    <w:rsid w:val="00F56E02"/>
    <w:rsid w:val="00F56E2F"/>
    <w:rsid w:val="00F56F11"/>
    <w:rsid w:val="00F56FB7"/>
    <w:rsid w:val="00F574D5"/>
    <w:rsid w:val="00F60B4B"/>
    <w:rsid w:val="00F60D52"/>
    <w:rsid w:val="00F6111D"/>
    <w:rsid w:val="00F61FC1"/>
    <w:rsid w:val="00F6236F"/>
    <w:rsid w:val="00F635B8"/>
    <w:rsid w:val="00F638BA"/>
    <w:rsid w:val="00F6469B"/>
    <w:rsid w:val="00F646BF"/>
    <w:rsid w:val="00F6529B"/>
    <w:rsid w:val="00F66763"/>
    <w:rsid w:val="00F66D57"/>
    <w:rsid w:val="00F702F8"/>
    <w:rsid w:val="00F713B1"/>
    <w:rsid w:val="00F7196E"/>
    <w:rsid w:val="00F73A44"/>
    <w:rsid w:val="00F7426B"/>
    <w:rsid w:val="00F81043"/>
    <w:rsid w:val="00F818D3"/>
    <w:rsid w:val="00F842F1"/>
    <w:rsid w:val="00F86A85"/>
    <w:rsid w:val="00F874EE"/>
    <w:rsid w:val="00F949F5"/>
    <w:rsid w:val="00F9655B"/>
    <w:rsid w:val="00F9719C"/>
    <w:rsid w:val="00F974B0"/>
    <w:rsid w:val="00FA0808"/>
    <w:rsid w:val="00FA3FD2"/>
    <w:rsid w:val="00FA440A"/>
    <w:rsid w:val="00FA7119"/>
    <w:rsid w:val="00FB3692"/>
    <w:rsid w:val="00FB3F67"/>
    <w:rsid w:val="00FB4671"/>
    <w:rsid w:val="00FB54F7"/>
    <w:rsid w:val="00FB5FED"/>
    <w:rsid w:val="00FB6693"/>
    <w:rsid w:val="00FB7457"/>
    <w:rsid w:val="00FC1764"/>
    <w:rsid w:val="00FC2720"/>
    <w:rsid w:val="00FC39A1"/>
    <w:rsid w:val="00FC484C"/>
    <w:rsid w:val="00FC490E"/>
    <w:rsid w:val="00FC5A96"/>
    <w:rsid w:val="00FC6FAA"/>
    <w:rsid w:val="00FC7654"/>
    <w:rsid w:val="00FD133E"/>
    <w:rsid w:val="00FD14AD"/>
    <w:rsid w:val="00FD195C"/>
    <w:rsid w:val="00FD2504"/>
    <w:rsid w:val="00FD50DD"/>
    <w:rsid w:val="00FD55F3"/>
    <w:rsid w:val="00FD6DC0"/>
    <w:rsid w:val="00FD70FA"/>
    <w:rsid w:val="00FE09E5"/>
    <w:rsid w:val="00FE1863"/>
    <w:rsid w:val="00FE2757"/>
    <w:rsid w:val="00FE4A9C"/>
    <w:rsid w:val="00FE5110"/>
    <w:rsid w:val="00FE58D1"/>
    <w:rsid w:val="00FE6BAD"/>
    <w:rsid w:val="00FE6D57"/>
    <w:rsid w:val="00FE7FAA"/>
    <w:rsid w:val="00FF1CA9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F5A9"/>
  <w15:docId w15:val="{31214ABE-ECF6-4EB3-87AD-15C94251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B13"/>
    <w:pPr>
      <w:spacing w:after="0" w:line="240" w:lineRule="auto"/>
    </w:pPr>
    <w:rPr>
      <w:rFonts w:ascii="Segoe Condensed" w:eastAsia="Times New Roman" w:hAnsi="Segoe Condense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93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7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93F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67189"/>
    <w:rPr>
      <w:rFonts w:ascii="Times New Roman" w:eastAsiaTheme="minorHAnsi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718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71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0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80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808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0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6118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7B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D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D3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127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ListTable3-Accent31">
    <w:name w:val="List Table 3 - Accent 31"/>
    <w:basedOn w:val="TableNormal"/>
    <w:uiPriority w:val="48"/>
    <w:rsid w:val="00894EC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ustomXml" Target="../customXml/item4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cancho@worldbank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b416046\AppData\Local\Microsoft\Windows\INetCache\Content.Outlook\8PO8GZVG\20190326%20ARM%20PIT%20Simulation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b416046\AppData\Local\Microsoft\Windows\INetCache\Content.Outlook\8PO8GZVG\20190326%20ARM%20PIT%20Simulation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b416046\AppData\Local\Microsoft\Windows\INetCache\Content.Outlook\8PO8GZVG\20190326%20ARM%20PIT%20Simulation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WB526693\Documents\WORK\WORLD%20BANK\POV%20CEQ%20Armenia\Other%20requests\PIT%20Simulations\20190310%20ARM%20PIT%20Simulations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WB526693\Documents\WORK\WORLD%20BANK\POV%20CEQ%20Armenia\Other%20requests\PIT%20Simulations\20190310%20ARM%20PIT%20Simulation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B526693\Documents\WORK\WORLD%20BANK\POV%20CEQ%20Armenia\Other%20requests\PIT%20Simulations\20190310%20ARM%20PIT%20Simulation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B526693\Documents\WORK\WORLD%20BANK\POV%20CEQ%20Armenia\Other%20requests\PIT%20Simulations\20190310%20ARM%20PIT%20Simulations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WB526693\Documents\WORK\WORLD%20BANK\POV%20CEQ%20Armenia\Other%20requests\PIT%20Simulations\20190310%20ARM%20PIT%20Simula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41480356890243"/>
          <c:y val="4.3960796556961834E-2"/>
          <c:w val="0.72191219607644452"/>
          <c:h val="0.87082860081555946"/>
        </c:manualLayout>
      </c:layout>
      <c:lineChart>
        <c:grouping val="standard"/>
        <c:varyColors val="0"/>
        <c:ser>
          <c:idx val="1"/>
          <c:order val="0"/>
          <c:tx>
            <c:strRef>
              <c:f>'[20190326 ARM PIT Simulations@CC.xlsx]2. Income Gains'!$A$4</c:f>
              <c:strCache>
                <c:ptCount val="1"/>
                <c:pt idx="0">
                  <c:v>Poorest decile</c:v>
                </c:pt>
              </c:strCache>
            </c:strRef>
          </c:tx>
          <c:spPr>
            <a:ln w="19050" cap="rnd">
              <a:solidFill>
                <a:schemeClr val="accent1">
                  <a:tint val="56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tint val="56000"/>
                </a:schemeClr>
              </a:solidFill>
              <a:ln w="19050">
                <a:solidFill>
                  <a:schemeClr val="accent1">
                    <a:tint val="56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DC2-41D1-B130-5E061A0BB13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C2-41D1-B130-5E061A0BB13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DC2-41D1-B130-5E061A0BB136}"/>
                </c:ext>
              </c:extLst>
            </c:dLbl>
            <c:dLbl>
              <c:idx val="3"/>
              <c:layout>
                <c:manualLayout>
                  <c:x val="-2.8046660575238382E-2"/>
                  <c:y val="6.6602038185832671E-2"/>
                </c:manualLayout>
              </c:layout>
              <c:tx>
                <c:rich>
                  <a:bodyPr/>
                  <a:lstStyle/>
                  <a:p>
                    <a:r>
                      <a:rPr lang="hy-AM" sz="700" i="1">
                        <a:latin typeface="Sylfaen" pitchFamily="18" charset="0"/>
                      </a:rPr>
                      <a:t>Ամենաաղքատ դեցիլը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10605724428666"/>
                      <c:h val="0.15752867505735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DC2-41D1-B130-5E061A0BB1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'[20190326 ARM PIT Simulations@CC.xlsx]2.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'[20190326 ARM PIT Simulations@CC.xlsx]2. Income Gains'!$B$4:$E$4</c:f>
              <c:numCache>
                <c:formatCode>0.00%</c:formatCode>
                <c:ptCount val="4"/>
                <c:pt idx="0">
                  <c:v>1.1816000000000042E-3</c:v>
                </c:pt>
                <c:pt idx="1">
                  <c:v>2.7289000000000176E-3</c:v>
                </c:pt>
                <c:pt idx="2">
                  <c:v>4.1493000000000111E-3</c:v>
                </c:pt>
                <c:pt idx="3">
                  <c:v>4.4459000000000104E-3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DC2-41D1-B130-5E061A0BB136}"/>
            </c:ext>
          </c:extLst>
        </c:ser>
        <c:ser>
          <c:idx val="2"/>
          <c:order val="1"/>
          <c:tx>
            <c:strRef>
              <c:f>'[20190326 ARM PIT Simulations@CC.xlsx]2. Income Gains'!$A$5</c:f>
              <c:strCache>
                <c:ptCount val="1"/>
                <c:pt idx="0">
                  <c:v>2</c:v>
                </c:pt>
              </c:strCache>
            </c:strRef>
          </c:tx>
          <c:spPr>
            <a:ln w="19050" cap="rnd">
              <a:solidFill>
                <a:schemeClr val="accent1">
                  <a:tint val="69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tint val="69000"/>
                </a:schemeClr>
              </a:solidFill>
              <a:ln w="19050">
                <a:solidFill>
                  <a:schemeClr val="accent1">
                    <a:tint val="69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DC2-41D1-B130-5E061A0BB13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DC2-41D1-B130-5E061A0BB13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DC2-41D1-B130-5E061A0BB1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'[20190326 ARM PIT Simulations@CC.xlsx]2.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'[20190326 ARM PIT Simulations@CC.xlsx]2. Income Gains'!$B$5:$E$5</c:f>
              <c:numCache>
                <c:formatCode>0.00%</c:formatCode>
                <c:ptCount val="4"/>
                <c:pt idx="0">
                  <c:v>3.2047000000000191E-3</c:v>
                </c:pt>
                <c:pt idx="1">
                  <c:v>7.5500000000000185E-3</c:v>
                </c:pt>
                <c:pt idx="2">
                  <c:v>9.2678000000000066E-3</c:v>
                </c:pt>
                <c:pt idx="3">
                  <c:v>1.3228100000000041E-2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DC2-41D1-B130-5E061A0BB136}"/>
            </c:ext>
          </c:extLst>
        </c:ser>
        <c:ser>
          <c:idx val="3"/>
          <c:order val="2"/>
          <c:tx>
            <c:strRef>
              <c:f>'[20190326 ARM PIT Simulations@CC.xlsx]2. Income Gains'!$A$6</c:f>
              <c:strCache>
                <c:ptCount val="1"/>
                <c:pt idx="0">
                  <c:v>3</c:v>
                </c:pt>
              </c:strCache>
            </c:strRef>
          </c:tx>
          <c:spPr>
            <a:ln w="19050" cap="rnd">
              <a:solidFill>
                <a:schemeClr val="accent1">
                  <a:tint val="81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tint val="81000"/>
                </a:schemeClr>
              </a:solidFill>
              <a:ln w="19050">
                <a:solidFill>
                  <a:schemeClr val="accent1">
                    <a:tint val="81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DC2-41D1-B130-5E061A0BB13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DC2-41D1-B130-5E061A0BB13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DC2-41D1-B130-5E061A0BB1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'[20190326 ARM PIT Simulations@CC.xlsx]2.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'[20190326 ARM PIT Simulations@CC.xlsx]2. Income Gains'!$B$6:$E$6</c:f>
              <c:numCache>
                <c:formatCode>0.00%</c:formatCode>
                <c:ptCount val="4"/>
                <c:pt idx="0">
                  <c:v>3.6534000000000119E-3</c:v>
                </c:pt>
                <c:pt idx="1">
                  <c:v>8.5312000000000009E-3</c:v>
                </c:pt>
                <c:pt idx="2">
                  <c:v>1.4735699999999996E-2</c:v>
                </c:pt>
                <c:pt idx="3">
                  <c:v>1.7728700000000031E-2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CDC2-41D1-B130-5E061A0BB136}"/>
            </c:ext>
          </c:extLst>
        </c:ser>
        <c:ser>
          <c:idx val="4"/>
          <c:order val="3"/>
          <c:tx>
            <c:strRef>
              <c:f>'[20190326 ARM PIT Simulations@CC.xlsx]2. Income Gains'!$A$7</c:f>
              <c:strCache>
                <c:ptCount val="1"/>
                <c:pt idx="0">
                  <c:v>4</c:v>
                </c:pt>
              </c:strCache>
            </c:strRef>
          </c:tx>
          <c:spPr>
            <a:ln w="19050" cap="rnd">
              <a:solidFill>
                <a:schemeClr val="accent1">
                  <a:tint val="94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tint val="94000"/>
                </a:schemeClr>
              </a:solidFill>
              <a:ln w="19050">
                <a:solidFill>
                  <a:schemeClr val="accent1">
                    <a:tint val="94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DC2-41D1-B130-5E061A0BB13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DC2-41D1-B130-5E061A0BB13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DC2-41D1-B130-5E061A0BB1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'[20190326 ARM PIT Simulations@CC.xlsx]2.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'[20190326 ARM PIT Simulations@CC.xlsx]2. Income Gains'!$B$7:$E$7</c:f>
              <c:numCache>
                <c:formatCode>0.00%</c:formatCode>
                <c:ptCount val="4"/>
                <c:pt idx="0">
                  <c:v>3.9481000000000169E-3</c:v>
                </c:pt>
                <c:pt idx="1">
                  <c:v>9.8992000000000264E-3</c:v>
                </c:pt>
                <c:pt idx="2">
                  <c:v>1.532330000000004E-2</c:v>
                </c:pt>
                <c:pt idx="3">
                  <c:v>2.1355699999999998E-2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CDC2-41D1-B130-5E061A0BB136}"/>
            </c:ext>
          </c:extLst>
        </c:ser>
        <c:ser>
          <c:idx val="0"/>
          <c:order val="4"/>
          <c:tx>
            <c:strRef>
              <c:f>'[20190326 ARM PIT Simulations@CC.xlsx]2. Income Gains'!$A$8</c:f>
              <c:strCache>
                <c:ptCount val="1"/>
                <c:pt idx="0">
                  <c:v>5</c:v>
                </c:pt>
              </c:strCache>
            </c:strRef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rgbClr val="00B0F0"/>
              </a:solidFill>
              <a:ln w="19050">
                <a:solidFill>
                  <a:srgbClr val="00B0F0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DC2-41D1-B130-5E061A0BB13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DC2-41D1-B130-5E061A0BB13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DC2-41D1-B130-5E061A0BB1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'[20190326 ARM PIT Simulations@CC.xlsx]2.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'[20190326 ARM PIT Simulations@CC.xlsx]2. Income Gains'!$B$8:$E$8</c:f>
              <c:numCache>
                <c:formatCode>0.00%</c:formatCode>
                <c:ptCount val="4"/>
                <c:pt idx="0">
                  <c:v>6.9631000000000189E-3</c:v>
                </c:pt>
                <c:pt idx="1">
                  <c:v>1.2964100000000046E-2</c:v>
                </c:pt>
                <c:pt idx="2">
                  <c:v>1.8229200000000001E-2</c:v>
                </c:pt>
                <c:pt idx="3">
                  <c:v>2.5613700000000093E-2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CDC2-41D1-B130-5E061A0BB136}"/>
            </c:ext>
          </c:extLst>
        </c:ser>
        <c:ser>
          <c:idx val="5"/>
          <c:order val="5"/>
          <c:tx>
            <c:strRef>
              <c:f>'[20190326 ARM PIT Simulations@CC.xlsx]2. Income Gains'!$A$9</c:f>
              <c:strCache>
                <c:ptCount val="1"/>
                <c:pt idx="0">
                  <c:v>6</c:v>
                </c:pt>
              </c:strCache>
            </c:strRef>
          </c:tx>
          <c:spPr>
            <a:ln w="19050" cap="rnd">
              <a:solidFill>
                <a:schemeClr val="accent1">
                  <a:shade val="93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shade val="93000"/>
                </a:schemeClr>
              </a:solidFill>
              <a:ln w="19050">
                <a:solidFill>
                  <a:schemeClr val="accent1">
                    <a:shade val="93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DC2-41D1-B130-5E061A0BB13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DC2-41D1-B130-5E061A0BB13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DC2-41D1-B130-5E061A0BB1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'[20190326 ARM PIT Simulations@CC.xlsx]2.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'[20190326 ARM PIT Simulations@CC.xlsx]2. Income Gains'!$B$9:$E$9</c:f>
              <c:numCache>
                <c:formatCode>0.00%</c:formatCode>
                <c:ptCount val="4"/>
                <c:pt idx="0">
                  <c:v>8.5858000000000444E-3</c:v>
                </c:pt>
                <c:pt idx="1">
                  <c:v>1.4776400000000007E-2</c:v>
                </c:pt>
                <c:pt idx="2">
                  <c:v>2.2720899999999999E-2</c:v>
                </c:pt>
                <c:pt idx="3">
                  <c:v>2.8466399999999989E-2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CDC2-41D1-B130-5E061A0BB136}"/>
            </c:ext>
          </c:extLst>
        </c:ser>
        <c:ser>
          <c:idx val="6"/>
          <c:order val="6"/>
          <c:tx>
            <c:strRef>
              <c:f>'[20190326 ARM PIT Simulations@CC.xlsx]2. Income Gains'!$A$10</c:f>
              <c:strCache>
                <c:ptCount val="1"/>
                <c:pt idx="0">
                  <c:v>7</c:v>
                </c:pt>
              </c:strCache>
            </c:strRef>
          </c:tx>
          <c:spPr>
            <a:ln w="19050" cap="rnd">
              <a:solidFill>
                <a:schemeClr val="accent1">
                  <a:shade val="80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shade val="80000"/>
                </a:schemeClr>
              </a:solidFill>
              <a:ln w="19050">
                <a:solidFill>
                  <a:schemeClr val="accent1">
                    <a:shade val="80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DC2-41D1-B130-5E061A0BB13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DC2-41D1-B130-5E061A0BB13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DC2-41D1-B130-5E061A0BB1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'[20190326 ARM PIT Simulations@CC.xlsx]2.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'[20190326 ARM PIT Simulations@CC.xlsx]2. Income Gains'!$B$10:$E$10</c:f>
              <c:numCache>
                <c:formatCode>0.00%</c:formatCode>
                <c:ptCount val="4"/>
                <c:pt idx="0">
                  <c:v>1.4412199999999998E-2</c:v>
                </c:pt>
                <c:pt idx="1">
                  <c:v>2.3070400000000001E-2</c:v>
                </c:pt>
                <c:pt idx="2">
                  <c:v>3.199780000000009E-2</c:v>
                </c:pt>
                <c:pt idx="3">
                  <c:v>3.9613900000000139E-2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C-CDC2-41D1-B130-5E061A0BB136}"/>
            </c:ext>
          </c:extLst>
        </c:ser>
        <c:ser>
          <c:idx val="7"/>
          <c:order val="7"/>
          <c:tx>
            <c:strRef>
              <c:f>'[20190326 ARM PIT Simulations@CC.xlsx]2. Income Gains'!$A$11</c:f>
              <c:strCache>
                <c:ptCount val="1"/>
                <c:pt idx="0">
                  <c:v>8</c:v>
                </c:pt>
              </c:strCache>
            </c:strRef>
          </c:tx>
          <c:spPr>
            <a:ln w="19050" cap="rnd">
              <a:solidFill>
                <a:schemeClr val="accent1">
                  <a:shade val="68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shade val="68000"/>
                </a:schemeClr>
              </a:solidFill>
              <a:ln w="19050">
                <a:solidFill>
                  <a:schemeClr val="accent1">
                    <a:shade val="68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DC2-41D1-B130-5E061A0BB13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DC2-41D1-B130-5E061A0BB13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DC2-41D1-B130-5E061A0BB1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'[20190326 ARM PIT Simulations@CC.xlsx]2.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'[20190326 ARM PIT Simulations@CC.xlsx]2. Income Gains'!$B$11:$E$11</c:f>
              <c:numCache>
                <c:formatCode>0.00%</c:formatCode>
                <c:ptCount val="4"/>
                <c:pt idx="0">
                  <c:v>1.5541300000000044E-2</c:v>
                </c:pt>
                <c:pt idx="1">
                  <c:v>2.4642900000000075E-2</c:v>
                </c:pt>
                <c:pt idx="2">
                  <c:v>3.3838300000000092E-2</c:v>
                </c:pt>
                <c:pt idx="3">
                  <c:v>4.3062600000000235E-2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CDC2-41D1-B130-5E061A0BB136}"/>
            </c:ext>
          </c:extLst>
        </c:ser>
        <c:ser>
          <c:idx val="8"/>
          <c:order val="8"/>
          <c:tx>
            <c:strRef>
              <c:f>'[20190326 ARM PIT Simulations@CC.xlsx]2. Income Gains'!$A$12</c:f>
              <c:strCache>
                <c:ptCount val="1"/>
                <c:pt idx="0">
                  <c:v>9</c:v>
                </c:pt>
              </c:strCache>
            </c:strRef>
          </c:tx>
          <c:spPr>
            <a:ln w="19050" cap="rnd">
              <a:solidFill>
                <a:schemeClr val="accent1">
                  <a:shade val="55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shade val="55000"/>
                </a:schemeClr>
              </a:solidFill>
              <a:ln w="19050">
                <a:solidFill>
                  <a:schemeClr val="accent1">
                    <a:shade val="55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DC2-41D1-B130-5E061A0BB13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CDC2-41D1-B130-5E061A0BB13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CDC2-41D1-B130-5E061A0BB136}"/>
                </c:ext>
              </c:extLst>
            </c:dLbl>
            <c:dLbl>
              <c:idx val="3"/>
              <c:layout>
                <c:manualLayout>
                  <c:x val="-0.11000764320070698"/>
                  <c:y val="-1.9908751183831768E-2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CDC2-41D1-B130-5E061A0BB1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'[20190326 ARM PIT Simulations@CC.xlsx]2.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'[20190326 ARM PIT Simulations@CC.xlsx]2. Income Gains'!$B$12:$E$12</c:f>
              <c:numCache>
                <c:formatCode>0.00%</c:formatCode>
                <c:ptCount val="4"/>
                <c:pt idx="0">
                  <c:v>1.5444500000000064E-2</c:v>
                </c:pt>
                <c:pt idx="1">
                  <c:v>2.5807900000000147E-2</c:v>
                </c:pt>
                <c:pt idx="2">
                  <c:v>3.4586100000000002E-2</c:v>
                </c:pt>
                <c:pt idx="3">
                  <c:v>4.5237500000000014E-2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5-CDC2-41D1-B130-5E061A0BB136}"/>
            </c:ext>
          </c:extLst>
        </c:ser>
        <c:ser>
          <c:idx val="9"/>
          <c:order val="9"/>
          <c:tx>
            <c:strRef>
              <c:f>'[20190326 ARM PIT Simulations@CC.xlsx]2. Income Gains'!$A$13</c:f>
              <c:strCache>
                <c:ptCount val="1"/>
                <c:pt idx="0">
                  <c:v>Richest decile</c:v>
                </c:pt>
              </c:strCache>
            </c:strRef>
          </c:tx>
          <c:spPr>
            <a:ln w="19050" cap="rnd">
              <a:solidFill>
                <a:schemeClr val="accent1">
                  <a:shade val="42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shade val="42000"/>
                </a:schemeClr>
              </a:solidFill>
              <a:ln w="19050">
                <a:solidFill>
                  <a:schemeClr val="accent1">
                    <a:shade val="42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CDC2-41D1-B130-5E061A0BB13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CDC2-41D1-B130-5E061A0BB13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CDC2-41D1-B130-5E061A0BB136}"/>
                </c:ext>
              </c:extLst>
            </c:dLbl>
            <c:dLbl>
              <c:idx val="3"/>
              <c:layout>
                <c:manualLayout>
                  <c:x val="-1.0955137153229709E-2"/>
                  <c:y val="-5.1504743009486022E-2"/>
                </c:manualLayout>
              </c:layout>
              <c:tx>
                <c:rich>
                  <a:bodyPr rot="0" spcFirstLastPara="1" vertOverflow="ellipsis" vert="horz" wrap="square" anchor="ctr" anchorCtr="0"/>
                  <a:lstStyle/>
                  <a:p>
                    <a:pPr algn="r">
                      <a:defRPr sz="900" b="0" i="0" u="none" strike="noStrike" kern="1200" baseline="0">
                        <a:solidFill>
                          <a:schemeClr val="accent6"/>
                        </a:solidFill>
                        <a:latin typeface="Segoe Condensed" panose="020B0606040200020203" pitchFamily="34" charset="0"/>
                        <a:ea typeface="+mn-ea"/>
                        <a:cs typeface="+mn-cs"/>
                      </a:defRPr>
                    </a:pPr>
                    <a:r>
                      <a:rPr lang="hy-AM" sz="700" i="1">
                        <a:solidFill>
                          <a:schemeClr val="tx2"/>
                        </a:solidFill>
                        <a:latin typeface="Sylfaen" pitchFamily="18" charset="0"/>
                      </a:rPr>
                      <a:t>Ամենահարուստ դեցիլը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EE-4DDD-8C8E-8228B3C1A7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'[20190326 ARM PIT Simulations@CC.xlsx]2.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'[20190326 ARM PIT Simulations@CC.xlsx]2. Income Gains'!$B$13:$E$13</c:f>
              <c:numCache>
                <c:formatCode>0.00%</c:formatCode>
                <c:ptCount val="4"/>
                <c:pt idx="0">
                  <c:v>1.7184700000000042E-2</c:v>
                </c:pt>
                <c:pt idx="1">
                  <c:v>2.5214300000000051E-2</c:v>
                </c:pt>
                <c:pt idx="2">
                  <c:v>3.4821900000000086E-2</c:v>
                </c:pt>
                <c:pt idx="3">
                  <c:v>4.4644999999999997E-2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A-CDC2-41D1-B130-5E061A0BB1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972736"/>
        <c:axId val="72011776"/>
      </c:lineChart>
      <c:catAx>
        <c:axId val="7197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Condensed" panose="020B0606040200020203" pitchFamily="34" charset="0"/>
                <a:ea typeface="+mn-ea"/>
                <a:cs typeface="+mn-cs"/>
              </a:defRPr>
            </a:pPr>
            <a:endParaRPr lang="en-US"/>
          </a:p>
        </c:txPr>
        <c:crossAx val="72011776"/>
        <c:crosses val="autoZero"/>
        <c:auto val="1"/>
        <c:lblAlgn val="ctr"/>
        <c:lblOffset val="100"/>
        <c:noMultiLvlLbl val="0"/>
      </c:catAx>
      <c:valAx>
        <c:axId val="720117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r>
                  <a:rPr lang="en-US" sz="700" i="1">
                    <a:latin typeface="Sylfaen" pitchFamily="18" charset="0"/>
                  </a:rPr>
                  <a:t>Տնային</a:t>
                </a:r>
                <a:r>
                  <a:rPr lang="en-US" sz="700" i="1" baseline="0">
                    <a:latin typeface="Sylfaen" pitchFamily="18" charset="0"/>
                  </a:rPr>
                  <a:t> </a:t>
                </a:r>
                <a:r>
                  <a:rPr lang="en-US" sz="700" i="1">
                    <a:latin typeface="Sylfaen" pitchFamily="18" charset="0"/>
                  </a:rPr>
                  <a:t>տնտեսության եկամտի ավելացում որպես տնօրինվող եկամտի տեսակարար</a:t>
                </a:r>
                <a:r>
                  <a:rPr lang="en-US" sz="700" i="1" baseline="0">
                    <a:latin typeface="Sylfaen" pitchFamily="18" charset="0"/>
                  </a:rPr>
                  <a:t> կշիռ</a:t>
                </a:r>
                <a:endParaRPr lang="en-US" sz="700"/>
              </a:p>
            </c:rich>
          </c:tx>
          <c:layout>
            <c:manualLayout>
              <c:xMode val="edge"/>
              <c:yMode val="edge"/>
              <c:x val="1.443168303612993E-2"/>
              <c:y val="0.1552175386954217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Condensed" panose="020B0606040200020203" pitchFamily="34" charset="0"/>
                <a:ea typeface="+mn-ea"/>
                <a:cs typeface="+mn-cs"/>
              </a:defRPr>
            </a:pPr>
            <a:endParaRPr lang="en-US"/>
          </a:p>
        </c:txPr>
        <c:crossAx val="71972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Segoe Condensed" panose="020B0606040200020203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272742075079474"/>
          <c:y val="4.8825792908214372E-2"/>
          <c:w val="0.72191219607644452"/>
          <c:h val="0.86596360446430454"/>
        </c:manualLayout>
      </c:layout>
      <c:lineChart>
        <c:grouping val="standard"/>
        <c:varyColors val="0"/>
        <c:ser>
          <c:idx val="1"/>
          <c:order val="0"/>
          <c:tx>
            <c:strRef>
              <c:f>'2. Income Gains'!$A$4</c:f>
              <c:strCache>
                <c:ptCount val="1"/>
                <c:pt idx="0">
                  <c:v>Poorest decile</c:v>
                </c:pt>
              </c:strCache>
            </c:strRef>
          </c:tx>
          <c:spPr>
            <a:ln w="19050" cap="rnd">
              <a:solidFill>
                <a:schemeClr val="accent1">
                  <a:tint val="56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tint val="56000"/>
                </a:schemeClr>
              </a:solidFill>
              <a:ln w="19050">
                <a:solidFill>
                  <a:schemeClr val="accent1">
                    <a:tint val="56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FA-45A5-9BEF-1ED25D83ED1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FA-45A5-9BEF-1ED25D83ED1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FA-45A5-9BEF-1ED25D83ED13}"/>
                </c:ext>
              </c:extLst>
            </c:dLbl>
            <c:dLbl>
              <c:idx val="3"/>
              <c:layout>
                <c:manualLayout>
                  <c:x val="-2.4007798892012249E-2"/>
                  <c:y val="3.5490339917678131E-2"/>
                </c:manualLayout>
              </c:layout>
              <c:tx>
                <c:rich>
                  <a:bodyPr rot="0" spcFirstLastPara="1" vertOverflow="ellipsis" vert="horz" wrap="square" anchor="ctr" anchorCtr="0"/>
                  <a:lstStyle/>
                  <a:p>
                    <a:pPr algn="r">
                      <a:defRPr sz="7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Segoe Condensed" panose="020B0606040200020203" pitchFamily="34" charset="0"/>
                        <a:ea typeface="+mn-ea"/>
                        <a:cs typeface="+mn-cs"/>
                      </a:defRPr>
                    </a:pPr>
                    <a:r>
                      <a:rPr lang="hy-AM" sz="700" i="1">
                        <a:latin typeface="Sylfaen" panose="010A0502050306030303" pitchFamily="18" charset="0"/>
                      </a:rPr>
                      <a:t>Ամենաաղքատ</a:t>
                    </a:r>
                    <a:r>
                      <a:rPr lang="hy-AM" sz="700" i="1" baseline="0">
                        <a:latin typeface="Sylfaen" panose="010A0502050306030303" pitchFamily="18" charset="0"/>
                      </a:rPr>
                      <a:t> դեցիլը</a:t>
                    </a:r>
                    <a:endParaRPr lang="hy-AM" sz="700" i="1">
                      <a:latin typeface="Sylfaen" panose="010A0502050306030303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85591966302637"/>
                      <c:h val="0.1050352712235465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DFA-45A5-9BEF-1ED25D83ED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'2. Income Gains'!$B$4:$E$4</c:f>
              <c:numCache>
                <c:formatCode>0.00%</c:formatCode>
                <c:ptCount val="4"/>
                <c:pt idx="0">
                  <c:v>1.1816000000000001E-3</c:v>
                </c:pt>
                <c:pt idx="1">
                  <c:v>2.7289000000000146E-3</c:v>
                </c:pt>
                <c:pt idx="2">
                  <c:v>4.1493000000000033E-3</c:v>
                </c:pt>
                <c:pt idx="3">
                  <c:v>4.4459000000000104E-3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DFA-45A5-9BEF-1ED25D83ED13}"/>
            </c:ext>
          </c:extLst>
        </c:ser>
        <c:ser>
          <c:idx val="2"/>
          <c:order val="1"/>
          <c:tx>
            <c:strRef>
              <c:f>'2. Income Gains'!$A$5</c:f>
              <c:strCache>
                <c:ptCount val="1"/>
                <c:pt idx="0">
                  <c:v>2</c:v>
                </c:pt>
              </c:strCache>
            </c:strRef>
          </c:tx>
          <c:spPr>
            <a:ln w="19050" cap="rnd">
              <a:solidFill>
                <a:schemeClr val="accent1">
                  <a:tint val="69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tint val="69000"/>
                </a:schemeClr>
              </a:solidFill>
              <a:ln w="19050">
                <a:solidFill>
                  <a:schemeClr val="accent1">
                    <a:tint val="69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FA-45A5-9BEF-1ED25D83ED1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FA-45A5-9BEF-1ED25D83ED1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FA-45A5-9BEF-1ED25D83ED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'2. Income Gains'!$B$5:$E$5</c:f>
              <c:numCache>
                <c:formatCode>0.00%</c:formatCode>
                <c:ptCount val="4"/>
                <c:pt idx="0">
                  <c:v>3.204700000000016E-3</c:v>
                </c:pt>
                <c:pt idx="1">
                  <c:v>7.5500000000000124E-3</c:v>
                </c:pt>
                <c:pt idx="2">
                  <c:v>9.2678000000000066E-3</c:v>
                </c:pt>
                <c:pt idx="3">
                  <c:v>1.3228100000000001E-2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5DFA-45A5-9BEF-1ED25D83ED13}"/>
            </c:ext>
          </c:extLst>
        </c:ser>
        <c:ser>
          <c:idx val="3"/>
          <c:order val="2"/>
          <c:tx>
            <c:strRef>
              <c:f>'2. Income Gains'!$A$6</c:f>
              <c:strCache>
                <c:ptCount val="1"/>
                <c:pt idx="0">
                  <c:v>3</c:v>
                </c:pt>
              </c:strCache>
            </c:strRef>
          </c:tx>
          <c:spPr>
            <a:ln w="19050" cap="rnd">
              <a:solidFill>
                <a:schemeClr val="accent1">
                  <a:tint val="81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tint val="81000"/>
                </a:schemeClr>
              </a:solidFill>
              <a:ln w="19050">
                <a:solidFill>
                  <a:schemeClr val="accent1">
                    <a:tint val="81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FA-45A5-9BEF-1ED25D83ED1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DFA-45A5-9BEF-1ED25D83ED1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DFA-45A5-9BEF-1ED25D83ED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'2. Income Gains'!$B$6:$E$6</c:f>
              <c:numCache>
                <c:formatCode>0.00%</c:formatCode>
                <c:ptCount val="4"/>
                <c:pt idx="0">
                  <c:v>3.6534000000000102E-3</c:v>
                </c:pt>
                <c:pt idx="1">
                  <c:v>8.5312000000000009E-3</c:v>
                </c:pt>
                <c:pt idx="2">
                  <c:v>1.4735699999999996E-2</c:v>
                </c:pt>
                <c:pt idx="3">
                  <c:v>1.77287E-2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5DFA-45A5-9BEF-1ED25D83ED13}"/>
            </c:ext>
          </c:extLst>
        </c:ser>
        <c:ser>
          <c:idx val="4"/>
          <c:order val="3"/>
          <c:tx>
            <c:strRef>
              <c:f>'2. Income Gains'!$A$7</c:f>
              <c:strCache>
                <c:ptCount val="1"/>
                <c:pt idx="0">
                  <c:v>4</c:v>
                </c:pt>
              </c:strCache>
            </c:strRef>
          </c:tx>
          <c:spPr>
            <a:ln w="19050" cap="rnd">
              <a:solidFill>
                <a:schemeClr val="accent1">
                  <a:tint val="94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tint val="94000"/>
                </a:schemeClr>
              </a:solidFill>
              <a:ln w="19050">
                <a:solidFill>
                  <a:schemeClr val="accent1">
                    <a:tint val="94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DFA-45A5-9BEF-1ED25D83ED1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DFA-45A5-9BEF-1ED25D83ED1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DFA-45A5-9BEF-1ED25D83ED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'2. Income Gains'!$B$7:$E$7</c:f>
              <c:numCache>
                <c:formatCode>0.00%</c:formatCode>
                <c:ptCount val="4"/>
                <c:pt idx="0">
                  <c:v>3.948100000000016E-3</c:v>
                </c:pt>
                <c:pt idx="1">
                  <c:v>9.8992000000000246E-3</c:v>
                </c:pt>
                <c:pt idx="2">
                  <c:v>1.5323300000000003E-2</c:v>
                </c:pt>
                <c:pt idx="3">
                  <c:v>2.1355699999999998E-2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5DFA-45A5-9BEF-1ED25D83ED13}"/>
            </c:ext>
          </c:extLst>
        </c:ser>
        <c:ser>
          <c:idx val="0"/>
          <c:order val="4"/>
          <c:tx>
            <c:strRef>
              <c:f>'2. Income Gains'!$A$8</c:f>
              <c:strCache>
                <c:ptCount val="1"/>
                <c:pt idx="0">
                  <c:v>5</c:v>
                </c:pt>
              </c:strCache>
            </c:strRef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rgbClr val="00B0F0"/>
              </a:solidFill>
              <a:ln w="19050">
                <a:solidFill>
                  <a:srgbClr val="00B0F0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DFA-45A5-9BEF-1ED25D83ED1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DFA-45A5-9BEF-1ED25D83ED1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DFA-45A5-9BEF-1ED25D83ED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'2. Income Gains'!$B$8:$E$8</c:f>
              <c:numCache>
                <c:formatCode>0.00%</c:formatCode>
                <c:ptCount val="4"/>
                <c:pt idx="0">
                  <c:v>6.9631000000000024E-3</c:v>
                </c:pt>
                <c:pt idx="1">
                  <c:v>1.2964099999999999E-2</c:v>
                </c:pt>
                <c:pt idx="2">
                  <c:v>1.8229200000000001E-2</c:v>
                </c:pt>
                <c:pt idx="3">
                  <c:v>2.5613700000000052E-2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5DFA-45A5-9BEF-1ED25D83ED13}"/>
            </c:ext>
          </c:extLst>
        </c:ser>
        <c:ser>
          <c:idx val="5"/>
          <c:order val="5"/>
          <c:tx>
            <c:strRef>
              <c:f>'2. Income Gains'!$A$9</c:f>
              <c:strCache>
                <c:ptCount val="1"/>
                <c:pt idx="0">
                  <c:v>6</c:v>
                </c:pt>
              </c:strCache>
            </c:strRef>
          </c:tx>
          <c:spPr>
            <a:ln w="19050" cap="rnd">
              <a:solidFill>
                <a:schemeClr val="accent1">
                  <a:shade val="93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shade val="93000"/>
                </a:schemeClr>
              </a:solidFill>
              <a:ln w="19050">
                <a:solidFill>
                  <a:schemeClr val="accent1">
                    <a:shade val="93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DFA-45A5-9BEF-1ED25D83ED1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DFA-45A5-9BEF-1ED25D83ED1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DFA-45A5-9BEF-1ED25D83ED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'2. Income Gains'!$B$9:$E$9</c:f>
              <c:numCache>
                <c:formatCode>0.00%</c:formatCode>
                <c:ptCount val="4"/>
                <c:pt idx="0">
                  <c:v>8.5858000000000444E-3</c:v>
                </c:pt>
                <c:pt idx="1">
                  <c:v>1.47764E-2</c:v>
                </c:pt>
                <c:pt idx="2">
                  <c:v>2.2720899999999999E-2</c:v>
                </c:pt>
                <c:pt idx="3">
                  <c:v>2.8466399999999989E-2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5DFA-45A5-9BEF-1ED25D83ED13}"/>
            </c:ext>
          </c:extLst>
        </c:ser>
        <c:ser>
          <c:idx val="6"/>
          <c:order val="6"/>
          <c:tx>
            <c:strRef>
              <c:f>'2. Income Gains'!$A$10</c:f>
              <c:strCache>
                <c:ptCount val="1"/>
                <c:pt idx="0">
                  <c:v>7</c:v>
                </c:pt>
              </c:strCache>
            </c:strRef>
          </c:tx>
          <c:spPr>
            <a:ln w="19050" cap="rnd">
              <a:solidFill>
                <a:schemeClr val="accent1">
                  <a:shade val="80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shade val="80000"/>
                </a:schemeClr>
              </a:solidFill>
              <a:ln w="19050">
                <a:solidFill>
                  <a:schemeClr val="accent1">
                    <a:shade val="80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DFA-45A5-9BEF-1ED25D83ED1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DFA-45A5-9BEF-1ED25D83ED1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DFA-45A5-9BEF-1ED25D83ED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'2. Income Gains'!$B$10:$E$10</c:f>
              <c:numCache>
                <c:formatCode>0.00%</c:formatCode>
                <c:ptCount val="4"/>
                <c:pt idx="0">
                  <c:v>1.4412199999999998E-2</c:v>
                </c:pt>
                <c:pt idx="1">
                  <c:v>2.3070400000000001E-2</c:v>
                </c:pt>
                <c:pt idx="2">
                  <c:v>3.1997800000000041E-2</c:v>
                </c:pt>
                <c:pt idx="3">
                  <c:v>3.9613900000000125E-2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C-5DFA-45A5-9BEF-1ED25D83ED13}"/>
            </c:ext>
          </c:extLst>
        </c:ser>
        <c:ser>
          <c:idx val="7"/>
          <c:order val="7"/>
          <c:tx>
            <c:strRef>
              <c:f>'2. Income Gains'!$A$11</c:f>
              <c:strCache>
                <c:ptCount val="1"/>
                <c:pt idx="0">
                  <c:v>8</c:v>
                </c:pt>
              </c:strCache>
            </c:strRef>
          </c:tx>
          <c:spPr>
            <a:ln w="19050" cap="rnd">
              <a:solidFill>
                <a:schemeClr val="accent1">
                  <a:shade val="68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shade val="68000"/>
                </a:schemeClr>
              </a:solidFill>
              <a:ln w="19050">
                <a:solidFill>
                  <a:schemeClr val="accent1">
                    <a:shade val="68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DFA-45A5-9BEF-1ED25D83ED1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5DFA-45A5-9BEF-1ED25D83ED1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DFA-45A5-9BEF-1ED25D83ED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'2. Income Gains'!$B$11:$E$11</c:f>
              <c:numCache>
                <c:formatCode>0.00%</c:formatCode>
                <c:ptCount val="4"/>
                <c:pt idx="0">
                  <c:v>1.5541299999999999E-2</c:v>
                </c:pt>
                <c:pt idx="1">
                  <c:v>2.4642899999999999E-2</c:v>
                </c:pt>
                <c:pt idx="2">
                  <c:v>3.3838300000000002E-2</c:v>
                </c:pt>
                <c:pt idx="3">
                  <c:v>4.3062600000000235E-2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5DFA-45A5-9BEF-1ED25D83ED13}"/>
            </c:ext>
          </c:extLst>
        </c:ser>
        <c:ser>
          <c:idx val="8"/>
          <c:order val="8"/>
          <c:tx>
            <c:strRef>
              <c:f>'2. Income Gains'!$A$12</c:f>
              <c:strCache>
                <c:ptCount val="1"/>
                <c:pt idx="0">
                  <c:v>9</c:v>
                </c:pt>
              </c:strCache>
            </c:strRef>
          </c:tx>
          <c:spPr>
            <a:ln w="19050" cap="rnd">
              <a:solidFill>
                <a:schemeClr val="accent1">
                  <a:shade val="55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shade val="55000"/>
                </a:schemeClr>
              </a:solidFill>
              <a:ln w="19050">
                <a:solidFill>
                  <a:schemeClr val="accent1">
                    <a:shade val="55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DFA-45A5-9BEF-1ED25D83ED1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5DFA-45A5-9BEF-1ED25D83ED1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5DFA-45A5-9BEF-1ED25D83ED13}"/>
                </c:ext>
              </c:extLst>
            </c:dLbl>
            <c:dLbl>
              <c:idx val="3"/>
              <c:layout>
                <c:manualLayout>
                  <c:x val="-0.11000764320070691"/>
                  <c:y val="-1.9908751183831768E-2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5DFA-45A5-9BEF-1ED25D83ED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'2. Income Gains'!$B$12:$E$12</c:f>
              <c:numCache>
                <c:formatCode>0.00%</c:formatCode>
                <c:ptCount val="4"/>
                <c:pt idx="0">
                  <c:v>1.5444500000000054E-2</c:v>
                </c:pt>
                <c:pt idx="1">
                  <c:v>2.5807900000000113E-2</c:v>
                </c:pt>
                <c:pt idx="2">
                  <c:v>3.4586100000000002E-2</c:v>
                </c:pt>
                <c:pt idx="3">
                  <c:v>4.52375E-2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5-5DFA-45A5-9BEF-1ED25D83ED13}"/>
            </c:ext>
          </c:extLst>
        </c:ser>
        <c:ser>
          <c:idx val="9"/>
          <c:order val="9"/>
          <c:tx>
            <c:strRef>
              <c:f>'2. Income Gains'!$A$13</c:f>
              <c:strCache>
                <c:ptCount val="1"/>
                <c:pt idx="0">
                  <c:v>Richest decile</c:v>
                </c:pt>
              </c:strCache>
            </c:strRef>
          </c:tx>
          <c:spPr>
            <a:ln w="19050" cap="rnd">
              <a:solidFill>
                <a:schemeClr val="accent1">
                  <a:shade val="42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>
                  <a:shade val="42000"/>
                </a:schemeClr>
              </a:solidFill>
              <a:ln w="19050">
                <a:solidFill>
                  <a:schemeClr val="accent1">
                    <a:shade val="42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5DFA-45A5-9BEF-1ED25D83ED1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5DFA-45A5-9BEF-1ED25D83ED1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5DFA-45A5-9BEF-1ED25D83ED13}"/>
                </c:ext>
              </c:extLst>
            </c:dLbl>
            <c:dLbl>
              <c:idx val="3"/>
              <c:layout>
                <c:manualLayout>
                  <c:x val="-2.4666441877813951E-2"/>
                  <c:y val="-7.694393953613983E-2"/>
                </c:manualLayout>
              </c:layout>
              <c:tx>
                <c:rich>
                  <a:bodyPr rot="0" spcFirstLastPara="1" vertOverflow="ellipsis" vert="horz" wrap="square" anchor="ctr" anchorCtr="0"/>
                  <a:lstStyle/>
                  <a:p>
                    <a:pPr algn="r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Segoe Condensed" panose="020B0606040200020203" pitchFamily="34" charset="0"/>
                        <a:ea typeface="+mn-ea"/>
                        <a:cs typeface="+mn-cs"/>
                      </a:defRPr>
                    </a:pPr>
                    <a:r>
                      <a:rPr lang="hy-AM" sz="700" i="1">
                        <a:latin typeface="Sylfaen" pitchFamily="18" charset="0"/>
                      </a:rPr>
                      <a:t>Ամենահարուստ</a:t>
                    </a:r>
                    <a:r>
                      <a:rPr lang="hy-AM" sz="700" i="1" baseline="0">
                        <a:latin typeface="Sylfaen" pitchFamily="18" charset="0"/>
                      </a:rPr>
                      <a:t> դեցիլը</a:t>
                    </a:r>
                    <a:endParaRPr lang="hy-AM" sz="700" i="1">
                      <a:latin typeface="Sylfaen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853800474851891"/>
                      <c:h val="0.110240817319387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9-5DFA-45A5-9BEF-1ED25D83ED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 Income Gains'!$B$3:$E$3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'2. Income Gains'!$B$13:$E$13</c:f>
              <c:numCache>
                <c:formatCode>0.00%</c:formatCode>
                <c:ptCount val="4"/>
                <c:pt idx="0">
                  <c:v>1.7184700000000001E-2</c:v>
                </c:pt>
                <c:pt idx="1">
                  <c:v>2.5214299999999999E-2</c:v>
                </c:pt>
                <c:pt idx="2">
                  <c:v>3.4821900000000051E-2</c:v>
                </c:pt>
                <c:pt idx="3">
                  <c:v>4.4644999999999997E-2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A-5DFA-45A5-9BEF-1ED25D83ED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337536"/>
        <c:axId val="76340608"/>
      </c:lineChart>
      <c:catAx>
        <c:axId val="7633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Condensed" panose="020B0606040200020203" pitchFamily="34" charset="0"/>
                <a:ea typeface="+mn-ea"/>
                <a:cs typeface="+mn-cs"/>
              </a:defRPr>
            </a:pPr>
            <a:endParaRPr lang="en-US"/>
          </a:p>
        </c:txPr>
        <c:crossAx val="76340608"/>
        <c:crosses val="autoZero"/>
        <c:auto val="1"/>
        <c:lblAlgn val="ctr"/>
        <c:lblOffset val="100"/>
        <c:noMultiLvlLbl val="0"/>
      </c:catAx>
      <c:valAx>
        <c:axId val="763406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r>
                  <a:rPr lang="en-US" sz="700" i="1">
                    <a:latin typeface="Sylfaen" pitchFamily="18" charset="0"/>
                  </a:rPr>
                  <a:t>Տնային</a:t>
                </a:r>
                <a:r>
                  <a:rPr lang="en-US" sz="700" i="1" baseline="0">
                    <a:latin typeface="Sylfaen" pitchFamily="18" charset="0"/>
                  </a:rPr>
                  <a:t> տնտեսության եկամտի ավելացումը  որպես տնօրինվող եկամտ</a:t>
                </a:r>
                <a:r>
                  <a:rPr lang="en-US" sz="800" i="1" baseline="0">
                    <a:latin typeface="Sylfaen" pitchFamily="18" charset="0"/>
                  </a:rPr>
                  <a:t>ի </a:t>
                </a:r>
                <a:r>
                  <a:rPr lang="en-US" sz="700" i="1" baseline="0">
                    <a:latin typeface="Sylfaen" pitchFamily="18" charset="0"/>
                  </a:rPr>
                  <a:t>տեսակարար կշիռ</a:t>
                </a:r>
              </a:p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 sz="800" i="1">
                  <a:latin typeface="Sylfaen" pitchFamily="18" charset="0"/>
                </a:endParaRPr>
              </a:p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rich>
          </c:tx>
          <c:layout>
            <c:manualLayout>
              <c:xMode val="edge"/>
              <c:yMode val="edge"/>
              <c:x val="5.5566950260888389E-3"/>
              <c:y val="0.1552175170514297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Condensed" panose="020B0606040200020203" pitchFamily="34" charset="0"/>
                <a:ea typeface="+mn-ea"/>
                <a:cs typeface="+mn-cs"/>
              </a:defRPr>
            </a:pPr>
            <a:endParaRPr lang="en-US"/>
          </a:p>
        </c:txPr>
        <c:crossAx val="76337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Segoe Condensed" panose="020B0606040200020203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185822538311745"/>
          <c:y val="1.6039019351655932E-2"/>
          <c:w val="0.67745181045917635"/>
          <c:h val="0.9536138379178373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'2. Income Gains'!$B$18</c:f>
              <c:strCache>
                <c:ptCount val="1"/>
                <c:pt idx="0">
                  <c:v>Gains due to moving from three-tier to single 23% PIT rate</c:v>
                </c:pt>
              </c:strCache>
            </c:strRef>
          </c:tx>
          <c:spPr>
            <a:solidFill>
              <a:schemeClr val="accent1"/>
            </a:solidFill>
            <a:ln>
              <a:noFill/>
              <a:prstDash val="dash"/>
            </a:ln>
            <a:effectLst/>
          </c:spPr>
          <c:invertIfNegative val="0"/>
          <c:dLbls>
            <c:dLbl>
              <c:idx val="0"/>
              <c:layout>
                <c:manualLayout>
                  <c:x val="8.9609262551858439E-3"/>
                  <c:y val="-4.94238055044881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bg1">
                          <a:lumMod val="65000"/>
                        </a:schemeClr>
                      </a:solidFill>
                      <a:latin typeface="Segoe Condensed" panose="020B0606040200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595878136200716"/>
                      <c:h val="6.101756511205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5BF-47B7-92A1-77991EB5508B}"/>
                </c:ext>
              </c:extLst>
            </c:dLbl>
            <c:dLbl>
              <c:idx val="1"/>
              <c:layout>
                <c:manualLayout>
                  <c:x val="-4.4802867383512543E-3"/>
                  <c:y val="-4.94236127972991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bg1">
                          <a:lumMod val="65000"/>
                        </a:schemeClr>
                      </a:solidFill>
                      <a:latin typeface="Segoe Condensed" panose="020B0606040200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BF-47B7-92A1-77991EB5508B}"/>
                </c:ext>
              </c:extLst>
            </c:dLbl>
            <c:dLbl>
              <c:idx val="2"/>
              <c:layout>
                <c:manualLayout>
                  <c:x val="-1.3440860215053764E-2"/>
                  <c:y val="-4.45288501932853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bg1">
                          <a:lumMod val="65000"/>
                        </a:schemeClr>
                      </a:solidFill>
                      <a:latin typeface="Segoe Condensed" panose="020B0606040200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BF-47B7-92A1-77991EB5508B}"/>
                </c:ext>
              </c:extLst>
            </c:dLbl>
            <c:dLbl>
              <c:idx val="3"/>
              <c:layout>
                <c:manualLayout>
                  <c:x val="-1.3440860215053764E-2"/>
                  <c:y val="-4.45288501932853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bg1">
                          <a:lumMod val="65000"/>
                        </a:schemeClr>
                      </a:solidFill>
                      <a:latin typeface="Segoe Condensed" panose="020B0606040200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BF-47B7-92A1-77991EB550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'2. Income Gains'!$A$19:$A$28</c:f>
              <c:strCache>
                <c:ptCount val="10"/>
                <c:pt idx="0">
                  <c:v>Poorest decile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Richest decile</c:v>
                </c:pt>
              </c:strCache>
            </c:strRef>
          </c:cat>
          <c:val>
            <c:numRef>
              <c:f>'2. Income Gains'!$B$19:$B$28</c:f>
              <c:numCache>
                <c:formatCode>0.0%</c:formatCode>
                <c:ptCount val="10"/>
                <c:pt idx="0">
                  <c:v>5.6760000000000003E-4</c:v>
                </c:pt>
                <c:pt idx="1">
                  <c:v>2.5593E-3</c:v>
                </c:pt>
                <c:pt idx="2">
                  <c:v>3.7491E-3</c:v>
                </c:pt>
                <c:pt idx="3">
                  <c:v>3.9433999999999997E-3</c:v>
                </c:pt>
                <c:pt idx="4">
                  <c:v>5.1834000000000003E-3</c:v>
                </c:pt>
                <c:pt idx="5">
                  <c:v>6.672E-3</c:v>
                </c:pt>
                <c:pt idx="6">
                  <c:v>1.2209899999999999E-2</c:v>
                </c:pt>
                <c:pt idx="7">
                  <c:v>1.4495299999999999E-2</c:v>
                </c:pt>
                <c:pt idx="8">
                  <c:v>1.68302E-2</c:v>
                </c:pt>
                <c:pt idx="9">
                  <c:v>1.8069100000000001E-2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5BF-47B7-92A1-77991EB5508B}"/>
            </c:ext>
          </c:extLst>
        </c:ser>
        <c:ser>
          <c:idx val="1"/>
          <c:order val="1"/>
          <c:tx>
            <c:strRef>
              <c:f>'2. Income Gains'!$C$18</c:f>
              <c:strCache>
                <c:ptCount val="1"/>
                <c:pt idx="0">
                  <c:v>Gains due to moving from 23% to 20% PIT rate</c:v>
                </c:pt>
              </c:strCache>
            </c:strRef>
          </c:tx>
          <c:spPr>
            <a:solidFill>
              <a:schemeClr val="accent2"/>
            </a:solidFill>
            <a:ln>
              <a:noFill/>
              <a:prstDash val="dash"/>
            </a:ln>
            <a:effectLst/>
          </c:spPr>
          <c:invertIfNegative val="0"/>
          <c:dLbls>
            <c:dLbl>
              <c:idx val="0"/>
              <c:layout>
                <c:manualLayout>
                  <c:x val="1.7921146953405017E-2"/>
                  <c:y val="4.4528850193285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BF-47B7-92A1-77991EB550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'2. Income Gains'!$A$19:$A$28</c:f>
              <c:strCache>
                <c:ptCount val="10"/>
                <c:pt idx="0">
                  <c:v>Poorest decile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Richest decile</c:v>
                </c:pt>
              </c:strCache>
            </c:strRef>
          </c:cat>
          <c:val>
            <c:numRef>
              <c:f>'2. Income Gains'!$C$19:$C$28</c:f>
              <c:numCache>
                <c:formatCode>0.0%</c:formatCode>
                <c:ptCount val="10"/>
                <c:pt idx="0">
                  <c:v>3.8782000000000001E-3</c:v>
                </c:pt>
                <c:pt idx="1">
                  <c:v>1.0668800000000001E-2</c:v>
                </c:pt>
                <c:pt idx="2">
                  <c:v>1.39796E-2</c:v>
                </c:pt>
                <c:pt idx="3">
                  <c:v>1.7412299999999999E-2</c:v>
                </c:pt>
                <c:pt idx="4">
                  <c:v>2.0430299999999998E-2</c:v>
                </c:pt>
                <c:pt idx="5">
                  <c:v>2.1794399999999998E-2</c:v>
                </c:pt>
                <c:pt idx="6">
                  <c:v>2.7404000000000001E-2</c:v>
                </c:pt>
                <c:pt idx="7">
                  <c:v>2.85673E-2</c:v>
                </c:pt>
                <c:pt idx="8">
                  <c:v>2.84073E-2</c:v>
                </c:pt>
                <c:pt idx="9">
                  <c:v>2.65759E-2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BF-47B7-92A1-77991EB550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8387679"/>
        <c:axId val="1535500687"/>
      </c:barChart>
      <c:barChart>
        <c:barDir val="bar"/>
        <c:grouping val="stacked"/>
        <c:varyColors val="0"/>
        <c:ser>
          <c:idx val="2"/>
          <c:order val="2"/>
          <c:tx>
            <c:strRef>
              <c:f>'2. Income Gains'!$D$18</c:f>
              <c:strCache>
                <c:ptCount val="1"/>
                <c:pt idx="0">
                  <c:v>Total Reform Effect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'2. Income Gains'!$A$19:$A$28</c:f>
              <c:strCache>
                <c:ptCount val="10"/>
                <c:pt idx="0">
                  <c:v>Poorest decile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Richest decile</c:v>
                </c:pt>
              </c:strCache>
            </c:strRef>
          </c:cat>
          <c:val>
            <c:numRef>
              <c:f>'2. Income Gains'!$D$19:$D$28</c:f>
              <c:numCache>
                <c:formatCode>0.0%</c:formatCode>
                <c:ptCount val="10"/>
                <c:pt idx="0">
                  <c:v>4.4459E-3</c:v>
                </c:pt>
                <c:pt idx="1">
                  <c:v>1.32281E-2</c:v>
                </c:pt>
                <c:pt idx="2">
                  <c:v>1.77287E-2</c:v>
                </c:pt>
                <c:pt idx="3">
                  <c:v>2.1355699999999998E-2</c:v>
                </c:pt>
                <c:pt idx="4">
                  <c:v>2.56137E-2</c:v>
                </c:pt>
                <c:pt idx="5">
                  <c:v>2.8466399999999999E-2</c:v>
                </c:pt>
                <c:pt idx="6">
                  <c:v>3.9613900000000001E-2</c:v>
                </c:pt>
                <c:pt idx="7">
                  <c:v>4.3062599999999999E-2</c:v>
                </c:pt>
                <c:pt idx="8">
                  <c:v>4.52375E-2</c:v>
                </c:pt>
                <c:pt idx="9">
                  <c:v>4.4644999999999997E-2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5BF-47B7-92A1-77991EB550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2956832"/>
        <c:axId val="537038512"/>
      </c:barChart>
      <c:catAx>
        <c:axId val="12883876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Condensed" panose="020B0606040200020203" pitchFamily="34" charset="0"/>
                <a:ea typeface="+mn-ea"/>
                <a:cs typeface="+mn-cs"/>
              </a:defRPr>
            </a:pPr>
            <a:endParaRPr lang="en-US"/>
          </a:p>
        </c:txPr>
        <c:crossAx val="1535500687"/>
        <c:crosses val="autoZero"/>
        <c:auto val="1"/>
        <c:lblAlgn val="ctr"/>
        <c:lblOffset val="100"/>
        <c:noMultiLvlLbl val="0"/>
      </c:catAx>
      <c:valAx>
        <c:axId val="1535500687"/>
        <c:scaling>
          <c:orientation val="minMax"/>
          <c:max val="6.0000000000000012E-2"/>
        </c:scaling>
        <c:delete val="0"/>
        <c:axPos val="b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" b="0" i="0" u="none" strike="noStrike" kern="1200" baseline="0">
                <a:solidFill>
                  <a:schemeClr val="bg1"/>
                </a:solidFill>
                <a:latin typeface="Segoe Condensed" panose="020B0606040200020203" pitchFamily="34" charset="0"/>
                <a:ea typeface="+mn-ea"/>
                <a:cs typeface="+mn-cs"/>
              </a:defRPr>
            </a:pPr>
            <a:endParaRPr lang="en-US"/>
          </a:p>
        </c:txPr>
        <c:crossAx val="1288387679"/>
        <c:crosses val="autoZero"/>
        <c:crossBetween val="between"/>
      </c:valAx>
      <c:valAx>
        <c:axId val="537038512"/>
        <c:scaling>
          <c:orientation val="minMax"/>
          <c:min val="-1.0000000000000002E-2"/>
        </c:scaling>
        <c:delete val="0"/>
        <c:axPos val="t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" b="0" i="0" u="none" strike="noStrike" kern="1200" baseline="0">
                <a:solidFill>
                  <a:schemeClr val="bg1"/>
                </a:solidFill>
                <a:latin typeface="Segoe Condensed" panose="020B0606040200020203" pitchFamily="34" charset="0"/>
                <a:ea typeface="+mn-ea"/>
                <a:cs typeface="+mn-cs"/>
              </a:defRPr>
            </a:pPr>
            <a:endParaRPr lang="en-US"/>
          </a:p>
        </c:txPr>
        <c:crossAx val="522956832"/>
        <c:crosses val="max"/>
        <c:crossBetween val="between"/>
      </c:valAx>
      <c:catAx>
        <c:axId val="522956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370385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Segoe Condensed" panose="020B0606040200020203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97104027006789"/>
          <c:y val="6.9124512254959233E-2"/>
          <c:w val="0.81223771808284528"/>
          <c:h val="0.83747283815042406"/>
        </c:manualLayout>
      </c:layout>
      <c:lineChart>
        <c:grouping val="standard"/>
        <c:varyColors val="0"/>
        <c:ser>
          <c:idx val="3"/>
          <c:order val="0"/>
          <c:tx>
            <c:strRef>
              <c:f>'3. Poverty'!$D$2</c:f>
              <c:strCache>
                <c:ptCount val="1"/>
                <c:pt idx="0">
                  <c:v>Without PIT Reform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dPt>
            <c:idx val="0"/>
            <c:bubble3D val="0"/>
            <c:spPr>
              <a:ln w="28575" cap="rnd">
                <a:solidFill>
                  <a:srgbClr val="C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BEEA-49E9-8888-ED456F5C2191}"/>
              </c:ext>
            </c:extLst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'3. Poverty'!$C$3:$C$8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'3. Poverty'!$D$3:$D$8</c:f>
              <c:numCache>
                <c:formatCode>_(* #,##0.00_);_(* \(#,##0.00\);_(* "-"??_);_(@_)</c:formatCode>
                <c:ptCount val="6"/>
                <c:pt idx="0">
                  <c:v>24.0197</c:v>
                </c:pt>
                <c:pt idx="1">
                  <c:v>22.510300000000001</c:v>
                </c:pt>
                <c:pt idx="2">
                  <c:v>20.533100000000001</c:v>
                </c:pt>
                <c:pt idx="3">
                  <c:v>19.284000000000002</c:v>
                </c:pt>
                <c:pt idx="4">
                  <c:v>18.2043</c:v>
                </c:pt>
                <c:pt idx="5">
                  <c:v>17.568199999999909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EEA-49E9-8888-ED456F5C2191}"/>
            </c:ext>
          </c:extLst>
        </c:ser>
        <c:ser>
          <c:idx val="0"/>
          <c:order val="1"/>
          <c:tx>
            <c:strRef>
              <c:f>'3. Poverty'!$E$2</c:f>
              <c:strCache>
                <c:ptCount val="1"/>
                <c:pt idx="0">
                  <c:v>With PIT Reform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lgDash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'3. Poverty'!$E$3:$E$8</c:f>
              <c:numCache>
                <c:formatCode>_(* #,##0.00_);_(* \(#,##0.00\);_(* "-"??_);_(@_)</c:formatCode>
                <c:ptCount val="6"/>
                <c:pt idx="0">
                  <c:v>24.0197</c:v>
                </c:pt>
                <c:pt idx="1">
                  <c:v>22.510300000000001</c:v>
                </c:pt>
                <c:pt idx="2">
                  <c:v>20.033799999999989</c:v>
                </c:pt>
                <c:pt idx="3">
                  <c:v>17.974399999999989</c:v>
                </c:pt>
                <c:pt idx="4">
                  <c:v>16.429699999999901</c:v>
                </c:pt>
                <c:pt idx="5">
                  <c:v>15.64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EEA-49E9-8888-ED456F5C21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103488"/>
        <c:axId val="93220864"/>
      </c:lineChart>
      <c:catAx>
        <c:axId val="8110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Condensed" panose="020B0606040200020203" pitchFamily="34" charset="0"/>
                <a:ea typeface="+mn-ea"/>
                <a:cs typeface="+mn-cs"/>
              </a:defRPr>
            </a:pPr>
            <a:endParaRPr lang="en-US"/>
          </a:p>
        </c:txPr>
        <c:crossAx val="93220864"/>
        <c:crosses val="autoZero"/>
        <c:auto val="1"/>
        <c:lblAlgn val="ctr"/>
        <c:lblOffset val="100"/>
        <c:noMultiLvlLbl val="0"/>
      </c:catAx>
      <c:valAx>
        <c:axId val="932208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r>
                  <a:rPr lang="en-US" sz="700" i="1">
                    <a:latin typeface="Sylfaen" pitchFamily="18" charset="0"/>
                  </a:rPr>
                  <a:t>Անապահով բնակչության թիվը (աղքատության</a:t>
                </a:r>
                <a:r>
                  <a:rPr lang="en-US" sz="700" i="1" baseline="0">
                    <a:latin typeface="Sylfaen" pitchFamily="18" charset="0"/>
                  </a:rPr>
                  <a:t> ազգային գիծ)</a:t>
                </a:r>
                <a:endParaRPr lang="en-US" sz="700" i="1"/>
              </a:p>
            </c:rich>
          </c:tx>
          <c:layout>
            <c:manualLayout>
              <c:xMode val="edge"/>
              <c:yMode val="edge"/>
              <c:x val="1.3579204906035329E-3"/>
              <c:y val="0.1064800579452792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_(* #,##0_);_(* \(#,##0\);_(* &quot;-&quot;_);_(@_)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Condensed" panose="020B0606040200020203" pitchFamily="34" charset="0"/>
                <a:ea typeface="+mn-ea"/>
                <a:cs typeface="+mn-cs"/>
              </a:defRPr>
            </a:pPr>
            <a:endParaRPr lang="en-US"/>
          </a:p>
        </c:txPr>
        <c:crossAx val="8110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Segoe Condensed" panose="020B0606040200020203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68600382904606"/>
          <c:y val="4.8186873256085908E-2"/>
          <c:w val="0.81865112496221337"/>
          <c:h val="0.85333854045724156"/>
        </c:manualLayout>
      </c:layout>
      <c:lineChart>
        <c:grouping val="standard"/>
        <c:varyColors val="0"/>
        <c:ser>
          <c:idx val="3"/>
          <c:order val="0"/>
          <c:tx>
            <c:strRef>
              <c:f>'4. Gini'!$E$2</c:f>
              <c:strCache>
                <c:ptCount val="1"/>
                <c:pt idx="0">
                  <c:v>Without PIT Reform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dPt>
            <c:idx val="0"/>
            <c:bubble3D val="0"/>
            <c:spPr>
              <a:ln w="28575" cap="rnd">
                <a:solidFill>
                  <a:srgbClr val="C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E040-4A56-90AA-0D1E1085F2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'3. Poverty'!$C$3:$C$8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'4. Gini'!$E$3:$E$8</c:f>
              <c:numCache>
                <c:formatCode>0.0000</c:formatCode>
                <c:ptCount val="6"/>
                <c:pt idx="0">
                  <c:v>0.27464900000000003</c:v>
                </c:pt>
                <c:pt idx="1">
                  <c:v>0.27464900000000003</c:v>
                </c:pt>
                <c:pt idx="2">
                  <c:v>0.27464900000000003</c:v>
                </c:pt>
                <c:pt idx="3">
                  <c:v>0.27464900000000003</c:v>
                </c:pt>
                <c:pt idx="4">
                  <c:v>0.27464900000000003</c:v>
                </c:pt>
                <c:pt idx="5">
                  <c:v>0.27464900000000003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040-4A56-90AA-0D1E1085F280}"/>
            </c:ext>
          </c:extLst>
        </c:ser>
        <c:ser>
          <c:idx val="0"/>
          <c:order val="1"/>
          <c:tx>
            <c:strRef>
              <c:f>'4. Gini'!$F$2</c:f>
              <c:strCache>
                <c:ptCount val="1"/>
                <c:pt idx="0">
                  <c:v>With PIT Reform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lgDash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'4. Gini'!$F$3:$F$8</c:f>
              <c:numCache>
                <c:formatCode>0.0000</c:formatCode>
                <c:ptCount val="6"/>
                <c:pt idx="0">
                  <c:v>0.27464900000000003</c:v>
                </c:pt>
                <c:pt idx="1">
                  <c:v>0.27464900000000003</c:v>
                </c:pt>
                <c:pt idx="2">
                  <c:v>0.27732500000000032</c:v>
                </c:pt>
                <c:pt idx="3">
                  <c:v>0.27763500000000002</c:v>
                </c:pt>
                <c:pt idx="4">
                  <c:v>0.2781550000000001</c:v>
                </c:pt>
                <c:pt idx="5">
                  <c:v>0.278723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040-4A56-90AA-0D1E1085F2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042368"/>
        <c:axId val="94712576"/>
      </c:lineChart>
      <c:catAx>
        <c:axId val="9404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Condensed" panose="020B0606040200020203" pitchFamily="34" charset="0"/>
                <a:ea typeface="+mn-ea"/>
                <a:cs typeface="+mn-cs"/>
              </a:defRPr>
            </a:pPr>
            <a:endParaRPr lang="en-US"/>
          </a:p>
        </c:txPr>
        <c:crossAx val="94712576"/>
        <c:crosses val="autoZero"/>
        <c:auto val="1"/>
        <c:lblAlgn val="ctr"/>
        <c:lblOffset val="100"/>
        <c:noMultiLvlLbl val="0"/>
      </c:catAx>
      <c:valAx>
        <c:axId val="94712576"/>
        <c:scaling>
          <c:orientation val="minMax"/>
          <c:max val="0.30000000000000032"/>
          <c:min val="0.2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r>
                  <a:rPr lang="en-US" sz="700" i="1">
                    <a:latin typeface="Sylfaen" pitchFamily="18" charset="0"/>
                  </a:rPr>
                  <a:t>Ջինիի</a:t>
                </a:r>
                <a:r>
                  <a:rPr lang="en-US" sz="700" i="1" baseline="0">
                    <a:latin typeface="Sylfaen" pitchFamily="18" charset="0"/>
                  </a:rPr>
                  <a:t> միավորները</a:t>
                </a:r>
                <a:endParaRPr lang="en-US" sz="700" i="1">
                  <a:latin typeface="Sylfaen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_(* #,##0.00_);_(* \(#,##0.00\);_(* &quot;-&quot;??_);_(@_)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Condensed" panose="020B0606040200020203" pitchFamily="34" charset="0"/>
                <a:ea typeface="+mn-ea"/>
                <a:cs typeface="+mn-cs"/>
              </a:defRPr>
            </a:pPr>
            <a:endParaRPr lang="en-US"/>
          </a:p>
        </c:txPr>
        <c:crossAx val="94042368"/>
        <c:crosses val="autoZero"/>
        <c:crossBetween val="between"/>
        <c:majorUnit val="1.0000000000000005E-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Segoe Condensed" panose="020B0606040200020203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641413066610031"/>
          <c:y val="5.6117523202390829E-2"/>
          <c:w val="0.730517840675321"/>
          <c:h val="0.82879134100843765"/>
        </c:manualLayout>
      </c:layout>
      <c:barChart>
        <c:barDir val="col"/>
        <c:grouping val="clustered"/>
        <c:varyColors val="0"/>
        <c:ser>
          <c:idx val="3"/>
          <c:order val="0"/>
          <c:tx>
            <c:v>Annual</c:v>
          </c:tx>
          <c:spPr>
            <a:solidFill>
              <a:srgbClr val="FAA4AA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AA4AA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CDE-4240-AB80-65FABAE6C2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'5. Budget'!$A$4:$A$7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'5. Budget'!$B$4:$B$7</c:f>
              <c:numCache>
                <c:formatCode>_(* #,##0.00_);_(* \(#,##0.00\);_(* "-"??_);_(@_)</c:formatCode>
                <c:ptCount val="4"/>
                <c:pt idx="0">
                  <c:v>-0.30129600000000001</c:v>
                </c:pt>
                <c:pt idx="1">
                  <c:v>-0.45855000000000001</c:v>
                </c:pt>
                <c:pt idx="2">
                  <c:v>-0.59753099999999715</c:v>
                </c:pt>
                <c:pt idx="3">
                  <c:v>-0.71809800000000223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DE-4240-AB80-65FABAE6C2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7"/>
        <c:axId val="97539584"/>
        <c:axId val="97554816"/>
      </c:barChart>
      <c:catAx>
        <c:axId val="97539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554816"/>
        <c:crosses val="autoZero"/>
        <c:auto val="1"/>
        <c:lblAlgn val="ctr"/>
        <c:lblOffset val="100"/>
        <c:noMultiLvlLbl val="0"/>
      </c:catAx>
      <c:valAx>
        <c:axId val="97554816"/>
        <c:scaling>
          <c:orientation val="minMax"/>
          <c:max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i="1">
                    <a:latin typeface="Sylfaen" pitchFamily="18" charset="0"/>
                  </a:rPr>
                  <a:t>Տարեկան</a:t>
                </a:r>
                <a:r>
                  <a:rPr lang="en-US" sz="800" i="1" baseline="0">
                    <a:latin typeface="Sylfaen" pitchFamily="18" charset="0"/>
                  </a:rPr>
                  <a:t> ծախսերը</a:t>
                </a:r>
                <a:r>
                  <a:rPr lang="en-US" sz="800" i="1">
                    <a:latin typeface="Sylfaen" pitchFamily="18" charset="0"/>
                  </a:rPr>
                  <a:t>, ՀԱՆ-ի  </a:t>
                </a:r>
                <a:r>
                  <a:rPr lang="en-US"/>
                  <a:t>% </a:t>
                </a:r>
              </a:p>
            </c:rich>
          </c:tx>
          <c:layout>
            <c:manualLayout>
              <c:xMode val="edge"/>
              <c:yMode val="edge"/>
              <c:x val="1.4234943605022338E-2"/>
              <c:y val="0.1953643733535151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539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12142934396203"/>
          <c:y val="6.0709948284043684E-2"/>
          <c:w val="0.83033472988810419"/>
          <c:h val="0.74186660017855466"/>
        </c:manualLayout>
      </c:layout>
      <c:lineChart>
        <c:grouping val="standard"/>
        <c:varyColors val="0"/>
        <c:ser>
          <c:idx val="1"/>
          <c:order val="0"/>
          <c:tx>
            <c:strRef>
              <c:f>'2. Income Gains'!$V$3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5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'2. Income Gains'!$V$4:$V$13</c:f>
              <c:numCache>
                <c:formatCode>0.0%</c:formatCode>
                <c:ptCount val="10"/>
                <c:pt idx="0">
                  <c:v>0</c:v>
                </c:pt>
                <c:pt idx="1">
                  <c:v>1.919000000000009E-4</c:v>
                </c:pt>
                <c:pt idx="2">
                  <c:v>4.2010000000000235E-4</c:v>
                </c:pt>
                <c:pt idx="3">
                  <c:v>9.9330000000000208E-4</c:v>
                </c:pt>
                <c:pt idx="4">
                  <c:v>2.9175000000000052E-3</c:v>
                </c:pt>
                <c:pt idx="5">
                  <c:v>4.4320000000000123E-3</c:v>
                </c:pt>
                <c:pt idx="6">
                  <c:v>1.1367100000000047E-2</c:v>
                </c:pt>
                <c:pt idx="7">
                  <c:v>1.06099E-2</c:v>
                </c:pt>
                <c:pt idx="8">
                  <c:v>1.5449900000000001E-2</c:v>
                </c:pt>
                <c:pt idx="9">
                  <c:v>2.3323199999999978E-2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21-4470-8955-96B4F6BE4E90}"/>
            </c:ext>
          </c:extLst>
        </c:ser>
        <c:ser>
          <c:idx val="2"/>
          <c:order val="1"/>
          <c:tx>
            <c:strRef>
              <c:f>'2. Income Gains'!$W$3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'2. Income Gains'!$W$4:$W$13</c:f>
              <c:numCache>
                <c:formatCode>0.0%</c:formatCode>
                <c:ptCount val="10"/>
                <c:pt idx="0">
                  <c:v>2.1324999999999998E-3</c:v>
                </c:pt>
                <c:pt idx="1">
                  <c:v>1.9014000000000053E-3</c:v>
                </c:pt>
                <c:pt idx="2">
                  <c:v>3.657400000000012E-3</c:v>
                </c:pt>
                <c:pt idx="3">
                  <c:v>5.3694000000000033E-3</c:v>
                </c:pt>
                <c:pt idx="4">
                  <c:v>8.3306000000000248E-3</c:v>
                </c:pt>
                <c:pt idx="5">
                  <c:v>1.05183E-2</c:v>
                </c:pt>
                <c:pt idx="6">
                  <c:v>1.83252E-2</c:v>
                </c:pt>
                <c:pt idx="7">
                  <c:v>1.9193399999999999E-2</c:v>
                </c:pt>
                <c:pt idx="8">
                  <c:v>2.4820000000000002E-2</c:v>
                </c:pt>
                <c:pt idx="9">
                  <c:v>3.388420000000001E-2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21-4470-8955-96B4F6BE4E90}"/>
            </c:ext>
          </c:extLst>
        </c:ser>
        <c:ser>
          <c:idx val="3"/>
          <c:order val="2"/>
          <c:tx>
            <c:strRef>
              <c:f>'2. Income Gains'!$X$3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'2. Income Gains'!$X$4:$X$13</c:f>
              <c:numCache>
                <c:formatCode>0.0%</c:formatCode>
                <c:ptCount val="10"/>
                <c:pt idx="0">
                  <c:v>4.2231000000000013E-3</c:v>
                </c:pt>
                <c:pt idx="1">
                  <c:v>3.5693000000000157E-3</c:v>
                </c:pt>
                <c:pt idx="2">
                  <c:v>6.8240000000000002E-3</c:v>
                </c:pt>
                <c:pt idx="3">
                  <c:v>9.6667000000000228E-3</c:v>
                </c:pt>
                <c:pt idx="4">
                  <c:v>1.3648700000000001E-2</c:v>
                </c:pt>
                <c:pt idx="5">
                  <c:v>1.6503800000000068E-2</c:v>
                </c:pt>
                <c:pt idx="6">
                  <c:v>2.614E-2</c:v>
                </c:pt>
                <c:pt idx="7">
                  <c:v>2.7622799999999999E-2</c:v>
                </c:pt>
                <c:pt idx="8">
                  <c:v>3.4672099999999997E-2</c:v>
                </c:pt>
                <c:pt idx="9">
                  <c:v>4.4866000000000288E-2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021-4470-8955-96B4F6BE4E90}"/>
            </c:ext>
          </c:extLst>
        </c:ser>
        <c:ser>
          <c:idx val="4"/>
          <c:order val="3"/>
          <c:tx>
            <c:strRef>
              <c:f>'2. Income Gains'!$Y$3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5">
                  <a:tint val="54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'2. Income Gains'!$Y$4:$Y$13</c:f>
              <c:numCache>
                <c:formatCode>0.0%</c:formatCode>
                <c:ptCount val="10"/>
                <c:pt idx="0">
                  <c:v>6.3370000000000024E-3</c:v>
                </c:pt>
                <c:pt idx="1">
                  <c:v>5.2064000000000225E-3</c:v>
                </c:pt>
                <c:pt idx="2">
                  <c:v>9.9983000000000034E-3</c:v>
                </c:pt>
                <c:pt idx="3">
                  <c:v>1.4068899999999999E-2</c:v>
                </c:pt>
                <c:pt idx="4">
                  <c:v>1.9145500000000072E-2</c:v>
                </c:pt>
                <c:pt idx="5">
                  <c:v>2.2722200000000001E-2</c:v>
                </c:pt>
                <c:pt idx="6">
                  <c:v>3.4195299999999998E-2</c:v>
                </c:pt>
                <c:pt idx="7">
                  <c:v>3.6347499999999998E-2</c:v>
                </c:pt>
                <c:pt idx="8">
                  <c:v>4.4877100000000003E-2</c:v>
                </c:pt>
                <c:pt idx="9">
                  <c:v>5.6031600000000022E-2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021-4470-8955-96B4F6BE4E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7997952"/>
        <c:axId val="99685120"/>
      </c:lineChart>
      <c:catAx>
        <c:axId val="979979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Condensed" panose="020B0606040200020203" pitchFamily="34" charset="0"/>
                <a:ea typeface="+mn-ea"/>
                <a:cs typeface="+mn-cs"/>
              </a:defRPr>
            </a:pPr>
            <a:endParaRPr lang="en-US"/>
          </a:p>
        </c:txPr>
        <c:crossAx val="99685120"/>
        <c:crosses val="autoZero"/>
        <c:auto val="1"/>
        <c:lblAlgn val="ctr"/>
        <c:lblOffset val="100"/>
        <c:noMultiLvlLbl val="0"/>
      </c:catAx>
      <c:valAx>
        <c:axId val="9968512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r>
                  <a:rPr lang="en-US" sz="700" i="1">
                    <a:latin typeface="Sylfaen" pitchFamily="18" charset="0"/>
                  </a:rPr>
                  <a:t>Եկամտի ավելացում՝ որպես շուկայական Տ. %</a:t>
                </a:r>
              </a:p>
            </c:rich>
          </c:tx>
          <c:layout>
            <c:manualLayout>
              <c:xMode val="edge"/>
              <c:yMode val="edge"/>
              <c:x val="1.4928892726508663E-4"/>
              <c:y val="0.1209602438612437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Condensed" panose="020B0606040200020203" pitchFamily="34" charset="0"/>
                <a:ea typeface="+mn-ea"/>
                <a:cs typeface="+mn-cs"/>
              </a:defRPr>
            </a:pPr>
            <a:endParaRPr lang="en-US"/>
          </a:p>
        </c:txPr>
        <c:crossAx val="9799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276507206470842E-2"/>
          <c:y val="0.88868964796152261"/>
          <c:w val="0.9121998493673017"/>
          <c:h val="0.101095847441950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Condensed" panose="020B0606040200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Segoe Condensed" panose="020B0606040200020203" pitchFamily="34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74316941800071"/>
          <c:y val="5.0552336994322267E-2"/>
          <c:w val="0.79039639126538053"/>
          <c:h val="0.70918794603977464"/>
        </c:manualLayout>
      </c:layout>
      <c:areaChart>
        <c:grouping val="stacked"/>
        <c:varyColors val="0"/>
        <c:ser>
          <c:idx val="0"/>
          <c:order val="0"/>
          <c:tx>
            <c:strRef>
              <c:f>'2. Income Gains'!$V$19</c:f>
              <c:strCache>
                <c:ptCount val="1"/>
                <c:pt idx="0">
                  <c:v>Step1: Applying single rate of 23%</c:v>
                </c:pt>
              </c:strCache>
            </c:strRef>
          </c:tx>
          <c:spPr>
            <a:solidFill>
              <a:schemeClr val="accent1"/>
            </a:solidFill>
            <a:ln>
              <a:noFill/>
              <a:prstDash val="dash"/>
            </a:ln>
            <a:effectLst/>
          </c:spPr>
          <c:cat>
            <c:numRef>
              <c:f>'2. Income Gains'!$U$20:$U$29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'2. Income Gains'!$V$20:$V$29</c:f>
              <c:numCache>
                <c:formatCode>0.0%</c:formatCode>
                <c:ptCount val="10"/>
                <c:pt idx="0">
                  <c:v>0</c:v>
                </c:pt>
                <c:pt idx="1">
                  <c:v>2.2940000000000045E-4</c:v>
                </c:pt>
                <c:pt idx="2">
                  <c:v>5.0230000000000012E-4</c:v>
                </c:pt>
                <c:pt idx="3">
                  <c:v>1.0945000000000017E-3</c:v>
                </c:pt>
                <c:pt idx="4">
                  <c:v>3.1740000000000041E-3</c:v>
                </c:pt>
                <c:pt idx="5">
                  <c:v>4.7447000000000079E-3</c:v>
                </c:pt>
                <c:pt idx="6">
                  <c:v>1.0987200000000001E-2</c:v>
                </c:pt>
                <c:pt idx="7">
                  <c:v>1.1216500000000001E-2</c:v>
                </c:pt>
                <c:pt idx="8">
                  <c:v>1.5620500000000032E-2</c:v>
                </c:pt>
                <c:pt idx="9">
                  <c:v>2.3464099999999977E-2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F5-4A11-B471-972848A6D2B6}"/>
            </c:ext>
          </c:extLst>
        </c:ser>
        <c:ser>
          <c:idx val="1"/>
          <c:order val="1"/>
          <c:tx>
            <c:strRef>
              <c:f>'2. Income Gains'!$W$19</c:f>
              <c:strCache>
                <c:ptCount val="1"/>
                <c:pt idx="0">
                  <c:v>Step 2: Lowering the Rate to 20%</c:v>
                </c:pt>
              </c:strCache>
            </c:strRef>
          </c:tx>
          <c:spPr>
            <a:solidFill>
              <a:schemeClr val="accent2"/>
            </a:solidFill>
            <a:ln>
              <a:noFill/>
              <a:prstDash val="dash"/>
            </a:ln>
            <a:effectLst/>
          </c:spPr>
          <c:cat>
            <c:numRef>
              <c:f>'2. Income Gains'!$U$20:$U$29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'2. Income Gains'!$W$20:$W$29</c:f>
              <c:numCache>
                <c:formatCode>0.0%</c:formatCode>
                <c:ptCount val="10"/>
                <c:pt idx="0">
                  <c:v>6.3370000000000024E-3</c:v>
                </c:pt>
                <c:pt idx="1">
                  <c:v>4.9770000000000101E-3</c:v>
                </c:pt>
                <c:pt idx="2">
                  <c:v>9.4959000000000068E-3</c:v>
                </c:pt>
                <c:pt idx="3">
                  <c:v>1.2974299999999998E-2</c:v>
                </c:pt>
                <c:pt idx="4">
                  <c:v>1.5971500000000003E-2</c:v>
                </c:pt>
                <c:pt idx="5">
                  <c:v>1.79775E-2</c:v>
                </c:pt>
                <c:pt idx="6">
                  <c:v>2.3208099999999988E-2</c:v>
                </c:pt>
                <c:pt idx="7">
                  <c:v>2.5131000000000035E-2</c:v>
                </c:pt>
                <c:pt idx="8">
                  <c:v>2.92567E-2</c:v>
                </c:pt>
                <c:pt idx="9">
                  <c:v>3.2567499999999999E-2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F5-4A11-B471-972848A6D2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068736"/>
        <c:axId val="100115584"/>
      </c:areaChart>
      <c:catAx>
        <c:axId val="10006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Condensed" panose="020B0606040200020203" pitchFamily="34" charset="0"/>
                <a:ea typeface="+mn-ea"/>
                <a:cs typeface="+mn-cs"/>
              </a:defRPr>
            </a:pPr>
            <a:endParaRPr lang="en-US"/>
          </a:p>
        </c:txPr>
        <c:crossAx val="100115584"/>
        <c:crosses val="autoZero"/>
        <c:auto val="1"/>
        <c:lblAlgn val="ctr"/>
        <c:lblOffset val="100"/>
        <c:noMultiLvlLbl val="0"/>
      </c:catAx>
      <c:valAx>
        <c:axId val="100115584"/>
        <c:scaling>
          <c:orientation val="minMax"/>
          <c:max val="6.0000000000000032E-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Segoe Condensed" panose="020B0606040200020203" pitchFamily="34" charset="0"/>
                    <a:ea typeface="+mn-ea"/>
                    <a:cs typeface="+mn-cs"/>
                  </a:defRPr>
                </a:pPr>
                <a:r>
                  <a:rPr lang="en-US" sz="700" b="0" i="1" baseline="0">
                    <a:effectLst/>
                  </a:rPr>
                  <a:t>Եկամտի ավելացում՝ որպես շուկայական Տ. %</a:t>
                </a:r>
                <a:endParaRPr lang="en-US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4.8945734456811813E-3"/>
              <c:y val="8.4128208347533054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Condensed" panose="020B0606040200020203" pitchFamily="34" charset="0"/>
                <a:ea typeface="+mn-ea"/>
                <a:cs typeface="+mn-cs"/>
              </a:defRPr>
            </a:pPr>
            <a:endParaRPr lang="en-US"/>
          </a:p>
        </c:txPr>
        <c:crossAx val="1000687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795846831809595E-2"/>
          <c:y val="0.85907923240802453"/>
          <c:w val="0.92940660087576565"/>
          <c:h val="0.115413420702822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Condensed" panose="020B0606040200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Segoe Condensed" panose="020B0606040200020203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0.25505</cdr:x>
      <cdr:y>0.60361</cdr:y>
    </cdr:from>
    <cdr:to>
      <cdr:x>0.87552</cdr:x>
      <cdr:y>0.83577</cdr:y>
    </cdr:to>
    <cdr:grpSp>
      <cdr:nvGrpSpPr>
        <cdr:cNvPr id="3" name="Group 2"/>
        <cdr:cNvGrpSpPr/>
      </cdr:nvGrpSpPr>
      <cdr:grpSpPr>
        <a:xfrm xmlns:a="http://schemas.openxmlformats.org/drawingml/2006/main">
          <a:off x="716974" y="1291701"/>
          <a:ext cx="1744252" cy="496815"/>
          <a:chOff x="-5124450" y="-2390776"/>
          <a:chExt cx="1724025" cy="513652"/>
        </a:xfrm>
      </cdr:grpSpPr>
      <cdr:sp macro="" textlink="">
        <cdr:nvSpPr>
          <cdr:cNvPr id="4" name="Text Box 16"/>
          <cdr:cNvSpPr txBox="1"/>
        </cdr:nvSpPr>
        <cdr:spPr>
          <a:xfrm xmlns:a="http://schemas.openxmlformats.org/drawingml/2006/main">
            <a:off x="-5124450" y="-2390776"/>
            <a:ext cx="1724025" cy="513652"/>
          </a:xfrm>
          <a:prstGeom xmlns:a="http://schemas.openxmlformats.org/drawingml/2006/main" prst="rect">
            <a:avLst/>
          </a:prstGeom>
          <a:solidFill xmlns:a="http://schemas.openxmlformats.org/drawingml/2006/main">
            <a:schemeClr val="lt1"/>
          </a:solidFill>
          <a:ln xmlns:a="http://schemas.openxmlformats.org/drawingml/2006/main" w="6350">
            <a:noFill/>
          </a:ln>
        </cdr:spPr>
        <cdr:txBody>
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<a:prstTxWarp prst="textNoShape">
              <a:avLst/>
            </a:prstTxWarp>
            <a:noAutofit/>
          </a:bodyPr>
          <a:lstStyle xmlns:a="http://schemas.openxmlformats.org/drawingml/2006/main"/>
          <a:p xmlns:a="http://schemas.openxmlformats.org/drawingml/2006/main">
            <a:pPr>
              <a:lnSpc>
                <a:spcPct val="107000"/>
              </a:lnSpc>
              <a:spcAft>
                <a:spcPts val="0"/>
              </a:spcAft>
            </a:pPr>
            <a:r>
              <a:rPr lang="en-US" sz="700">
                <a:effectLst/>
                <a:latin typeface="Sylfaen" panose="010A0502050306030303" pitchFamily="18" charset="0"/>
                <a:ea typeface="Calibri" panose="020F0502020204030204" pitchFamily="34" charset="0"/>
                <a:cs typeface="Times New Roman" panose="02020603050405020304" pitchFamily="18" charset="0"/>
              </a:rPr>
              <a:t>                Առանց ԵՀ բարեփոխումների</a:t>
            </a:r>
          </a:p>
          <a:p xmlns:a="http://schemas.openxmlformats.org/drawingml/2006/main">
            <a:pPr>
              <a:lnSpc>
                <a:spcPct val="107000"/>
              </a:lnSpc>
              <a:spcAft>
                <a:spcPts val="0"/>
              </a:spcAft>
            </a:pPr>
            <a:r>
              <a:rPr lang="en-US" sz="800">
                <a:effectLst/>
                <a:latin typeface="Sylfaen" panose="010A0502050306030303" pitchFamily="18" charset="0"/>
                <a:ea typeface="Calibri" panose="020F0502020204030204" pitchFamily="34" charset="0"/>
                <a:cs typeface="Times New Roman" panose="02020603050405020304" pitchFamily="18" charset="0"/>
              </a:rPr>
              <a:t>              </a:t>
            </a:r>
            <a:r>
              <a:rPr lang="en-US" sz="700">
                <a:effectLst/>
                <a:highlight>
                  <a:srgbClr val="FFFF00"/>
                </a:highlight>
                <a:latin typeface="Sylfaen" panose="010A0502050306030303" pitchFamily="18" charset="0"/>
                <a:ea typeface="Calibri" panose="020F0502020204030204" pitchFamily="34" charset="0"/>
                <a:cs typeface="Times New Roman" panose="02020603050405020304" pitchFamily="18" charset="0"/>
              </a:rPr>
              <a:t>[With PIT reform]</a:t>
            </a:r>
            <a:endParaRPr lang="en-US" sz="700">
              <a:effectLst/>
              <a:highlight>
                <a:srgbClr val="FFFF00"/>
              </a:highlight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endParaRPr>
          </a:p>
          <a:p xmlns:a="http://schemas.openxmlformats.org/drawingml/2006/main">
            <a:pPr>
              <a:lnSpc>
                <a:spcPct val="107000"/>
              </a:lnSpc>
              <a:spcAft>
                <a:spcPts val="800"/>
              </a:spcAft>
            </a:pPr>
            <a:endParaRPr lang="en-US" sz="11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endParaRPr>
          </a:p>
          <a:p xmlns:a="http://schemas.openxmlformats.org/drawingml/2006/main">
            <a:pPr>
              <a:lnSpc>
                <a:spcPct val="107000"/>
              </a:lnSpc>
              <a:spcAft>
                <a:spcPts val="800"/>
              </a:spcAft>
            </a:pPr>
            <a:r>
              <a:rPr lang="en-US" sz="1100">
                <a:effectLst/>
                <a:latin typeface="Calibri" panose="020F050202020403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 </a:t>
            </a:r>
          </a:p>
        </cdr:txBody>
      </cdr:sp>
      <cdr:cxnSp macro="">
        <cdr:nvCxnSpPr>
          <cdr:cNvPr id="5" name="Straight Connector 4"/>
          <cdr:cNvCxnSpPr/>
        </cdr:nvCxnSpPr>
        <cdr:spPr>
          <a:xfrm xmlns:a="http://schemas.openxmlformats.org/drawingml/2006/main">
            <a:off x="-5000625" y="-2276475"/>
            <a:ext cx="252000" cy="0"/>
          </a:xfrm>
          <a:prstGeom xmlns:a="http://schemas.openxmlformats.org/drawingml/2006/main" prst="line">
            <a:avLst/>
          </a:prstGeom>
          <a:ln xmlns:a="http://schemas.openxmlformats.org/drawingml/2006/main" w="38100">
            <a:solidFill>
              <a:srgbClr val="C0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0.29762</cdr:x>
      <cdr:y>0.71854</cdr:y>
    </cdr:from>
    <cdr:to>
      <cdr:x>0.38832</cdr:x>
      <cdr:y>0.71854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836658" y="1537647"/>
          <a:ext cx="254957" cy="0"/>
        </a:xfrm>
        <a:prstGeom xmlns:a="http://schemas.openxmlformats.org/drawingml/2006/main" prst="line">
          <a:avLst/>
        </a:prstGeom>
        <a:ln xmlns:a="http://schemas.openxmlformats.org/drawingml/2006/main" w="38100">
          <a:solidFill>
            <a:schemeClr val="accent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0.26963</cdr:x>
      <cdr:y>0.63436</cdr:y>
    </cdr:from>
    <cdr:to>
      <cdr:x>0.89006</cdr:x>
      <cdr:y>0.87582</cdr:y>
    </cdr:to>
    <cdr:grpSp>
      <cdr:nvGrpSpPr>
        <cdr:cNvPr id="6" name="Group 5"/>
        <cdr:cNvGrpSpPr/>
      </cdr:nvGrpSpPr>
      <cdr:grpSpPr>
        <a:xfrm xmlns:a="http://schemas.openxmlformats.org/drawingml/2006/main">
          <a:off x="749244" y="1349445"/>
          <a:ext cx="1724026" cy="513652"/>
          <a:chOff x="-10898135" y="-6198052"/>
          <a:chExt cx="1704033" cy="531060"/>
        </a:xfrm>
      </cdr:grpSpPr>
      <cdr:sp macro="" textlink="">
        <cdr:nvSpPr>
          <cdr:cNvPr id="7" name="Text Box 16"/>
          <cdr:cNvSpPr txBox="1"/>
        </cdr:nvSpPr>
        <cdr:spPr>
          <a:xfrm xmlns:a="http://schemas.openxmlformats.org/drawingml/2006/main">
            <a:off x="-10898135" y="-6198052"/>
            <a:ext cx="1704033" cy="531060"/>
          </a:xfrm>
          <a:prstGeom xmlns:a="http://schemas.openxmlformats.org/drawingml/2006/main" prst="rect">
            <a:avLst/>
          </a:prstGeom>
          <a:solidFill xmlns:a="http://schemas.openxmlformats.org/drawingml/2006/main">
            <a:schemeClr val="lt1"/>
          </a:solidFill>
          <a:ln xmlns:a="http://schemas.openxmlformats.org/drawingml/2006/main" w="6350">
            <a:noFill/>
          </a:ln>
        </cdr:spPr>
        <cdr:txBody>
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<a:prstTxWarp prst="textNoShape">
              <a:avLst/>
            </a:prstTxWarp>
            <a:noAutofit/>
          </a:bodyPr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>
              <a:lnSpc>
                <a:spcPct val="107000"/>
              </a:lnSpc>
              <a:spcAft>
                <a:spcPts val="0"/>
              </a:spcAft>
            </a:pPr>
            <a:r>
              <a:rPr lang="en-US" sz="700">
                <a:effectLst/>
                <a:latin typeface="Sylfaen" panose="010A0502050306030303" pitchFamily="18" charset="0"/>
                <a:ea typeface="Calibri" panose="020F0502020204030204" pitchFamily="34" charset="0"/>
                <a:cs typeface="Times New Roman" panose="02020603050405020304" pitchFamily="18" charset="0"/>
              </a:rPr>
              <a:t>                Առանց ԵՀ բարեփոխումների</a:t>
            </a:r>
          </a:p>
          <a:p xmlns:a="http://schemas.openxmlformats.org/drawingml/2006/main">
            <a:pPr>
              <a:lnSpc>
                <a:spcPct val="107000"/>
              </a:lnSpc>
              <a:spcAft>
                <a:spcPts val="0"/>
              </a:spcAft>
            </a:pPr>
            <a:r>
              <a:rPr lang="en-US" sz="800">
                <a:effectLst/>
                <a:latin typeface="Sylfaen" panose="010A0502050306030303" pitchFamily="18" charset="0"/>
                <a:ea typeface="Calibri" panose="020F0502020204030204" pitchFamily="34" charset="0"/>
                <a:cs typeface="Times New Roman" panose="02020603050405020304" pitchFamily="18" charset="0"/>
              </a:rPr>
              <a:t>              </a:t>
            </a:r>
            <a:r>
              <a:rPr lang="en-US" sz="700">
                <a:effectLst/>
                <a:highlight>
                  <a:srgbClr val="FFFF00"/>
                </a:highlight>
                <a:latin typeface="Sylfaen" panose="010A0502050306030303" pitchFamily="18" charset="0"/>
                <a:ea typeface="Calibri" panose="020F0502020204030204" pitchFamily="34" charset="0"/>
                <a:cs typeface="Times New Roman" panose="02020603050405020304" pitchFamily="18" charset="0"/>
              </a:rPr>
              <a:t>[With PIT reform]</a:t>
            </a:r>
            <a:endParaRPr lang="en-US" sz="700">
              <a:effectLst/>
              <a:highlight>
                <a:srgbClr val="FFFF00"/>
              </a:highlight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endParaRPr>
          </a:p>
          <a:p xmlns:a="http://schemas.openxmlformats.org/drawingml/2006/main">
            <a:pPr>
              <a:lnSpc>
                <a:spcPct val="107000"/>
              </a:lnSpc>
              <a:spcAft>
                <a:spcPts val="800"/>
              </a:spcAft>
            </a:pPr>
            <a:endParaRPr lang="en-US" sz="11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endParaRPr>
          </a:p>
          <a:p xmlns:a="http://schemas.openxmlformats.org/drawingml/2006/main">
            <a:pPr>
              <a:lnSpc>
                <a:spcPct val="107000"/>
              </a:lnSpc>
              <a:spcAft>
                <a:spcPts val="800"/>
              </a:spcAft>
            </a:pPr>
            <a:r>
              <a:rPr lang="en-US" sz="1100">
                <a:effectLst/>
                <a:latin typeface="Calibri" panose="020F050202020403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 </a:t>
            </a:r>
          </a:p>
        </cdr:txBody>
      </cdr:sp>
      <cdr:cxnSp macro="">
        <cdr:nvCxnSpPr>
          <cdr:cNvPr id="8" name="Straight Connector 7"/>
          <cdr:cNvCxnSpPr/>
        </cdr:nvCxnSpPr>
        <cdr:spPr>
          <a:xfrm xmlns:a="http://schemas.openxmlformats.org/drawingml/2006/main">
            <a:off x="-10775745" y="-6079876"/>
            <a:ext cx="249078" cy="0"/>
          </a:xfrm>
          <a:prstGeom xmlns:a="http://schemas.openxmlformats.org/drawingml/2006/main" prst="line">
            <a:avLst/>
          </a:prstGeom>
          <a:ln xmlns:a="http://schemas.openxmlformats.org/drawingml/2006/main" w="38100">
            <a:solidFill>
              <a:srgbClr val="C0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0.31357</cdr:x>
      <cdr:y>0.7505</cdr:y>
    </cdr:from>
    <cdr:to>
      <cdr:x>0.40533</cdr:x>
      <cdr:y>0.7505</cdr:y>
    </cdr:to>
    <cdr:cxnSp macro="">
      <cdr:nvCxnSpPr>
        <cdr:cNvPr id="9" name="Straight Connector 8"/>
        <cdr:cNvCxnSpPr/>
      </cdr:nvCxnSpPr>
      <cdr:spPr>
        <a:xfrm xmlns:a="http://schemas.openxmlformats.org/drawingml/2006/main">
          <a:off x="871338" y="1596506"/>
          <a:ext cx="254979" cy="0"/>
        </a:xfrm>
        <a:prstGeom xmlns:a="http://schemas.openxmlformats.org/drawingml/2006/main" prst="line">
          <a:avLst/>
        </a:prstGeom>
        <a:ln xmlns:a="http://schemas.openxmlformats.org/drawingml/2006/main" w="38100">
          <a:solidFill>
            <a:schemeClr val="accent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0.08143</cdr:x>
      <cdr:y>0.83675</cdr:y>
    </cdr:from>
    <cdr:to>
      <cdr:x>1</cdr:x>
      <cdr:y>1</cdr:y>
    </cdr:to>
    <cdr:grpSp>
      <cdr:nvGrpSpPr>
        <cdr:cNvPr id="2" name="Group 1"/>
        <cdr:cNvGrpSpPr/>
      </cdr:nvGrpSpPr>
      <cdr:grpSpPr>
        <a:xfrm xmlns:a="http://schemas.openxmlformats.org/drawingml/2006/main">
          <a:off x="233049" y="2099310"/>
          <a:ext cx="2628904" cy="409575"/>
          <a:chOff x="-2066925" y="-5657850"/>
          <a:chExt cx="2628900" cy="409575"/>
        </a:xfrm>
      </cdr:grpSpPr>
      <cdr:sp macro="" textlink="">
        <cdr:nvSpPr>
          <cdr:cNvPr id="3" name="Text Box 16"/>
          <cdr:cNvSpPr txBox="1"/>
        </cdr:nvSpPr>
        <cdr:spPr>
          <a:xfrm xmlns:a="http://schemas.openxmlformats.org/drawingml/2006/main">
            <a:off x="-2066925" y="-5657850"/>
            <a:ext cx="2628900" cy="409575"/>
          </a:xfrm>
          <a:prstGeom xmlns:a="http://schemas.openxmlformats.org/drawingml/2006/main" prst="rect">
            <a:avLst/>
          </a:prstGeom>
          <a:solidFill xmlns:a="http://schemas.openxmlformats.org/drawingml/2006/main">
            <a:schemeClr val="lt1"/>
          </a:solidFill>
          <a:ln xmlns:a="http://schemas.openxmlformats.org/drawingml/2006/main" w="6350">
            <a:noFill/>
          </a:ln>
        </cdr:spPr>
        <cdr:txBody>
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<a:prstTxWarp prst="textNoShape">
              <a:avLst/>
            </a:prstTxWarp>
            <a:noAutofit/>
          </a:bodyPr>
          <a:lstStyle xmlns:a="http://schemas.openxmlformats.org/drawingml/2006/main"/>
          <a:p xmlns:a="http://schemas.openxmlformats.org/drawingml/2006/main">
            <a:pPr algn="just">
              <a:lnSpc>
                <a:spcPct val="107000"/>
              </a:lnSpc>
              <a:spcAft>
                <a:spcPts val="0"/>
              </a:spcAft>
            </a:pPr>
            <a:r>
              <a:rPr lang="en-US" sz="700">
                <a:effectLst/>
                <a:latin typeface="Sylfaen" panose="010A0502050306030303" pitchFamily="18" charset="0"/>
                <a:ea typeface="Calibri" panose="020F0502020204030204" pitchFamily="34" charset="0"/>
                <a:cs typeface="Times New Roman" panose="02020603050405020304" pitchFamily="18" charset="0"/>
              </a:rPr>
              <a:t>        </a:t>
            </a:r>
            <a:r>
              <a:rPr lang="en-US" sz="700" i="1">
                <a:effectLst/>
                <a:latin typeface="Sylfaen" panose="010A0502050306030303" pitchFamily="18" charset="0"/>
                <a:ea typeface="Calibri" panose="020F0502020204030204" pitchFamily="34" charset="0"/>
                <a:cs typeface="Times New Roman" panose="02020603050405020304" pitchFamily="18" charset="0"/>
              </a:rPr>
              <a:t>Քայլ 2. Դրույքաչափի նվազում մինչև 20%</a:t>
            </a:r>
            <a:endParaRPr lang="en-US" sz="11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endParaRPr>
          </a:p>
          <a:p xmlns:a="http://schemas.openxmlformats.org/drawingml/2006/main">
            <a:pPr algn="just">
              <a:lnSpc>
                <a:spcPct val="107000"/>
              </a:lnSpc>
              <a:spcAft>
                <a:spcPts val="0"/>
              </a:spcAft>
            </a:pPr>
            <a:r>
              <a:rPr lang="en-US" sz="800" i="1">
                <a:effectLst/>
                <a:latin typeface="Sylfaen" panose="010A0502050306030303" pitchFamily="18" charset="0"/>
                <a:ea typeface="Calibri" panose="020F0502020204030204" pitchFamily="34" charset="0"/>
                <a:cs typeface="Times New Roman" panose="02020603050405020304" pitchFamily="18" charset="0"/>
              </a:rPr>
              <a:t>      Քայլ 1. Համահարթ 23% դրույքաչափի կիրառում</a:t>
            </a:r>
            <a:endParaRPr lang="en-US" sz="11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endParaRPr>
          </a:p>
        </cdr:txBody>
      </cdr:sp>
      <cdr:cxnSp macro="">
        <cdr:nvCxnSpPr>
          <cdr:cNvPr id="4" name="Straight Connector 3"/>
          <cdr:cNvCxnSpPr/>
        </cdr:nvCxnSpPr>
        <cdr:spPr>
          <a:xfrm xmlns:a="http://schemas.openxmlformats.org/drawingml/2006/main">
            <a:off x="-1943100" y="-5543550"/>
            <a:ext cx="108000" cy="0"/>
          </a:xfrm>
          <a:prstGeom xmlns:a="http://schemas.openxmlformats.org/drawingml/2006/main" prst="line">
            <a:avLst/>
          </a:prstGeom>
          <a:ln xmlns:a="http://schemas.openxmlformats.org/drawingml/2006/main" w="38100">
            <a:solidFill>
              <a:srgbClr val="FF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5" name="Straight Connector 4"/>
          <cdr:cNvCxnSpPr/>
        </cdr:nvCxnSpPr>
        <cdr:spPr>
          <a:xfrm xmlns:a="http://schemas.openxmlformats.org/drawingml/2006/main">
            <a:off x="-1943100" y="-5429250"/>
            <a:ext cx="108000" cy="0"/>
          </a:xfrm>
          <a:prstGeom xmlns:a="http://schemas.openxmlformats.org/drawingml/2006/main" prst="line">
            <a:avLst/>
          </a:prstGeom>
          <a:ln xmlns:a="http://schemas.openxmlformats.org/drawingml/2006/main" w="38100"/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OpsProjectDoc" ma:contentTypeID="0x01010054E0FEF4951F9D49A6F48A35419983C700BB54315AC894844F84017B1B79F90E64" ma:contentTypeVersion="3" ma:contentTypeDescription="" ma:contentTypeScope="" ma:versionID="d06f4344bc84740b07172f4fc17231a8">
  <xsd:schema xmlns:xsd="http://www.w3.org/2001/XMLSchema" xmlns:xs="http://www.w3.org/2001/XMLSchema" xmlns:p="http://schemas.microsoft.com/office/2006/metadata/properties" xmlns:ns2="b99a068c-3844-4a16-badd-77233eea0529" targetNamespace="http://schemas.microsoft.com/office/2006/metadata/properties" ma:root="true" ma:fieldsID="fda24a9677bb9d21e2f1b3e6e3d6658a" ns2:_="">
    <xsd:import namespace="b99a068c-3844-4a16-badd-77233eea0529"/>
    <xsd:element name="properties">
      <xsd:complexType>
        <xsd:sequence>
          <xsd:element name="documentManagement">
            <xsd:complexType>
              <xsd:all>
                <xsd:element ref="ns2:ProjectID" minOccurs="0"/>
                <xsd:element ref="ns2:Stage" minOccurs="0"/>
                <xsd:element ref="ns2:Package" minOccurs="0"/>
                <xsd:element ref="ns2:DocumentType" minOccurs="0"/>
                <xsd:element ref="ns2:SortOrder" minOccurs="0"/>
                <xsd:element ref="ns2:AttachmentType" minOccurs="0"/>
                <xsd:element ref="ns2:Abstract" minOccurs="0"/>
                <xsd:element ref="ns2:SecurityClassification" minOccurs="0"/>
                <xsd:element ref="ns2:Cordis_x0020_ID" minOccurs="0"/>
                <xsd:element ref="ns2:Task_x0020_ID" minOccurs="0"/>
                <xsd:element ref="ns2:DependentDoc" minOccurs="0"/>
                <xsd:element ref="ns2:DeliverableID" minOccurs="0"/>
                <xsd:element ref="ns2:RefreshDate" minOccurs="0"/>
                <xsd:element ref="ns2:DocStatus" minOccurs="0"/>
                <xsd:element ref="ns2:ApprovedVersion" minOccurs="0"/>
                <xsd:element ref="ns2:DisclosedVersion" minOccurs="0"/>
                <xsd:element ref="ns2:HasUserUploaded" minOccurs="0"/>
                <xsd:element ref="ns2:IsMandatory" minOccurs="0"/>
                <xsd:element ref="ns2:IsTemplate" minOccurs="0"/>
                <xsd:element ref="ns2:SAPStage" minOccurs="0"/>
                <xsd:element ref="ns2:Authors" minOccurs="0"/>
                <xsd:element ref="ns2:DocAuthors" minOccurs="0"/>
                <xsd:element ref="ns2:DocumentDate" minOccurs="0"/>
                <xsd:element ref="ns2:PolicyExceptions" minOccurs="0"/>
                <xsd:element ref="ns2:WBDocType" minOccurs="0"/>
                <xsd:element ref="ns2:LockStatus" minOccurs="0"/>
                <xsd:element ref="ns2:DocumentAction" minOccurs="0"/>
                <xsd:element ref="ns2:IsHidden" minOccurs="0"/>
                <xsd:element ref="ns2:TemplateDocVersion" minOccurs="0"/>
                <xsd:element ref="ns2:SequenceN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a068c-3844-4a16-badd-77233eea0529" elementFormDefault="qualified">
    <xsd:import namespace="http://schemas.microsoft.com/office/2006/documentManagement/types"/>
    <xsd:import namespace="http://schemas.microsoft.com/office/infopath/2007/PartnerControls"/>
    <xsd:element name="ProjectID" ma:index="8" nillable="true" ma:displayName="ProjectID" ma:internalName="ProjectID">
      <xsd:simpleType>
        <xsd:restriction base="dms:Text">
          <xsd:maxLength value="255"/>
        </xsd:restriction>
      </xsd:simpleType>
    </xsd:element>
    <xsd:element name="Stage" ma:index="9" nillable="true" ma:displayName="Stage" ma:internalName="Stage">
      <xsd:simpleType>
        <xsd:restriction base="dms:Text">
          <xsd:maxLength value="255"/>
        </xsd:restriction>
      </xsd:simpleType>
    </xsd:element>
    <xsd:element name="Package" ma:index="10" nillable="true" ma:displayName="Package" ma:default="1" ma:internalName="Package">
      <xsd:simpleType>
        <xsd:restriction base="dms:Boolean"/>
      </xsd:simpleType>
    </xsd:element>
    <xsd:element name="DocumentType" ma:index="11" nillable="true" ma:displayName="DocumentType" ma:internalName="DocumentType">
      <xsd:simpleType>
        <xsd:restriction base="dms:Text">
          <xsd:maxLength value="255"/>
        </xsd:restriction>
      </xsd:simpleType>
    </xsd:element>
    <xsd:element name="SortOrder" ma:index="12" nillable="true" ma:displayName="SortOrder" ma:internalName="SortOrder">
      <xsd:simpleType>
        <xsd:restriction base="dms:Number"/>
      </xsd:simpleType>
    </xsd:element>
    <xsd:element name="AttachmentType" ma:index="13" nillable="true" ma:displayName="AttachmentType" ma:internalName="AttachmentType">
      <xsd:simpleType>
        <xsd:restriction base="dms:Text">
          <xsd:maxLength value="255"/>
        </xsd:restriction>
      </xsd:simpleType>
    </xsd:element>
    <xsd:element name="Abstract" ma:index="14" nillable="true" ma:displayName="Abstract" ma:internalName="Abstract">
      <xsd:simpleType>
        <xsd:restriction base="dms:Note"/>
      </xsd:simpleType>
    </xsd:element>
    <xsd:element name="SecurityClassification" ma:index="15" nillable="true" ma:displayName="SecurityClassification" ma:format="Dropdown" ma:internalName="SecurityClassification">
      <xsd:simpleType>
        <xsd:restriction base="dms:Choice">
          <xsd:enumeration value="Official use only"/>
          <xsd:enumeration value="Public"/>
        </xsd:restriction>
      </xsd:simpleType>
    </xsd:element>
    <xsd:element name="Cordis_x0020_ID" ma:index="16" nillable="true" ma:displayName="Cordis ID" ma:internalName="Cordis_x0020_ID">
      <xsd:simpleType>
        <xsd:restriction base="dms:Note"/>
      </xsd:simpleType>
    </xsd:element>
    <xsd:element name="Task_x0020_ID" ma:index="17" nillable="true" ma:displayName="Task ID" ma:internalName="Task_x0020_ID">
      <xsd:simpleType>
        <xsd:restriction base="dms:Note"/>
      </xsd:simpleType>
    </xsd:element>
    <xsd:element name="DependentDoc" ma:index="18" nillable="true" ma:displayName="DependentDoc" ma:internalName="DependentDoc">
      <xsd:simpleType>
        <xsd:restriction base="dms:Note"/>
      </xsd:simpleType>
    </xsd:element>
    <xsd:element name="DeliverableID" ma:index="19" nillable="true" ma:displayName="DeliverableID" ma:internalName="DeliverableID">
      <xsd:simpleType>
        <xsd:restriction base="dms:Note"/>
      </xsd:simpleType>
    </xsd:element>
    <xsd:element name="RefreshDate" ma:index="20" nillable="true" ma:displayName="RefreshDate" ma:format="DateTime" ma:internalName="RefreshDate">
      <xsd:simpleType>
        <xsd:restriction base="dms:DateTime"/>
      </xsd:simpleType>
    </xsd:element>
    <xsd:element name="DocStatus" ma:index="21" nillable="true" ma:displayName="DocStatus" ma:internalName="DocStatus">
      <xsd:simpleType>
        <xsd:restriction base="dms:Text">
          <xsd:maxLength value="255"/>
        </xsd:restriction>
      </xsd:simpleType>
    </xsd:element>
    <xsd:element name="ApprovedVersion" ma:index="22" nillable="true" ma:displayName="ApprovedVersion" ma:internalName="ApprovedVersion">
      <xsd:simpleType>
        <xsd:restriction base="dms:Text">
          <xsd:maxLength value="255"/>
        </xsd:restriction>
      </xsd:simpleType>
    </xsd:element>
    <xsd:element name="DisclosedVersion" ma:index="23" nillable="true" ma:displayName="DisclosedVersion" ma:internalName="DisclosedVersion">
      <xsd:simpleType>
        <xsd:restriction base="dms:Note"/>
      </xsd:simpleType>
    </xsd:element>
    <xsd:element name="HasUserUploaded" ma:index="24" nillable="true" ma:displayName="HasUserUploaded" ma:default="0" ma:internalName="HasUserUploaded">
      <xsd:simpleType>
        <xsd:restriction base="dms:Boolean"/>
      </xsd:simpleType>
    </xsd:element>
    <xsd:element name="IsMandatory" ma:index="25" nillable="true" ma:displayName="IsMandatory" ma:default="0" ma:internalName="IsMandatory">
      <xsd:simpleType>
        <xsd:restriction base="dms:Boolean"/>
      </xsd:simpleType>
    </xsd:element>
    <xsd:element name="IsTemplate" ma:index="26" nillable="true" ma:displayName="IsTemplate" ma:default="0" ma:internalName="IsTemplate">
      <xsd:simpleType>
        <xsd:restriction base="dms:Boolean"/>
      </xsd:simpleType>
    </xsd:element>
    <xsd:element name="SAPStage" ma:index="27" nillable="true" ma:displayName="SAPStage" ma:internalName="SAPStage">
      <xsd:simpleType>
        <xsd:restriction base="dms:Text">
          <xsd:maxLength value="255"/>
        </xsd:restriction>
      </xsd:simpleType>
    </xsd:element>
    <xsd:element name="Authors" ma:index="28" nillable="true" ma:displayName="Authors" ma:list="UserInfo" ma:SharePointGroup="0" ma:internalName="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Authors" ma:index="29" nillable="true" ma:displayName="DocAuthors" ma:internalName="DocAuthors">
      <xsd:simpleType>
        <xsd:restriction base="dms:Note">
          <xsd:maxLength value="255"/>
        </xsd:restriction>
      </xsd:simpleType>
    </xsd:element>
    <xsd:element name="DocumentDate" ma:index="30" nillable="true" ma:displayName="DocumentDate" ma:format="DateOnly" ma:internalName="DocumentDate">
      <xsd:simpleType>
        <xsd:restriction base="dms:DateTime"/>
      </xsd:simpleType>
    </xsd:element>
    <xsd:element name="PolicyExceptions" ma:index="31" nillable="true" ma:displayName="PolicyExceptions" ma:internalName="PolicyExceptions">
      <xsd:simpleType>
        <xsd:restriction base="dms:Note">
          <xsd:maxLength value="255"/>
        </xsd:restriction>
      </xsd:simpleType>
    </xsd:element>
    <xsd:element name="WBDocType" ma:index="32" nillable="true" ma:displayName="WBDocType" ma:internalName="WBDocType">
      <xsd:simpleType>
        <xsd:restriction base="dms:Text">
          <xsd:maxLength value="255"/>
        </xsd:restriction>
      </xsd:simpleType>
    </xsd:element>
    <xsd:element name="LockStatus" ma:index="33" nillable="true" ma:displayName="LockStatus" ma:internalName="LockStatus">
      <xsd:simpleType>
        <xsd:restriction base="dms:Text">
          <xsd:maxLength value="255"/>
        </xsd:restriction>
      </xsd:simpleType>
    </xsd:element>
    <xsd:element name="DocumentAction" ma:index="34" nillable="true" ma:displayName="DocumentAction" ma:internalName="DocumentAction">
      <xsd:simpleType>
        <xsd:restriction base="dms:Text">
          <xsd:maxLength value="255"/>
        </xsd:restriction>
      </xsd:simpleType>
    </xsd:element>
    <xsd:element name="IsHidden" ma:index="35" nillable="true" ma:displayName="IsHidden" ma:default="0" ma:internalName="IsHidden">
      <xsd:simpleType>
        <xsd:restriction base="dms:Boolean"/>
      </xsd:simpleType>
    </xsd:element>
    <xsd:element name="TemplateDocVersion" ma:index="36" nillable="true" ma:displayName="TemplateDocVersion" ma:internalName="TemplateDocVersion">
      <xsd:simpleType>
        <xsd:restriction base="dms:Text">
          <xsd:maxLength value="255"/>
        </xsd:restriction>
      </xsd:simpleType>
    </xsd:element>
    <xsd:element name="SequenceNum" ma:index="37" nillable="true" ma:displayName="SequenceNum" ma:internalName="SequenceNu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Authors xmlns="b99a068c-3844-4a16-badd-77233eea0529">000146458:Armanda Carcani:acarcani@worldbank.org;</DocAuthors>
    <Authors xmlns="b99a068c-3844-4a16-badd-77233eea0529">
      <UserInfo>
        <DisplayName>i:0#.w|wb\wb146458</DisplayName>
        <AccountId>9910</AccountId>
        <AccountType/>
      </UserInfo>
      <UserInfo>
        <DisplayName/>
        <AccountId xsi:nil="true"/>
        <AccountType/>
      </UserInfo>
    </Authors>
    <Cordis_x0020_ID xmlns="b99a068c-3844-4a16-badd-77233eea0529">ITM00270</Cordis_x0020_ID>
    <Stage xmlns="b99a068c-3844-4a16-badd-77233eea0529">IMP</Stage>
    <PolicyExceptions xmlns="b99a068c-3844-4a16-badd-77233eea0529" xsi:nil="true"/>
    <IsTemplate xmlns="b99a068c-3844-4a16-badd-77233eea0529">false</IsTemplate>
    <HasUserUploaded xmlns="b99a068c-3844-4a16-badd-77233eea0529">true</HasUserUploaded>
    <DocumentDate xmlns="b99a068c-3844-4a16-badd-77233eea0529">2019-05-20T04:00:00+00:00</DocumentDate>
    <WBDocType xmlns="b99a068c-3844-4a16-badd-77233eea0529">Report</WBDocType>
    <SecurityClassification xmlns="b99a068c-3844-4a16-badd-77233eea0529">Public</SecurityClassification>
    <DeliverableID xmlns="b99a068c-3844-4a16-badd-77233eea0529">DLV0308063</DeliverableID>
    <ProjectID xmlns="b99a068c-3844-4a16-badd-77233eea0529">P160431</ProjectID>
    <Task_x0020_ID xmlns="b99a068c-3844-4a16-badd-77233eea0529" xsi:nil="true"/>
    <Package xmlns="b99a068c-3844-4a16-badd-77233eea0529">true</Package>
    <TemplateDocVersion xmlns="b99a068c-3844-4a16-badd-77233eea0529" xsi:nil="true"/>
    <SequenceNum xmlns="b99a068c-3844-4a16-badd-77233eea0529" xsi:nil="true"/>
    <RefreshDate xmlns="b99a068c-3844-4a16-badd-77233eea0529" xsi:nil="true"/>
    <IsMandatory xmlns="b99a068c-3844-4a16-badd-77233eea0529">false</IsMandatory>
    <SortOrder xmlns="b99a068c-3844-4a16-badd-77233eea0529" xsi:nil="true"/>
    <IsHidden xmlns="b99a068c-3844-4a16-badd-77233eea0529">false</IsHidden>
    <AttachmentType xmlns="b99a068c-3844-4a16-badd-77233eea0529" xsi:nil="true"/>
    <DisclosedVersion xmlns="b99a068c-3844-4a16-badd-77233eea0529" xsi:nil="true"/>
    <DocumentType xmlns="b99a068c-3844-4a16-badd-77233eea0529" xsi:nil="true"/>
    <ApprovedVersion xmlns="b99a068c-3844-4a16-badd-77233eea0529" xsi:nil="true"/>
    <DocStatus xmlns="b99a068c-3844-4a16-badd-77233eea0529" xsi:nil="true"/>
    <DependentDoc xmlns="b99a068c-3844-4a16-badd-77233eea0529" xsi:nil="true"/>
    <SAPStage xmlns="b99a068c-3844-4a16-badd-77233eea0529" xsi:nil="true"/>
    <LockStatus xmlns="b99a068c-3844-4a16-badd-77233eea0529" xsi:nil="true"/>
    <Abstract xmlns="b99a068c-3844-4a16-badd-77233eea0529" xsi:nil="true"/>
    <DocumentAction xmlns="b99a068c-3844-4a16-badd-77233eea0529" xsi:nil="true"/>
  </documentManagement>
</p:properties>
</file>

<file path=customXml/item5.xml><?xml version="1.0" encoding="utf-8"?>
<?mso-contentType ?>
<SharedContentType xmlns="Microsoft.SharePoint.Taxonomy.ContentTypeSync" SourceId="a4117c50-33ca-4e49-9a5c-4b51d291b3ff" ContentTypeId="0x01010054E0FEF4951F9D49A6F48A35419983C7" PreviousValue="false"/>
</file>

<file path=customXml/itemProps1.xml><?xml version="1.0" encoding="utf-8"?>
<ds:datastoreItem xmlns:ds="http://schemas.openxmlformats.org/officeDocument/2006/customXml" ds:itemID="{F9938D94-6DC6-4735-9C54-5C2AD0593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F486C-20DD-45FB-A8EF-185D977A73B5}"/>
</file>

<file path=customXml/itemProps3.xml><?xml version="1.0" encoding="utf-8"?>
<ds:datastoreItem xmlns:ds="http://schemas.openxmlformats.org/officeDocument/2006/customXml" ds:itemID="{ECEE6BE8-60CE-4E5F-980C-89553ACF5BB2}"/>
</file>

<file path=customXml/itemProps4.xml><?xml version="1.0" encoding="utf-8"?>
<ds:datastoreItem xmlns:ds="http://schemas.openxmlformats.org/officeDocument/2006/customXml" ds:itemID="{E26FA600-1AD2-42B2-8584-62195B3CC0DF}"/>
</file>

<file path=customXml/itemProps5.xml><?xml version="1.0" encoding="utf-8"?>
<ds:datastoreItem xmlns:ds="http://schemas.openxmlformats.org/officeDocument/2006/customXml" ds:itemID="{A98BEAF3-D1F2-45D9-B477-31C6F55CC7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4719</Words>
  <Characters>26903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20190423 ARM PIT Reforms_Simulations</dc:title>
  <dc:creator>Haydeeliz Carrasco Nunez</dc:creator>
  <cp:lastModifiedBy>Cesar A. Cancho</cp:lastModifiedBy>
  <cp:revision>5</cp:revision>
  <dcterms:created xsi:type="dcterms:W3CDTF">2019-05-02T15:17:00Z</dcterms:created>
  <dcterms:modified xsi:type="dcterms:W3CDTF">2019-05-02T15:43:00Z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0x01010054E0FEF4951F9D49A6F48A35419983C700BB54315AC894844F84017B1B79F90E64</vt:lpwstr>
  </property>
  <property fmtid="{D5CDD505-2E9C-101B-9397-08002B2CF9AE}" pid="5" name="RatedBy">
    <vt:lpwstr/>
  </property>
  <property fmtid="{D5CDD505-2E9C-101B-9397-08002B2CF9AE}" pid="7" name="LikedBy">
    <vt:lpwstr/>
  </property>
</Properties>
</file>