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661E8" w14:textId="77777777" w:rsidR="00A126FA" w:rsidRDefault="00283684">
      <w:pPr>
        <w:jc w:val="center"/>
        <w:rPr>
          <w:b/>
          <w:bCs/>
        </w:rPr>
      </w:pPr>
      <w:r>
        <w:rPr>
          <w:b/>
          <w:bCs/>
        </w:rPr>
        <w:t xml:space="preserve">PROGRAM </w:t>
      </w:r>
      <w:r w:rsidR="00A126FA">
        <w:rPr>
          <w:b/>
          <w:bCs/>
        </w:rPr>
        <w:t>INFORMATION DOCUMENT (PID)</w:t>
      </w:r>
    </w:p>
    <w:p w14:paraId="5796C966" w14:textId="38F4CE4A" w:rsidR="00A126FA" w:rsidRDefault="00F85515">
      <w:pPr>
        <w:jc w:val="center"/>
        <w:rPr>
          <w:b/>
          <w:bCs/>
        </w:rPr>
      </w:pPr>
      <w:r>
        <w:rPr>
          <w:b/>
          <w:bCs/>
        </w:rPr>
        <w:t>CONCEPT</w:t>
      </w:r>
      <w:r w:rsidR="00A126FA">
        <w:rPr>
          <w:b/>
          <w:bCs/>
        </w:rPr>
        <w:t xml:space="preserve"> STAGE</w:t>
      </w:r>
    </w:p>
    <w:p w14:paraId="4EB93485" w14:textId="37CA3439" w:rsidR="00283684" w:rsidRDefault="00593693" w:rsidP="00C67E15">
      <w:pPr>
        <w:jc w:val="right"/>
      </w:pPr>
      <w:r>
        <w:t>October 11, 2016</w:t>
      </w:r>
    </w:p>
    <w:p w14:paraId="3220A809" w14:textId="46AD1633" w:rsidR="001D607D" w:rsidRDefault="001D607D" w:rsidP="00E25EF2">
      <w:pPr>
        <w:jc w:val="right"/>
      </w:pPr>
      <w:r>
        <w:t xml:space="preserve">Report No.: </w:t>
      </w:r>
      <w:r w:rsidR="0098774C" w:rsidRPr="008942D5">
        <w:t>109593</w:t>
      </w:r>
      <w:bookmarkStart w:id="0" w:name="_GoBack"/>
      <w:bookmarkEnd w:id="0"/>
    </w:p>
    <w:p w14:paraId="594C804B" w14:textId="77777777" w:rsidR="00C67E15" w:rsidRPr="00AA5A30" w:rsidRDefault="00C67E15">
      <w:pPr>
        <w:jc w:val="center"/>
        <w:rPr>
          <w:b/>
          <w:bCs/>
          <w:i/>
        </w:rPr>
      </w:pPr>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20"/>
        <w:gridCol w:w="6120"/>
      </w:tblGrid>
      <w:tr w:rsidR="001D607D" w14:paraId="6140562E" w14:textId="77777777" w:rsidTr="009835DC">
        <w:tc>
          <w:tcPr>
            <w:tcW w:w="3420" w:type="dxa"/>
            <w:tcBorders>
              <w:top w:val="single" w:sz="4" w:space="0" w:color="auto"/>
              <w:left w:val="single" w:sz="4" w:space="0" w:color="auto"/>
              <w:bottom w:val="single" w:sz="4" w:space="0" w:color="auto"/>
              <w:right w:val="single" w:sz="4" w:space="0" w:color="auto"/>
            </w:tcBorders>
          </w:tcPr>
          <w:p w14:paraId="66E29D3A" w14:textId="77777777" w:rsidR="001D607D" w:rsidRDefault="001D607D" w:rsidP="009835DC">
            <w:pPr>
              <w:rPr>
                <w:b/>
                <w:bCs/>
              </w:rPr>
            </w:pPr>
            <w:r>
              <w:rPr>
                <w:b/>
                <w:bCs/>
              </w:rPr>
              <w:t>Operation Name</w:t>
            </w:r>
          </w:p>
        </w:tc>
        <w:tc>
          <w:tcPr>
            <w:tcW w:w="6120" w:type="dxa"/>
            <w:tcBorders>
              <w:top w:val="single" w:sz="4" w:space="0" w:color="auto"/>
              <w:left w:val="single" w:sz="4" w:space="0" w:color="auto"/>
              <w:bottom w:val="single" w:sz="4" w:space="0" w:color="auto"/>
              <w:right w:val="single" w:sz="4" w:space="0" w:color="auto"/>
            </w:tcBorders>
          </w:tcPr>
          <w:p w14:paraId="1EB6AE10" w14:textId="64367234" w:rsidR="001D607D" w:rsidRDefault="005042A4" w:rsidP="00A745B7">
            <w:bookmarkStart w:id="1" w:name="PROJECTNAME"/>
            <w:r>
              <w:t>Second</w:t>
            </w:r>
            <w:r w:rsidR="00A745B7">
              <w:t xml:space="preserve"> Fiscal Consolidation, Sustainable Energy, and Competitiveness Programmatic Development Policy </w:t>
            </w:r>
            <w:bookmarkEnd w:id="1"/>
            <w:r w:rsidR="00A745B7">
              <w:t>Financing</w:t>
            </w:r>
          </w:p>
        </w:tc>
      </w:tr>
      <w:tr w:rsidR="001D607D" w14:paraId="7BCB6AC6" w14:textId="77777777" w:rsidTr="009835DC">
        <w:tc>
          <w:tcPr>
            <w:tcW w:w="3420" w:type="dxa"/>
            <w:tcBorders>
              <w:top w:val="single" w:sz="4" w:space="0" w:color="auto"/>
              <w:left w:val="single" w:sz="4" w:space="0" w:color="auto"/>
              <w:bottom w:val="single" w:sz="4" w:space="0" w:color="auto"/>
              <w:right w:val="single" w:sz="4" w:space="0" w:color="auto"/>
            </w:tcBorders>
          </w:tcPr>
          <w:p w14:paraId="7C370FA7" w14:textId="77777777" w:rsidR="001D607D" w:rsidRDefault="001D607D" w:rsidP="009835DC">
            <w:pPr>
              <w:rPr>
                <w:b/>
                <w:bCs/>
              </w:rPr>
            </w:pPr>
            <w:r>
              <w:rPr>
                <w:b/>
                <w:bCs/>
              </w:rPr>
              <w:t>Region</w:t>
            </w:r>
          </w:p>
        </w:tc>
        <w:tc>
          <w:tcPr>
            <w:tcW w:w="6120" w:type="dxa"/>
            <w:tcBorders>
              <w:top w:val="single" w:sz="4" w:space="0" w:color="auto"/>
              <w:left w:val="single" w:sz="4" w:space="0" w:color="auto"/>
              <w:bottom w:val="single" w:sz="4" w:space="0" w:color="auto"/>
              <w:right w:val="single" w:sz="4" w:space="0" w:color="auto"/>
            </w:tcBorders>
          </w:tcPr>
          <w:p w14:paraId="67607DEA" w14:textId="68265968" w:rsidR="001D607D" w:rsidRDefault="00204DF3" w:rsidP="009835DC">
            <w:r>
              <w:t>Middle East and North Africa</w:t>
            </w:r>
          </w:p>
        </w:tc>
      </w:tr>
      <w:tr w:rsidR="001D607D" w14:paraId="53BA44E2" w14:textId="77777777" w:rsidTr="009835DC">
        <w:tc>
          <w:tcPr>
            <w:tcW w:w="3420" w:type="dxa"/>
            <w:tcBorders>
              <w:top w:val="single" w:sz="4" w:space="0" w:color="auto"/>
              <w:left w:val="single" w:sz="4" w:space="0" w:color="auto"/>
              <w:bottom w:val="single" w:sz="4" w:space="0" w:color="auto"/>
              <w:right w:val="single" w:sz="4" w:space="0" w:color="auto"/>
            </w:tcBorders>
          </w:tcPr>
          <w:p w14:paraId="45CC15EE" w14:textId="77777777" w:rsidR="001D607D" w:rsidRDefault="001D607D" w:rsidP="009835DC">
            <w:pPr>
              <w:rPr>
                <w:b/>
                <w:bCs/>
              </w:rPr>
            </w:pPr>
            <w:r>
              <w:rPr>
                <w:b/>
                <w:bCs/>
              </w:rPr>
              <w:t>Country</w:t>
            </w:r>
          </w:p>
        </w:tc>
        <w:tc>
          <w:tcPr>
            <w:tcW w:w="6120" w:type="dxa"/>
            <w:tcBorders>
              <w:top w:val="single" w:sz="4" w:space="0" w:color="auto"/>
              <w:left w:val="single" w:sz="4" w:space="0" w:color="auto"/>
              <w:bottom w:val="single" w:sz="4" w:space="0" w:color="auto"/>
              <w:right w:val="single" w:sz="4" w:space="0" w:color="auto"/>
            </w:tcBorders>
          </w:tcPr>
          <w:p w14:paraId="417229CC" w14:textId="4C7D1F51" w:rsidR="001D607D" w:rsidRDefault="00204DF3" w:rsidP="00204DF3">
            <w:bookmarkStart w:id="2" w:name="COUNTRY"/>
            <w:r>
              <w:t xml:space="preserve">Arab Republic of </w:t>
            </w:r>
            <w:r w:rsidR="004E70DD">
              <w:t xml:space="preserve">Egypt </w:t>
            </w:r>
            <w:bookmarkEnd w:id="2"/>
          </w:p>
        </w:tc>
      </w:tr>
      <w:tr w:rsidR="001D607D" w14:paraId="115937B4" w14:textId="77777777" w:rsidTr="009835DC">
        <w:tc>
          <w:tcPr>
            <w:tcW w:w="3420" w:type="dxa"/>
            <w:tcBorders>
              <w:top w:val="single" w:sz="4" w:space="0" w:color="auto"/>
              <w:left w:val="single" w:sz="4" w:space="0" w:color="auto"/>
              <w:bottom w:val="single" w:sz="4" w:space="0" w:color="auto"/>
              <w:right w:val="single" w:sz="4" w:space="0" w:color="auto"/>
            </w:tcBorders>
          </w:tcPr>
          <w:p w14:paraId="2BF180C6" w14:textId="77777777" w:rsidR="001D607D" w:rsidRDefault="001D607D" w:rsidP="009835DC">
            <w:pPr>
              <w:rPr>
                <w:b/>
                <w:bCs/>
              </w:rPr>
            </w:pPr>
            <w:r>
              <w:rPr>
                <w:b/>
                <w:bCs/>
              </w:rPr>
              <w:t>Sector</w:t>
            </w:r>
          </w:p>
        </w:tc>
        <w:tc>
          <w:tcPr>
            <w:tcW w:w="6120" w:type="dxa"/>
            <w:tcBorders>
              <w:top w:val="single" w:sz="4" w:space="0" w:color="auto"/>
              <w:left w:val="single" w:sz="4" w:space="0" w:color="auto"/>
              <w:bottom w:val="single" w:sz="4" w:space="0" w:color="auto"/>
              <w:right w:val="single" w:sz="4" w:space="0" w:color="auto"/>
            </w:tcBorders>
          </w:tcPr>
          <w:p w14:paraId="6AE5EA45" w14:textId="43F4F8B2" w:rsidR="001D607D" w:rsidRDefault="00E83B29" w:rsidP="00E83B29">
            <w:r>
              <w:t>General energy sector (50%)</w:t>
            </w:r>
            <w:r w:rsidRPr="00E83B29">
              <w:t xml:space="preserve">; </w:t>
            </w:r>
            <w:r>
              <w:t>Macro</w:t>
            </w:r>
            <w:r w:rsidRPr="00E83B29">
              <w:t>-Fiscal Management (30%); Trade and Competitiveness (20%)</w:t>
            </w:r>
          </w:p>
        </w:tc>
      </w:tr>
      <w:tr w:rsidR="001D607D" w14:paraId="7342F0FF" w14:textId="77777777" w:rsidTr="009835DC">
        <w:tc>
          <w:tcPr>
            <w:tcW w:w="3420" w:type="dxa"/>
            <w:tcBorders>
              <w:top w:val="single" w:sz="4" w:space="0" w:color="auto"/>
              <w:left w:val="single" w:sz="4" w:space="0" w:color="auto"/>
              <w:bottom w:val="single" w:sz="4" w:space="0" w:color="auto"/>
              <w:right w:val="single" w:sz="4" w:space="0" w:color="auto"/>
            </w:tcBorders>
          </w:tcPr>
          <w:p w14:paraId="26BAB7C1" w14:textId="77777777" w:rsidR="001D607D" w:rsidRDefault="001D607D" w:rsidP="009835DC">
            <w:pPr>
              <w:rPr>
                <w:b/>
                <w:bCs/>
              </w:rPr>
            </w:pPr>
            <w:r>
              <w:rPr>
                <w:b/>
                <w:bCs/>
              </w:rPr>
              <w:t>Operation ID</w:t>
            </w:r>
          </w:p>
        </w:tc>
        <w:tc>
          <w:tcPr>
            <w:tcW w:w="6120" w:type="dxa"/>
            <w:tcBorders>
              <w:top w:val="single" w:sz="4" w:space="0" w:color="auto"/>
              <w:left w:val="single" w:sz="4" w:space="0" w:color="auto"/>
              <w:bottom w:val="single" w:sz="4" w:space="0" w:color="auto"/>
              <w:right w:val="single" w:sz="4" w:space="0" w:color="auto"/>
            </w:tcBorders>
          </w:tcPr>
          <w:p w14:paraId="642825E7" w14:textId="3F5D8FF5" w:rsidR="001D607D" w:rsidRDefault="004E70DD" w:rsidP="005042A4">
            <w:bookmarkStart w:id="3" w:name="PROJECTCODE"/>
            <w:r>
              <w:t>P1</w:t>
            </w:r>
            <w:r w:rsidR="005042A4">
              <w:t>61228</w:t>
            </w:r>
            <w:bookmarkEnd w:id="3"/>
          </w:p>
        </w:tc>
      </w:tr>
      <w:tr w:rsidR="001D607D" w14:paraId="3703CDB2" w14:textId="77777777" w:rsidTr="009835DC">
        <w:tc>
          <w:tcPr>
            <w:tcW w:w="3420" w:type="dxa"/>
            <w:tcBorders>
              <w:top w:val="single" w:sz="4" w:space="0" w:color="auto"/>
              <w:left w:val="single" w:sz="4" w:space="0" w:color="auto"/>
              <w:bottom w:val="single" w:sz="4" w:space="0" w:color="auto"/>
              <w:right w:val="single" w:sz="4" w:space="0" w:color="auto"/>
            </w:tcBorders>
          </w:tcPr>
          <w:p w14:paraId="6A245DEC" w14:textId="77777777" w:rsidR="001D607D" w:rsidRDefault="001D607D" w:rsidP="009835DC">
            <w:pPr>
              <w:rPr>
                <w:b/>
                <w:bCs/>
              </w:rPr>
            </w:pPr>
            <w:r>
              <w:rPr>
                <w:b/>
                <w:bCs/>
              </w:rPr>
              <w:t>Lending Instrument</w:t>
            </w:r>
          </w:p>
        </w:tc>
        <w:tc>
          <w:tcPr>
            <w:tcW w:w="6120" w:type="dxa"/>
            <w:tcBorders>
              <w:top w:val="single" w:sz="4" w:space="0" w:color="auto"/>
              <w:left w:val="single" w:sz="4" w:space="0" w:color="auto"/>
              <w:bottom w:val="single" w:sz="4" w:space="0" w:color="auto"/>
              <w:right w:val="single" w:sz="4" w:space="0" w:color="auto"/>
            </w:tcBorders>
          </w:tcPr>
          <w:p w14:paraId="1034072C" w14:textId="77777777" w:rsidR="001D607D" w:rsidRDefault="004E70DD" w:rsidP="009835DC">
            <w:bookmarkStart w:id="4" w:name="INSTR_NAME"/>
            <w:r>
              <w:t>Development Policy Lending</w:t>
            </w:r>
            <w:bookmarkEnd w:id="4"/>
          </w:p>
        </w:tc>
      </w:tr>
      <w:tr w:rsidR="001D607D" w14:paraId="322DF42F" w14:textId="77777777" w:rsidTr="009835DC">
        <w:tc>
          <w:tcPr>
            <w:tcW w:w="3420" w:type="dxa"/>
            <w:tcBorders>
              <w:top w:val="single" w:sz="4" w:space="0" w:color="auto"/>
              <w:left w:val="single" w:sz="4" w:space="0" w:color="auto"/>
              <w:bottom w:val="single" w:sz="4" w:space="0" w:color="auto"/>
              <w:right w:val="single" w:sz="4" w:space="0" w:color="auto"/>
            </w:tcBorders>
          </w:tcPr>
          <w:p w14:paraId="27F6EDAC" w14:textId="77777777" w:rsidR="001D607D" w:rsidRDefault="001D607D" w:rsidP="009835DC">
            <w:pPr>
              <w:rPr>
                <w:b/>
                <w:bCs/>
              </w:rPr>
            </w:pPr>
            <w:r>
              <w:rPr>
                <w:b/>
                <w:bCs/>
              </w:rPr>
              <w:t>Borrower(s)</w:t>
            </w:r>
          </w:p>
        </w:tc>
        <w:tc>
          <w:tcPr>
            <w:tcW w:w="6120" w:type="dxa"/>
            <w:tcBorders>
              <w:top w:val="single" w:sz="4" w:space="0" w:color="auto"/>
              <w:left w:val="single" w:sz="4" w:space="0" w:color="auto"/>
              <w:bottom w:val="single" w:sz="4" w:space="0" w:color="auto"/>
              <w:right w:val="single" w:sz="4" w:space="0" w:color="auto"/>
            </w:tcBorders>
          </w:tcPr>
          <w:p w14:paraId="4708A851" w14:textId="587F4A0A" w:rsidR="001D607D" w:rsidRDefault="00204DF3" w:rsidP="009835DC">
            <w:r>
              <w:t>Arab Republic of Egypt</w:t>
            </w:r>
          </w:p>
        </w:tc>
      </w:tr>
      <w:tr w:rsidR="001D607D" w14:paraId="5C4507B2" w14:textId="77777777" w:rsidTr="009835DC">
        <w:trPr>
          <w:trHeight w:val="140"/>
        </w:trPr>
        <w:tc>
          <w:tcPr>
            <w:tcW w:w="3420" w:type="dxa"/>
            <w:tcBorders>
              <w:top w:val="single" w:sz="4" w:space="0" w:color="auto"/>
              <w:left w:val="single" w:sz="4" w:space="0" w:color="auto"/>
              <w:bottom w:val="nil"/>
              <w:right w:val="single" w:sz="4" w:space="0" w:color="auto"/>
            </w:tcBorders>
          </w:tcPr>
          <w:p w14:paraId="27FD70DD" w14:textId="77777777" w:rsidR="001D607D" w:rsidRDefault="001D607D" w:rsidP="009835DC">
            <w:pPr>
              <w:rPr>
                <w:b/>
                <w:bCs/>
              </w:rPr>
            </w:pPr>
            <w:r>
              <w:rPr>
                <w:b/>
                <w:bCs/>
              </w:rPr>
              <w:t>Implementing Agency</w:t>
            </w:r>
          </w:p>
        </w:tc>
        <w:tc>
          <w:tcPr>
            <w:tcW w:w="6120" w:type="dxa"/>
            <w:tcBorders>
              <w:top w:val="single" w:sz="4" w:space="0" w:color="auto"/>
              <w:left w:val="single" w:sz="4" w:space="0" w:color="auto"/>
              <w:bottom w:val="nil"/>
              <w:right w:val="single" w:sz="4" w:space="0" w:color="auto"/>
            </w:tcBorders>
          </w:tcPr>
          <w:p w14:paraId="40DF9432" w14:textId="26485240" w:rsidR="001D607D" w:rsidRDefault="00204DF3" w:rsidP="009835DC">
            <w:bookmarkStart w:id="5" w:name="IMPLEMENTINGAGENCY"/>
            <w:bookmarkEnd w:id="5"/>
            <w:r>
              <w:t>Ministry of International Cooperation</w:t>
            </w:r>
          </w:p>
        </w:tc>
      </w:tr>
      <w:tr w:rsidR="001D607D" w14:paraId="4471A8AC" w14:textId="77777777" w:rsidTr="009835DC">
        <w:tc>
          <w:tcPr>
            <w:tcW w:w="3420" w:type="dxa"/>
            <w:tcBorders>
              <w:top w:val="single" w:sz="4" w:space="0" w:color="auto"/>
              <w:left w:val="single" w:sz="4" w:space="0" w:color="auto"/>
              <w:bottom w:val="single" w:sz="4" w:space="0" w:color="auto"/>
              <w:right w:val="single" w:sz="4" w:space="0" w:color="auto"/>
            </w:tcBorders>
          </w:tcPr>
          <w:p w14:paraId="5F452715" w14:textId="77777777" w:rsidR="001D607D" w:rsidRDefault="001D607D" w:rsidP="009835DC">
            <w:pPr>
              <w:rPr>
                <w:b/>
                <w:bCs/>
              </w:rPr>
            </w:pPr>
            <w:r>
              <w:rPr>
                <w:b/>
                <w:bCs/>
              </w:rPr>
              <w:t>Date PID Prepared</w:t>
            </w:r>
          </w:p>
        </w:tc>
        <w:tc>
          <w:tcPr>
            <w:tcW w:w="6120" w:type="dxa"/>
            <w:tcBorders>
              <w:top w:val="single" w:sz="4" w:space="0" w:color="auto"/>
              <w:left w:val="single" w:sz="4" w:space="0" w:color="auto"/>
              <w:bottom w:val="single" w:sz="4" w:space="0" w:color="auto"/>
              <w:right w:val="single" w:sz="4" w:space="0" w:color="auto"/>
            </w:tcBorders>
          </w:tcPr>
          <w:p w14:paraId="7AF92E49" w14:textId="45533E54" w:rsidR="001D607D" w:rsidRDefault="005042A4" w:rsidP="00305A74">
            <w:r>
              <w:t>October 11, 2016</w:t>
            </w:r>
          </w:p>
        </w:tc>
      </w:tr>
      <w:tr w:rsidR="001D607D" w14:paraId="51279460" w14:textId="77777777" w:rsidTr="009835DC">
        <w:tc>
          <w:tcPr>
            <w:tcW w:w="3420" w:type="dxa"/>
            <w:tcBorders>
              <w:top w:val="single" w:sz="4" w:space="0" w:color="auto"/>
              <w:left w:val="single" w:sz="4" w:space="0" w:color="auto"/>
              <w:bottom w:val="single" w:sz="4" w:space="0" w:color="auto"/>
              <w:right w:val="single" w:sz="4" w:space="0" w:color="auto"/>
            </w:tcBorders>
          </w:tcPr>
          <w:p w14:paraId="57609597" w14:textId="77777777" w:rsidR="001D607D" w:rsidRDefault="001D607D" w:rsidP="009835DC">
            <w:pPr>
              <w:rPr>
                <w:b/>
                <w:bCs/>
              </w:rPr>
            </w:pPr>
            <w:r w:rsidRPr="00DE739D">
              <w:rPr>
                <w:b/>
                <w:bCs/>
              </w:rPr>
              <w:t>Estimated Date of Appraisal</w:t>
            </w:r>
          </w:p>
        </w:tc>
        <w:tc>
          <w:tcPr>
            <w:tcW w:w="6120" w:type="dxa"/>
            <w:tcBorders>
              <w:top w:val="single" w:sz="4" w:space="0" w:color="auto"/>
              <w:left w:val="single" w:sz="4" w:space="0" w:color="auto"/>
              <w:bottom w:val="single" w:sz="4" w:space="0" w:color="auto"/>
              <w:right w:val="single" w:sz="4" w:space="0" w:color="auto"/>
            </w:tcBorders>
          </w:tcPr>
          <w:p w14:paraId="2F57AA28" w14:textId="2DE85CDB" w:rsidR="001D607D" w:rsidRDefault="00204DF3" w:rsidP="005042A4">
            <w:bookmarkStart w:id="6" w:name="APPRAISALDATE"/>
            <w:bookmarkEnd w:id="6"/>
            <w:r>
              <w:t>November 1</w:t>
            </w:r>
            <w:r w:rsidR="0040041B">
              <w:t>5</w:t>
            </w:r>
            <w:r>
              <w:t>, 201</w:t>
            </w:r>
            <w:r w:rsidR="005042A4">
              <w:t>6</w:t>
            </w:r>
          </w:p>
        </w:tc>
      </w:tr>
      <w:tr w:rsidR="001D607D" w14:paraId="05016750" w14:textId="77777777" w:rsidTr="009835DC">
        <w:tc>
          <w:tcPr>
            <w:tcW w:w="3420" w:type="dxa"/>
            <w:tcBorders>
              <w:top w:val="single" w:sz="4" w:space="0" w:color="auto"/>
              <w:left w:val="single" w:sz="4" w:space="0" w:color="auto"/>
              <w:bottom w:val="single" w:sz="4" w:space="0" w:color="auto"/>
              <w:right w:val="single" w:sz="4" w:space="0" w:color="auto"/>
            </w:tcBorders>
          </w:tcPr>
          <w:p w14:paraId="76740A87" w14:textId="77777777" w:rsidR="001D607D" w:rsidRDefault="001D607D" w:rsidP="009835DC">
            <w:pPr>
              <w:rPr>
                <w:b/>
                <w:bCs/>
              </w:rPr>
            </w:pPr>
            <w:r>
              <w:rPr>
                <w:b/>
                <w:bCs/>
              </w:rPr>
              <w:t>Estimated Date of Board Approval</w:t>
            </w:r>
          </w:p>
        </w:tc>
        <w:tc>
          <w:tcPr>
            <w:tcW w:w="6120" w:type="dxa"/>
            <w:tcBorders>
              <w:top w:val="single" w:sz="4" w:space="0" w:color="auto"/>
              <w:left w:val="single" w:sz="4" w:space="0" w:color="auto"/>
              <w:bottom w:val="single" w:sz="4" w:space="0" w:color="auto"/>
              <w:right w:val="single" w:sz="4" w:space="0" w:color="auto"/>
            </w:tcBorders>
          </w:tcPr>
          <w:p w14:paraId="5CC4CD36" w14:textId="53513FED" w:rsidR="001D607D" w:rsidRDefault="00C40958" w:rsidP="00C40958">
            <w:bookmarkStart w:id="7" w:name="BOARDAPPROVALDATE"/>
            <w:r>
              <w:t>January 12</w:t>
            </w:r>
            <w:r w:rsidR="004E70DD">
              <w:t>, 201</w:t>
            </w:r>
            <w:bookmarkEnd w:id="7"/>
            <w:r>
              <w:t>7</w:t>
            </w:r>
          </w:p>
        </w:tc>
      </w:tr>
      <w:tr w:rsidR="001D607D" w14:paraId="3A498F5F" w14:textId="77777777" w:rsidTr="009835DC">
        <w:tc>
          <w:tcPr>
            <w:tcW w:w="3420" w:type="dxa"/>
            <w:tcBorders>
              <w:top w:val="single" w:sz="4" w:space="0" w:color="auto"/>
              <w:left w:val="single" w:sz="4" w:space="0" w:color="auto"/>
              <w:bottom w:val="single" w:sz="4" w:space="0" w:color="auto"/>
              <w:right w:val="single" w:sz="4" w:space="0" w:color="auto"/>
            </w:tcBorders>
          </w:tcPr>
          <w:p w14:paraId="21E5219C" w14:textId="77777777" w:rsidR="001D607D" w:rsidRDefault="001D607D" w:rsidP="009835DC">
            <w:pPr>
              <w:rPr>
                <w:b/>
                <w:bCs/>
              </w:rPr>
            </w:pPr>
            <w:r>
              <w:rPr>
                <w:b/>
                <w:bCs/>
              </w:rPr>
              <w:t>Corporate Review Decision</w:t>
            </w:r>
          </w:p>
        </w:tc>
        <w:tc>
          <w:tcPr>
            <w:tcW w:w="6120" w:type="dxa"/>
            <w:tcBorders>
              <w:top w:val="single" w:sz="4" w:space="0" w:color="auto"/>
              <w:left w:val="single" w:sz="4" w:space="0" w:color="auto"/>
              <w:bottom w:val="single" w:sz="4" w:space="0" w:color="auto"/>
              <w:right w:val="single" w:sz="4" w:space="0" w:color="auto"/>
            </w:tcBorders>
          </w:tcPr>
          <w:p w14:paraId="6E472454" w14:textId="1473AEDD" w:rsidR="001D607D" w:rsidRPr="00DE739D" w:rsidRDefault="00C40958" w:rsidP="00B67270">
            <w:pPr>
              <w:autoSpaceDE w:val="0"/>
              <w:autoSpaceDN w:val="0"/>
              <w:adjustRightInd w:val="0"/>
              <w:rPr>
                <w:i/>
                <w:u w:val="single"/>
              </w:rPr>
            </w:pPr>
            <w:r>
              <w:rPr>
                <w:i/>
                <w:u w:val="single"/>
              </w:rPr>
              <w:t>November 21. 2016</w:t>
            </w:r>
          </w:p>
        </w:tc>
      </w:tr>
    </w:tbl>
    <w:p w14:paraId="606E45A3" w14:textId="77777777" w:rsidR="00671A99" w:rsidRDefault="00671A99" w:rsidP="00A126FA"/>
    <w:p w14:paraId="3B264AD6" w14:textId="102E28A2" w:rsidR="00602E0D" w:rsidRPr="00602E0D" w:rsidRDefault="00602E0D" w:rsidP="00671A99">
      <w:pPr>
        <w:numPr>
          <w:ilvl w:val="0"/>
          <w:numId w:val="24"/>
        </w:numPr>
        <w:rPr>
          <w:b/>
        </w:rPr>
      </w:pPr>
      <w:r w:rsidRPr="00602E0D">
        <w:rPr>
          <w:b/>
        </w:rPr>
        <w:t>Country and Sector Background</w:t>
      </w:r>
    </w:p>
    <w:p w14:paraId="215F9025" w14:textId="77777777" w:rsidR="00602E0D" w:rsidRDefault="00602E0D" w:rsidP="00602E0D"/>
    <w:p w14:paraId="698B0B48" w14:textId="7667D920" w:rsidR="00602E0D" w:rsidRPr="00602E0D" w:rsidRDefault="00602E0D" w:rsidP="00602E0D">
      <w:pPr>
        <w:spacing w:after="240"/>
        <w:jc w:val="both"/>
      </w:pPr>
      <w:r w:rsidRPr="00602E0D">
        <w:t>Egypt, the largest country in the MENA region with a population of 89 million, and the fourth largest economy with a GDP of $320 billion in 2014, is at an inflexion point within a region laden with instability and conflict. The 2011 Arab Spring - generated by the long-standing weaknesses in public service delivery, incapacity of growth to produce positive social outcomes, and weak competition and transparency</w:t>
      </w:r>
      <w:r w:rsidR="002E169B">
        <w:t xml:space="preserve"> – the</w:t>
      </w:r>
      <w:r w:rsidRPr="00602E0D">
        <w:t xml:space="preserve"> government has taken important initial steps in implementing key reforms that, if sustained, are likely to put the economy on a growth track and increase the chances that future growth will be more inclusive than in the past</w:t>
      </w:r>
      <w:r>
        <w:t>.</w:t>
      </w:r>
      <w:r w:rsidRPr="00602E0D">
        <w:t xml:space="preserve"> The DPF series aims to support and strengthen these significant new reforms.</w:t>
      </w:r>
    </w:p>
    <w:p w14:paraId="3B18C355" w14:textId="77777777" w:rsidR="00602E0D" w:rsidRDefault="00602E0D" w:rsidP="00602E0D">
      <w:pPr>
        <w:numPr>
          <w:ilvl w:val="0"/>
          <w:numId w:val="24"/>
        </w:numPr>
        <w:rPr>
          <w:b/>
        </w:rPr>
      </w:pPr>
      <w:r>
        <w:rPr>
          <w:b/>
        </w:rPr>
        <w:t>Operation Objectives</w:t>
      </w:r>
    </w:p>
    <w:p w14:paraId="400A7283" w14:textId="77777777" w:rsidR="00602E0D" w:rsidRPr="00A745B7" w:rsidRDefault="00602E0D" w:rsidP="00602E0D"/>
    <w:p w14:paraId="73018A13" w14:textId="290C00DC" w:rsidR="00F722D6" w:rsidRDefault="0018788F" w:rsidP="00F722D6">
      <w:pPr>
        <w:spacing w:after="240"/>
        <w:jc w:val="both"/>
        <w:rPr>
          <w:b/>
        </w:rPr>
      </w:pPr>
      <w:r>
        <w:t xml:space="preserve">The DPF series </w:t>
      </w:r>
      <w:r w:rsidR="00F722D6" w:rsidRPr="00F722D6">
        <w:t>is built around three pillars, which are also the Program Development Objectives (PDOs) of th</w:t>
      </w:r>
      <w:r>
        <w:t>is</w:t>
      </w:r>
      <w:r w:rsidR="00F722D6" w:rsidRPr="00F722D6">
        <w:t xml:space="preserve"> operation: (1) advance fiscal consolidation through higher revenue collection, greater moderation of the wage bill growth, and stronger de</w:t>
      </w:r>
      <w:r w:rsidR="00F722D6">
        <w:t>bt management;</w:t>
      </w:r>
      <w:r w:rsidR="00F722D6" w:rsidRPr="00F722D6">
        <w:t xml:space="preserve"> (2) ensure sustainable energy supply th</w:t>
      </w:r>
      <w:r w:rsidR="00F722D6">
        <w:t>rough private sector engagement;</w:t>
      </w:r>
      <w:r w:rsidR="00F722D6" w:rsidRPr="00F722D6">
        <w:t xml:space="preserve"> and (3) enhance the business environment through investment laws, industrial license requirements as well as enhancing competition.</w:t>
      </w:r>
    </w:p>
    <w:p w14:paraId="7E2BB314" w14:textId="335DE36D" w:rsidR="00305F26" w:rsidRDefault="00602E0D" w:rsidP="0018788F">
      <w:pPr>
        <w:numPr>
          <w:ilvl w:val="0"/>
          <w:numId w:val="24"/>
        </w:numPr>
        <w:rPr>
          <w:b/>
          <w:i/>
          <w:sz w:val="28"/>
          <w:szCs w:val="28"/>
        </w:rPr>
      </w:pPr>
      <w:r>
        <w:rPr>
          <w:b/>
        </w:rPr>
        <w:t>R</w:t>
      </w:r>
      <w:r w:rsidR="00671A99" w:rsidRPr="0028771B">
        <w:rPr>
          <w:b/>
        </w:rPr>
        <w:t>ationale for Bank involvement</w:t>
      </w:r>
    </w:p>
    <w:p w14:paraId="33EAAA8F" w14:textId="77777777" w:rsidR="0018788F" w:rsidRPr="0018788F" w:rsidRDefault="0018788F" w:rsidP="0018788F">
      <w:pPr>
        <w:rPr>
          <w:b/>
          <w:i/>
          <w:sz w:val="28"/>
          <w:szCs w:val="28"/>
        </w:rPr>
      </w:pPr>
    </w:p>
    <w:p w14:paraId="254F3D35" w14:textId="07572811" w:rsidR="00B41F7F" w:rsidRDefault="00305F26" w:rsidP="00F722D6">
      <w:pPr>
        <w:spacing w:after="240"/>
        <w:jc w:val="both"/>
      </w:pPr>
      <w:r>
        <w:t xml:space="preserve">This is the second operation in a series of three DPFs, covering the period 2015-17. </w:t>
      </w:r>
      <w:r w:rsidR="00F722D6" w:rsidRPr="00F722D6">
        <w:t xml:space="preserve">Although there are important risks, including from the macroeconomic and reform implementation perspectives, the proposed DPF series will play a key strategic role in deepening Bank support </w:t>
      </w:r>
      <w:r w:rsidR="00F722D6">
        <w:t>for Egypt’s</w:t>
      </w:r>
      <w:r w:rsidR="00F722D6" w:rsidRPr="00F722D6">
        <w:t xml:space="preserve"> much </w:t>
      </w:r>
      <w:r w:rsidR="00F722D6" w:rsidRPr="00F722D6">
        <w:lastRenderedPageBreak/>
        <w:t xml:space="preserve">needed structural reforms. </w:t>
      </w:r>
      <w:r w:rsidR="00F722D6">
        <w:t>The Bank’s</w:t>
      </w:r>
      <w:r w:rsidR="00F722D6" w:rsidRPr="00F722D6">
        <w:t xml:space="preserve"> engagement will also provide global lessons and experience relevant for reform sequencing and implementation.</w:t>
      </w:r>
    </w:p>
    <w:p w14:paraId="072D5528" w14:textId="77777777" w:rsidR="00602E0D" w:rsidRDefault="00602E0D" w:rsidP="00602E0D">
      <w:pPr>
        <w:numPr>
          <w:ilvl w:val="0"/>
          <w:numId w:val="24"/>
        </w:numPr>
        <w:rPr>
          <w:b/>
        </w:rPr>
      </w:pPr>
      <w:r w:rsidRPr="00B14B1C">
        <w:rPr>
          <w:b/>
        </w:rPr>
        <w:t>Tentative financing</w:t>
      </w:r>
    </w:p>
    <w:p w14:paraId="712893FA" w14:textId="77777777" w:rsidR="00602E0D" w:rsidRPr="00B41F7F" w:rsidRDefault="00602E0D" w:rsidP="00602E0D">
      <w:pPr>
        <w:ind w:left="720"/>
        <w:rPr>
          <w:b/>
        </w:rPr>
      </w:pPr>
    </w:p>
    <w:tbl>
      <w:tblPr>
        <w:tblW w:w="0" w:type="auto"/>
        <w:tblLook w:val="0000" w:firstRow="0" w:lastRow="0" w:firstColumn="0" w:lastColumn="0" w:noHBand="0" w:noVBand="0"/>
      </w:tblPr>
      <w:tblGrid>
        <w:gridCol w:w="7482"/>
        <w:gridCol w:w="1878"/>
      </w:tblGrid>
      <w:tr w:rsidR="00602E0D" w14:paraId="2C5A9D26" w14:textId="77777777" w:rsidTr="00806002">
        <w:tc>
          <w:tcPr>
            <w:tcW w:w="7482" w:type="dxa"/>
          </w:tcPr>
          <w:p w14:paraId="3CC1E3B8" w14:textId="77777777" w:rsidR="00602E0D" w:rsidRPr="00E51AC7" w:rsidRDefault="00602E0D" w:rsidP="00806002">
            <w:pPr>
              <w:jc w:val="center"/>
              <w:rPr>
                <w:b/>
              </w:rPr>
            </w:pPr>
            <w:r w:rsidRPr="00E51AC7">
              <w:rPr>
                <w:b/>
              </w:rPr>
              <w:t>Source</w:t>
            </w:r>
            <w:bookmarkStart w:id="8" w:name="FINANCINGTAB_PID"/>
            <w:bookmarkEnd w:id="8"/>
          </w:p>
        </w:tc>
        <w:tc>
          <w:tcPr>
            <w:tcW w:w="1878" w:type="dxa"/>
          </w:tcPr>
          <w:p w14:paraId="7549D418" w14:textId="77777777" w:rsidR="00602E0D" w:rsidRPr="00E51AC7" w:rsidRDefault="00602E0D" w:rsidP="00806002">
            <w:pPr>
              <w:tabs>
                <w:tab w:val="decimal" w:pos="252"/>
              </w:tabs>
              <w:jc w:val="center"/>
              <w:rPr>
                <w:b/>
              </w:rPr>
            </w:pPr>
            <w:r w:rsidRPr="00E51AC7">
              <w:rPr>
                <w:b/>
              </w:rPr>
              <w:t>(</w:t>
            </w:r>
            <w:r>
              <w:rPr>
                <w:b/>
              </w:rPr>
              <w:t>US</w:t>
            </w:r>
            <w:r w:rsidRPr="00E51AC7">
              <w:rPr>
                <w:b/>
              </w:rPr>
              <w:t>$</w:t>
            </w:r>
            <w:r>
              <w:rPr>
                <w:b/>
              </w:rPr>
              <w:t xml:space="preserve">, </w:t>
            </w:r>
            <w:r w:rsidRPr="00E51AC7">
              <w:rPr>
                <w:b/>
              </w:rPr>
              <w:t>m</w:t>
            </w:r>
            <w:r>
              <w:rPr>
                <w:b/>
              </w:rPr>
              <w:t>illions</w:t>
            </w:r>
            <w:r w:rsidRPr="00E51AC7">
              <w:rPr>
                <w:b/>
              </w:rPr>
              <w:t>)</w:t>
            </w:r>
          </w:p>
        </w:tc>
      </w:tr>
      <w:tr w:rsidR="00602E0D" w14:paraId="4B807099" w14:textId="77777777" w:rsidTr="00806002">
        <w:tc>
          <w:tcPr>
            <w:tcW w:w="7482" w:type="dxa"/>
          </w:tcPr>
          <w:p w14:paraId="2B4B7B2B" w14:textId="77777777" w:rsidR="00602E0D" w:rsidRDefault="00602E0D" w:rsidP="00806002">
            <w:pPr>
              <w:tabs>
                <w:tab w:val="right" w:pos="7200"/>
              </w:tabs>
            </w:pPr>
            <w:r>
              <w:t>Borrower</w:t>
            </w:r>
          </w:p>
        </w:tc>
        <w:tc>
          <w:tcPr>
            <w:tcW w:w="1878" w:type="dxa"/>
          </w:tcPr>
          <w:p w14:paraId="09C0FB96" w14:textId="77777777" w:rsidR="00602E0D" w:rsidRDefault="00602E0D" w:rsidP="00806002">
            <w:pPr>
              <w:tabs>
                <w:tab w:val="decimal" w:pos="252"/>
              </w:tabs>
              <w:jc w:val="center"/>
            </w:pPr>
            <w:r>
              <w:t>0</w:t>
            </w:r>
          </w:p>
        </w:tc>
      </w:tr>
      <w:tr w:rsidR="00602E0D" w14:paraId="38D2E192" w14:textId="77777777" w:rsidTr="00806002">
        <w:tc>
          <w:tcPr>
            <w:tcW w:w="7482" w:type="dxa"/>
          </w:tcPr>
          <w:p w14:paraId="196C85E3" w14:textId="77777777" w:rsidR="00602E0D" w:rsidRDefault="00602E0D" w:rsidP="00806002">
            <w:pPr>
              <w:tabs>
                <w:tab w:val="right" w:pos="7200"/>
              </w:tabs>
            </w:pPr>
            <w:r>
              <w:t>International Bank for Reconstruction and Development</w:t>
            </w:r>
          </w:p>
        </w:tc>
        <w:tc>
          <w:tcPr>
            <w:tcW w:w="1878" w:type="dxa"/>
          </w:tcPr>
          <w:p w14:paraId="735902F2" w14:textId="77777777" w:rsidR="00602E0D" w:rsidRDefault="00602E0D" w:rsidP="00806002">
            <w:pPr>
              <w:tabs>
                <w:tab w:val="decimal" w:pos="252"/>
              </w:tabs>
              <w:jc w:val="center"/>
            </w:pPr>
            <w:r>
              <w:t>1,000</w:t>
            </w:r>
          </w:p>
        </w:tc>
      </w:tr>
      <w:tr w:rsidR="00602E0D" w14:paraId="7766C423" w14:textId="77777777" w:rsidTr="00806002">
        <w:tc>
          <w:tcPr>
            <w:tcW w:w="7482" w:type="dxa"/>
          </w:tcPr>
          <w:p w14:paraId="34CBF002" w14:textId="77777777" w:rsidR="00602E0D" w:rsidRPr="00E51AC7" w:rsidRDefault="00602E0D" w:rsidP="00806002">
            <w:pPr>
              <w:tabs>
                <w:tab w:val="right" w:pos="7200"/>
              </w:tabs>
              <w:rPr>
                <w:b/>
              </w:rPr>
            </w:pPr>
            <w:r w:rsidRPr="00E51AC7">
              <w:rPr>
                <w:b/>
              </w:rPr>
              <w:tab/>
              <w:t>Total</w:t>
            </w:r>
          </w:p>
        </w:tc>
        <w:tc>
          <w:tcPr>
            <w:tcW w:w="1878" w:type="dxa"/>
          </w:tcPr>
          <w:p w14:paraId="0EC35A2A" w14:textId="77777777" w:rsidR="00602E0D" w:rsidRPr="00E51AC7" w:rsidRDefault="00602E0D" w:rsidP="00806002">
            <w:pPr>
              <w:tabs>
                <w:tab w:val="decimal" w:pos="252"/>
              </w:tabs>
              <w:jc w:val="center"/>
              <w:rPr>
                <w:b/>
              </w:rPr>
            </w:pPr>
            <w:r w:rsidRPr="00E51AC7">
              <w:rPr>
                <w:b/>
              </w:rPr>
              <w:t>1,000</w:t>
            </w:r>
          </w:p>
        </w:tc>
      </w:tr>
    </w:tbl>
    <w:p w14:paraId="3C7F6C79" w14:textId="77777777" w:rsidR="00602E0D" w:rsidRDefault="00602E0D" w:rsidP="00602E0D">
      <w:pPr>
        <w:ind w:left="720"/>
        <w:rPr>
          <w:b/>
        </w:rPr>
      </w:pPr>
    </w:p>
    <w:p w14:paraId="7F713E3D" w14:textId="366D93A9" w:rsidR="00602E0D" w:rsidRPr="00602E0D" w:rsidRDefault="00602E0D" w:rsidP="00602E0D">
      <w:pPr>
        <w:numPr>
          <w:ilvl w:val="0"/>
          <w:numId w:val="24"/>
        </w:numPr>
        <w:rPr>
          <w:b/>
        </w:rPr>
      </w:pPr>
      <w:r w:rsidRPr="00602E0D">
        <w:rPr>
          <w:b/>
        </w:rPr>
        <w:t>Institutional and Implementation Arrangements</w:t>
      </w:r>
    </w:p>
    <w:p w14:paraId="24C68AA5" w14:textId="77777777" w:rsidR="00602E0D" w:rsidRDefault="00602E0D" w:rsidP="00F722D6">
      <w:pPr>
        <w:pStyle w:val="Default"/>
        <w:jc w:val="both"/>
        <w:rPr>
          <w:b/>
        </w:rPr>
      </w:pPr>
    </w:p>
    <w:p w14:paraId="27469BA7" w14:textId="4DCEF0E6" w:rsidR="00DA1975" w:rsidRDefault="00DA1975" w:rsidP="00DA1975">
      <w:pPr>
        <w:pStyle w:val="Default"/>
        <w:jc w:val="both"/>
      </w:pPr>
      <w:r>
        <w:t xml:space="preserve">The Ministry of International Cooperation </w:t>
      </w:r>
      <w:r w:rsidR="0018788F">
        <w:t>is the</w:t>
      </w:r>
      <w:r>
        <w:t xml:space="preserve"> main coordinating agency for monitoring and evaluation among the five other participating ministries. The Prior Actions detailed in this operation are the prime responsibility of five ministries: Ministry of Finance; Ministry of Electricity and Renewable Energy; Ministry of Petroleum; Ministry of </w:t>
      </w:r>
      <w:r w:rsidR="00917CB1">
        <w:t xml:space="preserve">Planning </w:t>
      </w:r>
      <w:r>
        <w:t xml:space="preserve">and Ministry of Trade and Industry. The inter-ministerial working group created for the DPF </w:t>
      </w:r>
      <w:r w:rsidR="0018788F">
        <w:t>remains functional. The</w:t>
      </w:r>
      <w:r>
        <w:t xml:space="preserve"> Ministry of International Cooperation </w:t>
      </w:r>
      <w:r w:rsidR="0018788F">
        <w:t>is</w:t>
      </w:r>
      <w:r>
        <w:t xml:space="preserve"> the coordinator with other ministries on monitoring of the results indicators, which are based on routine</w:t>
      </w:r>
      <w:r w:rsidR="005042A4">
        <w:t>ly published sector indicators.</w:t>
      </w:r>
    </w:p>
    <w:p w14:paraId="534C1FC0" w14:textId="77777777" w:rsidR="00DA1975" w:rsidRDefault="00DA1975" w:rsidP="00DA1975">
      <w:pPr>
        <w:pStyle w:val="Default"/>
        <w:jc w:val="both"/>
      </w:pPr>
    </w:p>
    <w:p w14:paraId="5ACE24B7" w14:textId="16FC867E" w:rsidR="00DA1975" w:rsidRDefault="0018788F" w:rsidP="00DA1975">
      <w:pPr>
        <w:pStyle w:val="Default"/>
        <w:jc w:val="both"/>
      </w:pPr>
      <w:r>
        <w:t>The program outcomes are being</w:t>
      </w:r>
      <w:r w:rsidR="00DA1975">
        <w:t xml:space="preserve"> monitored through the measurement of the progress toward the achievement of results indicators included in the policy and results matrix. The Ministry of International Cooperation </w:t>
      </w:r>
      <w:r>
        <w:t>has</w:t>
      </w:r>
      <w:r w:rsidR="00DA1975">
        <w:t xml:space="preserve"> the responsibility of presenting the information related to the reform implementation and progress made towards results on time and in a format satisfactory to the Bank. </w:t>
      </w:r>
    </w:p>
    <w:p w14:paraId="57156B55" w14:textId="77777777" w:rsidR="00DA1975" w:rsidRDefault="00DA1975" w:rsidP="00DA1975">
      <w:pPr>
        <w:pStyle w:val="Default"/>
        <w:jc w:val="both"/>
      </w:pPr>
    </w:p>
    <w:p w14:paraId="0928E6E6" w14:textId="5606E86E" w:rsidR="00602E0D" w:rsidRDefault="00602E0D" w:rsidP="00602E0D">
      <w:pPr>
        <w:numPr>
          <w:ilvl w:val="0"/>
          <w:numId w:val="24"/>
        </w:numPr>
        <w:rPr>
          <w:b/>
        </w:rPr>
      </w:pPr>
      <w:r>
        <w:rPr>
          <w:b/>
          <w:bCs/>
          <w:sz w:val="23"/>
          <w:szCs w:val="23"/>
        </w:rPr>
        <w:t>Risks and Risk Mitigation</w:t>
      </w:r>
    </w:p>
    <w:p w14:paraId="012EA867" w14:textId="77777777" w:rsidR="00602E0D" w:rsidRDefault="00602E0D" w:rsidP="00F722D6">
      <w:pPr>
        <w:rPr>
          <w:b/>
        </w:rPr>
      </w:pPr>
    </w:p>
    <w:p w14:paraId="74E79CD5" w14:textId="77777777" w:rsidR="00DA1975" w:rsidRPr="00DA1975" w:rsidRDefault="00DA1975" w:rsidP="00DA1975">
      <w:r w:rsidRPr="00DA1975">
        <w:t xml:space="preserve">The overall risk rating of this operation is high. The major risks that could have a substantial impact on the operation’s ability to achieve its development objective include: (a) macroeconomic challenges associated with high fiscal deficit and low levels of foreign exchange reserves; (b) political and governance challenges; (c) challenges on sector strategies; and (d) weak institutional and implementation capacity. These risks, if materialized, could singularly or jointly impact the Government’s willingness and ability to implement the reforms or make the outcome of the development agenda less successful. </w:t>
      </w:r>
    </w:p>
    <w:p w14:paraId="4F9E74D8" w14:textId="77777777" w:rsidR="00DA1975" w:rsidRPr="00DA1975" w:rsidRDefault="00DA1975" w:rsidP="00DA1975"/>
    <w:p w14:paraId="4EC47BF0" w14:textId="70C04891" w:rsidR="00F722D6" w:rsidRPr="00DA1975" w:rsidRDefault="00DA1975" w:rsidP="00DA1975">
      <w:r w:rsidRPr="00DA1975">
        <w:t xml:space="preserve">However, the risk of not engaging outweighs the program risks: The region is experiencing an unprecedented turmoil with ongoing conflicts in Egypt’s neighborhood. Managing regional stability, promoting sustainable growth, social inclusion and impact of displacement require the highest consideration of the global policy makers; where Egypt’s political, economic and social stability is essential. Any risk for instability in Egypt has enormous implications for </w:t>
      </w:r>
      <w:r>
        <w:t>the region</w:t>
      </w:r>
      <w:r w:rsidRPr="00DA1975">
        <w:t>, Europe and the wider global community. Egypt has taken significant steps towards sustainable private sector led growth that is focused on job creation, and the World Bank Group has a unique opportunity to realign its relationship and facilitate the continued implementation of Egypt’s reform program over the medium term</w:t>
      </w:r>
      <w:r w:rsidR="00480DF4">
        <w:t xml:space="preserve">, complimenting with IMF’s </w:t>
      </w:r>
      <w:r w:rsidR="00917CB1">
        <w:t xml:space="preserve">proposed three year program on </w:t>
      </w:r>
      <w:r w:rsidR="00480DF4">
        <w:t>Extended Financing Facility</w:t>
      </w:r>
      <w:r w:rsidRPr="00DA1975">
        <w:t>.</w:t>
      </w:r>
    </w:p>
    <w:p w14:paraId="103EA820" w14:textId="77777777" w:rsidR="00F722D6" w:rsidRDefault="00F722D6" w:rsidP="00F722D6">
      <w:pPr>
        <w:rPr>
          <w:b/>
        </w:rPr>
      </w:pPr>
    </w:p>
    <w:p w14:paraId="6469805A" w14:textId="77777777" w:rsidR="00AA5A30" w:rsidRDefault="00AA5A30" w:rsidP="00AA5A30">
      <w:pPr>
        <w:numPr>
          <w:ilvl w:val="0"/>
          <w:numId w:val="24"/>
        </w:numPr>
        <w:rPr>
          <w:b/>
        </w:rPr>
      </w:pPr>
      <w:r>
        <w:rPr>
          <w:b/>
        </w:rPr>
        <w:t>Poverty and Social Impacts and Environment Aspects</w:t>
      </w:r>
    </w:p>
    <w:p w14:paraId="025B554A" w14:textId="77777777" w:rsidR="00B41F7F" w:rsidRDefault="00B41F7F" w:rsidP="00180099">
      <w:pPr>
        <w:pStyle w:val="Default"/>
        <w:jc w:val="both"/>
        <w:rPr>
          <w:b/>
        </w:rPr>
      </w:pPr>
    </w:p>
    <w:p w14:paraId="182C1882" w14:textId="7EDFBBD4" w:rsidR="00F722D6" w:rsidRDefault="00F722D6" w:rsidP="0028771B">
      <w:pPr>
        <w:pStyle w:val="Default"/>
        <w:spacing w:after="240"/>
        <w:jc w:val="both"/>
      </w:pPr>
      <w:r>
        <w:t>T</w:t>
      </w:r>
      <w:r w:rsidRPr="00F722D6">
        <w:t xml:space="preserve">he GoE is undertaking a number of deep and structural reforms, the benefits of which will take time to be realized and may have adverse distributional impacts in the short term. The program of reforms supported by the DPF series are areas identified in the </w:t>
      </w:r>
      <w:r w:rsidR="00DA1975">
        <w:t xml:space="preserve">World Bank Group’s </w:t>
      </w:r>
      <w:r w:rsidRPr="00F722D6">
        <w:t xml:space="preserve">Systematic Country Diagnostic (SCD) as being important for poverty reduction and shared prosperity in Egypt. For instance, better governance in the power and gas sectors can help improve delivery of these services, potentially benefitting all customers. Several of the measures can indirectly support private sector job creation which would offer a more sustainable way to raise welfare and living standards because households with employed members are significantly less likely to be among the bottom 40. Fiscal transparency measures such as citizen budgets can educate the public about the government’s activities and help build public support for difficult policy reforms provided there is a strong outreach to citizens to raise awareness about such measures. The GoE has committed to reallocating a share of the resources used for energy subsidies to </w:t>
      </w:r>
      <w:r w:rsidR="00917CB1">
        <w:t>social protection</w:t>
      </w:r>
      <w:r w:rsidRPr="00F722D6">
        <w:t>, and this can help households raise their welfare in the long term through better education and health outcomes. Overall, the realization of the long run benefits of these reforms depends on how well they are implemented and how the GoE manages the associated distributional and social consequences in the short term.</w:t>
      </w:r>
    </w:p>
    <w:p w14:paraId="4112F4F2" w14:textId="1E96BEC2" w:rsidR="005E06F1" w:rsidRDefault="00180099" w:rsidP="0028771B">
      <w:pPr>
        <w:pStyle w:val="Default"/>
        <w:spacing w:after="240"/>
        <w:jc w:val="both"/>
      </w:pPr>
      <w:r w:rsidRPr="00A65F72">
        <w:t>The policies supported by the proposed DP</w:t>
      </w:r>
      <w:r w:rsidR="00917CB1">
        <w:t>F</w:t>
      </w:r>
      <w:r w:rsidRPr="00A65F72">
        <w:t xml:space="preserve"> are not likely to have negative impacts on the country’s environment or its natural resource base.</w:t>
      </w:r>
      <w:r w:rsidRPr="00180099">
        <w:t xml:space="preserve"> </w:t>
      </w:r>
      <w:r w:rsidR="00F722D6">
        <w:t>T</w:t>
      </w:r>
      <w:r w:rsidRPr="001C3BCD">
        <w:t>he World Bank assessed whether specific country policies supported by the DP</w:t>
      </w:r>
      <w:r w:rsidR="00917CB1">
        <w:t>F</w:t>
      </w:r>
      <w:r w:rsidRPr="001C3BCD">
        <w:t xml:space="preserve"> are likely to </w:t>
      </w:r>
      <w:r w:rsidR="004B372A">
        <w:t>have</w:t>
      </w:r>
      <w:r w:rsidR="004B372A" w:rsidRPr="001C3BCD">
        <w:t xml:space="preserve"> </w:t>
      </w:r>
      <w:r w:rsidRPr="001C3BCD">
        <w:t xml:space="preserve">significant effects on the country’s environment, forests, and other natural resources. The assessment concluded that </w:t>
      </w:r>
      <w:r>
        <w:t>t</w:t>
      </w:r>
      <w:r w:rsidRPr="001C3BCD">
        <w:t>he proposed DP</w:t>
      </w:r>
      <w:r w:rsidR="00917CB1">
        <w:t>F</w:t>
      </w:r>
      <w:r w:rsidRPr="001C3BCD">
        <w:t xml:space="preserve"> operation is expected to result in overall positive effects on Egypt’s envi</w:t>
      </w:r>
      <w:r>
        <w:t xml:space="preserve">ronment and natural resources. </w:t>
      </w:r>
      <w:r w:rsidRPr="001C3BCD">
        <w:t>Pillar 2 of this proposed operation</w:t>
      </w:r>
      <w:r w:rsidR="004B372A">
        <w:t>,</w:t>
      </w:r>
      <w:r w:rsidRPr="001C3BCD">
        <w:t xml:space="preserve"> which pertains to enhancing </w:t>
      </w:r>
      <w:r w:rsidR="0055354C">
        <w:t xml:space="preserve">sustainable </w:t>
      </w:r>
      <w:r w:rsidRPr="001C3BCD">
        <w:t xml:space="preserve">energy </w:t>
      </w:r>
      <w:r w:rsidR="0055354C">
        <w:t>supply</w:t>
      </w:r>
      <w:r w:rsidRPr="001C3BCD">
        <w:t>, comprises a number of policy interventions that are expected to bring about</w:t>
      </w:r>
      <w:r w:rsidR="00F722D6">
        <w:t xml:space="preserve"> significant</w:t>
      </w:r>
      <w:r w:rsidRPr="001C3BCD">
        <w:t xml:space="preserve"> changes in the country’s energy profile</w:t>
      </w:r>
      <w:r w:rsidR="00F722D6">
        <w:t>, in particular an</w:t>
      </w:r>
      <w:r w:rsidRPr="001C3BCD">
        <w:t xml:space="preserve"> increase in fuel switching to natural gas </w:t>
      </w:r>
      <w:r w:rsidR="00F722D6">
        <w:t xml:space="preserve">in electricity generation and </w:t>
      </w:r>
      <w:r w:rsidRPr="001C3BCD">
        <w:t xml:space="preserve">by the production sectors of Egypt. Other planned changes include the shift toward more renewables </w:t>
      </w:r>
      <w:r w:rsidR="00F722D6">
        <w:t>in</w:t>
      </w:r>
      <w:r w:rsidRPr="001C3BCD">
        <w:t xml:space="preserve"> the </w:t>
      </w:r>
      <w:r w:rsidR="00F722D6">
        <w:t>electricity</w:t>
      </w:r>
      <w:r w:rsidRPr="001C3BCD">
        <w:t xml:space="preserve"> generation mix. Furthermore, it is anticipated that the planned gradual increase in electricity tariffs will lead to lower consumption through rationalization and higher efficiency of use. </w:t>
      </w:r>
      <w:r w:rsidR="00F722D6">
        <w:t>These</w:t>
      </w:r>
      <w:r w:rsidRPr="001C3BCD">
        <w:t xml:space="preserve"> interventions will clearly result in environmental benefits</w:t>
      </w:r>
      <w:r w:rsidR="004B372A">
        <w:t xml:space="preserve"> that</w:t>
      </w:r>
      <w:r w:rsidRPr="001C3BCD">
        <w:t xml:space="preserve"> are to be realized through the decrease in </w:t>
      </w:r>
      <w:r w:rsidR="004B372A">
        <w:t>greenhouse gas (</w:t>
      </w:r>
      <w:r w:rsidRPr="001C3BCD">
        <w:t>GHG</w:t>
      </w:r>
      <w:r w:rsidR="004B372A">
        <w:t>)</w:t>
      </w:r>
      <w:r w:rsidRPr="001C3BCD">
        <w:t xml:space="preserve"> emissions</w:t>
      </w:r>
      <w:r w:rsidR="004B372A">
        <w:t>,</w:t>
      </w:r>
      <w:r w:rsidRPr="001C3BCD">
        <w:t xml:space="preserve"> which contributes to Egypt’s climate change agenda; decrease in lower emissions of air pollutants</w:t>
      </w:r>
      <w:r w:rsidR="004B372A">
        <w:t>;</w:t>
      </w:r>
      <w:r w:rsidRPr="001C3BCD">
        <w:t xml:space="preserve"> and thus contribut</w:t>
      </w:r>
      <w:r w:rsidR="00854A25">
        <w:t>e</w:t>
      </w:r>
      <w:r w:rsidRPr="001C3BCD">
        <w:t xml:space="preserve"> to a reduction of health risks and improv</w:t>
      </w:r>
      <w:r w:rsidR="00A32373">
        <w:t xml:space="preserve">ement </w:t>
      </w:r>
      <w:r w:rsidRPr="001C3BCD">
        <w:t>of air quali</w:t>
      </w:r>
      <w:r w:rsidR="00B41F7F">
        <w:t>ty.</w:t>
      </w:r>
    </w:p>
    <w:p w14:paraId="5A07E720" w14:textId="77777777" w:rsidR="00A126FA" w:rsidRPr="003E3D6A" w:rsidRDefault="00A126FA" w:rsidP="00A126FA">
      <w:pPr>
        <w:numPr>
          <w:ilvl w:val="0"/>
          <w:numId w:val="24"/>
        </w:numPr>
        <w:rPr>
          <w:b/>
        </w:rPr>
      </w:pPr>
      <w:r w:rsidRPr="00B14B1C">
        <w:rPr>
          <w:b/>
        </w:rPr>
        <w:t>Contact point</w:t>
      </w:r>
    </w:p>
    <w:p w14:paraId="716B4FDA" w14:textId="77777777" w:rsidR="007B36C6" w:rsidRDefault="007B36C6" w:rsidP="008F0B46">
      <w:pPr>
        <w:pStyle w:val="ListParagraph"/>
        <w:ind w:left="0"/>
        <w:rPr>
          <w:b/>
        </w:rPr>
      </w:pPr>
    </w:p>
    <w:p w14:paraId="7C3AA07F" w14:textId="77777777" w:rsidR="008F0B46" w:rsidRDefault="008F0B46" w:rsidP="008F0B46">
      <w:pPr>
        <w:pStyle w:val="ListParagraph"/>
        <w:ind w:left="0"/>
      </w:pPr>
      <w:r w:rsidRPr="00225112">
        <w:rPr>
          <w:b/>
        </w:rPr>
        <w:t>World Bank</w:t>
      </w:r>
      <w:r w:rsidR="00F34B6F">
        <w:rPr>
          <w:b/>
        </w:rPr>
        <w:t xml:space="preserve"> </w:t>
      </w:r>
    </w:p>
    <w:p w14:paraId="702C1B39" w14:textId="099277C8" w:rsidR="004E70DD" w:rsidRDefault="004E70DD" w:rsidP="008F0B46">
      <w:bookmarkStart w:id="9" w:name="ContactInfo"/>
      <w:r>
        <w:t>Contact:</w:t>
      </w:r>
      <w:r w:rsidR="00610BE2">
        <w:tab/>
      </w:r>
      <w:r>
        <w:t>Ashish Khanna</w:t>
      </w:r>
    </w:p>
    <w:p w14:paraId="671D59E8" w14:textId="5535F6B1" w:rsidR="004E70DD" w:rsidRDefault="004E70DD" w:rsidP="008F0B46">
      <w:r>
        <w:t>Title:</w:t>
      </w:r>
      <w:r w:rsidR="00610BE2">
        <w:tab/>
      </w:r>
      <w:r w:rsidR="00610BE2">
        <w:tab/>
      </w:r>
      <w:r>
        <w:t>Lead Energy Specialist</w:t>
      </w:r>
    </w:p>
    <w:p w14:paraId="6C0F1164" w14:textId="197992CB" w:rsidR="004E70DD" w:rsidRDefault="004E70DD" w:rsidP="008F0B46">
      <w:r>
        <w:t xml:space="preserve">Tel: </w:t>
      </w:r>
      <w:r w:rsidR="00610BE2">
        <w:tab/>
      </w:r>
      <w:r w:rsidR="00610BE2">
        <w:tab/>
      </w:r>
      <w:r w:rsidR="005628ED">
        <w:t>+20-2 2574-1670/1516</w:t>
      </w:r>
    </w:p>
    <w:p w14:paraId="3D4F6F31" w14:textId="13B631EB" w:rsidR="004E70DD" w:rsidRDefault="004E70DD" w:rsidP="008F0B46">
      <w:r>
        <w:t xml:space="preserve">Email: </w:t>
      </w:r>
      <w:r w:rsidR="00610BE2">
        <w:tab/>
      </w:r>
      <w:r w:rsidR="00610BE2">
        <w:tab/>
      </w:r>
      <w:hyperlink r:id="rId8" w:history="1">
        <w:r w:rsidR="005628ED" w:rsidRPr="009A22F2">
          <w:rPr>
            <w:rStyle w:val="Hyperlink"/>
          </w:rPr>
          <w:t>akhanna2@worldbank.org</w:t>
        </w:r>
      </w:hyperlink>
      <w:r w:rsidR="005628ED">
        <w:t xml:space="preserve"> </w:t>
      </w:r>
    </w:p>
    <w:p w14:paraId="2B6984DE" w14:textId="0ECAD780" w:rsidR="008F0B46" w:rsidRDefault="004E70DD" w:rsidP="008F0B46">
      <w:r>
        <w:t>Location:</w:t>
      </w:r>
      <w:r w:rsidR="00610BE2">
        <w:tab/>
      </w:r>
      <w:r w:rsidR="00E83B29">
        <w:t>Cairo, Egypt</w:t>
      </w:r>
      <w:r>
        <w:t xml:space="preserve"> (IBRD)</w:t>
      </w:r>
      <w:bookmarkEnd w:id="9"/>
    </w:p>
    <w:p w14:paraId="27DC37CA" w14:textId="77777777" w:rsidR="0028771B" w:rsidRDefault="0028771B" w:rsidP="00BA0373"/>
    <w:p w14:paraId="189FDE03" w14:textId="10047A6F" w:rsidR="00BA0373" w:rsidRDefault="00BA0373" w:rsidP="00BA0373">
      <w:r>
        <w:t>Contact:</w:t>
      </w:r>
      <w:r w:rsidR="00610BE2">
        <w:tab/>
      </w:r>
      <w:r w:rsidR="005042A4">
        <w:t>Ibrahim Chowdhury</w:t>
      </w:r>
    </w:p>
    <w:p w14:paraId="23C4AEA4" w14:textId="77777777" w:rsidR="005042A4" w:rsidRDefault="00BA0373" w:rsidP="00BA0373">
      <w:r>
        <w:t>Title:</w:t>
      </w:r>
      <w:r w:rsidR="00610BE2">
        <w:tab/>
      </w:r>
      <w:r w:rsidR="00610BE2">
        <w:tab/>
      </w:r>
      <w:r>
        <w:t>Senior Economist</w:t>
      </w:r>
    </w:p>
    <w:p w14:paraId="2A42491F" w14:textId="4B6C9541" w:rsidR="00BA0373" w:rsidRDefault="00BA0373" w:rsidP="00BA0373">
      <w:r>
        <w:t>Email:</w:t>
      </w:r>
      <w:r w:rsidR="00610BE2">
        <w:tab/>
      </w:r>
      <w:r w:rsidR="00610BE2">
        <w:tab/>
      </w:r>
      <w:hyperlink r:id="rId9" w:history="1">
        <w:r w:rsidR="005042A4" w:rsidRPr="00AD3EA9">
          <w:rPr>
            <w:rStyle w:val="Hyperlink"/>
          </w:rPr>
          <w:t>ichowdhury@worldbank.org</w:t>
        </w:r>
      </w:hyperlink>
    </w:p>
    <w:p w14:paraId="4BFC000E" w14:textId="60C90296" w:rsidR="00BA0373" w:rsidRDefault="00BA0373" w:rsidP="00BA0373">
      <w:r>
        <w:t>Location:</w:t>
      </w:r>
      <w:r w:rsidR="00610BE2">
        <w:tab/>
      </w:r>
      <w:r>
        <w:t>Cairo, Egypt (IBRD)</w:t>
      </w:r>
    </w:p>
    <w:p w14:paraId="13CF73F3" w14:textId="77777777" w:rsidR="00BA0373" w:rsidRDefault="00BA0373" w:rsidP="008F0B46"/>
    <w:p w14:paraId="0A1AF8DE" w14:textId="77777777" w:rsidR="008F0B46" w:rsidRPr="00225112" w:rsidRDefault="008F0B46" w:rsidP="008F0B46">
      <w:pPr>
        <w:rPr>
          <w:b/>
        </w:rPr>
      </w:pPr>
      <w:r w:rsidRPr="00225112">
        <w:rPr>
          <w:b/>
        </w:rPr>
        <w:t>Borrower</w:t>
      </w:r>
    </w:p>
    <w:p w14:paraId="1A10A8CB" w14:textId="44A9286B" w:rsidR="00057FF1" w:rsidRDefault="00057FF1" w:rsidP="00057FF1">
      <w:r w:rsidRPr="00A30F2B">
        <w:t>Contact</w:t>
      </w:r>
      <w:r>
        <w:t xml:space="preserve">: </w:t>
      </w:r>
      <w:r>
        <w:tab/>
        <w:t>Dr</w:t>
      </w:r>
      <w:r w:rsidR="00602E0D">
        <w:t>.</w:t>
      </w:r>
      <w:r>
        <w:t xml:space="preserve"> Sahar Nasr</w:t>
      </w:r>
    </w:p>
    <w:p w14:paraId="0C283F94" w14:textId="77777777" w:rsidR="00057FF1" w:rsidRDefault="00057FF1" w:rsidP="00057FF1">
      <w:r>
        <w:t>Title:</w:t>
      </w:r>
      <w:r>
        <w:tab/>
      </w:r>
      <w:r>
        <w:tab/>
        <w:t>Minister of International Cooperation</w:t>
      </w:r>
    </w:p>
    <w:p w14:paraId="7F1BBD58" w14:textId="77777777" w:rsidR="00057FF1" w:rsidRDefault="00057FF1" w:rsidP="00057FF1">
      <w:r>
        <w:t>Email:</w:t>
      </w:r>
      <w:r>
        <w:tab/>
      </w:r>
      <w:r>
        <w:tab/>
        <w:t>snasr@moic.gov.eg</w:t>
      </w:r>
    </w:p>
    <w:p w14:paraId="2F587CBA" w14:textId="77777777" w:rsidR="0059349F" w:rsidRDefault="0059349F" w:rsidP="00A126FA"/>
    <w:p w14:paraId="70B5B1A0" w14:textId="77777777" w:rsidR="0059349F" w:rsidRPr="0059349F" w:rsidRDefault="0059349F" w:rsidP="0059349F">
      <w:pPr>
        <w:numPr>
          <w:ilvl w:val="0"/>
          <w:numId w:val="24"/>
        </w:numPr>
        <w:rPr>
          <w:b/>
        </w:rPr>
      </w:pPr>
      <w:r w:rsidRPr="0059349F">
        <w:rPr>
          <w:b/>
        </w:rPr>
        <w:t>For more information contact:</w:t>
      </w:r>
    </w:p>
    <w:p w14:paraId="056C40F6" w14:textId="77777777" w:rsidR="0059349F" w:rsidRPr="00C82216" w:rsidRDefault="0059349F" w:rsidP="008F0B46">
      <w:r w:rsidRPr="00C82216">
        <w:t>The InfoShop</w:t>
      </w:r>
    </w:p>
    <w:p w14:paraId="2504DE55" w14:textId="77777777" w:rsidR="0059349F" w:rsidRPr="00C82216" w:rsidRDefault="0059349F" w:rsidP="008F0B46">
      <w:r w:rsidRPr="00C82216">
        <w:t>The World Bank</w:t>
      </w:r>
    </w:p>
    <w:p w14:paraId="46D228DD" w14:textId="77777777" w:rsidR="0059349F" w:rsidRPr="00C82216" w:rsidRDefault="0059349F" w:rsidP="008F0B46">
      <w:r w:rsidRPr="00C82216">
        <w:t>1818 H Street, NW</w:t>
      </w:r>
    </w:p>
    <w:p w14:paraId="077672CA" w14:textId="77777777" w:rsidR="0059349F" w:rsidRPr="00C82216" w:rsidRDefault="0059349F" w:rsidP="008F0B46">
      <w:r w:rsidRPr="00C82216">
        <w:t>Washington, D.C. 20433</w:t>
      </w:r>
    </w:p>
    <w:p w14:paraId="661E7451" w14:textId="28CD0E7D" w:rsidR="0059349F" w:rsidRPr="00C82216" w:rsidRDefault="0059349F" w:rsidP="008F0B46">
      <w:r w:rsidRPr="00C82216">
        <w:t>Telephone: (202) 458-</w:t>
      </w:r>
      <w:r w:rsidR="00C070C8">
        <w:t>4500</w:t>
      </w:r>
    </w:p>
    <w:p w14:paraId="39612576" w14:textId="5DB1918C" w:rsidR="0059349F" w:rsidRPr="00C82216" w:rsidRDefault="0059349F" w:rsidP="008F0B46">
      <w:r w:rsidRPr="00C82216">
        <w:t>Fax: (202) 522-1500</w:t>
      </w:r>
    </w:p>
    <w:p w14:paraId="5EE6F822" w14:textId="1B218A1F" w:rsidR="0059349F" w:rsidRPr="00C82216" w:rsidRDefault="0059349F" w:rsidP="008F0B46">
      <w:r w:rsidRPr="00C82216">
        <w:t xml:space="preserve">Web: </w:t>
      </w:r>
      <w:hyperlink r:id="rId10" w:history="1">
        <w:r w:rsidR="005628ED" w:rsidRPr="009A22F2">
          <w:rPr>
            <w:rStyle w:val="Hyperlink"/>
          </w:rPr>
          <w:t>http://www.worldbank.org/infoshop</w:t>
        </w:r>
      </w:hyperlink>
      <w:r w:rsidR="005628ED">
        <w:t xml:space="preserve"> </w:t>
      </w:r>
    </w:p>
    <w:p w14:paraId="5DCA0924" w14:textId="77777777" w:rsidR="0059349F" w:rsidRPr="00A30F2B" w:rsidRDefault="0059349F" w:rsidP="00A126FA"/>
    <w:sectPr w:rsidR="0059349F" w:rsidRPr="00A30F2B" w:rsidSect="00731B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AB888" w14:textId="77777777" w:rsidR="00495FDD" w:rsidRDefault="00495FDD">
      <w:r>
        <w:separator/>
      </w:r>
    </w:p>
  </w:endnote>
  <w:endnote w:type="continuationSeparator" w:id="0">
    <w:p w14:paraId="465A9027" w14:textId="77777777" w:rsidR="00495FDD" w:rsidRDefault="0049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5A326" w14:textId="77777777" w:rsidR="00495FDD" w:rsidRDefault="00495FDD">
      <w:r>
        <w:separator/>
      </w:r>
    </w:p>
  </w:footnote>
  <w:footnote w:type="continuationSeparator" w:id="0">
    <w:p w14:paraId="2F1AFA71" w14:textId="77777777" w:rsidR="00495FDD" w:rsidRDefault="00495F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2F2C6D"/>
    <w:multiLevelType w:val="hybridMultilevel"/>
    <w:tmpl w:val="37648210"/>
    <w:lvl w:ilvl="0" w:tplc="516C19B2">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345AC5"/>
    <w:multiLevelType w:val="hybridMultilevel"/>
    <w:tmpl w:val="F4445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E67DA"/>
    <w:multiLevelType w:val="hybridMultilevel"/>
    <w:tmpl w:val="CD48F9AA"/>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90280"/>
    <w:multiLevelType w:val="multilevel"/>
    <w:tmpl w:val="99CEE76E"/>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decimal"/>
      <w:lvlText w:val="%2."/>
      <w:lvlJc w:val="left"/>
      <w:pPr>
        <w:tabs>
          <w:tab w:val="num" w:pos="720"/>
        </w:tabs>
        <w:ind w:left="720" w:hanging="720"/>
      </w:pPr>
      <w:rPr>
        <w:rFonts w:hint="default"/>
        <w:b w:val="0"/>
        <w:i w:val="0"/>
        <w:sz w:val="24"/>
        <w:szCs w:val="24"/>
      </w:rPr>
    </w:lvl>
    <w:lvl w:ilvl="2">
      <w:start w:val="5"/>
      <w:numFmt w:val="decimal"/>
      <w:lvlText w:val="%3."/>
      <w:lvlJc w:val="left"/>
      <w:pPr>
        <w:tabs>
          <w:tab w:val="num" w:pos="720"/>
        </w:tabs>
        <w:ind w:left="720" w:hanging="720"/>
      </w:pPr>
      <w:rPr>
        <w:rFonts w:hint="default"/>
        <w:b w:val="0"/>
        <w:i w:val="0"/>
        <w:sz w:val="24"/>
        <w:szCs w:val="24"/>
      </w:rPr>
    </w:lvl>
    <w:lvl w:ilvl="3">
      <w:start w:val="1"/>
      <w:numFmt w:val="lowerLetter"/>
      <w:lvlText w:val="%4."/>
      <w:lvlJc w:val="left"/>
      <w:pPr>
        <w:tabs>
          <w:tab w:val="num" w:pos="1080"/>
        </w:tabs>
        <w:ind w:left="1080" w:hanging="360"/>
      </w:pPr>
      <w:rPr>
        <w:rFonts w:hint="default"/>
        <w:b w:val="0"/>
        <w:i w:val="0"/>
        <w:sz w:val="24"/>
        <w:szCs w:val="24"/>
      </w:rPr>
    </w:lvl>
    <w:lvl w:ilvl="4">
      <w:start w:val="1"/>
      <w:numFmt w:val="lowerRoman"/>
      <w:lvlText w:val="(%5)"/>
      <w:lvlJc w:val="left"/>
      <w:pPr>
        <w:tabs>
          <w:tab w:val="num" w:pos="2160"/>
        </w:tabs>
        <w:ind w:left="2160" w:hanging="720"/>
      </w:pPr>
      <w:rPr>
        <w:rFonts w:hint="default"/>
        <w:b w:val="0"/>
        <w:i w:val="0"/>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8573C1"/>
    <w:multiLevelType w:val="hybridMultilevel"/>
    <w:tmpl w:val="FFA4E436"/>
    <w:lvl w:ilvl="0" w:tplc="F60248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4819C1"/>
    <w:multiLevelType w:val="hybridMultilevel"/>
    <w:tmpl w:val="16D07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B72C36"/>
    <w:multiLevelType w:val="hybridMultilevel"/>
    <w:tmpl w:val="95B816F8"/>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FD7817"/>
    <w:multiLevelType w:val="hybridMultilevel"/>
    <w:tmpl w:val="BC824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3649E"/>
    <w:multiLevelType w:val="hybridMultilevel"/>
    <w:tmpl w:val="7F660714"/>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4846D13"/>
    <w:multiLevelType w:val="hybridMultilevel"/>
    <w:tmpl w:val="7A1E68AA"/>
    <w:lvl w:ilvl="0" w:tplc="B066C178">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54654E"/>
    <w:multiLevelType w:val="hybridMultilevel"/>
    <w:tmpl w:val="68D89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55CD0"/>
    <w:multiLevelType w:val="hybridMultilevel"/>
    <w:tmpl w:val="B0147E7C"/>
    <w:lvl w:ilvl="0" w:tplc="2A2E7AB6">
      <w:start w:val="1"/>
      <w:numFmt w:val="bullet"/>
      <w:lvlText w:val=""/>
      <w:lvlJc w:val="left"/>
      <w:pPr>
        <w:tabs>
          <w:tab w:val="num" w:pos="360"/>
        </w:tabs>
        <w:ind w:left="360" w:hanging="360"/>
      </w:pPr>
      <w:rPr>
        <w:rFonts w:ascii="Symbol" w:hAnsi="Symbol" w:hint="default"/>
      </w:rPr>
    </w:lvl>
    <w:lvl w:ilvl="1" w:tplc="121AB9A0">
      <w:start w:val="1"/>
      <w:numFmt w:val="lowerLetter"/>
      <w:lvlText w:val="%2."/>
      <w:lvlJc w:val="left"/>
      <w:pPr>
        <w:tabs>
          <w:tab w:val="num" w:pos="1440"/>
        </w:tabs>
        <w:ind w:left="1368" w:hanging="28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F80BE6"/>
    <w:multiLevelType w:val="hybridMultilevel"/>
    <w:tmpl w:val="5EAA3448"/>
    <w:lvl w:ilvl="0" w:tplc="38BCDD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990A89"/>
    <w:multiLevelType w:val="hybridMultilevel"/>
    <w:tmpl w:val="A7B8CFC4"/>
    <w:lvl w:ilvl="0" w:tplc="DA56D010">
      <w:start w:val="3"/>
      <w:numFmt w:val="decimal"/>
      <w:lvlText w:val="%1."/>
      <w:lvlJc w:val="left"/>
      <w:pPr>
        <w:tabs>
          <w:tab w:val="num" w:pos="360"/>
        </w:tabs>
        <w:ind w:left="288" w:hanging="288"/>
      </w:pPr>
      <w:rPr>
        <w:rFonts w:hint="default"/>
      </w:rPr>
    </w:lvl>
    <w:lvl w:ilvl="1" w:tplc="121AB9A0">
      <w:start w:val="1"/>
      <w:numFmt w:val="lowerLetter"/>
      <w:lvlText w:val="%2."/>
      <w:lvlJc w:val="left"/>
      <w:pPr>
        <w:tabs>
          <w:tab w:val="num" w:pos="144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E92C30"/>
    <w:multiLevelType w:val="hybridMultilevel"/>
    <w:tmpl w:val="F49C954C"/>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3778CF"/>
    <w:multiLevelType w:val="hybridMultilevel"/>
    <w:tmpl w:val="61880A9C"/>
    <w:lvl w:ilvl="0" w:tplc="545E059A">
      <w:start w:val="12"/>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684E9D"/>
    <w:multiLevelType w:val="hybridMultilevel"/>
    <w:tmpl w:val="4ABC9A9C"/>
    <w:lvl w:ilvl="0" w:tplc="09AA25A8">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150CF4"/>
    <w:multiLevelType w:val="hybridMultilevel"/>
    <w:tmpl w:val="52C84FC2"/>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624AC9"/>
    <w:multiLevelType w:val="hybridMultilevel"/>
    <w:tmpl w:val="99CEE76E"/>
    <w:lvl w:ilvl="0" w:tplc="BE3EE3F6">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09AA25A8">
      <w:start w:val="1"/>
      <w:numFmt w:val="decimal"/>
      <w:lvlText w:val="%2."/>
      <w:lvlJc w:val="left"/>
      <w:pPr>
        <w:tabs>
          <w:tab w:val="num" w:pos="720"/>
        </w:tabs>
        <w:ind w:left="720" w:hanging="720"/>
      </w:pPr>
      <w:rPr>
        <w:rFonts w:hint="default"/>
        <w:b w:val="0"/>
        <w:i w:val="0"/>
        <w:sz w:val="24"/>
        <w:szCs w:val="24"/>
      </w:rPr>
    </w:lvl>
    <w:lvl w:ilvl="2" w:tplc="0CE071D6">
      <w:start w:val="5"/>
      <w:numFmt w:val="decimal"/>
      <w:lvlText w:val="%3."/>
      <w:lvlJc w:val="left"/>
      <w:pPr>
        <w:tabs>
          <w:tab w:val="num" w:pos="720"/>
        </w:tabs>
        <w:ind w:left="720" w:hanging="720"/>
      </w:pPr>
      <w:rPr>
        <w:rFonts w:hint="default"/>
        <w:b w:val="0"/>
        <w:i w:val="0"/>
        <w:sz w:val="24"/>
        <w:szCs w:val="24"/>
      </w:rPr>
    </w:lvl>
    <w:lvl w:ilvl="3" w:tplc="9210D27A">
      <w:start w:val="1"/>
      <w:numFmt w:val="lowerLetter"/>
      <w:lvlText w:val="%4."/>
      <w:lvlJc w:val="left"/>
      <w:pPr>
        <w:tabs>
          <w:tab w:val="num" w:pos="1080"/>
        </w:tabs>
        <w:ind w:left="1080" w:hanging="360"/>
      </w:pPr>
      <w:rPr>
        <w:rFonts w:hint="default"/>
        <w:b w:val="0"/>
        <w:i w:val="0"/>
        <w:sz w:val="24"/>
        <w:szCs w:val="24"/>
      </w:rPr>
    </w:lvl>
    <w:lvl w:ilvl="4" w:tplc="465A5734">
      <w:start w:val="1"/>
      <w:numFmt w:val="lowerRoman"/>
      <w:lvlText w:val="(%5)"/>
      <w:lvlJc w:val="left"/>
      <w:pPr>
        <w:tabs>
          <w:tab w:val="num" w:pos="2160"/>
        </w:tabs>
        <w:ind w:left="2160" w:hanging="720"/>
      </w:pPr>
      <w:rPr>
        <w:rFonts w:hint="default"/>
        <w:b w:val="0"/>
        <w:i w:val="0"/>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26" w15:restartNumberingAfterBreak="0">
    <w:nsid w:val="7629521B"/>
    <w:multiLevelType w:val="hybridMultilevel"/>
    <w:tmpl w:val="14A6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3D2F0C"/>
    <w:multiLevelType w:val="hybridMultilevel"/>
    <w:tmpl w:val="F942FDCC"/>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896538E"/>
    <w:multiLevelType w:val="hybridMultilevel"/>
    <w:tmpl w:val="6B90D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8"/>
  </w:num>
  <w:num w:numId="3">
    <w:abstractNumId w:val="29"/>
  </w:num>
  <w:num w:numId="4">
    <w:abstractNumId w:val="1"/>
  </w:num>
  <w:num w:numId="5">
    <w:abstractNumId w:val="17"/>
  </w:num>
  <w:num w:numId="6">
    <w:abstractNumId w:val="0"/>
  </w:num>
  <w:num w:numId="7">
    <w:abstractNumId w:val="23"/>
  </w:num>
  <w:num w:numId="8">
    <w:abstractNumId w:val="9"/>
  </w:num>
  <w:num w:numId="9">
    <w:abstractNumId w:val="19"/>
  </w:num>
  <w:num w:numId="10">
    <w:abstractNumId w:val="2"/>
  </w:num>
  <w:num w:numId="11">
    <w:abstractNumId w:val="13"/>
  </w:num>
  <w:num w:numId="12">
    <w:abstractNumId w:val="18"/>
  </w:num>
  <w:num w:numId="13">
    <w:abstractNumId w:val="12"/>
  </w:num>
  <w:num w:numId="14">
    <w:abstractNumId w:val="25"/>
  </w:num>
  <w:num w:numId="15">
    <w:abstractNumId w:val="30"/>
  </w:num>
  <w:num w:numId="16">
    <w:abstractNumId w:val="11"/>
  </w:num>
  <w:num w:numId="17">
    <w:abstractNumId w:val="15"/>
  </w:num>
  <w:num w:numId="18">
    <w:abstractNumId w:val="28"/>
  </w:num>
  <w:num w:numId="19">
    <w:abstractNumId w:val="20"/>
  </w:num>
  <w:num w:numId="20">
    <w:abstractNumId w:val="4"/>
  </w:num>
  <w:num w:numId="21">
    <w:abstractNumId w:val="24"/>
  </w:num>
  <w:num w:numId="22">
    <w:abstractNumId w:val="21"/>
  </w:num>
  <w:num w:numId="23">
    <w:abstractNumId w:val="6"/>
  </w:num>
  <w:num w:numId="24">
    <w:abstractNumId w:val="27"/>
  </w:num>
  <w:num w:numId="25">
    <w:abstractNumId w:val="22"/>
  </w:num>
  <w:num w:numId="26">
    <w:abstractNumId w:val="5"/>
  </w:num>
  <w:num w:numId="27">
    <w:abstractNumId w:val="7"/>
  </w:num>
  <w:num w:numId="28">
    <w:abstractNumId w:val="10"/>
  </w:num>
  <w:num w:numId="29">
    <w:abstractNumId w:val="26"/>
  </w:num>
  <w:num w:numId="30">
    <w:abstractNumId w:val="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FA"/>
    <w:rsid w:val="00007917"/>
    <w:rsid w:val="000149DC"/>
    <w:rsid w:val="00030402"/>
    <w:rsid w:val="000578B9"/>
    <w:rsid w:val="00057FF1"/>
    <w:rsid w:val="00071B65"/>
    <w:rsid w:val="000736A2"/>
    <w:rsid w:val="00086692"/>
    <w:rsid w:val="000871B8"/>
    <w:rsid w:val="000D2D1B"/>
    <w:rsid w:val="00101C42"/>
    <w:rsid w:val="001527BE"/>
    <w:rsid w:val="001714DF"/>
    <w:rsid w:val="00171E5D"/>
    <w:rsid w:val="00180099"/>
    <w:rsid w:val="00182A0D"/>
    <w:rsid w:val="0018788F"/>
    <w:rsid w:val="001936A8"/>
    <w:rsid w:val="001A4469"/>
    <w:rsid w:val="001B5F3D"/>
    <w:rsid w:val="001D607D"/>
    <w:rsid w:val="001E638A"/>
    <w:rsid w:val="00201313"/>
    <w:rsid w:val="00204DF3"/>
    <w:rsid w:val="002428DC"/>
    <w:rsid w:val="00283684"/>
    <w:rsid w:val="0028771B"/>
    <w:rsid w:val="00293668"/>
    <w:rsid w:val="002E169B"/>
    <w:rsid w:val="002F2564"/>
    <w:rsid w:val="002F437A"/>
    <w:rsid w:val="00305A74"/>
    <w:rsid w:val="00305F26"/>
    <w:rsid w:val="003103C4"/>
    <w:rsid w:val="00311A09"/>
    <w:rsid w:val="00313CDB"/>
    <w:rsid w:val="00335C23"/>
    <w:rsid w:val="00337CE7"/>
    <w:rsid w:val="003723D9"/>
    <w:rsid w:val="00383CBB"/>
    <w:rsid w:val="00395195"/>
    <w:rsid w:val="003E3E86"/>
    <w:rsid w:val="003F02CA"/>
    <w:rsid w:val="0040041B"/>
    <w:rsid w:val="00447431"/>
    <w:rsid w:val="00456233"/>
    <w:rsid w:val="00480DF4"/>
    <w:rsid w:val="00495FDD"/>
    <w:rsid w:val="004A0E24"/>
    <w:rsid w:val="004B1DA5"/>
    <w:rsid w:val="004B372A"/>
    <w:rsid w:val="004C6525"/>
    <w:rsid w:val="004D6196"/>
    <w:rsid w:val="004E305D"/>
    <w:rsid w:val="004E70DD"/>
    <w:rsid w:val="004F0F64"/>
    <w:rsid w:val="005042A4"/>
    <w:rsid w:val="00552C86"/>
    <w:rsid w:val="00553459"/>
    <w:rsid w:val="0055354C"/>
    <w:rsid w:val="005628ED"/>
    <w:rsid w:val="00577870"/>
    <w:rsid w:val="00586A53"/>
    <w:rsid w:val="0059349F"/>
    <w:rsid w:val="00593693"/>
    <w:rsid w:val="005E06F1"/>
    <w:rsid w:val="00602E0D"/>
    <w:rsid w:val="00607B35"/>
    <w:rsid w:val="00610BE2"/>
    <w:rsid w:val="00671A99"/>
    <w:rsid w:val="00674243"/>
    <w:rsid w:val="0067697E"/>
    <w:rsid w:val="00690F9A"/>
    <w:rsid w:val="006C5D18"/>
    <w:rsid w:val="006F3FC6"/>
    <w:rsid w:val="00701460"/>
    <w:rsid w:val="007150F6"/>
    <w:rsid w:val="007163C9"/>
    <w:rsid w:val="00722E4E"/>
    <w:rsid w:val="00731BC4"/>
    <w:rsid w:val="00761AFF"/>
    <w:rsid w:val="00765AC2"/>
    <w:rsid w:val="00780AB2"/>
    <w:rsid w:val="007863D3"/>
    <w:rsid w:val="00787B7C"/>
    <w:rsid w:val="00793D7D"/>
    <w:rsid w:val="007B36C6"/>
    <w:rsid w:val="007B7DB3"/>
    <w:rsid w:val="00825070"/>
    <w:rsid w:val="00837E41"/>
    <w:rsid w:val="008451FE"/>
    <w:rsid w:val="00854A25"/>
    <w:rsid w:val="008564C0"/>
    <w:rsid w:val="008913B4"/>
    <w:rsid w:val="008B3FE4"/>
    <w:rsid w:val="008E5C31"/>
    <w:rsid w:val="008F0B46"/>
    <w:rsid w:val="00914E33"/>
    <w:rsid w:val="00915DAE"/>
    <w:rsid w:val="00917CB1"/>
    <w:rsid w:val="00921E31"/>
    <w:rsid w:val="00923AC9"/>
    <w:rsid w:val="00941142"/>
    <w:rsid w:val="00963593"/>
    <w:rsid w:val="0098774C"/>
    <w:rsid w:val="00996EEB"/>
    <w:rsid w:val="009B1BF2"/>
    <w:rsid w:val="009B6060"/>
    <w:rsid w:val="009F5E4D"/>
    <w:rsid w:val="00A05BC0"/>
    <w:rsid w:val="00A126FA"/>
    <w:rsid w:val="00A2290C"/>
    <w:rsid w:val="00A25C56"/>
    <w:rsid w:val="00A32373"/>
    <w:rsid w:val="00A44909"/>
    <w:rsid w:val="00A65F72"/>
    <w:rsid w:val="00A745B7"/>
    <w:rsid w:val="00AA5A30"/>
    <w:rsid w:val="00AB0F65"/>
    <w:rsid w:val="00B17C5F"/>
    <w:rsid w:val="00B41F7F"/>
    <w:rsid w:val="00B67270"/>
    <w:rsid w:val="00B677C4"/>
    <w:rsid w:val="00BA0373"/>
    <w:rsid w:val="00BA3C91"/>
    <w:rsid w:val="00BA774C"/>
    <w:rsid w:val="00C070C8"/>
    <w:rsid w:val="00C40958"/>
    <w:rsid w:val="00C63E52"/>
    <w:rsid w:val="00C67E15"/>
    <w:rsid w:val="00C732BC"/>
    <w:rsid w:val="00C96CBF"/>
    <w:rsid w:val="00D2365D"/>
    <w:rsid w:val="00D34F9E"/>
    <w:rsid w:val="00D545E4"/>
    <w:rsid w:val="00DA1975"/>
    <w:rsid w:val="00DE739D"/>
    <w:rsid w:val="00DF3891"/>
    <w:rsid w:val="00E25EF2"/>
    <w:rsid w:val="00E428CC"/>
    <w:rsid w:val="00E51AC7"/>
    <w:rsid w:val="00E5269B"/>
    <w:rsid w:val="00E528E0"/>
    <w:rsid w:val="00E811D3"/>
    <w:rsid w:val="00E83B29"/>
    <w:rsid w:val="00E90E9D"/>
    <w:rsid w:val="00EB5871"/>
    <w:rsid w:val="00EC042A"/>
    <w:rsid w:val="00ED0A91"/>
    <w:rsid w:val="00ED60A7"/>
    <w:rsid w:val="00EF103B"/>
    <w:rsid w:val="00EF5C2A"/>
    <w:rsid w:val="00F0622C"/>
    <w:rsid w:val="00F259FD"/>
    <w:rsid w:val="00F34A55"/>
    <w:rsid w:val="00F34B6F"/>
    <w:rsid w:val="00F35631"/>
    <w:rsid w:val="00F41703"/>
    <w:rsid w:val="00F43E5E"/>
    <w:rsid w:val="00F7168A"/>
    <w:rsid w:val="00F722D6"/>
    <w:rsid w:val="00F85515"/>
    <w:rsid w:val="00FD4F44"/>
    <w:rsid w:val="00FF23C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48D76"/>
  <w15:docId w15:val="{D782AD08-5F91-4905-94A9-6D967EE9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link w:val="CommentTextChar"/>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basedOn w:val="DefaultParagraphFont"/>
    <w:semiHidden/>
    <w:rsid w:val="00731BC4"/>
    <w:rPr>
      <w:vertAlign w:val="superscript"/>
    </w:rPr>
  </w:style>
  <w:style w:type="paragraph" w:styleId="FootnoteText">
    <w:name w:val="footnote text"/>
    <w:aliases w:val="FOOTNOTES,fn,single space,footnote text"/>
    <w:basedOn w:val="Normal"/>
    <w:link w:val="FootnoteTextChar"/>
    <w:semiHidden/>
    <w:rsid w:val="00731BC4"/>
    <w:rPr>
      <w:sz w:val="20"/>
      <w:szCs w:val="20"/>
    </w:rPr>
  </w:style>
  <w:style w:type="table" w:styleId="TableGrid">
    <w:name w:val="Table Grid"/>
    <w:basedOn w:val="TableNormal"/>
    <w:rsid w:val="00A12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
    <w:basedOn w:val="DefaultParagraphFont"/>
    <w:link w:val="FootnoteText"/>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basedOn w:val="Normal"/>
    <w:uiPriority w:val="34"/>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rPr>
      <w:rFonts w:eastAsiaTheme="minorEastAsia"/>
    </w:rPr>
  </w:style>
  <w:style w:type="paragraph" w:customStyle="1" w:styleId="CM1">
    <w:name w:val="CM1"/>
    <w:basedOn w:val="Normal"/>
    <w:next w:val="Normal"/>
    <w:uiPriority w:val="99"/>
    <w:rsid w:val="00671A99"/>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AA5A30"/>
    <w:pPr>
      <w:widowControl w:val="0"/>
      <w:autoSpaceDE w:val="0"/>
      <w:autoSpaceDN w:val="0"/>
      <w:adjustRightInd w:val="0"/>
    </w:pPr>
    <w:rPr>
      <w:rFonts w:eastAsiaTheme="minorEastAsia"/>
    </w:rPr>
  </w:style>
  <w:style w:type="paragraph" w:customStyle="1" w:styleId="Default">
    <w:name w:val="Default"/>
    <w:rsid w:val="00180099"/>
    <w:pPr>
      <w:autoSpaceDE w:val="0"/>
      <w:autoSpaceDN w:val="0"/>
      <w:adjustRightInd w:val="0"/>
    </w:pPr>
    <w:rPr>
      <w:rFonts w:eastAsiaTheme="minorEastAsia"/>
      <w:color w:val="000000"/>
      <w:sz w:val="24"/>
      <w:szCs w:val="24"/>
    </w:rPr>
  </w:style>
  <w:style w:type="paragraph" w:styleId="CommentSubject">
    <w:name w:val="annotation subject"/>
    <w:basedOn w:val="CommentText"/>
    <w:next w:val="CommentText"/>
    <w:link w:val="CommentSubjectChar"/>
    <w:semiHidden/>
    <w:unhideWhenUsed/>
    <w:rsid w:val="0028771B"/>
    <w:rPr>
      <w:b/>
      <w:bCs/>
    </w:rPr>
  </w:style>
  <w:style w:type="character" w:customStyle="1" w:styleId="CommentTextChar">
    <w:name w:val="Comment Text Char"/>
    <w:basedOn w:val="DefaultParagraphFont"/>
    <w:link w:val="CommentText"/>
    <w:semiHidden/>
    <w:rsid w:val="0028771B"/>
  </w:style>
  <w:style w:type="character" w:customStyle="1" w:styleId="CommentSubjectChar">
    <w:name w:val="Comment Subject Char"/>
    <w:basedOn w:val="CommentTextChar"/>
    <w:link w:val="CommentSubject"/>
    <w:semiHidden/>
    <w:rsid w:val="002877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hanna2@worldban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orldbank.org/infoshop" TargetMode="External"/><Relationship Id="rId4" Type="http://schemas.openxmlformats.org/officeDocument/2006/relationships/settings" Target="settings.xml"/><Relationship Id="rId9" Type="http://schemas.openxmlformats.org/officeDocument/2006/relationships/hyperlink" Target="mailto:ichowdhury@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9C37B-6992-4F03-A7E2-A05670B7A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1259</Words>
  <Characters>7599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8841</CharactersWithSpaces>
  <SharedDoc>false</SharedDoc>
  <HLinks>
    <vt:vector size="108" baseType="variant">
      <vt:variant>
        <vt:i4>3145827</vt:i4>
      </vt:variant>
      <vt:variant>
        <vt:i4>51</vt:i4>
      </vt:variant>
      <vt:variant>
        <vt:i4>0</vt:i4>
      </vt:variant>
      <vt:variant>
        <vt:i4>5</vt:i4>
      </vt:variant>
      <vt:variant>
        <vt:lpwstr>http://intresources.worldbank.org/INTSAFEPOL/Resources/Project0Inform1cument1Concept0Stage.doc</vt:lpwstr>
      </vt:variant>
      <vt:variant>
        <vt:lpwstr/>
      </vt:variant>
      <vt:variant>
        <vt:i4>3145827</vt:i4>
      </vt:variant>
      <vt:variant>
        <vt:i4>48</vt:i4>
      </vt:variant>
      <vt:variant>
        <vt:i4>0</vt:i4>
      </vt:variant>
      <vt:variant>
        <vt:i4>5</vt:i4>
      </vt:variant>
      <vt:variant>
        <vt:lpwstr>http://intresources.worldbank.org/INTSAFEPOL/Resources/Project0Inform1cument1Concept0Stage.doc</vt:lpwstr>
      </vt:variant>
      <vt:variant>
        <vt:lpwstr/>
      </vt:variant>
      <vt:variant>
        <vt:i4>4259851</vt:i4>
      </vt:variant>
      <vt:variant>
        <vt:i4>45</vt:i4>
      </vt:variant>
      <vt:variant>
        <vt:i4>0</vt:i4>
      </vt:variant>
      <vt:variant>
        <vt:i4>5</vt:i4>
      </vt:variant>
      <vt:variant>
        <vt:lpwstr>http://wbln0011.worldbank.org/Institutional/Manuals/OpManual.nsf/BProw/47D35C1186367F338525672C007D07AE?OpenDocument</vt:lpwstr>
      </vt:variant>
      <vt:variant>
        <vt:lpwstr/>
      </vt:variant>
      <vt:variant>
        <vt:i4>524300</vt:i4>
      </vt:variant>
      <vt:variant>
        <vt:i4>42</vt:i4>
      </vt:variant>
      <vt:variant>
        <vt:i4>0</vt:i4>
      </vt:variant>
      <vt:variant>
        <vt:i4>5</vt:i4>
      </vt:variant>
      <vt:variant>
        <vt:lpwstr>http://wbln0011.worldbank.org/Institutional/Manuals/OpManual.nsf/OPolw/5F511C57E7F3A3DD8525672C007D07A2?OpenDocument</vt:lpwstr>
      </vt:variant>
      <vt:variant>
        <vt:lpwstr/>
      </vt:variant>
      <vt:variant>
        <vt:i4>1310812</vt:i4>
      </vt:variant>
      <vt:variant>
        <vt:i4>39</vt:i4>
      </vt:variant>
      <vt:variant>
        <vt:i4>0</vt:i4>
      </vt:variant>
      <vt:variant>
        <vt:i4>5</vt:i4>
      </vt:variant>
      <vt:variant>
        <vt:lpwstr>http://wbln0011.worldbank.org/Institutional/Manuals/OpManual.nsf/BProw/5DB8B30312AD33108525672C007D0788?OpenDocument</vt:lpwstr>
      </vt:variant>
      <vt:variant>
        <vt:lpwstr/>
      </vt:variant>
      <vt:variant>
        <vt:i4>6160465</vt:i4>
      </vt:variant>
      <vt:variant>
        <vt:i4>36</vt:i4>
      </vt:variant>
      <vt:variant>
        <vt:i4>0</vt:i4>
      </vt:variant>
      <vt:variant>
        <vt:i4>5</vt:i4>
      </vt:variant>
      <vt:variant>
        <vt:lpwstr>http://wbln0011.worldbank.org/Institutional/Manuals/OpManual.nsf/OPolw/72CC6840FC533D508525672C007D076B?OpenDocument</vt:lpwstr>
      </vt:variant>
      <vt:variant>
        <vt:lpwstr/>
      </vt:variant>
      <vt:variant>
        <vt:i4>4718598</vt:i4>
      </vt:variant>
      <vt:variant>
        <vt:i4>33</vt:i4>
      </vt:variant>
      <vt:variant>
        <vt:i4>0</vt:i4>
      </vt:variant>
      <vt:variant>
        <vt:i4>5</vt:i4>
      </vt:variant>
      <vt:variant>
        <vt:lpwstr>http://wbln0011.worldbank.org/Institutional/Manuals/OpManual.nsf/BProw/D3448207C94C92628525672C007D0733?OpenDocument</vt:lpwstr>
      </vt:variant>
      <vt:variant>
        <vt:lpwstr/>
      </vt:variant>
      <vt:variant>
        <vt:i4>917588</vt:i4>
      </vt:variant>
      <vt:variant>
        <vt:i4>30</vt:i4>
      </vt:variant>
      <vt:variant>
        <vt:i4>0</vt:i4>
      </vt:variant>
      <vt:variant>
        <vt:i4>5</vt:i4>
      </vt:variant>
      <vt:variant>
        <vt:lpwstr>http://wbln0011.worldbank.org/Institutional/Manuals/OpManual.nsf/OPolw/C12766B6C9D109548525672C007D07B9?OpenDocument</vt:lpwstr>
      </vt:variant>
      <vt:variant>
        <vt:lpwstr/>
      </vt:variant>
      <vt:variant>
        <vt:i4>1507330</vt:i4>
      </vt:variant>
      <vt:variant>
        <vt:i4>27</vt:i4>
      </vt:variant>
      <vt:variant>
        <vt:i4>0</vt:i4>
      </vt:variant>
      <vt:variant>
        <vt:i4>5</vt:i4>
      </vt:variant>
      <vt:variant>
        <vt:lpwstr>http://wbln0011.worldbank.org/Institutional/Manuals/OpManual.nsf/GPraw/97FA41A3D754DE318525672C007D07EB?OpenDocument</vt:lpwstr>
      </vt:variant>
      <vt:variant>
        <vt:lpwstr/>
      </vt:variant>
      <vt:variant>
        <vt:i4>458833</vt:i4>
      </vt:variant>
      <vt:variant>
        <vt:i4>24</vt:i4>
      </vt:variant>
      <vt:variant>
        <vt:i4>0</vt:i4>
      </vt:variant>
      <vt:variant>
        <vt:i4>5</vt:i4>
      </vt:variant>
      <vt:variant>
        <vt:lpwstr>http://wbln0011.worldbank.org/Institutional/Manuals/OpManual.nsf/OPolw/C972D5438F4D1FB78525672C007D077A?OpenDocument</vt:lpwstr>
      </vt:variant>
      <vt:variant>
        <vt:lpwstr/>
      </vt:variant>
      <vt:variant>
        <vt:i4>2031707</vt:i4>
      </vt:variant>
      <vt:variant>
        <vt:i4>21</vt:i4>
      </vt:variant>
      <vt:variant>
        <vt:i4>0</vt:i4>
      </vt:variant>
      <vt:variant>
        <vt:i4>5</vt:i4>
      </vt:variant>
      <vt:variant>
        <vt:lpwstr>http://wbln0011.worldbank.org/Institutional/Manuals/OpManual.nsf/bytype/383197ED73D421A385256B180072D46D?OpenDocument</vt:lpwstr>
      </vt:variant>
      <vt:variant>
        <vt:lpwstr/>
      </vt:variant>
      <vt:variant>
        <vt:i4>4653139</vt:i4>
      </vt:variant>
      <vt:variant>
        <vt:i4>18</vt:i4>
      </vt:variant>
      <vt:variant>
        <vt:i4>0</vt:i4>
      </vt:variant>
      <vt:variant>
        <vt:i4>5</vt:i4>
      </vt:variant>
      <vt:variant>
        <vt:lpwstr>http://wbln0011.worldbank.org/Institutional/Manuals/OpManual.nsf/bytype/AA37778A8BCF64A585256B1800645AC5?OpenDocument</vt:lpwstr>
      </vt:variant>
      <vt:variant>
        <vt:lpwstr/>
      </vt:variant>
      <vt:variant>
        <vt:i4>852049</vt:i4>
      </vt:variant>
      <vt:variant>
        <vt:i4>15</vt:i4>
      </vt:variant>
      <vt:variant>
        <vt:i4>0</vt:i4>
      </vt:variant>
      <vt:variant>
        <vt:i4>5</vt:i4>
      </vt:variant>
      <vt:variant>
        <vt:lpwstr>http://wbln0011.worldbank.org/Institutional/Manuals/OpManual.nsf/OPolw/665DA6CA847982168525672C007D07A3?OpenDocument</vt:lpwstr>
      </vt:variant>
      <vt:variant>
        <vt:lpwstr/>
      </vt:variant>
      <vt:variant>
        <vt:i4>5177358</vt:i4>
      </vt:variant>
      <vt:variant>
        <vt:i4>12</vt:i4>
      </vt:variant>
      <vt:variant>
        <vt:i4>0</vt:i4>
      </vt:variant>
      <vt:variant>
        <vt:i4>5</vt:i4>
      </vt:variant>
      <vt:variant>
        <vt:lpwstr>http://wbln0011.worldbank.org/Institutional/Manuals/OpManual.nsf/BProw/62B0042EF3FBA64D8525672C007D0773?OpenDocument</vt:lpwstr>
      </vt:variant>
      <vt:variant>
        <vt:lpwstr/>
      </vt:variant>
      <vt:variant>
        <vt:i4>5898323</vt:i4>
      </vt:variant>
      <vt:variant>
        <vt:i4>9</vt:i4>
      </vt:variant>
      <vt:variant>
        <vt:i4>0</vt:i4>
      </vt:variant>
      <vt:variant>
        <vt:i4>5</vt:i4>
      </vt:variant>
      <vt:variant>
        <vt:lpwstr>http://wbln0011.worldbank.org/Institutional/Manuals/OpManual.nsf/OPolw/71432937FA0B753F8525672C007D07AA?OpenDocument</vt:lpwstr>
      </vt:variant>
      <vt:variant>
        <vt:lpwstr/>
      </vt:variant>
      <vt:variant>
        <vt:i4>4194313</vt:i4>
      </vt:variant>
      <vt:variant>
        <vt:i4>6</vt:i4>
      </vt:variant>
      <vt:variant>
        <vt:i4>0</vt:i4>
      </vt:variant>
      <vt:variant>
        <vt:i4>5</vt:i4>
      </vt:variant>
      <vt:variant>
        <vt:lpwstr>http://wbln0011.worldbank.org/Institutional/Manuals/OpManual.nsf/BProw/C4241D657823FD818525672C007D096E?OpenDocument</vt:lpwstr>
      </vt:variant>
      <vt:variant>
        <vt:lpwstr/>
      </vt:variant>
      <vt:variant>
        <vt:i4>5374035</vt:i4>
      </vt:variant>
      <vt:variant>
        <vt:i4>3</vt:i4>
      </vt:variant>
      <vt:variant>
        <vt:i4>0</vt:i4>
      </vt:variant>
      <vt:variant>
        <vt:i4>5</vt:i4>
      </vt:variant>
      <vt:variant>
        <vt:lpwstr>http://wbln0011.worldbank.org/Institutional/Manuals/OpManual.nsf/OPolw/9367A2A9D9DAEED38525672C007D0972?OpenDocument</vt:lpwstr>
      </vt:variant>
      <vt:variant>
        <vt:lpwstr/>
      </vt:variant>
      <vt:variant>
        <vt:i4>5111876</vt:i4>
      </vt:variant>
      <vt:variant>
        <vt:i4>0</vt:i4>
      </vt:variant>
      <vt:variant>
        <vt:i4>0</vt:i4>
      </vt:variant>
      <vt:variant>
        <vt:i4>5</vt:i4>
      </vt:variant>
      <vt:variant>
        <vt:lpwstr>http://www.worldbank.org/environmentalassessment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Ashish Khanna;Ahmed Kouchouk</dc:creator>
  <cp:lastModifiedBy>Lina Janenaite</cp:lastModifiedBy>
  <cp:revision>2</cp:revision>
  <cp:lastPrinted>2016-10-31T19:24:00Z</cp:lastPrinted>
  <dcterms:created xsi:type="dcterms:W3CDTF">2016-10-31T19:26:00Z</dcterms:created>
  <dcterms:modified xsi:type="dcterms:W3CDTF">2016-10-31T19:26:00Z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AB7791</vt:lpwstr>
  </property>
  <property fmtid="{D5CDD505-2E9C-101B-9397-08002B2CF9AE}" pid="3" name="TEAMLEADER">
    <vt:lpwstr>Ashish Khanna</vt:lpwstr>
  </property>
</Properties>
</file>