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style2.xml" ContentType="application/vnd.ms-office.chartstyle+xml"/>
  <Override PartName="/word/charts/chart3.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1.xml" ContentType="application/vnd.openxmlformats-officedocument.theme+xml"/>
  <Override PartName="/word/charts/colors2.xml" ContentType="application/vnd.ms-office.chartcolorstyl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59272" w14:textId="77777777" w:rsidR="003B5ED7" w:rsidRPr="00BD4A16" w:rsidRDefault="003B5ED7" w:rsidP="003B5ED7">
      <w:pPr>
        <w:spacing w:after="0" w:line="240" w:lineRule="auto"/>
        <w:jc w:val="center"/>
        <w:rPr>
          <w:rFonts w:asciiTheme="minorHAnsi" w:hAnsiTheme="minorHAnsi" w:cstheme="minorHAnsi"/>
          <w:b/>
          <w:bCs/>
        </w:rPr>
      </w:pPr>
      <w:bookmarkStart w:id="0" w:name="_GoBack"/>
      <w:bookmarkEnd w:id="0"/>
      <w:r w:rsidRPr="00BD4A16">
        <w:rPr>
          <w:rFonts w:asciiTheme="minorHAnsi" w:hAnsiTheme="minorHAnsi" w:cstheme="minorHAnsi"/>
          <w:b/>
          <w:bCs/>
        </w:rPr>
        <w:t>Document of</w:t>
      </w:r>
    </w:p>
    <w:p w14:paraId="31DFE001" w14:textId="77777777" w:rsidR="003B5ED7" w:rsidRPr="006C66C2" w:rsidRDefault="003B5ED7" w:rsidP="003B5ED7">
      <w:pPr>
        <w:spacing w:after="0" w:line="240" w:lineRule="auto"/>
        <w:jc w:val="center"/>
        <w:rPr>
          <w:rFonts w:asciiTheme="minorHAnsi" w:hAnsiTheme="minorHAnsi" w:cstheme="minorHAnsi"/>
          <w:b/>
        </w:rPr>
      </w:pPr>
      <w:r w:rsidRPr="006C66C2">
        <w:rPr>
          <w:rFonts w:asciiTheme="minorHAnsi" w:hAnsiTheme="minorHAnsi" w:cstheme="minorHAnsi"/>
          <w:b/>
        </w:rPr>
        <w:t>The World Bank</w:t>
      </w:r>
    </w:p>
    <w:p w14:paraId="74A14FDD" w14:textId="77777777" w:rsidR="003B5ED7" w:rsidRPr="006C66C2" w:rsidRDefault="003B5ED7" w:rsidP="003B5ED7">
      <w:pPr>
        <w:spacing w:after="0" w:line="240" w:lineRule="auto"/>
        <w:jc w:val="center"/>
        <w:rPr>
          <w:rFonts w:asciiTheme="minorHAnsi" w:hAnsiTheme="minorHAnsi" w:cstheme="minorHAnsi"/>
        </w:rPr>
      </w:pPr>
    </w:p>
    <w:p w14:paraId="6B81D8C1" w14:textId="77777777" w:rsidR="003B5ED7" w:rsidRPr="006C66C2" w:rsidRDefault="003B5ED7" w:rsidP="003B5ED7">
      <w:pPr>
        <w:spacing w:after="0" w:line="240" w:lineRule="auto"/>
        <w:jc w:val="center"/>
        <w:rPr>
          <w:rFonts w:asciiTheme="minorHAnsi" w:hAnsiTheme="minorHAnsi" w:cstheme="minorHAnsi"/>
        </w:rPr>
      </w:pPr>
    </w:p>
    <w:p w14:paraId="6F654D89" w14:textId="77777777" w:rsidR="003B5ED7" w:rsidRPr="00406280" w:rsidRDefault="003B5ED7" w:rsidP="003B5ED7">
      <w:pPr>
        <w:spacing w:after="0" w:line="240" w:lineRule="auto"/>
        <w:jc w:val="center"/>
        <w:rPr>
          <w:rFonts w:asciiTheme="minorHAnsi" w:hAnsiTheme="minorHAnsi" w:cstheme="minorHAnsi"/>
        </w:rPr>
      </w:pPr>
      <w:r w:rsidRPr="00406280">
        <w:rPr>
          <w:rFonts w:asciiTheme="minorHAnsi" w:hAnsiTheme="minorHAnsi" w:cstheme="minorHAnsi"/>
        </w:rPr>
        <w:t>FOR OFFICIAL USE ONLY</w:t>
      </w:r>
    </w:p>
    <w:p w14:paraId="1C5C707D" w14:textId="77777777" w:rsidR="003B5ED7" w:rsidRPr="00601B29" w:rsidRDefault="003B5ED7" w:rsidP="003B5ED7">
      <w:pPr>
        <w:spacing w:after="0" w:line="240" w:lineRule="auto"/>
        <w:jc w:val="center"/>
        <w:rPr>
          <w:rFonts w:asciiTheme="minorHAnsi" w:hAnsiTheme="minorHAnsi" w:cstheme="minorHAnsi"/>
        </w:rPr>
      </w:pPr>
    </w:p>
    <w:p w14:paraId="21543EA8" w14:textId="77777777" w:rsidR="003B5ED7" w:rsidRPr="0085470E" w:rsidRDefault="003B5ED7" w:rsidP="003B5ED7">
      <w:pPr>
        <w:spacing w:after="0" w:line="240" w:lineRule="auto"/>
        <w:jc w:val="center"/>
        <w:rPr>
          <w:rFonts w:asciiTheme="minorHAnsi" w:hAnsiTheme="minorHAnsi" w:cstheme="minorHAnsi"/>
        </w:rPr>
      </w:pPr>
    </w:p>
    <w:p w14:paraId="26102A3A" w14:textId="77777777" w:rsidR="00724841" w:rsidRPr="00AC0176" w:rsidRDefault="003B5ED7" w:rsidP="00724841">
      <w:pPr>
        <w:jc w:val="right"/>
        <w:rPr>
          <w:rFonts w:cs="Calibri"/>
        </w:rPr>
      </w:pPr>
      <w:r w:rsidRPr="0085470E">
        <w:rPr>
          <w:rFonts w:asciiTheme="minorHAnsi" w:hAnsiTheme="minorHAnsi" w:cstheme="minorHAnsi"/>
        </w:rPr>
        <w:t xml:space="preserve">Report No. </w:t>
      </w:r>
      <w:r w:rsidR="00724841" w:rsidRPr="00AC0176">
        <w:rPr>
          <w:rFonts w:cs="Calibri"/>
        </w:rPr>
        <w:t>120335-MG</w:t>
      </w:r>
    </w:p>
    <w:p w14:paraId="37F4854E" w14:textId="6D16FDB6" w:rsidR="003B5ED7" w:rsidRPr="00B66802" w:rsidRDefault="003B5ED7" w:rsidP="00724841">
      <w:pPr>
        <w:spacing w:after="0" w:line="240" w:lineRule="auto"/>
        <w:rPr>
          <w:rFonts w:asciiTheme="minorHAnsi" w:hAnsiTheme="minorHAnsi" w:cstheme="minorHAnsi"/>
        </w:rPr>
      </w:pPr>
    </w:p>
    <w:p w14:paraId="3EB38F7A" w14:textId="77777777" w:rsidR="003B5ED7" w:rsidRPr="00BD4A16" w:rsidRDefault="003B5ED7" w:rsidP="003B5ED7">
      <w:pPr>
        <w:spacing w:after="0" w:line="240" w:lineRule="auto"/>
        <w:rPr>
          <w:rFonts w:asciiTheme="minorHAnsi" w:hAnsiTheme="minorHAnsi" w:cstheme="minorHAnsi"/>
        </w:rPr>
      </w:pPr>
    </w:p>
    <w:p w14:paraId="0994117E" w14:textId="77777777" w:rsidR="003B5ED7" w:rsidRPr="00DC050B" w:rsidRDefault="003B5ED7" w:rsidP="003B5ED7">
      <w:pPr>
        <w:spacing w:after="0" w:line="240" w:lineRule="auto"/>
        <w:jc w:val="center"/>
        <w:rPr>
          <w:rFonts w:asciiTheme="minorHAnsi" w:hAnsiTheme="minorHAnsi" w:cstheme="minorHAnsi"/>
        </w:rPr>
      </w:pPr>
    </w:p>
    <w:p w14:paraId="106FBDE8" w14:textId="77777777" w:rsidR="003B5ED7" w:rsidRPr="006C66C2" w:rsidRDefault="003B5ED7" w:rsidP="003B5ED7">
      <w:pPr>
        <w:spacing w:after="0" w:line="240" w:lineRule="auto"/>
        <w:jc w:val="center"/>
        <w:rPr>
          <w:rFonts w:asciiTheme="minorHAnsi" w:hAnsiTheme="minorHAnsi" w:cstheme="minorHAnsi"/>
        </w:rPr>
      </w:pPr>
      <w:r w:rsidRPr="006C66C2">
        <w:rPr>
          <w:rFonts w:asciiTheme="minorHAnsi" w:hAnsiTheme="minorHAnsi" w:cstheme="minorHAnsi"/>
        </w:rPr>
        <w:t>INTERNATIONAL DEVELOPMENT ASSOCIATION</w:t>
      </w:r>
    </w:p>
    <w:p w14:paraId="29D52A6D" w14:textId="77777777" w:rsidR="003B5ED7" w:rsidRPr="006C66C2" w:rsidRDefault="003B5ED7" w:rsidP="003B5ED7">
      <w:pPr>
        <w:spacing w:after="0" w:line="240" w:lineRule="auto"/>
        <w:jc w:val="center"/>
        <w:rPr>
          <w:rFonts w:asciiTheme="minorHAnsi" w:hAnsiTheme="minorHAnsi" w:cstheme="minorHAnsi"/>
        </w:rPr>
      </w:pPr>
    </w:p>
    <w:p w14:paraId="71C95376" w14:textId="6D73282A" w:rsidR="003B5ED7" w:rsidRPr="006C66C2" w:rsidRDefault="003B5ED7" w:rsidP="003B5ED7">
      <w:pPr>
        <w:spacing w:after="0" w:line="240" w:lineRule="auto"/>
        <w:jc w:val="center"/>
        <w:rPr>
          <w:rFonts w:asciiTheme="minorHAnsi" w:hAnsiTheme="minorHAnsi" w:cstheme="minorHAnsi"/>
        </w:rPr>
      </w:pPr>
      <w:r w:rsidRPr="006C66C2">
        <w:rPr>
          <w:rFonts w:asciiTheme="minorHAnsi" w:hAnsiTheme="minorHAnsi" w:cstheme="minorHAnsi"/>
        </w:rPr>
        <w:t>DOCUMENT</w:t>
      </w:r>
      <w:r w:rsidR="00530384" w:rsidRPr="006C66C2">
        <w:rPr>
          <w:rFonts w:asciiTheme="minorHAnsi" w:hAnsiTheme="minorHAnsi" w:cstheme="minorHAnsi"/>
        </w:rPr>
        <w:t xml:space="preserve"> </w:t>
      </w:r>
      <w:r w:rsidRPr="006C66C2">
        <w:rPr>
          <w:rFonts w:asciiTheme="minorHAnsi" w:hAnsiTheme="minorHAnsi" w:cstheme="minorHAnsi"/>
        </w:rPr>
        <w:t xml:space="preserve">FOR A PROPOSED </w:t>
      </w:r>
      <w:r w:rsidR="001A1A03" w:rsidRPr="006C66C2">
        <w:rPr>
          <w:rFonts w:asciiTheme="minorHAnsi" w:hAnsiTheme="minorHAnsi" w:cstheme="minorHAnsi"/>
        </w:rPr>
        <w:t>GRANT</w:t>
      </w:r>
    </w:p>
    <w:p w14:paraId="5393DB17" w14:textId="77777777" w:rsidR="003B5ED7" w:rsidRPr="00406280" w:rsidRDefault="003B5ED7" w:rsidP="003B5ED7">
      <w:pPr>
        <w:spacing w:after="0" w:line="240" w:lineRule="auto"/>
        <w:jc w:val="center"/>
        <w:rPr>
          <w:rFonts w:asciiTheme="minorHAnsi" w:hAnsiTheme="minorHAnsi" w:cstheme="minorHAnsi"/>
        </w:rPr>
      </w:pPr>
    </w:p>
    <w:p w14:paraId="7CDEACAA" w14:textId="77777777" w:rsidR="00B66802" w:rsidRPr="00B66802" w:rsidRDefault="003B5ED7" w:rsidP="003B5ED7">
      <w:pPr>
        <w:spacing w:after="0" w:line="240" w:lineRule="auto"/>
        <w:jc w:val="center"/>
        <w:rPr>
          <w:rFonts w:asciiTheme="minorHAnsi" w:hAnsiTheme="minorHAnsi" w:cstheme="minorHAnsi"/>
        </w:rPr>
      </w:pPr>
      <w:r w:rsidRPr="00406280">
        <w:rPr>
          <w:rFonts w:asciiTheme="minorHAnsi" w:hAnsiTheme="minorHAnsi" w:cstheme="minorHAnsi"/>
        </w:rPr>
        <w:t xml:space="preserve">IN THE AMOUNT OF SDR </w:t>
      </w:r>
      <w:r w:rsidR="00FF173E" w:rsidRPr="00AC0176">
        <w:rPr>
          <w:rFonts w:asciiTheme="minorHAnsi" w:hAnsiTheme="minorHAnsi" w:cstheme="minorHAnsi"/>
        </w:rPr>
        <w:t xml:space="preserve">31.9 </w:t>
      </w:r>
      <w:r w:rsidR="00495E7F" w:rsidRPr="00B66802">
        <w:rPr>
          <w:rFonts w:asciiTheme="minorHAnsi" w:hAnsiTheme="minorHAnsi" w:cstheme="minorHAnsi"/>
        </w:rPr>
        <w:t>MILLION</w:t>
      </w:r>
    </w:p>
    <w:p w14:paraId="6A48D9B2" w14:textId="2B925FF1" w:rsidR="003B5ED7" w:rsidRPr="00DC050B" w:rsidRDefault="00495E7F" w:rsidP="003B5ED7">
      <w:pPr>
        <w:spacing w:after="0" w:line="240" w:lineRule="auto"/>
        <w:jc w:val="center"/>
        <w:rPr>
          <w:rFonts w:asciiTheme="minorHAnsi" w:hAnsiTheme="minorHAnsi" w:cstheme="minorHAnsi"/>
          <w:caps/>
        </w:rPr>
      </w:pPr>
      <w:r w:rsidRPr="00BD4A16">
        <w:rPr>
          <w:rFonts w:asciiTheme="minorHAnsi" w:hAnsiTheme="minorHAnsi" w:cstheme="minorHAnsi"/>
        </w:rPr>
        <w:t>(US$</w:t>
      </w:r>
      <w:r w:rsidR="0027612D" w:rsidRPr="00DC050B">
        <w:rPr>
          <w:rFonts w:asciiTheme="minorHAnsi" w:hAnsiTheme="minorHAnsi" w:cstheme="minorHAnsi"/>
        </w:rPr>
        <w:t>45</w:t>
      </w:r>
      <w:r w:rsidR="003B5ED7" w:rsidRPr="00DC050B">
        <w:rPr>
          <w:rFonts w:asciiTheme="minorHAnsi" w:hAnsiTheme="minorHAnsi" w:cstheme="minorHAnsi"/>
        </w:rPr>
        <w:t xml:space="preserve">.0 MILLION EQUIVALENT) </w:t>
      </w:r>
    </w:p>
    <w:p w14:paraId="07D4616D" w14:textId="77777777" w:rsidR="003B5ED7" w:rsidRPr="00DC050B" w:rsidRDefault="003B5ED7" w:rsidP="003B5ED7">
      <w:pPr>
        <w:autoSpaceDE w:val="0"/>
        <w:autoSpaceDN w:val="0"/>
        <w:adjustRightInd w:val="0"/>
        <w:spacing w:line="240" w:lineRule="atLeast"/>
        <w:jc w:val="center"/>
        <w:rPr>
          <w:rFonts w:asciiTheme="minorHAnsi" w:hAnsiTheme="minorHAnsi" w:cstheme="minorHAnsi"/>
          <w:caps/>
        </w:rPr>
      </w:pPr>
    </w:p>
    <w:p w14:paraId="79AA4B51" w14:textId="77777777" w:rsidR="003B5ED7" w:rsidRPr="006C66C2" w:rsidRDefault="003B5ED7" w:rsidP="003B5ED7">
      <w:pPr>
        <w:spacing w:after="0" w:line="240" w:lineRule="auto"/>
        <w:jc w:val="center"/>
        <w:rPr>
          <w:rFonts w:asciiTheme="minorHAnsi" w:hAnsiTheme="minorHAnsi" w:cstheme="minorHAnsi"/>
        </w:rPr>
      </w:pPr>
      <w:r w:rsidRPr="006C66C2">
        <w:rPr>
          <w:rFonts w:asciiTheme="minorHAnsi" w:hAnsiTheme="minorHAnsi" w:cstheme="minorHAnsi"/>
        </w:rPr>
        <w:t>TO THE REPUBLIC OF MADAGASCAR</w:t>
      </w:r>
    </w:p>
    <w:p w14:paraId="15184F86" w14:textId="77777777" w:rsidR="003B5ED7" w:rsidRPr="006C66C2" w:rsidRDefault="003B5ED7" w:rsidP="003B5ED7">
      <w:pPr>
        <w:spacing w:after="0" w:line="240" w:lineRule="auto"/>
        <w:jc w:val="center"/>
        <w:rPr>
          <w:rFonts w:asciiTheme="minorHAnsi" w:hAnsiTheme="minorHAnsi" w:cstheme="minorHAnsi"/>
        </w:rPr>
      </w:pPr>
    </w:p>
    <w:p w14:paraId="60AF8D23" w14:textId="77777777" w:rsidR="003B5ED7" w:rsidRPr="006C66C2" w:rsidRDefault="003B5ED7" w:rsidP="003B5ED7">
      <w:pPr>
        <w:spacing w:after="0" w:line="240" w:lineRule="auto"/>
        <w:jc w:val="center"/>
        <w:rPr>
          <w:rFonts w:asciiTheme="minorHAnsi" w:hAnsiTheme="minorHAnsi" w:cstheme="minorHAnsi"/>
        </w:rPr>
      </w:pPr>
      <w:r w:rsidRPr="006C66C2">
        <w:rPr>
          <w:rFonts w:asciiTheme="minorHAnsi" w:hAnsiTheme="minorHAnsi" w:cstheme="minorHAnsi"/>
        </w:rPr>
        <w:t xml:space="preserve">FOR </w:t>
      </w:r>
      <w:r w:rsidR="00A860B6" w:rsidRPr="006C66C2">
        <w:rPr>
          <w:rFonts w:asciiTheme="minorHAnsi" w:hAnsiTheme="minorHAnsi" w:cstheme="minorHAnsi"/>
        </w:rPr>
        <w:t>THE</w:t>
      </w:r>
    </w:p>
    <w:p w14:paraId="49C6602A" w14:textId="77777777" w:rsidR="003B5ED7" w:rsidRPr="00406280" w:rsidRDefault="003B5ED7" w:rsidP="003B5ED7">
      <w:pPr>
        <w:spacing w:after="0" w:line="240" w:lineRule="auto"/>
        <w:jc w:val="center"/>
        <w:rPr>
          <w:rFonts w:asciiTheme="minorHAnsi" w:hAnsiTheme="minorHAnsi" w:cstheme="minorHAnsi"/>
        </w:rPr>
      </w:pPr>
    </w:p>
    <w:p w14:paraId="5A640D0A" w14:textId="2B215EAB" w:rsidR="003B5ED7" w:rsidRPr="00601B29" w:rsidRDefault="004E18A9" w:rsidP="003B5ED7">
      <w:pPr>
        <w:spacing w:after="0" w:line="240" w:lineRule="auto"/>
        <w:jc w:val="center"/>
        <w:rPr>
          <w:rFonts w:asciiTheme="minorHAnsi" w:hAnsiTheme="minorHAnsi" w:cstheme="minorHAnsi"/>
        </w:rPr>
      </w:pPr>
      <w:r w:rsidRPr="00406280">
        <w:rPr>
          <w:rFonts w:asciiTheme="minorHAnsi" w:hAnsiTheme="minorHAnsi" w:cstheme="minorHAnsi"/>
        </w:rPr>
        <w:t>PUBLIC FINANCE</w:t>
      </w:r>
      <w:r w:rsidR="00495E7F" w:rsidRPr="00406280">
        <w:rPr>
          <w:rFonts w:asciiTheme="minorHAnsi" w:hAnsiTheme="minorHAnsi" w:cstheme="minorHAnsi"/>
        </w:rPr>
        <w:t xml:space="preserve"> SUSTAINABILITY AND </w:t>
      </w:r>
      <w:r w:rsidR="006C4118" w:rsidRPr="00406280">
        <w:rPr>
          <w:rFonts w:asciiTheme="minorHAnsi" w:hAnsiTheme="minorHAnsi" w:cstheme="minorHAnsi"/>
        </w:rPr>
        <w:t>INVESTMENT</w:t>
      </w:r>
      <w:r w:rsidR="00AA18E4" w:rsidRPr="00406280">
        <w:rPr>
          <w:rFonts w:asciiTheme="minorHAnsi" w:hAnsiTheme="minorHAnsi" w:cstheme="minorHAnsi"/>
        </w:rPr>
        <w:t xml:space="preserve"> </w:t>
      </w:r>
      <w:r w:rsidR="003B5ED7" w:rsidRPr="00601B29">
        <w:rPr>
          <w:rFonts w:asciiTheme="minorHAnsi" w:hAnsiTheme="minorHAnsi" w:cstheme="minorHAnsi"/>
        </w:rPr>
        <w:t xml:space="preserve">DEVELOPMENT POLICY </w:t>
      </w:r>
      <w:r w:rsidR="00EB2F8B" w:rsidRPr="00601B29">
        <w:rPr>
          <w:rFonts w:asciiTheme="minorHAnsi" w:hAnsiTheme="minorHAnsi" w:cstheme="minorHAnsi"/>
        </w:rPr>
        <w:t>FINANCING</w:t>
      </w:r>
      <w:r w:rsidR="00D9533E" w:rsidRPr="00601B29">
        <w:rPr>
          <w:rFonts w:asciiTheme="minorHAnsi" w:hAnsiTheme="minorHAnsi" w:cstheme="minorHAnsi"/>
        </w:rPr>
        <w:t xml:space="preserve"> </w:t>
      </w:r>
      <w:r w:rsidR="00165C9C">
        <w:rPr>
          <w:rFonts w:asciiTheme="minorHAnsi" w:hAnsiTheme="minorHAnsi" w:cstheme="minorHAnsi"/>
        </w:rPr>
        <w:t xml:space="preserve">II </w:t>
      </w:r>
      <w:r w:rsidR="00D9533E" w:rsidRPr="00601B29">
        <w:rPr>
          <w:rFonts w:asciiTheme="minorHAnsi" w:hAnsiTheme="minorHAnsi" w:cstheme="minorHAnsi"/>
        </w:rPr>
        <w:t>OPERATION</w:t>
      </w:r>
    </w:p>
    <w:p w14:paraId="4B55140C" w14:textId="77777777" w:rsidR="003B5ED7" w:rsidRPr="0085470E" w:rsidRDefault="003B5ED7" w:rsidP="003B5ED7">
      <w:pPr>
        <w:spacing w:after="0" w:line="240" w:lineRule="auto"/>
        <w:jc w:val="center"/>
        <w:rPr>
          <w:rFonts w:asciiTheme="minorHAnsi" w:hAnsiTheme="minorHAnsi" w:cstheme="minorHAnsi"/>
        </w:rPr>
      </w:pPr>
    </w:p>
    <w:p w14:paraId="19EEDAEA" w14:textId="77777777" w:rsidR="003B5ED7" w:rsidRPr="00E36113" w:rsidRDefault="003B5ED7" w:rsidP="003B5ED7">
      <w:pPr>
        <w:spacing w:after="0" w:line="240" w:lineRule="auto"/>
        <w:jc w:val="center"/>
        <w:rPr>
          <w:rFonts w:asciiTheme="minorHAnsi" w:hAnsiTheme="minorHAnsi" w:cstheme="minorHAnsi"/>
        </w:rPr>
      </w:pPr>
    </w:p>
    <w:p w14:paraId="7B511294" w14:textId="77777777" w:rsidR="00447298" w:rsidRPr="00E36113" w:rsidRDefault="00447298" w:rsidP="003B5ED7">
      <w:pPr>
        <w:spacing w:after="0" w:line="240" w:lineRule="auto"/>
        <w:jc w:val="center"/>
        <w:rPr>
          <w:rFonts w:asciiTheme="minorHAnsi" w:hAnsiTheme="minorHAnsi" w:cstheme="minorHAnsi"/>
        </w:rPr>
      </w:pPr>
    </w:p>
    <w:p w14:paraId="7042B438" w14:textId="77777777" w:rsidR="00447298" w:rsidRPr="00E36113" w:rsidRDefault="00447298" w:rsidP="003B5ED7">
      <w:pPr>
        <w:spacing w:after="0" w:line="240" w:lineRule="auto"/>
        <w:jc w:val="center"/>
        <w:rPr>
          <w:rFonts w:asciiTheme="minorHAnsi" w:hAnsiTheme="minorHAnsi" w:cstheme="minorHAnsi"/>
        </w:rPr>
      </w:pPr>
    </w:p>
    <w:p w14:paraId="4A08BD4E" w14:textId="77777777" w:rsidR="00447298" w:rsidRPr="00E36113" w:rsidRDefault="00447298" w:rsidP="003B5ED7">
      <w:pPr>
        <w:spacing w:after="0" w:line="240" w:lineRule="auto"/>
        <w:jc w:val="center"/>
        <w:rPr>
          <w:rFonts w:asciiTheme="minorHAnsi" w:hAnsiTheme="minorHAnsi" w:cstheme="minorHAnsi"/>
        </w:rPr>
      </w:pPr>
    </w:p>
    <w:p w14:paraId="4C534801" w14:textId="77777777" w:rsidR="00447298" w:rsidRPr="00E36113" w:rsidRDefault="00447298" w:rsidP="003B5ED7">
      <w:pPr>
        <w:spacing w:after="0" w:line="240" w:lineRule="auto"/>
        <w:jc w:val="center"/>
        <w:rPr>
          <w:rFonts w:asciiTheme="minorHAnsi" w:hAnsiTheme="minorHAnsi" w:cstheme="minorHAnsi"/>
        </w:rPr>
      </w:pPr>
    </w:p>
    <w:p w14:paraId="31FE3311" w14:textId="77777777" w:rsidR="00447298" w:rsidRPr="00E36113" w:rsidRDefault="00447298" w:rsidP="003B5ED7">
      <w:pPr>
        <w:spacing w:after="0" w:line="240" w:lineRule="auto"/>
        <w:jc w:val="center"/>
        <w:rPr>
          <w:rFonts w:asciiTheme="minorHAnsi" w:hAnsiTheme="minorHAnsi" w:cstheme="minorHAnsi"/>
        </w:rPr>
      </w:pPr>
    </w:p>
    <w:p w14:paraId="7FF9F1CE" w14:textId="2F76202C" w:rsidR="003B5ED7" w:rsidRPr="00E36113" w:rsidRDefault="00724841" w:rsidP="003B5ED7">
      <w:pPr>
        <w:spacing w:after="0" w:line="240" w:lineRule="auto"/>
        <w:jc w:val="center"/>
        <w:rPr>
          <w:rFonts w:asciiTheme="minorHAnsi" w:hAnsiTheme="minorHAnsi" w:cstheme="minorHAnsi"/>
        </w:rPr>
      </w:pPr>
      <w:r w:rsidRPr="00E36113">
        <w:rPr>
          <w:rFonts w:asciiTheme="minorHAnsi" w:hAnsiTheme="minorHAnsi" w:cstheme="minorHAnsi"/>
        </w:rPr>
        <w:t>October</w:t>
      </w:r>
      <w:r w:rsidR="00C22A89" w:rsidRPr="00E36113">
        <w:rPr>
          <w:rFonts w:asciiTheme="minorHAnsi" w:hAnsiTheme="minorHAnsi" w:cstheme="minorHAnsi"/>
        </w:rPr>
        <w:t xml:space="preserve"> </w:t>
      </w:r>
      <w:r w:rsidR="00B66802" w:rsidRPr="00E36113">
        <w:rPr>
          <w:rFonts w:asciiTheme="minorHAnsi" w:hAnsiTheme="minorHAnsi" w:cstheme="minorHAnsi"/>
        </w:rPr>
        <w:t xml:space="preserve">20, </w:t>
      </w:r>
      <w:r w:rsidR="00C22A89" w:rsidRPr="00E36113">
        <w:rPr>
          <w:rFonts w:asciiTheme="minorHAnsi" w:hAnsiTheme="minorHAnsi" w:cstheme="minorHAnsi"/>
        </w:rPr>
        <w:t>2017</w:t>
      </w:r>
    </w:p>
    <w:p w14:paraId="32BE7BD9" w14:textId="77777777" w:rsidR="003B5ED7" w:rsidRPr="00E36113" w:rsidRDefault="003B5ED7" w:rsidP="003B5ED7">
      <w:pPr>
        <w:spacing w:after="0" w:line="240" w:lineRule="auto"/>
        <w:rPr>
          <w:rFonts w:asciiTheme="minorHAnsi" w:hAnsiTheme="minorHAnsi" w:cstheme="minorHAnsi"/>
        </w:rPr>
      </w:pPr>
    </w:p>
    <w:p w14:paraId="50A2122B" w14:textId="77777777" w:rsidR="00447298" w:rsidRPr="00E36113" w:rsidRDefault="00447298" w:rsidP="003B5ED7">
      <w:pPr>
        <w:spacing w:after="0" w:line="240" w:lineRule="auto"/>
        <w:rPr>
          <w:rFonts w:asciiTheme="minorHAnsi" w:hAnsiTheme="minorHAnsi" w:cstheme="minorHAnsi"/>
        </w:rPr>
      </w:pPr>
    </w:p>
    <w:p w14:paraId="749FC965" w14:textId="77777777" w:rsidR="00A92FAB" w:rsidRPr="00E36113" w:rsidRDefault="00A92FAB" w:rsidP="003B5ED7">
      <w:pPr>
        <w:spacing w:after="0" w:line="240" w:lineRule="auto"/>
        <w:rPr>
          <w:rFonts w:asciiTheme="minorHAnsi" w:hAnsiTheme="minorHAnsi" w:cstheme="minorHAnsi"/>
        </w:rPr>
      </w:pPr>
    </w:p>
    <w:p w14:paraId="30FE165D" w14:textId="77777777" w:rsidR="00447298" w:rsidRPr="00E36113" w:rsidRDefault="00447298" w:rsidP="003B5ED7">
      <w:pPr>
        <w:spacing w:after="0" w:line="240" w:lineRule="auto"/>
        <w:rPr>
          <w:rFonts w:asciiTheme="minorHAnsi" w:hAnsiTheme="minorHAnsi" w:cstheme="minorHAnsi"/>
        </w:rPr>
      </w:pPr>
    </w:p>
    <w:p w14:paraId="62930584" w14:textId="77777777" w:rsidR="008459D5" w:rsidRPr="00E36113" w:rsidRDefault="008459D5" w:rsidP="003B5ED7">
      <w:pPr>
        <w:spacing w:after="0" w:line="240" w:lineRule="auto"/>
        <w:jc w:val="center"/>
        <w:rPr>
          <w:rFonts w:asciiTheme="minorHAnsi" w:hAnsiTheme="minorHAnsi" w:cstheme="minorHAnsi"/>
        </w:rPr>
      </w:pPr>
    </w:p>
    <w:p w14:paraId="3D477783" w14:textId="77777777" w:rsidR="001A1A03" w:rsidRPr="00E36113" w:rsidRDefault="001A1A03" w:rsidP="003B5ED7">
      <w:pPr>
        <w:spacing w:after="0" w:line="240" w:lineRule="auto"/>
        <w:jc w:val="center"/>
        <w:rPr>
          <w:rFonts w:asciiTheme="minorHAnsi" w:hAnsiTheme="minorHAnsi" w:cstheme="minorHAnsi"/>
        </w:rPr>
      </w:pPr>
    </w:p>
    <w:p w14:paraId="79C0BF44" w14:textId="77777777" w:rsidR="001A1A03" w:rsidRPr="00E36113" w:rsidRDefault="001A1A03" w:rsidP="003B5ED7">
      <w:pPr>
        <w:spacing w:after="0" w:line="240" w:lineRule="auto"/>
        <w:jc w:val="center"/>
        <w:rPr>
          <w:rFonts w:asciiTheme="minorHAnsi" w:hAnsiTheme="minorHAnsi" w:cstheme="minorHAnsi"/>
        </w:rPr>
      </w:pPr>
    </w:p>
    <w:p w14:paraId="72769C5F" w14:textId="77777777" w:rsidR="001A1A03" w:rsidRPr="00E36113" w:rsidRDefault="001A1A03" w:rsidP="003B5ED7">
      <w:pPr>
        <w:spacing w:after="0" w:line="240" w:lineRule="auto"/>
        <w:jc w:val="center"/>
        <w:rPr>
          <w:rFonts w:asciiTheme="minorHAnsi" w:hAnsiTheme="minorHAnsi" w:cstheme="minorHAnsi"/>
        </w:rPr>
      </w:pPr>
    </w:p>
    <w:p w14:paraId="4B59CE57" w14:textId="77777777" w:rsidR="001A1A03" w:rsidRPr="00E36113" w:rsidRDefault="001A1A03" w:rsidP="003B5ED7">
      <w:pPr>
        <w:spacing w:after="0" w:line="240" w:lineRule="auto"/>
        <w:jc w:val="center"/>
        <w:rPr>
          <w:rFonts w:asciiTheme="minorHAnsi" w:hAnsiTheme="minorHAnsi" w:cstheme="minorHAnsi"/>
        </w:rPr>
      </w:pPr>
    </w:p>
    <w:p w14:paraId="4F4DB3C0" w14:textId="77777777" w:rsidR="001A1A03" w:rsidRPr="00E36113" w:rsidRDefault="001A1A03" w:rsidP="003B5ED7">
      <w:pPr>
        <w:spacing w:after="0" w:line="240" w:lineRule="auto"/>
        <w:jc w:val="center"/>
        <w:rPr>
          <w:rFonts w:asciiTheme="minorHAnsi" w:hAnsiTheme="minorHAnsi" w:cstheme="minorHAnsi"/>
        </w:rPr>
      </w:pPr>
    </w:p>
    <w:p w14:paraId="6CC855B4" w14:textId="77777777" w:rsidR="00B66802" w:rsidRPr="00E36113" w:rsidRDefault="00B66802" w:rsidP="00B66802">
      <w:pPr>
        <w:spacing w:after="0" w:line="240" w:lineRule="auto"/>
        <w:rPr>
          <w:rFonts w:asciiTheme="minorHAnsi" w:hAnsiTheme="minorHAnsi" w:cstheme="minorHAnsi"/>
        </w:rPr>
      </w:pPr>
      <w:r w:rsidRPr="00E36113">
        <w:rPr>
          <w:rFonts w:asciiTheme="minorHAnsi" w:hAnsiTheme="minorHAnsi" w:cstheme="minorHAnsi"/>
        </w:rPr>
        <w:t>Macroeconomics and Fiscal Management Global Practice</w:t>
      </w:r>
    </w:p>
    <w:p w14:paraId="5C8CC72F" w14:textId="77777777" w:rsidR="00B66802" w:rsidRPr="00E36113" w:rsidRDefault="00B66802" w:rsidP="00B66802">
      <w:pPr>
        <w:spacing w:after="0" w:line="240" w:lineRule="auto"/>
        <w:rPr>
          <w:rFonts w:asciiTheme="minorHAnsi" w:hAnsiTheme="minorHAnsi" w:cstheme="minorHAnsi"/>
        </w:rPr>
      </w:pPr>
      <w:r w:rsidRPr="00E36113">
        <w:rPr>
          <w:rFonts w:asciiTheme="minorHAnsi" w:hAnsiTheme="minorHAnsi" w:cstheme="minorHAnsi"/>
        </w:rPr>
        <w:t>Africa Region</w:t>
      </w:r>
    </w:p>
    <w:p w14:paraId="72F5A5E9" w14:textId="77777777" w:rsidR="001A1A03" w:rsidRPr="00E36113" w:rsidRDefault="001A1A03" w:rsidP="003B5ED7">
      <w:pPr>
        <w:spacing w:after="0" w:line="240" w:lineRule="auto"/>
        <w:jc w:val="center"/>
        <w:rPr>
          <w:rFonts w:asciiTheme="minorHAnsi" w:hAnsiTheme="minorHAnsi" w:cstheme="minorHAnsi"/>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78"/>
      </w:tblGrid>
      <w:tr w:rsidR="003B5ED7" w:rsidRPr="00B66802" w14:paraId="51E11B7E" w14:textId="77777777" w:rsidTr="00063D6F">
        <w:trPr>
          <w:trHeight w:val="611"/>
        </w:trPr>
        <w:tc>
          <w:tcPr>
            <w:tcW w:w="9378" w:type="dxa"/>
            <w:tcBorders>
              <w:top w:val="single" w:sz="6" w:space="0" w:color="auto"/>
              <w:left w:val="single" w:sz="6" w:space="0" w:color="auto"/>
              <w:bottom w:val="single" w:sz="6" w:space="0" w:color="auto"/>
              <w:right w:val="single" w:sz="6" w:space="0" w:color="auto"/>
            </w:tcBorders>
          </w:tcPr>
          <w:p w14:paraId="54EAE1B1" w14:textId="77777777" w:rsidR="003B5ED7" w:rsidRPr="00E36113" w:rsidRDefault="0010386D" w:rsidP="00730EFD">
            <w:pPr>
              <w:widowControl w:val="0"/>
              <w:autoSpaceDE w:val="0"/>
              <w:autoSpaceDN w:val="0"/>
              <w:adjustRightInd w:val="0"/>
              <w:spacing w:after="0" w:line="240" w:lineRule="auto"/>
              <w:ind w:left="331" w:right="43"/>
              <w:jc w:val="both"/>
              <w:rPr>
                <w:rFonts w:asciiTheme="minorHAnsi" w:hAnsiTheme="minorHAnsi" w:cstheme="minorHAnsi"/>
              </w:rPr>
            </w:pPr>
            <w:r w:rsidRPr="00E36113">
              <w:rPr>
                <w:rFonts w:asciiTheme="minorHAnsi" w:hAnsiTheme="minorHAnsi" w:cstheme="minorHAnsi"/>
                <w:spacing w:val="3"/>
              </w:rPr>
              <w:t>T</w:t>
            </w:r>
            <w:r w:rsidRPr="00E36113">
              <w:rPr>
                <w:rFonts w:asciiTheme="minorHAnsi" w:hAnsiTheme="minorHAnsi" w:cstheme="minorHAnsi"/>
                <w:spacing w:val="-1"/>
              </w:rPr>
              <w:t>h</w:t>
            </w:r>
            <w:r w:rsidRPr="00E36113">
              <w:rPr>
                <w:rFonts w:asciiTheme="minorHAnsi" w:hAnsiTheme="minorHAnsi" w:cstheme="minorHAnsi"/>
              </w:rPr>
              <w:t>is</w:t>
            </w:r>
            <w:r w:rsidRPr="00E36113">
              <w:rPr>
                <w:rFonts w:asciiTheme="minorHAnsi" w:hAnsiTheme="minorHAnsi" w:cstheme="minorHAnsi"/>
                <w:spacing w:val="8"/>
              </w:rPr>
              <w:t xml:space="preserve"> </w:t>
            </w:r>
            <w:r w:rsidRPr="00E36113">
              <w:rPr>
                <w:rFonts w:asciiTheme="minorHAnsi" w:hAnsiTheme="minorHAnsi" w:cstheme="minorHAnsi"/>
                <w:spacing w:val="1"/>
              </w:rPr>
              <w:t>do</w:t>
            </w:r>
            <w:r w:rsidRPr="00E36113">
              <w:rPr>
                <w:rFonts w:asciiTheme="minorHAnsi" w:hAnsiTheme="minorHAnsi" w:cstheme="minorHAnsi"/>
              </w:rPr>
              <w:t>c</w:t>
            </w:r>
            <w:r w:rsidRPr="00E36113">
              <w:rPr>
                <w:rFonts w:asciiTheme="minorHAnsi" w:hAnsiTheme="minorHAnsi" w:cstheme="minorHAnsi"/>
                <w:spacing w:val="1"/>
              </w:rPr>
              <w:t>u</w:t>
            </w:r>
            <w:r w:rsidRPr="00E36113">
              <w:rPr>
                <w:rFonts w:asciiTheme="minorHAnsi" w:hAnsiTheme="minorHAnsi" w:cstheme="minorHAnsi"/>
                <w:spacing w:val="-4"/>
              </w:rPr>
              <w:t>m</w:t>
            </w:r>
            <w:r w:rsidRPr="00E36113">
              <w:rPr>
                <w:rFonts w:asciiTheme="minorHAnsi" w:hAnsiTheme="minorHAnsi" w:cstheme="minorHAnsi"/>
              </w:rPr>
              <w:t>e</w:t>
            </w:r>
            <w:r w:rsidRPr="00E36113">
              <w:rPr>
                <w:rFonts w:asciiTheme="minorHAnsi" w:hAnsiTheme="minorHAnsi" w:cstheme="minorHAnsi"/>
                <w:spacing w:val="-1"/>
              </w:rPr>
              <w:t>n</w:t>
            </w:r>
            <w:r w:rsidRPr="00E36113">
              <w:rPr>
                <w:rFonts w:asciiTheme="minorHAnsi" w:hAnsiTheme="minorHAnsi" w:cstheme="minorHAnsi"/>
              </w:rPr>
              <w:t>t</w:t>
            </w:r>
            <w:r w:rsidRPr="00E36113">
              <w:rPr>
                <w:rFonts w:asciiTheme="minorHAnsi" w:hAnsiTheme="minorHAnsi" w:cstheme="minorHAnsi"/>
                <w:spacing w:val="7"/>
              </w:rPr>
              <w:t xml:space="preserve"> </w:t>
            </w:r>
            <w:r w:rsidRPr="00E36113">
              <w:rPr>
                <w:rFonts w:asciiTheme="minorHAnsi" w:hAnsiTheme="minorHAnsi" w:cstheme="minorHAnsi"/>
                <w:spacing w:val="-1"/>
              </w:rPr>
              <w:t>h</w:t>
            </w:r>
            <w:r w:rsidRPr="00E36113">
              <w:rPr>
                <w:rFonts w:asciiTheme="minorHAnsi" w:hAnsiTheme="minorHAnsi" w:cstheme="minorHAnsi"/>
              </w:rPr>
              <w:t>as</w:t>
            </w:r>
            <w:r w:rsidRPr="00E36113">
              <w:rPr>
                <w:rFonts w:asciiTheme="minorHAnsi" w:hAnsiTheme="minorHAnsi" w:cstheme="minorHAnsi"/>
                <w:spacing w:val="9"/>
              </w:rPr>
              <w:t xml:space="preserve"> </w:t>
            </w:r>
            <w:r w:rsidRPr="00E36113">
              <w:rPr>
                <w:rFonts w:asciiTheme="minorHAnsi" w:hAnsiTheme="minorHAnsi" w:cstheme="minorHAnsi"/>
              </w:rPr>
              <w:t>a</w:t>
            </w:r>
            <w:r w:rsidRPr="00E36113">
              <w:rPr>
                <w:rFonts w:asciiTheme="minorHAnsi" w:hAnsiTheme="minorHAnsi" w:cstheme="minorHAnsi"/>
                <w:spacing w:val="12"/>
              </w:rPr>
              <w:t xml:space="preserve"> </w:t>
            </w:r>
            <w:r w:rsidRPr="00E36113">
              <w:rPr>
                <w:rFonts w:asciiTheme="minorHAnsi" w:hAnsiTheme="minorHAnsi" w:cstheme="minorHAnsi"/>
                <w:spacing w:val="1"/>
              </w:rPr>
              <w:t>r</w:t>
            </w:r>
            <w:r w:rsidRPr="00E36113">
              <w:rPr>
                <w:rFonts w:asciiTheme="minorHAnsi" w:hAnsiTheme="minorHAnsi" w:cstheme="minorHAnsi"/>
              </w:rPr>
              <w:t>e</w:t>
            </w:r>
            <w:r w:rsidRPr="00E36113">
              <w:rPr>
                <w:rFonts w:asciiTheme="minorHAnsi" w:hAnsiTheme="minorHAnsi" w:cstheme="minorHAnsi"/>
                <w:spacing w:val="-1"/>
              </w:rPr>
              <w:t>s</w:t>
            </w:r>
            <w:r w:rsidRPr="00E36113">
              <w:rPr>
                <w:rFonts w:asciiTheme="minorHAnsi" w:hAnsiTheme="minorHAnsi" w:cstheme="minorHAnsi"/>
              </w:rPr>
              <w:t>t</w:t>
            </w:r>
            <w:r w:rsidRPr="00E36113">
              <w:rPr>
                <w:rFonts w:asciiTheme="minorHAnsi" w:hAnsiTheme="minorHAnsi" w:cstheme="minorHAnsi"/>
                <w:spacing w:val="1"/>
              </w:rPr>
              <w:t>r</w:t>
            </w:r>
            <w:r w:rsidRPr="00E36113">
              <w:rPr>
                <w:rFonts w:asciiTheme="minorHAnsi" w:hAnsiTheme="minorHAnsi" w:cstheme="minorHAnsi"/>
              </w:rPr>
              <w:t>ict</w:t>
            </w:r>
            <w:r w:rsidRPr="00E36113">
              <w:rPr>
                <w:rFonts w:asciiTheme="minorHAnsi" w:hAnsiTheme="minorHAnsi" w:cstheme="minorHAnsi"/>
                <w:spacing w:val="3"/>
              </w:rPr>
              <w:t>e</w:t>
            </w:r>
            <w:r w:rsidRPr="00E36113">
              <w:rPr>
                <w:rFonts w:asciiTheme="minorHAnsi" w:hAnsiTheme="minorHAnsi" w:cstheme="minorHAnsi"/>
              </w:rPr>
              <w:t>d</w:t>
            </w:r>
            <w:r w:rsidRPr="00E36113">
              <w:rPr>
                <w:rFonts w:asciiTheme="minorHAnsi" w:hAnsiTheme="minorHAnsi" w:cstheme="minorHAnsi"/>
                <w:spacing w:val="7"/>
              </w:rPr>
              <w:t xml:space="preserve"> </w:t>
            </w:r>
            <w:r w:rsidRPr="00E36113">
              <w:rPr>
                <w:rFonts w:asciiTheme="minorHAnsi" w:hAnsiTheme="minorHAnsi" w:cstheme="minorHAnsi"/>
                <w:spacing w:val="1"/>
              </w:rPr>
              <w:t>d</w:t>
            </w:r>
            <w:r w:rsidRPr="00E36113">
              <w:rPr>
                <w:rFonts w:asciiTheme="minorHAnsi" w:hAnsiTheme="minorHAnsi" w:cstheme="minorHAnsi"/>
              </w:rPr>
              <w:t>i</w:t>
            </w:r>
            <w:r w:rsidRPr="00E36113">
              <w:rPr>
                <w:rFonts w:asciiTheme="minorHAnsi" w:hAnsiTheme="minorHAnsi" w:cstheme="minorHAnsi"/>
                <w:spacing w:val="-1"/>
              </w:rPr>
              <w:t>s</w:t>
            </w:r>
            <w:r w:rsidRPr="00E36113">
              <w:rPr>
                <w:rFonts w:asciiTheme="minorHAnsi" w:hAnsiTheme="minorHAnsi" w:cstheme="minorHAnsi"/>
              </w:rPr>
              <w:t>t</w:t>
            </w:r>
            <w:r w:rsidRPr="00E36113">
              <w:rPr>
                <w:rFonts w:asciiTheme="minorHAnsi" w:hAnsiTheme="minorHAnsi" w:cstheme="minorHAnsi"/>
                <w:spacing w:val="1"/>
              </w:rPr>
              <w:t>r</w:t>
            </w:r>
            <w:r w:rsidRPr="00E36113">
              <w:rPr>
                <w:rFonts w:asciiTheme="minorHAnsi" w:hAnsiTheme="minorHAnsi" w:cstheme="minorHAnsi"/>
              </w:rPr>
              <w:t>i</w:t>
            </w:r>
            <w:r w:rsidRPr="00E36113">
              <w:rPr>
                <w:rFonts w:asciiTheme="minorHAnsi" w:hAnsiTheme="minorHAnsi" w:cstheme="minorHAnsi"/>
                <w:spacing w:val="1"/>
              </w:rPr>
              <w:t>b</w:t>
            </w:r>
            <w:r w:rsidRPr="00E36113">
              <w:rPr>
                <w:rFonts w:asciiTheme="minorHAnsi" w:hAnsiTheme="minorHAnsi" w:cstheme="minorHAnsi"/>
                <w:spacing w:val="-1"/>
              </w:rPr>
              <w:t>u</w:t>
            </w:r>
            <w:r w:rsidRPr="00E36113">
              <w:rPr>
                <w:rFonts w:asciiTheme="minorHAnsi" w:hAnsiTheme="minorHAnsi" w:cstheme="minorHAnsi"/>
              </w:rPr>
              <w:t>ti</w:t>
            </w:r>
            <w:r w:rsidRPr="00E36113">
              <w:rPr>
                <w:rFonts w:asciiTheme="minorHAnsi" w:hAnsiTheme="minorHAnsi" w:cstheme="minorHAnsi"/>
                <w:spacing w:val="1"/>
              </w:rPr>
              <w:t>o</w:t>
            </w:r>
            <w:r w:rsidRPr="00E36113">
              <w:rPr>
                <w:rFonts w:asciiTheme="minorHAnsi" w:hAnsiTheme="minorHAnsi" w:cstheme="minorHAnsi"/>
              </w:rPr>
              <w:t>n</w:t>
            </w:r>
            <w:r w:rsidRPr="00E36113">
              <w:rPr>
                <w:rFonts w:asciiTheme="minorHAnsi" w:hAnsiTheme="minorHAnsi" w:cstheme="minorHAnsi"/>
                <w:spacing w:val="2"/>
              </w:rPr>
              <w:t xml:space="preserve"> </w:t>
            </w:r>
            <w:r w:rsidRPr="00E36113">
              <w:rPr>
                <w:rFonts w:asciiTheme="minorHAnsi" w:hAnsiTheme="minorHAnsi" w:cstheme="minorHAnsi"/>
              </w:rPr>
              <w:t>a</w:t>
            </w:r>
            <w:r w:rsidRPr="00E36113">
              <w:rPr>
                <w:rFonts w:asciiTheme="minorHAnsi" w:hAnsiTheme="minorHAnsi" w:cstheme="minorHAnsi"/>
                <w:spacing w:val="-1"/>
              </w:rPr>
              <w:t>n</w:t>
            </w:r>
            <w:r w:rsidRPr="00E36113">
              <w:rPr>
                <w:rFonts w:asciiTheme="minorHAnsi" w:hAnsiTheme="minorHAnsi" w:cstheme="minorHAnsi"/>
              </w:rPr>
              <w:t>d</w:t>
            </w:r>
            <w:r w:rsidRPr="00E36113">
              <w:rPr>
                <w:rFonts w:asciiTheme="minorHAnsi" w:hAnsiTheme="minorHAnsi" w:cstheme="minorHAnsi"/>
                <w:spacing w:val="13"/>
              </w:rPr>
              <w:t xml:space="preserve"> </w:t>
            </w:r>
            <w:r w:rsidRPr="00E36113">
              <w:rPr>
                <w:rFonts w:asciiTheme="minorHAnsi" w:hAnsiTheme="minorHAnsi" w:cstheme="minorHAnsi"/>
                <w:spacing w:val="-4"/>
              </w:rPr>
              <w:t>m</w:t>
            </w:r>
            <w:r w:rsidRPr="00E36113">
              <w:rPr>
                <w:rFonts w:asciiTheme="minorHAnsi" w:hAnsiTheme="minorHAnsi" w:cstheme="minorHAnsi"/>
                <w:spacing w:val="3"/>
              </w:rPr>
              <w:t>a</w:t>
            </w:r>
            <w:r w:rsidRPr="00E36113">
              <w:rPr>
                <w:rFonts w:asciiTheme="minorHAnsi" w:hAnsiTheme="minorHAnsi" w:cstheme="minorHAnsi"/>
              </w:rPr>
              <w:t>y</w:t>
            </w:r>
            <w:r w:rsidRPr="00E36113">
              <w:rPr>
                <w:rFonts w:asciiTheme="minorHAnsi" w:hAnsiTheme="minorHAnsi" w:cstheme="minorHAnsi"/>
                <w:spacing w:val="6"/>
              </w:rPr>
              <w:t xml:space="preserve"> </w:t>
            </w:r>
            <w:r w:rsidRPr="00E36113">
              <w:rPr>
                <w:rFonts w:asciiTheme="minorHAnsi" w:hAnsiTheme="minorHAnsi" w:cstheme="minorHAnsi"/>
                <w:spacing w:val="1"/>
              </w:rPr>
              <w:t>b</w:t>
            </w:r>
            <w:r w:rsidRPr="00E36113">
              <w:rPr>
                <w:rFonts w:asciiTheme="minorHAnsi" w:hAnsiTheme="minorHAnsi" w:cstheme="minorHAnsi"/>
              </w:rPr>
              <w:t>e</w:t>
            </w:r>
            <w:r w:rsidRPr="00E36113">
              <w:rPr>
                <w:rFonts w:asciiTheme="minorHAnsi" w:hAnsiTheme="minorHAnsi" w:cstheme="minorHAnsi"/>
                <w:spacing w:val="11"/>
              </w:rPr>
              <w:t xml:space="preserve"> </w:t>
            </w:r>
            <w:r w:rsidRPr="00E36113">
              <w:rPr>
                <w:rFonts w:asciiTheme="minorHAnsi" w:hAnsiTheme="minorHAnsi" w:cstheme="minorHAnsi"/>
                <w:spacing w:val="1"/>
              </w:rPr>
              <w:t>u</w:t>
            </w:r>
            <w:r w:rsidRPr="00E36113">
              <w:rPr>
                <w:rFonts w:asciiTheme="minorHAnsi" w:hAnsiTheme="minorHAnsi" w:cstheme="minorHAnsi"/>
                <w:spacing w:val="-1"/>
              </w:rPr>
              <w:t>s</w:t>
            </w:r>
            <w:r w:rsidRPr="00E36113">
              <w:rPr>
                <w:rFonts w:asciiTheme="minorHAnsi" w:hAnsiTheme="minorHAnsi" w:cstheme="minorHAnsi"/>
                <w:spacing w:val="3"/>
              </w:rPr>
              <w:t>e</w:t>
            </w:r>
            <w:r w:rsidRPr="00E36113">
              <w:rPr>
                <w:rFonts w:asciiTheme="minorHAnsi" w:hAnsiTheme="minorHAnsi" w:cstheme="minorHAnsi"/>
              </w:rPr>
              <w:t>d</w:t>
            </w:r>
            <w:r w:rsidRPr="00E36113">
              <w:rPr>
                <w:rFonts w:asciiTheme="minorHAnsi" w:hAnsiTheme="minorHAnsi" w:cstheme="minorHAnsi"/>
                <w:spacing w:val="10"/>
              </w:rPr>
              <w:t xml:space="preserve"> </w:t>
            </w:r>
            <w:r w:rsidRPr="00E36113">
              <w:rPr>
                <w:rFonts w:asciiTheme="minorHAnsi" w:hAnsiTheme="minorHAnsi" w:cstheme="minorHAnsi"/>
                <w:spacing w:val="1"/>
              </w:rPr>
              <w:t>b</w:t>
            </w:r>
            <w:r w:rsidRPr="00E36113">
              <w:rPr>
                <w:rFonts w:asciiTheme="minorHAnsi" w:hAnsiTheme="minorHAnsi" w:cstheme="minorHAnsi"/>
              </w:rPr>
              <w:t>y</w:t>
            </w:r>
            <w:r w:rsidRPr="00E36113">
              <w:rPr>
                <w:rFonts w:asciiTheme="minorHAnsi" w:hAnsiTheme="minorHAnsi" w:cstheme="minorHAnsi"/>
                <w:spacing w:val="7"/>
              </w:rPr>
              <w:t xml:space="preserve"> </w:t>
            </w:r>
            <w:r w:rsidRPr="00E36113">
              <w:rPr>
                <w:rFonts w:asciiTheme="minorHAnsi" w:hAnsiTheme="minorHAnsi" w:cstheme="minorHAnsi"/>
                <w:spacing w:val="1"/>
              </w:rPr>
              <w:t>r</w:t>
            </w:r>
            <w:r w:rsidRPr="00E36113">
              <w:rPr>
                <w:rFonts w:asciiTheme="minorHAnsi" w:hAnsiTheme="minorHAnsi" w:cstheme="minorHAnsi"/>
              </w:rPr>
              <w:t>eci</w:t>
            </w:r>
            <w:r w:rsidRPr="00E36113">
              <w:rPr>
                <w:rFonts w:asciiTheme="minorHAnsi" w:hAnsiTheme="minorHAnsi" w:cstheme="minorHAnsi"/>
                <w:spacing w:val="1"/>
              </w:rPr>
              <w:t>p</w:t>
            </w:r>
            <w:r w:rsidRPr="00E36113">
              <w:rPr>
                <w:rFonts w:asciiTheme="minorHAnsi" w:hAnsiTheme="minorHAnsi" w:cstheme="minorHAnsi"/>
              </w:rPr>
              <w:t>ie</w:t>
            </w:r>
            <w:r w:rsidRPr="00E36113">
              <w:rPr>
                <w:rFonts w:asciiTheme="minorHAnsi" w:hAnsiTheme="minorHAnsi" w:cstheme="minorHAnsi"/>
                <w:spacing w:val="-1"/>
              </w:rPr>
              <w:t>n</w:t>
            </w:r>
            <w:r w:rsidRPr="00E36113">
              <w:rPr>
                <w:rFonts w:asciiTheme="minorHAnsi" w:hAnsiTheme="minorHAnsi" w:cstheme="minorHAnsi"/>
              </w:rPr>
              <w:t>ts</w:t>
            </w:r>
            <w:r w:rsidRPr="00E36113">
              <w:rPr>
                <w:rFonts w:asciiTheme="minorHAnsi" w:hAnsiTheme="minorHAnsi" w:cstheme="minorHAnsi"/>
                <w:spacing w:val="4"/>
              </w:rPr>
              <w:t xml:space="preserve"> </w:t>
            </w:r>
            <w:r w:rsidRPr="00E36113">
              <w:rPr>
                <w:rFonts w:asciiTheme="minorHAnsi" w:hAnsiTheme="minorHAnsi" w:cstheme="minorHAnsi"/>
                <w:spacing w:val="1"/>
              </w:rPr>
              <w:t>o</w:t>
            </w:r>
            <w:r w:rsidRPr="00E36113">
              <w:rPr>
                <w:rFonts w:asciiTheme="minorHAnsi" w:hAnsiTheme="minorHAnsi" w:cstheme="minorHAnsi"/>
                <w:spacing w:val="-1"/>
              </w:rPr>
              <w:t>n</w:t>
            </w:r>
            <w:r w:rsidRPr="00E36113">
              <w:rPr>
                <w:rFonts w:asciiTheme="minorHAnsi" w:hAnsiTheme="minorHAnsi" w:cstheme="minorHAnsi"/>
                <w:spacing w:val="2"/>
              </w:rPr>
              <w:t>l</w:t>
            </w:r>
            <w:r w:rsidRPr="00E36113">
              <w:rPr>
                <w:rFonts w:asciiTheme="minorHAnsi" w:hAnsiTheme="minorHAnsi" w:cstheme="minorHAnsi"/>
              </w:rPr>
              <w:t>y</w:t>
            </w:r>
            <w:r w:rsidRPr="00E36113">
              <w:rPr>
                <w:rFonts w:asciiTheme="minorHAnsi" w:hAnsiTheme="minorHAnsi" w:cstheme="minorHAnsi"/>
                <w:spacing w:val="7"/>
              </w:rPr>
              <w:t xml:space="preserve"> </w:t>
            </w:r>
            <w:r w:rsidRPr="00E36113">
              <w:rPr>
                <w:rFonts w:asciiTheme="minorHAnsi" w:hAnsiTheme="minorHAnsi" w:cstheme="minorHAnsi"/>
                <w:spacing w:val="2"/>
              </w:rPr>
              <w:t>i</w:t>
            </w:r>
            <w:r w:rsidRPr="00E36113">
              <w:rPr>
                <w:rFonts w:asciiTheme="minorHAnsi" w:hAnsiTheme="minorHAnsi" w:cstheme="minorHAnsi"/>
              </w:rPr>
              <w:t>n</w:t>
            </w:r>
            <w:r w:rsidRPr="00E36113">
              <w:rPr>
                <w:rFonts w:asciiTheme="minorHAnsi" w:hAnsiTheme="minorHAnsi" w:cstheme="minorHAnsi"/>
                <w:spacing w:val="9"/>
              </w:rPr>
              <w:t xml:space="preserve"> </w:t>
            </w:r>
            <w:r w:rsidRPr="00E36113">
              <w:rPr>
                <w:rFonts w:asciiTheme="minorHAnsi" w:hAnsiTheme="minorHAnsi" w:cstheme="minorHAnsi"/>
              </w:rPr>
              <w:t>t</w:t>
            </w:r>
            <w:r w:rsidRPr="00E36113">
              <w:rPr>
                <w:rFonts w:asciiTheme="minorHAnsi" w:hAnsiTheme="minorHAnsi" w:cstheme="minorHAnsi"/>
                <w:spacing w:val="-1"/>
              </w:rPr>
              <w:t>h</w:t>
            </w:r>
            <w:r w:rsidRPr="00E36113">
              <w:rPr>
                <w:rFonts w:asciiTheme="minorHAnsi" w:hAnsiTheme="minorHAnsi" w:cstheme="minorHAnsi"/>
              </w:rPr>
              <w:t>e</w:t>
            </w:r>
            <w:r w:rsidRPr="00E36113">
              <w:rPr>
                <w:rFonts w:asciiTheme="minorHAnsi" w:hAnsiTheme="minorHAnsi" w:cstheme="minorHAnsi"/>
                <w:spacing w:val="11"/>
              </w:rPr>
              <w:t xml:space="preserve"> </w:t>
            </w:r>
            <w:r w:rsidRPr="00E36113">
              <w:rPr>
                <w:rFonts w:asciiTheme="minorHAnsi" w:hAnsiTheme="minorHAnsi" w:cstheme="minorHAnsi"/>
                <w:spacing w:val="1"/>
              </w:rPr>
              <w:t>p</w:t>
            </w:r>
            <w:r w:rsidRPr="00E36113">
              <w:rPr>
                <w:rFonts w:asciiTheme="minorHAnsi" w:hAnsiTheme="minorHAnsi" w:cstheme="minorHAnsi"/>
              </w:rPr>
              <w:t>e</w:t>
            </w:r>
            <w:r w:rsidRPr="00E36113">
              <w:rPr>
                <w:rFonts w:asciiTheme="minorHAnsi" w:hAnsiTheme="minorHAnsi" w:cstheme="minorHAnsi"/>
                <w:spacing w:val="1"/>
              </w:rPr>
              <w:t>r</w:t>
            </w:r>
            <w:r w:rsidRPr="00E36113">
              <w:rPr>
                <w:rFonts w:asciiTheme="minorHAnsi" w:hAnsiTheme="minorHAnsi" w:cstheme="minorHAnsi"/>
                <w:spacing w:val="-2"/>
              </w:rPr>
              <w:t>f</w:t>
            </w:r>
            <w:r w:rsidRPr="00E36113">
              <w:rPr>
                <w:rFonts w:asciiTheme="minorHAnsi" w:hAnsiTheme="minorHAnsi" w:cstheme="minorHAnsi"/>
                <w:spacing w:val="1"/>
              </w:rPr>
              <w:t>o</w:t>
            </w:r>
            <w:r w:rsidRPr="00E36113">
              <w:rPr>
                <w:rFonts w:asciiTheme="minorHAnsi" w:hAnsiTheme="minorHAnsi" w:cstheme="minorHAnsi"/>
                <w:spacing w:val="3"/>
              </w:rPr>
              <w:t>r</w:t>
            </w:r>
            <w:r w:rsidRPr="00E36113">
              <w:rPr>
                <w:rFonts w:asciiTheme="minorHAnsi" w:hAnsiTheme="minorHAnsi" w:cstheme="minorHAnsi"/>
                <w:spacing w:val="-4"/>
              </w:rPr>
              <w:t>m</w:t>
            </w:r>
            <w:r w:rsidRPr="00E36113">
              <w:rPr>
                <w:rFonts w:asciiTheme="minorHAnsi" w:hAnsiTheme="minorHAnsi" w:cstheme="minorHAnsi"/>
              </w:rPr>
              <w:t>a</w:t>
            </w:r>
            <w:r w:rsidRPr="00E36113">
              <w:rPr>
                <w:rFonts w:asciiTheme="minorHAnsi" w:hAnsiTheme="minorHAnsi" w:cstheme="minorHAnsi"/>
                <w:spacing w:val="-1"/>
              </w:rPr>
              <w:t>n</w:t>
            </w:r>
            <w:r w:rsidRPr="00E36113">
              <w:rPr>
                <w:rFonts w:asciiTheme="minorHAnsi" w:hAnsiTheme="minorHAnsi" w:cstheme="minorHAnsi"/>
              </w:rPr>
              <w:t>ce</w:t>
            </w:r>
            <w:r w:rsidRPr="00E36113">
              <w:rPr>
                <w:rFonts w:asciiTheme="minorHAnsi" w:hAnsiTheme="minorHAnsi" w:cstheme="minorHAnsi"/>
                <w:spacing w:val="3"/>
              </w:rPr>
              <w:t xml:space="preserve"> </w:t>
            </w:r>
            <w:r w:rsidRPr="00E36113">
              <w:rPr>
                <w:rFonts w:asciiTheme="minorHAnsi" w:hAnsiTheme="minorHAnsi" w:cstheme="minorHAnsi"/>
                <w:spacing w:val="1"/>
              </w:rPr>
              <w:t>o</w:t>
            </w:r>
            <w:r w:rsidRPr="00E36113">
              <w:rPr>
                <w:rFonts w:asciiTheme="minorHAnsi" w:hAnsiTheme="minorHAnsi" w:cstheme="minorHAnsi"/>
              </w:rPr>
              <w:t>f</w:t>
            </w:r>
            <w:r w:rsidRPr="00E36113">
              <w:rPr>
                <w:rFonts w:asciiTheme="minorHAnsi" w:hAnsiTheme="minorHAnsi" w:cstheme="minorHAnsi"/>
                <w:spacing w:val="9"/>
              </w:rPr>
              <w:t xml:space="preserve"> </w:t>
            </w:r>
            <w:r w:rsidRPr="00E36113">
              <w:rPr>
                <w:rFonts w:asciiTheme="minorHAnsi" w:hAnsiTheme="minorHAnsi" w:cstheme="minorHAnsi"/>
                <w:spacing w:val="2"/>
              </w:rPr>
              <w:t>t</w:t>
            </w:r>
            <w:r w:rsidRPr="00E36113">
              <w:rPr>
                <w:rFonts w:asciiTheme="minorHAnsi" w:hAnsiTheme="minorHAnsi" w:cstheme="minorHAnsi"/>
                <w:spacing w:val="-1"/>
              </w:rPr>
              <w:t>h</w:t>
            </w:r>
            <w:r w:rsidRPr="00E36113">
              <w:rPr>
                <w:rFonts w:asciiTheme="minorHAnsi" w:hAnsiTheme="minorHAnsi" w:cstheme="minorHAnsi"/>
              </w:rPr>
              <w:t>eir</w:t>
            </w:r>
            <w:r w:rsidRPr="00E36113">
              <w:rPr>
                <w:rFonts w:asciiTheme="minorHAnsi" w:hAnsiTheme="minorHAnsi" w:cstheme="minorHAnsi"/>
                <w:spacing w:val="9"/>
              </w:rPr>
              <w:t xml:space="preserve"> </w:t>
            </w:r>
            <w:r w:rsidRPr="00E36113">
              <w:rPr>
                <w:rFonts w:asciiTheme="minorHAnsi" w:hAnsiTheme="minorHAnsi" w:cstheme="minorHAnsi"/>
                <w:spacing w:val="1"/>
              </w:rPr>
              <w:t>of</w:t>
            </w:r>
            <w:r w:rsidRPr="00E36113">
              <w:rPr>
                <w:rFonts w:asciiTheme="minorHAnsi" w:hAnsiTheme="minorHAnsi" w:cstheme="minorHAnsi"/>
                <w:spacing w:val="-2"/>
              </w:rPr>
              <w:t>f</w:t>
            </w:r>
            <w:r w:rsidRPr="00E36113">
              <w:rPr>
                <w:rFonts w:asciiTheme="minorHAnsi" w:hAnsiTheme="minorHAnsi" w:cstheme="minorHAnsi"/>
              </w:rPr>
              <w:t xml:space="preserve">icial </w:t>
            </w:r>
            <w:r w:rsidRPr="00E36113">
              <w:rPr>
                <w:rFonts w:asciiTheme="minorHAnsi" w:hAnsiTheme="minorHAnsi" w:cstheme="minorHAnsi"/>
                <w:spacing w:val="1"/>
              </w:rPr>
              <w:t>d</w:t>
            </w:r>
            <w:r w:rsidRPr="00E36113">
              <w:rPr>
                <w:rFonts w:asciiTheme="minorHAnsi" w:hAnsiTheme="minorHAnsi" w:cstheme="minorHAnsi"/>
                <w:spacing w:val="-1"/>
              </w:rPr>
              <w:t>u</w:t>
            </w:r>
            <w:r w:rsidRPr="00E36113">
              <w:rPr>
                <w:rFonts w:asciiTheme="minorHAnsi" w:hAnsiTheme="minorHAnsi" w:cstheme="minorHAnsi"/>
              </w:rPr>
              <w:t>tie</w:t>
            </w:r>
            <w:r w:rsidRPr="00E36113">
              <w:rPr>
                <w:rFonts w:asciiTheme="minorHAnsi" w:hAnsiTheme="minorHAnsi" w:cstheme="minorHAnsi"/>
                <w:spacing w:val="-1"/>
              </w:rPr>
              <w:t>s</w:t>
            </w:r>
            <w:r w:rsidRPr="00E36113">
              <w:rPr>
                <w:rFonts w:asciiTheme="minorHAnsi" w:hAnsiTheme="minorHAnsi" w:cstheme="minorHAnsi"/>
              </w:rPr>
              <w:t>.</w:t>
            </w:r>
            <w:r w:rsidRPr="00E36113">
              <w:rPr>
                <w:rFonts w:asciiTheme="minorHAnsi" w:hAnsiTheme="minorHAnsi" w:cstheme="minorHAnsi"/>
                <w:spacing w:val="46"/>
              </w:rPr>
              <w:t xml:space="preserve"> </w:t>
            </w:r>
            <w:r w:rsidRPr="00E36113">
              <w:rPr>
                <w:rFonts w:asciiTheme="minorHAnsi" w:hAnsiTheme="minorHAnsi" w:cstheme="minorHAnsi"/>
                <w:spacing w:val="1"/>
              </w:rPr>
              <w:t>I</w:t>
            </w:r>
            <w:r w:rsidRPr="00E36113">
              <w:rPr>
                <w:rFonts w:asciiTheme="minorHAnsi" w:hAnsiTheme="minorHAnsi" w:cstheme="minorHAnsi"/>
              </w:rPr>
              <w:t>ts</w:t>
            </w:r>
            <w:r w:rsidRPr="00E36113">
              <w:rPr>
                <w:rFonts w:asciiTheme="minorHAnsi" w:hAnsiTheme="minorHAnsi" w:cstheme="minorHAnsi"/>
                <w:spacing w:val="-2"/>
              </w:rPr>
              <w:t xml:space="preserve"> </w:t>
            </w:r>
            <w:r w:rsidRPr="00E36113">
              <w:rPr>
                <w:rFonts w:asciiTheme="minorHAnsi" w:hAnsiTheme="minorHAnsi" w:cstheme="minorHAnsi"/>
              </w:rPr>
              <w:t>c</w:t>
            </w:r>
            <w:r w:rsidRPr="00E36113">
              <w:rPr>
                <w:rFonts w:asciiTheme="minorHAnsi" w:hAnsiTheme="minorHAnsi" w:cstheme="minorHAnsi"/>
                <w:spacing w:val="1"/>
              </w:rPr>
              <w:t>o</w:t>
            </w:r>
            <w:r w:rsidRPr="00E36113">
              <w:rPr>
                <w:rFonts w:asciiTheme="minorHAnsi" w:hAnsiTheme="minorHAnsi" w:cstheme="minorHAnsi"/>
                <w:spacing w:val="-1"/>
              </w:rPr>
              <w:t>n</w:t>
            </w:r>
            <w:r w:rsidRPr="00E36113">
              <w:rPr>
                <w:rFonts w:asciiTheme="minorHAnsi" w:hAnsiTheme="minorHAnsi" w:cstheme="minorHAnsi"/>
              </w:rPr>
              <w:t>t</w:t>
            </w:r>
            <w:r w:rsidRPr="00E36113">
              <w:rPr>
                <w:rFonts w:asciiTheme="minorHAnsi" w:hAnsiTheme="minorHAnsi" w:cstheme="minorHAnsi"/>
                <w:spacing w:val="3"/>
              </w:rPr>
              <w:t>e</w:t>
            </w:r>
            <w:r w:rsidRPr="00E36113">
              <w:rPr>
                <w:rFonts w:asciiTheme="minorHAnsi" w:hAnsiTheme="minorHAnsi" w:cstheme="minorHAnsi"/>
                <w:spacing w:val="-1"/>
              </w:rPr>
              <w:t>n</w:t>
            </w:r>
            <w:r w:rsidRPr="00E36113">
              <w:rPr>
                <w:rFonts w:asciiTheme="minorHAnsi" w:hAnsiTheme="minorHAnsi" w:cstheme="minorHAnsi"/>
              </w:rPr>
              <w:t>ts</w:t>
            </w:r>
            <w:r w:rsidRPr="00E36113">
              <w:rPr>
                <w:rFonts w:asciiTheme="minorHAnsi" w:hAnsiTheme="minorHAnsi" w:cstheme="minorHAnsi"/>
                <w:spacing w:val="-5"/>
              </w:rPr>
              <w:t xml:space="preserve"> </w:t>
            </w:r>
            <w:r w:rsidRPr="00E36113">
              <w:rPr>
                <w:rFonts w:asciiTheme="minorHAnsi" w:hAnsiTheme="minorHAnsi" w:cstheme="minorHAnsi"/>
                <w:spacing w:val="-1"/>
              </w:rPr>
              <w:t>m</w:t>
            </w:r>
            <w:r w:rsidRPr="00E36113">
              <w:rPr>
                <w:rFonts w:asciiTheme="minorHAnsi" w:hAnsiTheme="minorHAnsi" w:cstheme="minorHAnsi"/>
                <w:spacing w:val="3"/>
              </w:rPr>
              <w:t>a</w:t>
            </w:r>
            <w:r w:rsidRPr="00E36113">
              <w:rPr>
                <w:rFonts w:asciiTheme="minorHAnsi" w:hAnsiTheme="minorHAnsi" w:cstheme="minorHAnsi"/>
              </w:rPr>
              <w:t>y</w:t>
            </w:r>
            <w:r w:rsidRPr="00E36113">
              <w:rPr>
                <w:rFonts w:asciiTheme="minorHAnsi" w:hAnsiTheme="minorHAnsi" w:cstheme="minorHAnsi"/>
                <w:spacing w:val="-4"/>
              </w:rPr>
              <w:t xml:space="preserve"> </w:t>
            </w:r>
            <w:r w:rsidRPr="00E36113">
              <w:rPr>
                <w:rFonts w:asciiTheme="minorHAnsi" w:hAnsiTheme="minorHAnsi" w:cstheme="minorHAnsi"/>
                <w:spacing w:val="-1"/>
              </w:rPr>
              <w:t>n</w:t>
            </w:r>
            <w:r w:rsidRPr="00E36113">
              <w:rPr>
                <w:rFonts w:asciiTheme="minorHAnsi" w:hAnsiTheme="minorHAnsi" w:cstheme="minorHAnsi"/>
                <w:spacing w:val="1"/>
              </w:rPr>
              <w:t>o</w:t>
            </w:r>
            <w:r w:rsidRPr="00E36113">
              <w:rPr>
                <w:rFonts w:asciiTheme="minorHAnsi" w:hAnsiTheme="minorHAnsi" w:cstheme="minorHAnsi"/>
              </w:rPr>
              <w:t>t</w:t>
            </w:r>
            <w:r w:rsidRPr="00E36113">
              <w:rPr>
                <w:rFonts w:asciiTheme="minorHAnsi" w:hAnsiTheme="minorHAnsi" w:cstheme="minorHAnsi"/>
                <w:spacing w:val="-3"/>
              </w:rPr>
              <w:t xml:space="preserve"> </w:t>
            </w:r>
            <w:r w:rsidRPr="00E36113">
              <w:rPr>
                <w:rFonts w:asciiTheme="minorHAnsi" w:hAnsiTheme="minorHAnsi" w:cstheme="minorHAnsi"/>
                <w:spacing w:val="1"/>
              </w:rPr>
              <w:t>o</w:t>
            </w:r>
            <w:r w:rsidRPr="00E36113">
              <w:rPr>
                <w:rFonts w:asciiTheme="minorHAnsi" w:hAnsiTheme="minorHAnsi" w:cstheme="minorHAnsi"/>
                <w:spacing w:val="2"/>
              </w:rPr>
              <w:t>t</w:t>
            </w:r>
            <w:r w:rsidRPr="00E36113">
              <w:rPr>
                <w:rFonts w:asciiTheme="minorHAnsi" w:hAnsiTheme="minorHAnsi" w:cstheme="minorHAnsi"/>
                <w:spacing w:val="-1"/>
              </w:rPr>
              <w:t>h</w:t>
            </w:r>
            <w:r w:rsidRPr="00E36113">
              <w:rPr>
                <w:rFonts w:asciiTheme="minorHAnsi" w:hAnsiTheme="minorHAnsi" w:cstheme="minorHAnsi"/>
              </w:rPr>
              <w:t>e</w:t>
            </w:r>
            <w:r w:rsidRPr="00E36113">
              <w:rPr>
                <w:rFonts w:asciiTheme="minorHAnsi" w:hAnsiTheme="minorHAnsi" w:cstheme="minorHAnsi"/>
                <w:spacing w:val="3"/>
              </w:rPr>
              <w:t>r</w:t>
            </w:r>
            <w:r w:rsidRPr="00E36113">
              <w:rPr>
                <w:rFonts w:asciiTheme="minorHAnsi" w:hAnsiTheme="minorHAnsi" w:cstheme="minorHAnsi"/>
                <w:spacing w:val="-2"/>
              </w:rPr>
              <w:t>w</w:t>
            </w:r>
            <w:r w:rsidRPr="00E36113">
              <w:rPr>
                <w:rFonts w:asciiTheme="minorHAnsi" w:hAnsiTheme="minorHAnsi" w:cstheme="minorHAnsi"/>
              </w:rPr>
              <w:t>i</w:t>
            </w:r>
            <w:r w:rsidRPr="00E36113">
              <w:rPr>
                <w:rFonts w:asciiTheme="minorHAnsi" w:hAnsiTheme="minorHAnsi" w:cstheme="minorHAnsi"/>
                <w:spacing w:val="-1"/>
              </w:rPr>
              <w:t>s</w:t>
            </w:r>
            <w:r w:rsidRPr="00E36113">
              <w:rPr>
                <w:rFonts w:asciiTheme="minorHAnsi" w:hAnsiTheme="minorHAnsi" w:cstheme="minorHAnsi"/>
              </w:rPr>
              <w:t>e</w:t>
            </w:r>
            <w:r w:rsidRPr="00E36113">
              <w:rPr>
                <w:rFonts w:asciiTheme="minorHAnsi" w:hAnsiTheme="minorHAnsi" w:cstheme="minorHAnsi"/>
                <w:spacing w:val="-7"/>
              </w:rPr>
              <w:t xml:space="preserve"> </w:t>
            </w:r>
            <w:r w:rsidRPr="00E36113">
              <w:rPr>
                <w:rFonts w:asciiTheme="minorHAnsi" w:hAnsiTheme="minorHAnsi" w:cstheme="minorHAnsi"/>
                <w:spacing w:val="1"/>
              </w:rPr>
              <w:t>b</w:t>
            </w:r>
            <w:r w:rsidRPr="00E36113">
              <w:rPr>
                <w:rFonts w:asciiTheme="minorHAnsi" w:hAnsiTheme="minorHAnsi" w:cstheme="minorHAnsi"/>
              </w:rPr>
              <w:t>e</w:t>
            </w:r>
            <w:r w:rsidRPr="00E36113">
              <w:rPr>
                <w:rFonts w:asciiTheme="minorHAnsi" w:hAnsiTheme="minorHAnsi" w:cstheme="minorHAnsi"/>
                <w:spacing w:val="-1"/>
              </w:rPr>
              <w:t xml:space="preserve"> </w:t>
            </w:r>
            <w:r w:rsidRPr="00E36113">
              <w:rPr>
                <w:rFonts w:asciiTheme="minorHAnsi" w:hAnsiTheme="minorHAnsi" w:cstheme="minorHAnsi"/>
                <w:spacing w:val="1"/>
              </w:rPr>
              <w:t>d</w:t>
            </w:r>
            <w:r w:rsidRPr="00E36113">
              <w:rPr>
                <w:rFonts w:asciiTheme="minorHAnsi" w:hAnsiTheme="minorHAnsi" w:cstheme="minorHAnsi"/>
              </w:rPr>
              <w:t>i</w:t>
            </w:r>
            <w:r w:rsidRPr="00E36113">
              <w:rPr>
                <w:rFonts w:asciiTheme="minorHAnsi" w:hAnsiTheme="minorHAnsi" w:cstheme="minorHAnsi"/>
                <w:spacing w:val="-1"/>
              </w:rPr>
              <w:t>s</w:t>
            </w:r>
            <w:r w:rsidRPr="00E36113">
              <w:rPr>
                <w:rFonts w:asciiTheme="minorHAnsi" w:hAnsiTheme="minorHAnsi" w:cstheme="minorHAnsi"/>
              </w:rPr>
              <w:t>cl</w:t>
            </w:r>
            <w:r w:rsidRPr="00E36113">
              <w:rPr>
                <w:rFonts w:asciiTheme="minorHAnsi" w:hAnsiTheme="minorHAnsi" w:cstheme="minorHAnsi"/>
                <w:spacing w:val="1"/>
              </w:rPr>
              <w:t>o</w:t>
            </w:r>
            <w:r w:rsidRPr="00E36113">
              <w:rPr>
                <w:rFonts w:asciiTheme="minorHAnsi" w:hAnsiTheme="minorHAnsi" w:cstheme="minorHAnsi"/>
                <w:spacing w:val="-1"/>
              </w:rPr>
              <w:t>s</w:t>
            </w:r>
            <w:r w:rsidRPr="00E36113">
              <w:rPr>
                <w:rFonts w:asciiTheme="minorHAnsi" w:hAnsiTheme="minorHAnsi" w:cstheme="minorHAnsi"/>
              </w:rPr>
              <w:t>ed</w:t>
            </w:r>
            <w:r w:rsidRPr="00E36113">
              <w:rPr>
                <w:rFonts w:asciiTheme="minorHAnsi" w:hAnsiTheme="minorHAnsi" w:cstheme="minorHAnsi"/>
                <w:spacing w:val="-3"/>
              </w:rPr>
              <w:t xml:space="preserve"> </w:t>
            </w:r>
            <w:r w:rsidRPr="00E36113">
              <w:rPr>
                <w:rFonts w:asciiTheme="minorHAnsi" w:hAnsiTheme="minorHAnsi" w:cstheme="minorHAnsi"/>
                <w:spacing w:val="-2"/>
              </w:rPr>
              <w:t>w</w:t>
            </w:r>
            <w:r w:rsidRPr="00E36113">
              <w:rPr>
                <w:rFonts w:asciiTheme="minorHAnsi" w:hAnsiTheme="minorHAnsi" w:cstheme="minorHAnsi"/>
              </w:rPr>
              <w:t>i</w:t>
            </w:r>
            <w:r w:rsidRPr="00E36113">
              <w:rPr>
                <w:rFonts w:asciiTheme="minorHAnsi" w:hAnsiTheme="minorHAnsi" w:cstheme="minorHAnsi"/>
                <w:spacing w:val="2"/>
              </w:rPr>
              <w:t>t</w:t>
            </w:r>
            <w:r w:rsidRPr="00E36113">
              <w:rPr>
                <w:rFonts w:asciiTheme="minorHAnsi" w:hAnsiTheme="minorHAnsi" w:cstheme="minorHAnsi"/>
                <w:spacing w:val="-1"/>
              </w:rPr>
              <w:t>h</w:t>
            </w:r>
            <w:r w:rsidRPr="00E36113">
              <w:rPr>
                <w:rFonts w:asciiTheme="minorHAnsi" w:hAnsiTheme="minorHAnsi" w:cstheme="minorHAnsi"/>
                <w:spacing w:val="1"/>
              </w:rPr>
              <w:t>o</w:t>
            </w:r>
            <w:r w:rsidRPr="00E36113">
              <w:rPr>
                <w:rFonts w:asciiTheme="minorHAnsi" w:hAnsiTheme="minorHAnsi" w:cstheme="minorHAnsi"/>
                <w:spacing w:val="-1"/>
              </w:rPr>
              <w:t>u</w:t>
            </w:r>
            <w:r w:rsidRPr="00E36113">
              <w:rPr>
                <w:rFonts w:asciiTheme="minorHAnsi" w:hAnsiTheme="minorHAnsi" w:cstheme="minorHAnsi"/>
              </w:rPr>
              <w:t>t</w:t>
            </w:r>
            <w:r w:rsidRPr="00E36113">
              <w:rPr>
                <w:rFonts w:asciiTheme="minorHAnsi" w:hAnsiTheme="minorHAnsi" w:cstheme="minorHAnsi"/>
                <w:spacing w:val="-3"/>
              </w:rPr>
              <w:t xml:space="preserve"> </w:t>
            </w:r>
            <w:r w:rsidRPr="00E36113">
              <w:rPr>
                <w:rFonts w:asciiTheme="minorHAnsi" w:hAnsiTheme="minorHAnsi" w:cstheme="minorHAnsi"/>
                <w:spacing w:val="2"/>
              </w:rPr>
              <w:t>W</w:t>
            </w:r>
            <w:r w:rsidRPr="00E36113">
              <w:rPr>
                <w:rFonts w:asciiTheme="minorHAnsi" w:hAnsiTheme="minorHAnsi" w:cstheme="minorHAnsi"/>
                <w:spacing w:val="1"/>
              </w:rPr>
              <w:t>or</w:t>
            </w:r>
            <w:r w:rsidRPr="00E36113">
              <w:rPr>
                <w:rFonts w:asciiTheme="minorHAnsi" w:hAnsiTheme="minorHAnsi" w:cstheme="minorHAnsi"/>
              </w:rPr>
              <w:t>ld</w:t>
            </w:r>
            <w:r w:rsidRPr="00E36113">
              <w:rPr>
                <w:rFonts w:asciiTheme="minorHAnsi" w:hAnsiTheme="minorHAnsi" w:cstheme="minorHAnsi"/>
                <w:spacing w:val="-6"/>
              </w:rPr>
              <w:t xml:space="preserve"> </w:t>
            </w:r>
            <w:r w:rsidRPr="00E36113">
              <w:rPr>
                <w:rFonts w:asciiTheme="minorHAnsi" w:hAnsiTheme="minorHAnsi" w:cstheme="minorHAnsi"/>
                <w:spacing w:val="2"/>
              </w:rPr>
              <w:t>B</w:t>
            </w:r>
            <w:r w:rsidRPr="00E36113">
              <w:rPr>
                <w:rFonts w:asciiTheme="minorHAnsi" w:hAnsiTheme="minorHAnsi" w:cstheme="minorHAnsi"/>
              </w:rPr>
              <w:t>a</w:t>
            </w:r>
            <w:r w:rsidRPr="00E36113">
              <w:rPr>
                <w:rFonts w:asciiTheme="minorHAnsi" w:hAnsiTheme="minorHAnsi" w:cstheme="minorHAnsi"/>
                <w:spacing w:val="-1"/>
              </w:rPr>
              <w:t>n</w:t>
            </w:r>
            <w:r w:rsidRPr="00E36113">
              <w:rPr>
                <w:rFonts w:asciiTheme="minorHAnsi" w:hAnsiTheme="minorHAnsi" w:cstheme="minorHAnsi"/>
              </w:rPr>
              <w:t>k</w:t>
            </w:r>
            <w:r w:rsidRPr="00E36113">
              <w:rPr>
                <w:rFonts w:asciiTheme="minorHAnsi" w:hAnsiTheme="minorHAnsi" w:cstheme="minorHAnsi"/>
                <w:spacing w:val="-5"/>
              </w:rPr>
              <w:t xml:space="preserve"> </w:t>
            </w:r>
            <w:r w:rsidRPr="00E36113">
              <w:rPr>
                <w:rFonts w:asciiTheme="minorHAnsi" w:hAnsiTheme="minorHAnsi" w:cstheme="minorHAnsi"/>
              </w:rPr>
              <w:t>a</w:t>
            </w:r>
            <w:r w:rsidRPr="00E36113">
              <w:rPr>
                <w:rFonts w:asciiTheme="minorHAnsi" w:hAnsiTheme="minorHAnsi" w:cstheme="minorHAnsi"/>
                <w:spacing w:val="-1"/>
              </w:rPr>
              <w:t>u</w:t>
            </w:r>
            <w:r w:rsidRPr="00E36113">
              <w:rPr>
                <w:rFonts w:asciiTheme="minorHAnsi" w:hAnsiTheme="minorHAnsi" w:cstheme="minorHAnsi"/>
                <w:spacing w:val="2"/>
              </w:rPr>
              <w:t>t</w:t>
            </w:r>
            <w:r w:rsidRPr="00E36113">
              <w:rPr>
                <w:rFonts w:asciiTheme="minorHAnsi" w:hAnsiTheme="minorHAnsi" w:cstheme="minorHAnsi"/>
                <w:spacing w:val="-1"/>
              </w:rPr>
              <w:t>h</w:t>
            </w:r>
            <w:r w:rsidRPr="00E36113">
              <w:rPr>
                <w:rFonts w:asciiTheme="minorHAnsi" w:hAnsiTheme="minorHAnsi" w:cstheme="minorHAnsi"/>
                <w:spacing w:val="1"/>
              </w:rPr>
              <w:t>or</w:t>
            </w:r>
            <w:r w:rsidRPr="00E36113">
              <w:rPr>
                <w:rFonts w:asciiTheme="minorHAnsi" w:hAnsiTheme="minorHAnsi" w:cstheme="minorHAnsi"/>
              </w:rPr>
              <w:t>izati</w:t>
            </w:r>
            <w:r w:rsidRPr="00E36113">
              <w:rPr>
                <w:rFonts w:asciiTheme="minorHAnsi" w:hAnsiTheme="minorHAnsi" w:cstheme="minorHAnsi"/>
                <w:spacing w:val="1"/>
              </w:rPr>
              <w:t>o</w:t>
            </w:r>
            <w:r w:rsidRPr="00E36113">
              <w:rPr>
                <w:rFonts w:asciiTheme="minorHAnsi" w:hAnsiTheme="minorHAnsi" w:cstheme="minorHAnsi"/>
                <w:spacing w:val="-1"/>
              </w:rPr>
              <w:t>n</w:t>
            </w:r>
          </w:p>
        </w:tc>
      </w:tr>
    </w:tbl>
    <w:p w14:paraId="43E88298" w14:textId="77777777" w:rsidR="00A96EA2" w:rsidRPr="00E36113" w:rsidRDefault="00A96EA2" w:rsidP="003B5ED7">
      <w:pPr>
        <w:widowControl w:val="0"/>
        <w:autoSpaceDE w:val="0"/>
        <w:autoSpaceDN w:val="0"/>
        <w:adjustRightInd w:val="0"/>
        <w:spacing w:before="33" w:after="0"/>
        <w:ind w:left="326" w:right="327"/>
        <w:rPr>
          <w:rFonts w:asciiTheme="minorHAnsi" w:hAnsiTheme="minorHAnsi" w:cstheme="minorHAnsi"/>
        </w:rPr>
        <w:sectPr w:rsidR="00A96EA2" w:rsidRPr="00E36113" w:rsidSect="003B5ED7">
          <w:footerReference w:type="default" r:id="rId8"/>
          <w:type w:val="continuous"/>
          <w:pgSz w:w="12240" w:h="15840"/>
          <w:pgMar w:top="576" w:right="1440" w:bottom="274" w:left="1440" w:header="720" w:footer="720" w:gutter="0"/>
          <w:cols w:space="720"/>
          <w:noEndnote/>
        </w:sectPr>
      </w:pPr>
    </w:p>
    <w:p w14:paraId="49E6E88B" w14:textId="77777777" w:rsidR="00A6243E" w:rsidRPr="00E36113" w:rsidRDefault="00A6243E" w:rsidP="00A6243E">
      <w:pPr>
        <w:widowControl w:val="0"/>
        <w:autoSpaceDE w:val="0"/>
        <w:autoSpaceDN w:val="0"/>
        <w:adjustRightInd w:val="0"/>
        <w:spacing w:before="72" w:after="0" w:line="240" w:lineRule="auto"/>
        <w:jc w:val="center"/>
        <w:rPr>
          <w:rFonts w:asciiTheme="minorHAnsi" w:hAnsiTheme="minorHAnsi" w:cstheme="minorHAnsi"/>
          <w:b/>
          <w:iCs/>
          <w:spacing w:val="1"/>
        </w:rPr>
      </w:pPr>
      <w:r w:rsidRPr="00E36113">
        <w:rPr>
          <w:rFonts w:asciiTheme="minorHAnsi" w:hAnsiTheme="minorHAnsi" w:cstheme="minorHAnsi"/>
          <w:b/>
          <w:iCs/>
        </w:rPr>
        <w:lastRenderedPageBreak/>
        <w:t>THE REPUBLIC OF MADAGASCAR</w:t>
      </w:r>
    </w:p>
    <w:p w14:paraId="3A7408D8" w14:textId="77777777" w:rsidR="00A6243E" w:rsidRPr="00E36113" w:rsidRDefault="00A6243E" w:rsidP="00A6243E">
      <w:pPr>
        <w:widowControl w:val="0"/>
        <w:autoSpaceDE w:val="0"/>
        <w:autoSpaceDN w:val="0"/>
        <w:adjustRightInd w:val="0"/>
        <w:spacing w:before="72" w:after="0" w:line="240" w:lineRule="auto"/>
        <w:jc w:val="center"/>
        <w:rPr>
          <w:rFonts w:asciiTheme="minorHAnsi" w:hAnsiTheme="minorHAnsi" w:cstheme="minorHAnsi"/>
          <w:b/>
          <w:bCs/>
        </w:rPr>
      </w:pPr>
      <w:r w:rsidRPr="00E36113">
        <w:rPr>
          <w:rFonts w:asciiTheme="minorHAnsi" w:hAnsiTheme="minorHAnsi" w:cstheme="minorHAnsi"/>
          <w:b/>
          <w:bCs/>
          <w:spacing w:val="1"/>
        </w:rPr>
        <w:t>G</w:t>
      </w:r>
      <w:r w:rsidRPr="00E36113">
        <w:rPr>
          <w:rFonts w:asciiTheme="minorHAnsi" w:hAnsiTheme="minorHAnsi" w:cstheme="minorHAnsi"/>
          <w:b/>
          <w:bCs/>
          <w:spacing w:val="2"/>
        </w:rPr>
        <w:t>O</w:t>
      </w:r>
      <w:r w:rsidRPr="00E36113">
        <w:rPr>
          <w:rFonts w:asciiTheme="minorHAnsi" w:hAnsiTheme="minorHAnsi" w:cstheme="minorHAnsi"/>
          <w:b/>
          <w:bCs/>
          <w:spacing w:val="-3"/>
        </w:rPr>
        <w:t>V</w:t>
      </w:r>
      <w:r w:rsidRPr="00E36113">
        <w:rPr>
          <w:rFonts w:asciiTheme="minorHAnsi" w:hAnsiTheme="minorHAnsi" w:cstheme="minorHAnsi"/>
          <w:b/>
          <w:bCs/>
        </w:rPr>
        <w:t>ERN</w:t>
      </w:r>
      <w:r w:rsidRPr="00E36113">
        <w:rPr>
          <w:rFonts w:asciiTheme="minorHAnsi" w:hAnsiTheme="minorHAnsi" w:cstheme="minorHAnsi"/>
          <w:b/>
          <w:bCs/>
          <w:spacing w:val="3"/>
        </w:rPr>
        <w:t>M</w:t>
      </w:r>
      <w:r w:rsidRPr="00E36113">
        <w:rPr>
          <w:rFonts w:asciiTheme="minorHAnsi" w:hAnsiTheme="minorHAnsi" w:cstheme="minorHAnsi"/>
          <w:b/>
          <w:bCs/>
        </w:rPr>
        <w:t xml:space="preserve">ENT </w:t>
      </w:r>
      <w:r w:rsidRPr="00E36113">
        <w:rPr>
          <w:rFonts w:asciiTheme="minorHAnsi" w:hAnsiTheme="minorHAnsi" w:cstheme="minorHAnsi"/>
          <w:b/>
          <w:bCs/>
          <w:spacing w:val="2"/>
        </w:rPr>
        <w:t>F</w:t>
      </w:r>
      <w:r w:rsidRPr="00E36113">
        <w:rPr>
          <w:rFonts w:asciiTheme="minorHAnsi" w:hAnsiTheme="minorHAnsi" w:cstheme="minorHAnsi"/>
          <w:b/>
          <w:bCs/>
        </w:rPr>
        <w:t>I</w:t>
      </w:r>
      <w:r w:rsidRPr="00E36113">
        <w:rPr>
          <w:rFonts w:asciiTheme="minorHAnsi" w:hAnsiTheme="minorHAnsi" w:cstheme="minorHAnsi"/>
          <w:b/>
          <w:bCs/>
          <w:spacing w:val="1"/>
        </w:rPr>
        <w:t>S</w:t>
      </w:r>
      <w:r w:rsidRPr="00E36113">
        <w:rPr>
          <w:rFonts w:asciiTheme="minorHAnsi" w:hAnsiTheme="minorHAnsi" w:cstheme="minorHAnsi"/>
          <w:b/>
          <w:bCs/>
        </w:rPr>
        <w:t>CAL</w:t>
      </w:r>
      <w:r w:rsidRPr="00E36113">
        <w:rPr>
          <w:rFonts w:asciiTheme="minorHAnsi" w:hAnsiTheme="minorHAnsi" w:cstheme="minorHAnsi"/>
          <w:b/>
          <w:bCs/>
          <w:spacing w:val="-2"/>
        </w:rPr>
        <w:t xml:space="preserve"> </w:t>
      </w:r>
      <w:r w:rsidRPr="00E36113">
        <w:rPr>
          <w:rFonts w:asciiTheme="minorHAnsi" w:hAnsiTheme="minorHAnsi" w:cstheme="minorHAnsi"/>
          <w:b/>
          <w:bCs/>
          <w:spacing w:val="1"/>
        </w:rPr>
        <w:t>Y</w:t>
      </w:r>
      <w:r w:rsidRPr="00E36113">
        <w:rPr>
          <w:rFonts w:asciiTheme="minorHAnsi" w:hAnsiTheme="minorHAnsi" w:cstheme="minorHAnsi"/>
          <w:b/>
          <w:bCs/>
        </w:rPr>
        <w:t>EAR</w:t>
      </w:r>
    </w:p>
    <w:p w14:paraId="108412F9" w14:textId="77777777" w:rsidR="00A6243E" w:rsidRPr="00E36113" w:rsidRDefault="00A6243E" w:rsidP="00A6243E">
      <w:pPr>
        <w:widowControl w:val="0"/>
        <w:autoSpaceDE w:val="0"/>
        <w:autoSpaceDN w:val="0"/>
        <w:adjustRightInd w:val="0"/>
        <w:spacing w:before="72" w:after="0" w:line="240" w:lineRule="auto"/>
        <w:jc w:val="center"/>
        <w:rPr>
          <w:rFonts w:asciiTheme="minorHAnsi" w:hAnsiTheme="minorHAnsi" w:cstheme="minorHAnsi"/>
          <w:spacing w:val="-1"/>
        </w:rPr>
      </w:pPr>
      <w:r w:rsidRPr="00E36113">
        <w:rPr>
          <w:rFonts w:asciiTheme="minorHAnsi" w:hAnsiTheme="minorHAnsi" w:cstheme="minorHAnsi"/>
          <w:spacing w:val="-1"/>
        </w:rPr>
        <w:t>January 1 – December 31</w:t>
      </w:r>
    </w:p>
    <w:p w14:paraId="35D89F64" w14:textId="77777777" w:rsidR="00A6243E" w:rsidRPr="00E36113" w:rsidRDefault="00A6243E" w:rsidP="00A6243E">
      <w:pPr>
        <w:widowControl w:val="0"/>
        <w:autoSpaceDE w:val="0"/>
        <w:autoSpaceDN w:val="0"/>
        <w:adjustRightInd w:val="0"/>
        <w:spacing w:before="16" w:after="0" w:line="240" w:lineRule="exact"/>
        <w:jc w:val="center"/>
        <w:rPr>
          <w:rFonts w:asciiTheme="minorHAnsi" w:hAnsiTheme="minorHAnsi" w:cstheme="minorHAnsi"/>
        </w:rPr>
      </w:pPr>
    </w:p>
    <w:p w14:paraId="52679D5D" w14:textId="77777777" w:rsidR="00A6243E" w:rsidRPr="00E36113" w:rsidRDefault="00A6243E" w:rsidP="00A6243E">
      <w:pPr>
        <w:widowControl w:val="0"/>
        <w:autoSpaceDE w:val="0"/>
        <w:autoSpaceDN w:val="0"/>
        <w:adjustRightInd w:val="0"/>
        <w:spacing w:after="0" w:line="240" w:lineRule="auto"/>
        <w:jc w:val="center"/>
        <w:rPr>
          <w:rFonts w:asciiTheme="minorHAnsi" w:hAnsiTheme="minorHAnsi" w:cstheme="minorHAnsi"/>
          <w:b/>
          <w:bCs/>
        </w:rPr>
      </w:pPr>
      <w:r w:rsidRPr="00E36113">
        <w:rPr>
          <w:rFonts w:asciiTheme="minorHAnsi" w:hAnsiTheme="minorHAnsi" w:cstheme="minorHAnsi"/>
          <w:b/>
          <w:bCs/>
          <w:spacing w:val="-1"/>
        </w:rPr>
        <w:t>C</w:t>
      </w:r>
      <w:r w:rsidRPr="00E36113">
        <w:rPr>
          <w:rFonts w:asciiTheme="minorHAnsi" w:hAnsiTheme="minorHAnsi" w:cstheme="minorHAnsi"/>
          <w:b/>
          <w:bCs/>
        </w:rPr>
        <w:t xml:space="preserve">URRENCY </w:t>
      </w:r>
      <w:r w:rsidRPr="00E36113">
        <w:rPr>
          <w:rFonts w:asciiTheme="minorHAnsi" w:hAnsiTheme="minorHAnsi" w:cstheme="minorHAnsi"/>
          <w:b/>
          <w:bCs/>
          <w:spacing w:val="-1"/>
        </w:rPr>
        <w:t>E</w:t>
      </w:r>
      <w:r w:rsidRPr="00E36113">
        <w:rPr>
          <w:rFonts w:asciiTheme="minorHAnsi" w:hAnsiTheme="minorHAnsi" w:cstheme="minorHAnsi"/>
          <w:b/>
          <w:bCs/>
          <w:spacing w:val="2"/>
        </w:rPr>
        <w:t>Q</w:t>
      </w:r>
      <w:r w:rsidRPr="00E36113">
        <w:rPr>
          <w:rFonts w:asciiTheme="minorHAnsi" w:hAnsiTheme="minorHAnsi" w:cstheme="minorHAnsi"/>
          <w:b/>
          <w:bCs/>
        </w:rPr>
        <w:t>U</w:t>
      </w:r>
      <w:r w:rsidRPr="00E36113">
        <w:rPr>
          <w:rFonts w:asciiTheme="minorHAnsi" w:hAnsiTheme="minorHAnsi" w:cstheme="minorHAnsi"/>
          <w:b/>
          <w:bCs/>
          <w:spacing w:val="2"/>
        </w:rPr>
        <w:t>I</w:t>
      </w:r>
      <w:r w:rsidRPr="00E36113">
        <w:rPr>
          <w:rFonts w:asciiTheme="minorHAnsi" w:hAnsiTheme="minorHAnsi" w:cstheme="minorHAnsi"/>
          <w:b/>
          <w:bCs/>
          <w:spacing w:val="-3"/>
        </w:rPr>
        <w:t>V</w:t>
      </w:r>
      <w:r w:rsidRPr="00E36113">
        <w:rPr>
          <w:rFonts w:asciiTheme="minorHAnsi" w:hAnsiTheme="minorHAnsi" w:cstheme="minorHAnsi"/>
          <w:b/>
          <w:bCs/>
        </w:rPr>
        <w:t>ALENT</w:t>
      </w:r>
    </w:p>
    <w:p w14:paraId="6C0CD10C" w14:textId="29C49964" w:rsidR="00A6243E" w:rsidRPr="00E36113" w:rsidRDefault="00A6243E" w:rsidP="00A6243E">
      <w:pPr>
        <w:widowControl w:val="0"/>
        <w:autoSpaceDE w:val="0"/>
        <w:autoSpaceDN w:val="0"/>
        <w:adjustRightInd w:val="0"/>
        <w:spacing w:after="0" w:line="240" w:lineRule="auto"/>
        <w:jc w:val="center"/>
        <w:rPr>
          <w:rFonts w:asciiTheme="minorHAnsi" w:hAnsiTheme="minorHAnsi" w:cstheme="minorHAnsi"/>
        </w:rPr>
      </w:pPr>
      <w:r w:rsidRPr="00E36113">
        <w:rPr>
          <w:rFonts w:asciiTheme="minorHAnsi" w:hAnsiTheme="minorHAnsi" w:cstheme="minorHAnsi"/>
          <w:bCs/>
        </w:rPr>
        <w:t xml:space="preserve">(Exchange Rate Effective as of </w:t>
      </w:r>
      <w:r w:rsidR="00AC0176" w:rsidRPr="00E36113">
        <w:rPr>
          <w:rFonts w:asciiTheme="minorHAnsi" w:hAnsiTheme="minorHAnsi" w:cstheme="minorHAnsi"/>
          <w:bCs/>
        </w:rPr>
        <w:t>September 30, 2017</w:t>
      </w:r>
      <w:r w:rsidRPr="00E36113">
        <w:rPr>
          <w:rFonts w:asciiTheme="minorHAnsi" w:hAnsiTheme="minorHAnsi" w:cstheme="minorHAnsi"/>
          <w:bCs/>
        </w:rPr>
        <w:t>)</w:t>
      </w:r>
    </w:p>
    <w:p w14:paraId="42BCB883" w14:textId="7C2336CB" w:rsidR="00A6243E" w:rsidRPr="00E36113" w:rsidRDefault="00A6243E" w:rsidP="00A6243E">
      <w:pPr>
        <w:widowControl w:val="0"/>
        <w:autoSpaceDE w:val="0"/>
        <w:autoSpaceDN w:val="0"/>
        <w:adjustRightInd w:val="0"/>
        <w:spacing w:after="0" w:line="252" w:lineRule="exact"/>
        <w:jc w:val="center"/>
        <w:rPr>
          <w:rFonts w:asciiTheme="minorHAnsi" w:hAnsiTheme="minorHAnsi" w:cstheme="minorHAnsi"/>
        </w:rPr>
      </w:pPr>
      <w:r w:rsidRPr="00E36113">
        <w:rPr>
          <w:rFonts w:asciiTheme="minorHAnsi" w:hAnsiTheme="minorHAnsi" w:cstheme="minorHAnsi"/>
        </w:rPr>
        <w:t xml:space="preserve">Currency Unit = </w:t>
      </w:r>
      <w:r w:rsidR="00AD1A22" w:rsidRPr="00406280">
        <w:rPr>
          <w:rFonts w:asciiTheme="minorHAnsi" w:hAnsiTheme="minorHAnsi" w:cstheme="minorHAnsi"/>
        </w:rPr>
        <w:t xml:space="preserve">Malagasy </w:t>
      </w:r>
      <w:r w:rsidR="00AD1A22">
        <w:rPr>
          <w:rFonts w:asciiTheme="minorHAnsi" w:hAnsiTheme="minorHAnsi" w:cstheme="minorHAnsi"/>
        </w:rPr>
        <w:t>Ariary</w:t>
      </w:r>
      <w:r w:rsidR="00AD1A22" w:rsidRPr="00E36113">
        <w:rPr>
          <w:rFonts w:asciiTheme="minorHAnsi" w:hAnsiTheme="minorHAnsi" w:cstheme="minorHAnsi"/>
        </w:rPr>
        <w:t xml:space="preserve"> </w:t>
      </w:r>
      <w:r w:rsidR="00AD1A22">
        <w:rPr>
          <w:rFonts w:asciiTheme="minorHAnsi" w:hAnsiTheme="minorHAnsi" w:cstheme="minorHAnsi"/>
        </w:rPr>
        <w:t>(</w:t>
      </w:r>
      <w:r w:rsidR="0000379D" w:rsidRPr="00E36113">
        <w:rPr>
          <w:rFonts w:asciiTheme="minorHAnsi" w:hAnsiTheme="minorHAnsi" w:cstheme="minorHAnsi"/>
        </w:rPr>
        <w:t>MGA</w:t>
      </w:r>
      <w:r w:rsidR="00AD1A22">
        <w:rPr>
          <w:rFonts w:asciiTheme="minorHAnsi" w:hAnsiTheme="minorHAnsi" w:cstheme="minorHAnsi"/>
        </w:rPr>
        <w:t>)</w:t>
      </w:r>
      <w:r w:rsidRPr="00E36113">
        <w:rPr>
          <w:rFonts w:asciiTheme="minorHAnsi" w:hAnsiTheme="minorHAnsi" w:cstheme="minorHAnsi"/>
        </w:rPr>
        <w:t xml:space="preserve"> </w:t>
      </w:r>
    </w:p>
    <w:p w14:paraId="5CFF5CDE" w14:textId="477DA7C1" w:rsidR="00A6243E" w:rsidRPr="00B66802" w:rsidRDefault="00A6243E" w:rsidP="00A6243E">
      <w:pPr>
        <w:widowControl w:val="0"/>
        <w:autoSpaceDE w:val="0"/>
        <w:autoSpaceDN w:val="0"/>
        <w:adjustRightInd w:val="0"/>
        <w:spacing w:after="0" w:line="252" w:lineRule="exact"/>
        <w:jc w:val="center"/>
        <w:rPr>
          <w:rFonts w:asciiTheme="minorHAnsi" w:hAnsiTheme="minorHAnsi" w:cstheme="minorHAnsi"/>
        </w:rPr>
      </w:pPr>
      <w:r w:rsidRPr="00E36113">
        <w:rPr>
          <w:rFonts w:asciiTheme="minorHAnsi" w:hAnsiTheme="minorHAnsi" w:cstheme="minorHAnsi"/>
        </w:rPr>
        <w:t xml:space="preserve">US$1 = </w:t>
      </w:r>
      <w:r w:rsidR="007750FF" w:rsidRPr="00E36113">
        <w:rPr>
          <w:rFonts w:asciiTheme="minorHAnsi" w:hAnsiTheme="minorHAnsi" w:cstheme="minorHAnsi"/>
        </w:rPr>
        <w:t>SDR</w:t>
      </w:r>
      <w:r w:rsidR="00B66802" w:rsidRPr="00E36113">
        <w:rPr>
          <w:rFonts w:asciiTheme="minorHAnsi" w:hAnsiTheme="minorHAnsi" w:cstheme="minorHAnsi"/>
        </w:rPr>
        <w:t xml:space="preserve"> </w:t>
      </w:r>
      <w:r w:rsidR="007750FF" w:rsidRPr="00AC0176">
        <w:rPr>
          <w:rFonts w:asciiTheme="minorHAnsi" w:hAnsiTheme="minorHAnsi" w:cstheme="minorHAnsi"/>
        </w:rPr>
        <w:t>0.70756386</w:t>
      </w:r>
    </w:p>
    <w:p w14:paraId="069F6278" w14:textId="77777777" w:rsidR="00D34525" w:rsidRPr="00B66802" w:rsidRDefault="00D34525" w:rsidP="00D34525">
      <w:pPr>
        <w:widowControl w:val="0"/>
        <w:autoSpaceDE w:val="0"/>
        <w:autoSpaceDN w:val="0"/>
        <w:adjustRightInd w:val="0"/>
        <w:spacing w:after="0" w:line="252" w:lineRule="exact"/>
        <w:jc w:val="center"/>
        <w:rPr>
          <w:rFonts w:asciiTheme="minorHAnsi" w:hAnsiTheme="minorHAnsi" w:cstheme="minorHAnsi"/>
        </w:rPr>
      </w:pPr>
    </w:p>
    <w:p w14:paraId="2B91464C" w14:textId="77777777" w:rsidR="00D34525" w:rsidRPr="00B66802" w:rsidRDefault="00D34525" w:rsidP="00A6243E">
      <w:pPr>
        <w:widowControl w:val="0"/>
        <w:autoSpaceDE w:val="0"/>
        <w:autoSpaceDN w:val="0"/>
        <w:adjustRightInd w:val="0"/>
        <w:spacing w:after="0" w:line="252" w:lineRule="exact"/>
        <w:jc w:val="center"/>
        <w:rPr>
          <w:rFonts w:asciiTheme="minorHAnsi" w:hAnsiTheme="minorHAnsi" w:cstheme="minorHAnsi"/>
        </w:rPr>
      </w:pPr>
    </w:p>
    <w:p w14:paraId="7F42ADFE" w14:textId="77777777" w:rsidR="00A6243E" w:rsidRPr="00BD4A16" w:rsidRDefault="00A6243E" w:rsidP="00A6243E">
      <w:pPr>
        <w:widowControl w:val="0"/>
        <w:autoSpaceDE w:val="0"/>
        <w:autoSpaceDN w:val="0"/>
        <w:adjustRightInd w:val="0"/>
        <w:spacing w:after="0" w:line="252" w:lineRule="exact"/>
        <w:jc w:val="center"/>
        <w:rPr>
          <w:rFonts w:asciiTheme="minorHAnsi" w:hAnsiTheme="minorHAnsi" w:cstheme="minorHAnsi"/>
          <w:b/>
        </w:rPr>
      </w:pPr>
    </w:p>
    <w:p w14:paraId="3C19E80D" w14:textId="77777777" w:rsidR="00A6243E" w:rsidRPr="00DC050B" w:rsidRDefault="00A6243E" w:rsidP="00A6243E">
      <w:pPr>
        <w:widowControl w:val="0"/>
        <w:autoSpaceDE w:val="0"/>
        <w:autoSpaceDN w:val="0"/>
        <w:adjustRightInd w:val="0"/>
        <w:spacing w:after="0" w:line="252" w:lineRule="exact"/>
        <w:jc w:val="center"/>
        <w:rPr>
          <w:rFonts w:asciiTheme="minorHAnsi" w:hAnsiTheme="minorHAnsi" w:cstheme="minorHAnsi"/>
          <w:b/>
        </w:rPr>
      </w:pPr>
      <w:r w:rsidRPr="00DC050B">
        <w:rPr>
          <w:rFonts w:asciiTheme="minorHAnsi" w:hAnsiTheme="minorHAnsi" w:cstheme="minorHAnsi"/>
          <w:b/>
        </w:rPr>
        <w:t>ABBREVIATIONS AND ACRONYMS</w:t>
      </w:r>
    </w:p>
    <w:p w14:paraId="48E82173" w14:textId="77777777" w:rsidR="00A6243E" w:rsidRPr="00DC050B" w:rsidRDefault="00A6243E" w:rsidP="00A6243E">
      <w:pPr>
        <w:widowControl w:val="0"/>
        <w:autoSpaceDE w:val="0"/>
        <w:autoSpaceDN w:val="0"/>
        <w:adjustRightInd w:val="0"/>
        <w:spacing w:before="13" w:after="0" w:line="240" w:lineRule="exact"/>
        <w:rPr>
          <w:rFonts w:asciiTheme="minorHAnsi" w:hAnsiTheme="minorHAnsi" w:cstheme="minorHAnsi"/>
        </w:rPr>
      </w:pPr>
    </w:p>
    <w:p w14:paraId="29FA2722" w14:textId="77777777" w:rsidR="007D4846" w:rsidRPr="00DC050B" w:rsidRDefault="007D4846" w:rsidP="00A860B6">
      <w:pPr>
        <w:widowControl w:val="0"/>
        <w:tabs>
          <w:tab w:val="left" w:pos="1440"/>
        </w:tabs>
        <w:autoSpaceDE w:val="0"/>
        <w:autoSpaceDN w:val="0"/>
        <w:adjustRightInd w:val="0"/>
        <w:spacing w:after="0" w:line="240" w:lineRule="auto"/>
        <w:ind w:left="106" w:right="-20"/>
        <w:rPr>
          <w:rFonts w:asciiTheme="minorHAnsi" w:hAnsiTheme="minorHAnsi" w:cstheme="minorHAnsi"/>
          <w:bCs/>
        </w:rPr>
      </w:pPr>
      <w:r w:rsidRPr="00DC050B">
        <w:rPr>
          <w:rFonts w:asciiTheme="minorHAnsi" w:hAnsiTheme="minorHAnsi" w:cstheme="minorHAnsi"/>
          <w:bCs/>
        </w:rPr>
        <w:t>AfDB</w:t>
      </w:r>
      <w:r w:rsidRPr="00DC050B">
        <w:rPr>
          <w:rFonts w:asciiTheme="minorHAnsi" w:hAnsiTheme="minorHAnsi" w:cstheme="minorHAnsi"/>
          <w:bCs/>
        </w:rPr>
        <w:tab/>
        <w:t xml:space="preserve">African Development Bank </w:t>
      </w:r>
    </w:p>
    <w:p w14:paraId="7CBC0549" w14:textId="77777777" w:rsidR="007D4846" w:rsidRPr="00DC050B" w:rsidRDefault="007D4846" w:rsidP="00A860B6">
      <w:pPr>
        <w:widowControl w:val="0"/>
        <w:tabs>
          <w:tab w:val="left" w:pos="1440"/>
        </w:tabs>
        <w:autoSpaceDE w:val="0"/>
        <w:autoSpaceDN w:val="0"/>
        <w:adjustRightInd w:val="0"/>
        <w:spacing w:after="0" w:line="240" w:lineRule="auto"/>
        <w:ind w:left="106" w:right="-20"/>
        <w:rPr>
          <w:rFonts w:asciiTheme="minorHAnsi" w:hAnsiTheme="minorHAnsi" w:cstheme="minorHAnsi"/>
          <w:bCs/>
        </w:rPr>
      </w:pPr>
      <w:r w:rsidRPr="00DC050B">
        <w:rPr>
          <w:rFonts w:asciiTheme="minorHAnsi" w:hAnsiTheme="minorHAnsi" w:cstheme="minorHAnsi"/>
          <w:bCs/>
        </w:rPr>
        <w:t>AGOA</w:t>
      </w:r>
      <w:r w:rsidRPr="00DC050B">
        <w:rPr>
          <w:rFonts w:asciiTheme="minorHAnsi" w:hAnsiTheme="minorHAnsi" w:cstheme="minorHAnsi"/>
          <w:bCs/>
        </w:rPr>
        <w:tab/>
        <w:t>African Growth and Opportunities Act</w:t>
      </w:r>
    </w:p>
    <w:p w14:paraId="5423BBBA" w14:textId="37DBEEEA" w:rsidR="007E148B" w:rsidRPr="00DC050B" w:rsidRDefault="00715C3B" w:rsidP="00A860B6">
      <w:pPr>
        <w:widowControl w:val="0"/>
        <w:tabs>
          <w:tab w:val="left" w:pos="1440"/>
        </w:tabs>
        <w:autoSpaceDE w:val="0"/>
        <w:autoSpaceDN w:val="0"/>
        <w:adjustRightInd w:val="0"/>
        <w:spacing w:after="0" w:line="240" w:lineRule="auto"/>
        <w:ind w:left="106" w:right="-20"/>
        <w:rPr>
          <w:rFonts w:asciiTheme="minorHAnsi" w:hAnsiTheme="minorHAnsi" w:cstheme="minorHAnsi"/>
          <w:bCs/>
        </w:rPr>
      </w:pPr>
      <w:r w:rsidRPr="00DC050B">
        <w:rPr>
          <w:rFonts w:asciiTheme="minorHAnsi" w:hAnsiTheme="minorHAnsi" w:cstheme="minorHAnsi"/>
          <w:bCs/>
        </w:rPr>
        <w:t>B</w:t>
      </w:r>
      <w:r w:rsidR="00DC050B">
        <w:rPr>
          <w:rFonts w:asciiTheme="minorHAnsi" w:hAnsiTheme="minorHAnsi" w:cstheme="minorHAnsi"/>
          <w:bCs/>
        </w:rPr>
        <w:t>o</w:t>
      </w:r>
      <w:r w:rsidRPr="00DC050B">
        <w:rPr>
          <w:rFonts w:asciiTheme="minorHAnsi" w:hAnsiTheme="minorHAnsi" w:cstheme="minorHAnsi"/>
          <w:bCs/>
        </w:rPr>
        <w:t>P</w:t>
      </w:r>
      <w:r w:rsidRPr="00DC050B">
        <w:rPr>
          <w:rFonts w:asciiTheme="minorHAnsi" w:hAnsiTheme="minorHAnsi" w:cstheme="minorHAnsi"/>
          <w:bCs/>
        </w:rPr>
        <w:tab/>
        <w:t>Balance o</w:t>
      </w:r>
      <w:r w:rsidR="007E148B" w:rsidRPr="00DC050B">
        <w:rPr>
          <w:rFonts w:asciiTheme="minorHAnsi" w:hAnsiTheme="minorHAnsi" w:cstheme="minorHAnsi"/>
          <w:bCs/>
        </w:rPr>
        <w:t>f Payments</w:t>
      </w:r>
    </w:p>
    <w:p w14:paraId="79E5B24C" w14:textId="77777777" w:rsidR="007D4846" w:rsidRPr="00DC050B" w:rsidRDefault="007262A6" w:rsidP="00A860B6">
      <w:pPr>
        <w:widowControl w:val="0"/>
        <w:tabs>
          <w:tab w:val="left" w:pos="1440"/>
        </w:tabs>
        <w:autoSpaceDE w:val="0"/>
        <w:autoSpaceDN w:val="0"/>
        <w:adjustRightInd w:val="0"/>
        <w:spacing w:after="0" w:line="240" w:lineRule="auto"/>
        <w:ind w:left="106" w:right="-20"/>
        <w:rPr>
          <w:rFonts w:asciiTheme="minorHAnsi" w:hAnsiTheme="minorHAnsi" w:cstheme="minorHAnsi"/>
          <w:bCs/>
        </w:rPr>
      </w:pPr>
      <w:r w:rsidRPr="00DC050B">
        <w:rPr>
          <w:rFonts w:asciiTheme="minorHAnsi" w:hAnsiTheme="minorHAnsi" w:cstheme="minorHAnsi"/>
          <w:bCs/>
        </w:rPr>
        <w:t>CBM</w:t>
      </w:r>
      <w:r w:rsidR="007D4846" w:rsidRPr="00DC050B">
        <w:rPr>
          <w:rFonts w:asciiTheme="minorHAnsi" w:hAnsiTheme="minorHAnsi" w:cstheme="minorHAnsi"/>
          <w:bCs/>
        </w:rPr>
        <w:tab/>
        <w:t xml:space="preserve">Central Bank of Madagascar </w:t>
      </w:r>
    </w:p>
    <w:p w14:paraId="498914D4" w14:textId="77777777" w:rsidR="00DC050B" w:rsidRPr="0094425F" w:rsidRDefault="00DC050B" w:rsidP="00DC050B">
      <w:pPr>
        <w:widowControl w:val="0"/>
        <w:tabs>
          <w:tab w:val="left" w:pos="1440"/>
        </w:tabs>
        <w:autoSpaceDE w:val="0"/>
        <w:autoSpaceDN w:val="0"/>
        <w:adjustRightInd w:val="0"/>
        <w:spacing w:before="4" w:after="0" w:line="240" w:lineRule="auto"/>
        <w:ind w:left="106" w:right="-20"/>
        <w:rPr>
          <w:rFonts w:asciiTheme="minorHAnsi" w:hAnsiTheme="minorHAnsi" w:cstheme="minorHAnsi"/>
          <w:lang w:val="fr-FR"/>
        </w:rPr>
      </w:pPr>
      <w:r w:rsidRPr="0094425F">
        <w:rPr>
          <w:rFonts w:asciiTheme="minorHAnsi" w:hAnsiTheme="minorHAnsi" w:cstheme="minorHAnsi"/>
          <w:lang w:val="fr-FR"/>
        </w:rPr>
        <w:t>CNM</w:t>
      </w:r>
      <w:r w:rsidRPr="0094425F">
        <w:rPr>
          <w:rFonts w:asciiTheme="minorHAnsi" w:hAnsiTheme="minorHAnsi" w:cstheme="minorHAnsi"/>
          <w:lang w:val="fr-FR"/>
        </w:rPr>
        <w:tab/>
      </w:r>
      <w:r w:rsidRPr="0094425F">
        <w:rPr>
          <w:rFonts w:asciiTheme="minorHAnsi" w:hAnsiTheme="minorHAnsi" w:cstheme="minorHAnsi"/>
          <w:i/>
          <w:lang w:val="fr-FR"/>
        </w:rPr>
        <w:t xml:space="preserve">Commission Nationale des Marchés </w:t>
      </w:r>
      <w:r w:rsidRPr="0094425F">
        <w:rPr>
          <w:rFonts w:asciiTheme="minorHAnsi" w:hAnsiTheme="minorHAnsi" w:cstheme="minorHAnsi"/>
          <w:lang w:val="fr-FR"/>
        </w:rPr>
        <w:t xml:space="preserve">(National Commission for Public Procurement) </w:t>
      </w:r>
    </w:p>
    <w:p w14:paraId="1125A83C" w14:textId="77777777" w:rsidR="007D4846" w:rsidRPr="00DC050B" w:rsidRDefault="007D4846"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DC050B">
        <w:rPr>
          <w:rFonts w:asciiTheme="minorHAnsi" w:hAnsiTheme="minorHAnsi" w:cstheme="minorHAnsi"/>
        </w:rPr>
        <w:t>CPF</w:t>
      </w:r>
      <w:r w:rsidRPr="00DC050B">
        <w:rPr>
          <w:rFonts w:asciiTheme="minorHAnsi" w:hAnsiTheme="minorHAnsi" w:cstheme="minorHAnsi"/>
        </w:rPr>
        <w:tab/>
        <w:t>Country Partnership Framework</w:t>
      </w:r>
    </w:p>
    <w:p w14:paraId="6CB3CBC7" w14:textId="77777777" w:rsidR="007D4846" w:rsidRPr="006C66C2" w:rsidRDefault="007D4846" w:rsidP="000D2CAA">
      <w:pPr>
        <w:widowControl w:val="0"/>
        <w:tabs>
          <w:tab w:val="left" w:pos="1440"/>
        </w:tabs>
        <w:autoSpaceDE w:val="0"/>
        <w:autoSpaceDN w:val="0"/>
        <w:adjustRightInd w:val="0"/>
        <w:spacing w:before="4" w:after="0" w:line="240" w:lineRule="auto"/>
        <w:ind w:left="1440" w:right="-20" w:hanging="1334"/>
        <w:rPr>
          <w:rFonts w:asciiTheme="minorHAnsi" w:hAnsiTheme="minorHAnsi" w:cstheme="minorHAnsi"/>
        </w:rPr>
      </w:pPr>
      <w:r w:rsidRPr="00DC050B">
        <w:rPr>
          <w:rFonts w:asciiTheme="minorHAnsi" w:hAnsiTheme="minorHAnsi" w:cstheme="minorHAnsi"/>
        </w:rPr>
        <w:t>CSBF</w:t>
      </w:r>
      <w:r w:rsidRPr="00DC050B">
        <w:rPr>
          <w:rFonts w:asciiTheme="minorHAnsi" w:hAnsiTheme="minorHAnsi" w:cstheme="minorHAnsi"/>
        </w:rPr>
        <w:tab/>
      </w:r>
      <w:r w:rsidRPr="00DC050B">
        <w:rPr>
          <w:rFonts w:asciiTheme="minorHAnsi" w:hAnsiTheme="minorHAnsi" w:cstheme="minorHAnsi"/>
          <w:i/>
        </w:rPr>
        <w:t>Commission de Supervision Bancaire et Financière</w:t>
      </w:r>
      <w:r w:rsidR="006A1056" w:rsidRPr="00DC050B">
        <w:rPr>
          <w:rFonts w:asciiTheme="minorHAnsi" w:hAnsiTheme="minorHAnsi" w:cstheme="minorHAnsi"/>
          <w:i/>
        </w:rPr>
        <w:t xml:space="preserve"> </w:t>
      </w:r>
      <w:r w:rsidR="0056291F" w:rsidRPr="00DC050B">
        <w:rPr>
          <w:rFonts w:asciiTheme="minorHAnsi" w:hAnsiTheme="minorHAnsi" w:cstheme="minorHAnsi"/>
        </w:rPr>
        <w:t>(</w:t>
      </w:r>
      <w:r w:rsidR="006A1056" w:rsidRPr="00DC050B">
        <w:rPr>
          <w:rFonts w:asciiTheme="minorHAnsi" w:hAnsiTheme="minorHAnsi" w:cstheme="minorHAnsi"/>
        </w:rPr>
        <w:t>Commission for Banking and Financial Supervision</w:t>
      </w:r>
      <w:r w:rsidR="0056291F" w:rsidRPr="00DC050B">
        <w:rPr>
          <w:rFonts w:asciiTheme="minorHAnsi" w:hAnsiTheme="minorHAnsi" w:cstheme="minorHAnsi"/>
        </w:rPr>
        <w:t>)</w:t>
      </w:r>
      <w:r w:rsidR="006A1056" w:rsidRPr="00DC050B">
        <w:rPr>
          <w:rFonts w:asciiTheme="minorHAnsi" w:hAnsiTheme="minorHAnsi" w:cstheme="minorHAnsi"/>
          <w:i/>
        </w:rPr>
        <w:t xml:space="preserve"> </w:t>
      </w:r>
    </w:p>
    <w:p w14:paraId="69FCC108" w14:textId="030A6122" w:rsidR="00DC050B" w:rsidRDefault="00DC050B"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DA3AEF">
        <w:rPr>
          <w:rFonts w:asciiTheme="minorHAnsi" w:hAnsiTheme="minorHAnsi" w:cstheme="minorHAnsi"/>
        </w:rPr>
        <w:t>DPF</w:t>
      </w:r>
      <w:r w:rsidRPr="00DA3AEF">
        <w:rPr>
          <w:rFonts w:asciiTheme="minorHAnsi" w:hAnsiTheme="minorHAnsi" w:cstheme="minorHAnsi"/>
        </w:rPr>
        <w:tab/>
        <w:t>Development Policy Financing</w:t>
      </w:r>
    </w:p>
    <w:p w14:paraId="489D8428" w14:textId="17CE8CD0" w:rsidR="007D4846" w:rsidRPr="00DC050B" w:rsidRDefault="007D4846"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DC050B">
        <w:rPr>
          <w:rFonts w:asciiTheme="minorHAnsi" w:hAnsiTheme="minorHAnsi" w:cstheme="minorHAnsi"/>
        </w:rPr>
        <w:t>DPO</w:t>
      </w:r>
      <w:r w:rsidRPr="00DC050B">
        <w:rPr>
          <w:rFonts w:asciiTheme="minorHAnsi" w:hAnsiTheme="minorHAnsi" w:cstheme="minorHAnsi"/>
        </w:rPr>
        <w:tab/>
        <w:t>Development Policy Operation</w:t>
      </w:r>
    </w:p>
    <w:p w14:paraId="09C4CBED" w14:textId="77777777" w:rsidR="007D4846" w:rsidRPr="00DC050B" w:rsidRDefault="007D4846"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DC050B">
        <w:rPr>
          <w:rFonts w:asciiTheme="minorHAnsi" w:hAnsiTheme="minorHAnsi" w:cstheme="minorHAnsi"/>
        </w:rPr>
        <w:t>DSA</w:t>
      </w:r>
      <w:r w:rsidRPr="00DC050B">
        <w:rPr>
          <w:rFonts w:asciiTheme="minorHAnsi" w:hAnsiTheme="minorHAnsi" w:cstheme="minorHAnsi"/>
        </w:rPr>
        <w:tab/>
        <w:t>Debt Sustainability Analysis</w:t>
      </w:r>
    </w:p>
    <w:p w14:paraId="0BE88A18" w14:textId="04B61620" w:rsidR="00DC050B" w:rsidRDefault="00DC050B" w:rsidP="00DC050B">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CE4A55">
        <w:rPr>
          <w:rFonts w:asciiTheme="minorHAnsi" w:hAnsiTheme="minorHAnsi" w:cstheme="minorHAnsi"/>
        </w:rPr>
        <w:t>ECF</w:t>
      </w:r>
      <w:r w:rsidRPr="00CE4A55">
        <w:rPr>
          <w:rFonts w:asciiTheme="minorHAnsi" w:hAnsiTheme="minorHAnsi" w:cstheme="minorHAnsi"/>
        </w:rPr>
        <w:tab/>
        <w:t>Extended Credit Facility</w:t>
      </w:r>
    </w:p>
    <w:p w14:paraId="587B6F3D" w14:textId="517E80AB" w:rsidR="00462B1A" w:rsidRPr="00CE4A55" w:rsidRDefault="00462B1A" w:rsidP="00DC050B">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Pr>
          <w:rFonts w:asciiTheme="minorHAnsi" w:hAnsiTheme="minorHAnsi" w:cstheme="minorHAnsi"/>
        </w:rPr>
        <w:t>EDP</w:t>
      </w:r>
      <w:r>
        <w:rPr>
          <w:rFonts w:asciiTheme="minorHAnsi" w:hAnsiTheme="minorHAnsi" w:cstheme="minorHAnsi"/>
        </w:rPr>
        <w:tab/>
        <w:t xml:space="preserve">Economic Development Paper </w:t>
      </w:r>
    </w:p>
    <w:p w14:paraId="5DCFF0E1" w14:textId="0137DFB3" w:rsidR="00595513" w:rsidRDefault="00595513"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DC050B">
        <w:rPr>
          <w:rFonts w:asciiTheme="minorHAnsi" w:hAnsiTheme="minorHAnsi" w:cstheme="minorHAnsi"/>
        </w:rPr>
        <w:t>ESIA</w:t>
      </w:r>
      <w:r w:rsidRPr="00DC050B">
        <w:rPr>
          <w:rFonts w:asciiTheme="minorHAnsi" w:hAnsiTheme="minorHAnsi" w:cstheme="minorHAnsi"/>
        </w:rPr>
        <w:tab/>
        <w:t>Environmental and Social Impact Assessment</w:t>
      </w:r>
    </w:p>
    <w:p w14:paraId="578D73EC" w14:textId="53480D47" w:rsidR="00962A06" w:rsidRPr="00DC050B" w:rsidRDefault="00962A06"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Pr>
          <w:rFonts w:asciiTheme="minorHAnsi" w:hAnsiTheme="minorHAnsi" w:cstheme="minorHAnsi"/>
        </w:rPr>
        <w:t>ESMAP</w:t>
      </w:r>
      <w:r>
        <w:rPr>
          <w:rFonts w:asciiTheme="minorHAnsi" w:hAnsiTheme="minorHAnsi" w:cstheme="minorHAnsi"/>
        </w:rPr>
        <w:tab/>
        <w:t>Energy Sector Management Assistance Program</w:t>
      </w:r>
    </w:p>
    <w:p w14:paraId="378E5C54" w14:textId="2F5D1F8E" w:rsidR="00E447D8" w:rsidRPr="00A1554C" w:rsidRDefault="00E447D8"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A1554C">
        <w:rPr>
          <w:rFonts w:asciiTheme="minorHAnsi" w:hAnsiTheme="minorHAnsi" w:cstheme="minorHAnsi"/>
        </w:rPr>
        <w:t>EU</w:t>
      </w:r>
      <w:r w:rsidRPr="00A1554C">
        <w:rPr>
          <w:rFonts w:asciiTheme="minorHAnsi" w:hAnsiTheme="minorHAnsi" w:cstheme="minorHAnsi"/>
        </w:rPr>
        <w:tab/>
        <w:t>European Union</w:t>
      </w:r>
    </w:p>
    <w:p w14:paraId="48611510" w14:textId="77777777" w:rsidR="007D4846" w:rsidRPr="00DC050B" w:rsidRDefault="007D4846"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spacing w:val="-1"/>
        </w:rPr>
      </w:pPr>
      <w:r w:rsidRPr="00DC050B">
        <w:rPr>
          <w:rFonts w:asciiTheme="minorHAnsi" w:hAnsiTheme="minorHAnsi" w:cstheme="minorHAnsi"/>
          <w:spacing w:val="-1"/>
        </w:rPr>
        <w:t>FSAP</w:t>
      </w:r>
      <w:r w:rsidRPr="00DC050B">
        <w:rPr>
          <w:rFonts w:asciiTheme="minorHAnsi" w:hAnsiTheme="minorHAnsi" w:cstheme="minorHAnsi"/>
          <w:spacing w:val="-1"/>
        </w:rPr>
        <w:tab/>
      </w:r>
      <w:r w:rsidRPr="00DC050B">
        <w:rPr>
          <w:rFonts w:asciiTheme="minorHAnsi" w:hAnsiTheme="minorHAnsi" w:cstheme="minorHAnsi"/>
          <w:bCs/>
        </w:rPr>
        <w:t>Financial Sector Assessment Program</w:t>
      </w:r>
    </w:p>
    <w:p w14:paraId="5C855234" w14:textId="77777777" w:rsidR="007D4846" w:rsidRPr="006C66C2" w:rsidRDefault="007D4846"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DC050B">
        <w:rPr>
          <w:rFonts w:asciiTheme="minorHAnsi" w:hAnsiTheme="minorHAnsi" w:cstheme="minorHAnsi"/>
          <w:spacing w:val="-1"/>
        </w:rPr>
        <w:t>GD</w:t>
      </w:r>
      <w:r w:rsidRPr="00DC050B">
        <w:rPr>
          <w:rFonts w:asciiTheme="minorHAnsi" w:hAnsiTheme="minorHAnsi" w:cstheme="minorHAnsi"/>
        </w:rPr>
        <w:t>P</w:t>
      </w:r>
      <w:r w:rsidRPr="00DC050B">
        <w:rPr>
          <w:rFonts w:asciiTheme="minorHAnsi" w:hAnsiTheme="minorHAnsi" w:cstheme="minorHAnsi"/>
        </w:rPr>
        <w:tab/>
      </w:r>
      <w:r w:rsidRPr="00DC050B">
        <w:rPr>
          <w:rFonts w:asciiTheme="minorHAnsi" w:hAnsiTheme="minorHAnsi" w:cstheme="minorHAnsi"/>
          <w:spacing w:val="-1"/>
        </w:rPr>
        <w:t>G</w:t>
      </w:r>
      <w:r w:rsidRPr="006C66C2">
        <w:rPr>
          <w:rFonts w:asciiTheme="minorHAnsi" w:hAnsiTheme="minorHAnsi" w:cstheme="minorHAnsi"/>
          <w:spacing w:val="1"/>
        </w:rPr>
        <w:t>r</w:t>
      </w:r>
      <w:r w:rsidRPr="006C66C2">
        <w:rPr>
          <w:rFonts w:asciiTheme="minorHAnsi" w:hAnsiTheme="minorHAnsi" w:cstheme="minorHAnsi"/>
        </w:rPr>
        <w:t>oss</w:t>
      </w:r>
      <w:r w:rsidRPr="006C66C2">
        <w:rPr>
          <w:rFonts w:asciiTheme="minorHAnsi" w:hAnsiTheme="minorHAnsi" w:cstheme="minorHAnsi"/>
          <w:spacing w:val="1"/>
        </w:rPr>
        <w:t xml:space="preserve"> </w:t>
      </w:r>
      <w:r w:rsidRPr="006C66C2">
        <w:rPr>
          <w:rFonts w:asciiTheme="minorHAnsi" w:hAnsiTheme="minorHAnsi" w:cstheme="minorHAnsi"/>
          <w:spacing w:val="-1"/>
        </w:rPr>
        <w:t>D</w:t>
      </w:r>
      <w:r w:rsidRPr="006C66C2">
        <w:rPr>
          <w:rFonts w:asciiTheme="minorHAnsi" w:hAnsiTheme="minorHAnsi" w:cstheme="minorHAnsi"/>
        </w:rPr>
        <w:t>o</w:t>
      </w:r>
      <w:r w:rsidRPr="006C66C2">
        <w:rPr>
          <w:rFonts w:asciiTheme="minorHAnsi" w:hAnsiTheme="minorHAnsi" w:cstheme="minorHAnsi"/>
          <w:spacing w:val="-4"/>
        </w:rPr>
        <w:t>m</w:t>
      </w:r>
      <w:r w:rsidRPr="006C66C2">
        <w:rPr>
          <w:rFonts w:asciiTheme="minorHAnsi" w:hAnsiTheme="minorHAnsi" w:cstheme="minorHAnsi"/>
        </w:rPr>
        <w:t>es</w:t>
      </w:r>
      <w:r w:rsidRPr="006C66C2">
        <w:rPr>
          <w:rFonts w:asciiTheme="minorHAnsi" w:hAnsiTheme="minorHAnsi" w:cstheme="minorHAnsi"/>
          <w:spacing w:val="-1"/>
        </w:rPr>
        <w:t>t</w:t>
      </w:r>
      <w:r w:rsidRPr="006C66C2">
        <w:rPr>
          <w:rFonts w:asciiTheme="minorHAnsi" w:hAnsiTheme="minorHAnsi" w:cstheme="minorHAnsi"/>
          <w:spacing w:val="1"/>
        </w:rPr>
        <w:t>i</w:t>
      </w:r>
      <w:r w:rsidRPr="006C66C2">
        <w:rPr>
          <w:rFonts w:asciiTheme="minorHAnsi" w:hAnsiTheme="minorHAnsi" w:cstheme="minorHAnsi"/>
        </w:rPr>
        <w:t>c</w:t>
      </w:r>
      <w:r w:rsidRPr="006C66C2">
        <w:rPr>
          <w:rFonts w:asciiTheme="minorHAnsi" w:hAnsiTheme="minorHAnsi" w:cstheme="minorHAnsi"/>
          <w:spacing w:val="1"/>
        </w:rPr>
        <w:t xml:space="preserve"> </w:t>
      </w:r>
      <w:r w:rsidRPr="006C66C2">
        <w:rPr>
          <w:rFonts w:asciiTheme="minorHAnsi" w:hAnsiTheme="minorHAnsi" w:cstheme="minorHAnsi"/>
        </w:rPr>
        <w:t>P</w:t>
      </w:r>
      <w:r w:rsidRPr="006C66C2">
        <w:rPr>
          <w:rFonts w:asciiTheme="minorHAnsi" w:hAnsiTheme="minorHAnsi" w:cstheme="minorHAnsi"/>
          <w:spacing w:val="-2"/>
        </w:rPr>
        <w:t>r</w:t>
      </w:r>
      <w:r w:rsidRPr="006C66C2">
        <w:rPr>
          <w:rFonts w:asciiTheme="minorHAnsi" w:hAnsiTheme="minorHAnsi" w:cstheme="minorHAnsi"/>
        </w:rPr>
        <w:t>odu</w:t>
      </w:r>
      <w:r w:rsidRPr="006C66C2">
        <w:rPr>
          <w:rFonts w:asciiTheme="minorHAnsi" w:hAnsiTheme="minorHAnsi" w:cstheme="minorHAnsi"/>
          <w:spacing w:val="-2"/>
        </w:rPr>
        <w:t>c</w:t>
      </w:r>
      <w:r w:rsidRPr="006C66C2">
        <w:rPr>
          <w:rFonts w:asciiTheme="minorHAnsi" w:hAnsiTheme="minorHAnsi" w:cstheme="minorHAnsi"/>
        </w:rPr>
        <w:t>t</w:t>
      </w:r>
    </w:p>
    <w:p w14:paraId="01AF80DE" w14:textId="77777777" w:rsidR="007D4846" w:rsidRPr="00406280" w:rsidRDefault="007D4846"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406280">
        <w:rPr>
          <w:rFonts w:asciiTheme="minorHAnsi" w:hAnsiTheme="minorHAnsi" w:cstheme="minorHAnsi"/>
          <w:spacing w:val="-2"/>
        </w:rPr>
        <w:t>I</w:t>
      </w:r>
      <w:r w:rsidRPr="00406280">
        <w:rPr>
          <w:rFonts w:asciiTheme="minorHAnsi" w:hAnsiTheme="minorHAnsi" w:cstheme="minorHAnsi"/>
          <w:spacing w:val="-1"/>
        </w:rPr>
        <w:t>D</w:t>
      </w:r>
      <w:r w:rsidRPr="00406280">
        <w:rPr>
          <w:rFonts w:asciiTheme="minorHAnsi" w:hAnsiTheme="minorHAnsi" w:cstheme="minorHAnsi"/>
        </w:rPr>
        <w:t>A</w:t>
      </w:r>
      <w:r w:rsidRPr="00406280">
        <w:rPr>
          <w:rFonts w:asciiTheme="minorHAnsi" w:hAnsiTheme="minorHAnsi" w:cstheme="minorHAnsi"/>
        </w:rPr>
        <w:tab/>
      </w:r>
      <w:r w:rsidRPr="00406280">
        <w:rPr>
          <w:rFonts w:asciiTheme="minorHAnsi" w:hAnsiTheme="minorHAnsi" w:cstheme="minorHAnsi"/>
          <w:spacing w:val="-4"/>
        </w:rPr>
        <w:t>I</w:t>
      </w:r>
      <w:r w:rsidRPr="00406280">
        <w:rPr>
          <w:rFonts w:asciiTheme="minorHAnsi" w:hAnsiTheme="minorHAnsi" w:cstheme="minorHAnsi"/>
        </w:rPr>
        <w:t>n</w:t>
      </w:r>
      <w:r w:rsidRPr="00406280">
        <w:rPr>
          <w:rFonts w:asciiTheme="minorHAnsi" w:hAnsiTheme="minorHAnsi" w:cstheme="minorHAnsi"/>
          <w:spacing w:val="1"/>
        </w:rPr>
        <w:t>t</w:t>
      </w:r>
      <w:r w:rsidRPr="00406280">
        <w:rPr>
          <w:rFonts w:asciiTheme="minorHAnsi" w:hAnsiTheme="minorHAnsi" w:cstheme="minorHAnsi"/>
        </w:rPr>
        <w:t>e</w:t>
      </w:r>
      <w:r w:rsidRPr="00406280">
        <w:rPr>
          <w:rFonts w:asciiTheme="minorHAnsi" w:hAnsiTheme="minorHAnsi" w:cstheme="minorHAnsi"/>
          <w:spacing w:val="1"/>
        </w:rPr>
        <w:t>r</w:t>
      </w:r>
      <w:r w:rsidRPr="00406280">
        <w:rPr>
          <w:rFonts w:asciiTheme="minorHAnsi" w:hAnsiTheme="minorHAnsi" w:cstheme="minorHAnsi"/>
        </w:rPr>
        <w:t>na</w:t>
      </w:r>
      <w:r w:rsidRPr="00406280">
        <w:rPr>
          <w:rFonts w:asciiTheme="minorHAnsi" w:hAnsiTheme="minorHAnsi" w:cstheme="minorHAnsi"/>
          <w:spacing w:val="-1"/>
        </w:rPr>
        <w:t>t</w:t>
      </w:r>
      <w:r w:rsidRPr="00406280">
        <w:rPr>
          <w:rFonts w:asciiTheme="minorHAnsi" w:hAnsiTheme="minorHAnsi" w:cstheme="minorHAnsi"/>
          <w:spacing w:val="1"/>
        </w:rPr>
        <w:t>i</w:t>
      </w:r>
      <w:r w:rsidRPr="00406280">
        <w:rPr>
          <w:rFonts w:asciiTheme="minorHAnsi" w:hAnsiTheme="minorHAnsi" w:cstheme="minorHAnsi"/>
        </w:rPr>
        <w:t>on</w:t>
      </w:r>
      <w:r w:rsidRPr="00406280">
        <w:rPr>
          <w:rFonts w:asciiTheme="minorHAnsi" w:hAnsiTheme="minorHAnsi" w:cstheme="minorHAnsi"/>
          <w:spacing w:val="-2"/>
        </w:rPr>
        <w:t>a</w:t>
      </w:r>
      <w:r w:rsidRPr="00406280">
        <w:rPr>
          <w:rFonts w:asciiTheme="minorHAnsi" w:hAnsiTheme="minorHAnsi" w:cstheme="minorHAnsi"/>
        </w:rPr>
        <w:t>l</w:t>
      </w:r>
      <w:r w:rsidRPr="00406280">
        <w:rPr>
          <w:rFonts w:asciiTheme="minorHAnsi" w:hAnsiTheme="minorHAnsi" w:cstheme="minorHAnsi"/>
          <w:spacing w:val="1"/>
        </w:rPr>
        <w:t xml:space="preserve"> </w:t>
      </w:r>
      <w:r w:rsidRPr="00406280">
        <w:rPr>
          <w:rFonts w:asciiTheme="minorHAnsi" w:hAnsiTheme="minorHAnsi" w:cstheme="minorHAnsi"/>
          <w:spacing w:val="-1"/>
        </w:rPr>
        <w:t>D</w:t>
      </w:r>
      <w:r w:rsidRPr="00406280">
        <w:rPr>
          <w:rFonts w:asciiTheme="minorHAnsi" w:hAnsiTheme="minorHAnsi" w:cstheme="minorHAnsi"/>
        </w:rPr>
        <w:t>e</w:t>
      </w:r>
      <w:r w:rsidRPr="00406280">
        <w:rPr>
          <w:rFonts w:asciiTheme="minorHAnsi" w:hAnsiTheme="minorHAnsi" w:cstheme="minorHAnsi"/>
          <w:spacing w:val="-2"/>
        </w:rPr>
        <w:t>v</w:t>
      </w:r>
      <w:r w:rsidRPr="00406280">
        <w:rPr>
          <w:rFonts w:asciiTheme="minorHAnsi" w:hAnsiTheme="minorHAnsi" w:cstheme="minorHAnsi"/>
        </w:rPr>
        <w:t>e</w:t>
      </w:r>
      <w:r w:rsidRPr="00406280">
        <w:rPr>
          <w:rFonts w:asciiTheme="minorHAnsi" w:hAnsiTheme="minorHAnsi" w:cstheme="minorHAnsi"/>
          <w:spacing w:val="1"/>
        </w:rPr>
        <w:t>l</w:t>
      </w:r>
      <w:r w:rsidRPr="00406280">
        <w:rPr>
          <w:rFonts w:asciiTheme="minorHAnsi" w:hAnsiTheme="minorHAnsi" w:cstheme="minorHAnsi"/>
        </w:rPr>
        <w:t>op</w:t>
      </w:r>
      <w:r w:rsidRPr="00406280">
        <w:rPr>
          <w:rFonts w:asciiTheme="minorHAnsi" w:hAnsiTheme="minorHAnsi" w:cstheme="minorHAnsi"/>
          <w:spacing w:val="-4"/>
        </w:rPr>
        <w:t>m</w:t>
      </w:r>
      <w:r w:rsidRPr="00406280">
        <w:rPr>
          <w:rFonts w:asciiTheme="minorHAnsi" w:hAnsiTheme="minorHAnsi" w:cstheme="minorHAnsi"/>
        </w:rPr>
        <w:t>ent</w:t>
      </w:r>
      <w:r w:rsidRPr="00406280">
        <w:rPr>
          <w:rFonts w:asciiTheme="minorHAnsi" w:hAnsiTheme="minorHAnsi" w:cstheme="minorHAnsi"/>
          <w:spacing w:val="-1"/>
        </w:rPr>
        <w:t xml:space="preserve"> A</w:t>
      </w:r>
      <w:r w:rsidRPr="00406280">
        <w:rPr>
          <w:rFonts w:asciiTheme="minorHAnsi" w:hAnsiTheme="minorHAnsi" w:cstheme="minorHAnsi"/>
        </w:rPr>
        <w:t>sso</w:t>
      </w:r>
      <w:r w:rsidRPr="00406280">
        <w:rPr>
          <w:rFonts w:asciiTheme="minorHAnsi" w:hAnsiTheme="minorHAnsi" w:cstheme="minorHAnsi"/>
          <w:spacing w:val="-2"/>
        </w:rPr>
        <w:t>c</w:t>
      </w:r>
      <w:r w:rsidRPr="00406280">
        <w:rPr>
          <w:rFonts w:asciiTheme="minorHAnsi" w:hAnsiTheme="minorHAnsi" w:cstheme="minorHAnsi"/>
          <w:spacing w:val="1"/>
        </w:rPr>
        <w:t>i</w:t>
      </w:r>
      <w:r w:rsidRPr="00406280">
        <w:rPr>
          <w:rFonts w:asciiTheme="minorHAnsi" w:hAnsiTheme="minorHAnsi" w:cstheme="minorHAnsi"/>
        </w:rPr>
        <w:t>a</w:t>
      </w:r>
      <w:r w:rsidRPr="00406280">
        <w:rPr>
          <w:rFonts w:asciiTheme="minorHAnsi" w:hAnsiTheme="minorHAnsi" w:cstheme="minorHAnsi"/>
          <w:spacing w:val="-1"/>
        </w:rPr>
        <w:t>t</w:t>
      </w:r>
      <w:r w:rsidRPr="00406280">
        <w:rPr>
          <w:rFonts w:asciiTheme="minorHAnsi" w:hAnsiTheme="minorHAnsi" w:cstheme="minorHAnsi"/>
          <w:spacing w:val="1"/>
        </w:rPr>
        <w:t>i</w:t>
      </w:r>
      <w:r w:rsidRPr="00406280">
        <w:rPr>
          <w:rFonts w:asciiTheme="minorHAnsi" w:hAnsiTheme="minorHAnsi" w:cstheme="minorHAnsi"/>
        </w:rPr>
        <w:t>on</w:t>
      </w:r>
    </w:p>
    <w:p w14:paraId="44EF6E4F" w14:textId="77777777" w:rsidR="007D4846" w:rsidRPr="00406280" w:rsidRDefault="007D4846" w:rsidP="00A860B6">
      <w:pPr>
        <w:widowControl w:val="0"/>
        <w:tabs>
          <w:tab w:val="left" w:pos="1440"/>
        </w:tabs>
        <w:autoSpaceDE w:val="0"/>
        <w:autoSpaceDN w:val="0"/>
        <w:adjustRightInd w:val="0"/>
        <w:spacing w:before="4" w:after="0" w:line="242" w:lineRule="auto"/>
        <w:ind w:left="106" w:right="763"/>
        <w:rPr>
          <w:rFonts w:asciiTheme="minorHAnsi" w:hAnsiTheme="minorHAnsi" w:cstheme="minorHAnsi"/>
          <w:spacing w:val="-4"/>
        </w:rPr>
      </w:pPr>
      <w:r w:rsidRPr="00406280">
        <w:rPr>
          <w:rFonts w:asciiTheme="minorHAnsi" w:hAnsiTheme="minorHAnsi" w:cstheme="minorHAnsi"/>
          <w:spacing w:val="-4"/>
        </w:rPr>
        <w:t>IEG</w:t>
      </w:r>
      <w:r w:rsidRPr="00406280">
        <w:rPr>
          <w:rFonts w:asciiTheme="minorHAnsi" w:hAnsiTheme="minorHAnsi" w:cstheme="minorHAnsi"/>
          <w:spacing w:val="-4"/>
        </w:rPr>
        <w:tab/>
        <w:t>Independent Evaluation Group</w:t>
      </w:r>
    </w:p>
    <w:p w14:paraId="3067A63E" w14:textId="77777777" w:rsidR="007D4846" w:rsidRPr="0085470E" w:rsidRDefault="007D4846" w:rsidP="00A860B6">
      <w:pPr>
        <w:widowControl w:val="0"/>
        <w:tabs>
          <w:tab w:val="left" w:pos="1440"/>
        </w:tabs>
        <w:autoSpaceDE w:val="0"/>
        <w:autoSpaceDN w:val="0"/>
        <w:adjustRightInd w:val="0"/>
        <w:spacing w:before="4" w:after="0" w:line="242" w:lineRule="auto"/>
        <w:ind w:left="106" w:right="763"/>
        <w:rPr>
          <w:rFonts w:asciiTheme="minorHAnsi" w:hAnsiTheme="minorHAnsi" w:cstheme="minorHAnsi"/>
        </w:rPr>
      </w:pPr>
      <w:r w:rsidRPr="00406280">
        <w:rPr>
          <w:rFonts w:asciiTheme="minorHAnsi" w:hAnsiTheme="minorHAnsi" w:cstheme="minorHAnsi"/>
          <w:spacing w:val="-4"/>
        </w:rPr>
        <w:t>I</w:t>
      </w:r>
      <w:r w:rsidRPr="00406280">
        <w:rPr>
          <w:rFonts w:asciiTheme="minorHAnsi" w:hAnsiTheme="minorHAnsi" w:cstheme="minorHAnsi"/>
        </w:rPr>
        <w:t>MF</w:t>
      </w:r>
      <w:r w:rsidRPr="00406280">
        <w:rPr>
          <w:rFonts w:asciiTheme="minorHAnsi" w:hAnsiTheme="minorHAnsi" w:cstheme="minorHAnsi"/>
        </w:rPr>
        <w:tab/>
      </w:r>
      <w:r w:rsidRPr="00406280">
        <w:rPr>
          <w:rFonts w:asciiTheme="minorHAnsi" w:hAnsiTheme="minorHAnsi" w:cstheme="minorHAnsi"/>
          <w:spacing w:val="-4"/>
        </w:rPr>
        <w:t>I</w:t>
      </w:r>
      <w:r w:rsidRPr="00406280">
        <w:rPr>
          <w:rFonts w:asciiTheme="minorHAnsi" w:hAnsiTheme="minorHAnsi" w:cstheme="minorHAnsi"/>
        </w:rPr>
        <w:t>n</w:t>
      </w:r>
      <w:r w:rsidRPr="00406280">
        <w:rPr>
          <w:rFonts w:asciiTheme="minorHAnsi" w:hAnsiTheme="minorHAnsi" w:cstheme="minorHAnsi"/>
          <w:spacing w:val="1"/>
        </w:rPr>
        <w:t>t</w:t>
      </w:r>
      <w:r w:rsidRPr="00601B29">
        <w:rPr>
          <w:rFonts w:asciiTheme="minorHAnsi" w:hAnsiTheme="minorHAnsi" w:cstheme="minorHAnsi"/>
        </w:rPr>
        <w:t>e</w:t>
      </w:r>
      <w:r w:rsidRPr="00601B29">
        <w:rPr>
          <w:rFonts w:asciiTheme="minorHAnsi" w:hAnsiTheme="minorHAnsi" w:cstheme="minorHAnsi"/>
          <w:spacing w:val="1"/>
        </w:rPr>
        <w:t>r</w:t>
      </w:r>
      <w:r w:rsidRPr="00601B29">
        <w:rPr>
          <w:rFonts w:asciiTheme="minorHAnsi" w:hAnsiTheme="minorHAnsi" w:cstheme="minorHAnsi"/>
        </w:rPr>
        <w:t>na</w:t>
      </w:r>
      <w:r w:rsidRPr="00601B29">
        <w:rPr>
          <w:rFonts w:asciiTheme="minorHAnsi" w:hAnsiTheme="minorHAnsi" w:cstheme="minorHAnsi"/>
          <w:spacing w:val="1"/>
        </w:rPr>
        <w:t>t</w:t>
      </w:r>
      <w:r w:rsidRPr="00601B29">
        <w:rPr>
          <w:rFonts w:asciiTheme="minorHAnsi" w:hAnsiTheme="minorHAnsi" w:cstheme="minorHAnsi"/>
          <w:spacing w:val="-1"/>
        </w:rPr>
        <w:t>i</w:t>
      </w:r>
      <w:r w:rsidRPr="00601B29">
        <w:rPr>
          <w:rFonts w:asciiTheme="minorHAnsi" w:hAnsiTheme="minorHAnsi" w:cstheme="minorHAnsi"/>
        </w:rPr>
        <w:t>on</w:t>
      </w:r>
      <w:r w:rsidRPr="00601B29">
        <w:rPr>
          <w:rFonts w:asciiTheme="minorHAnsi" w:hAnsiTheme="minorHAnsi" w:cstheme="minorHAnsi"/>
          <w:spacing w:val="-2"/>
        </w:rPr>
        <w:t>a</w:t>
      </w:r>
      <w:r w:rsidRPr="00601B29">
        <w:rPr>
          <w:rFonts w:asciiTheme="minorHAnsi" w:hAnsiTheme="minorHAnsi" w:cstheme="minorHAnsi"/>
        </w:rPr>
        <w:t>l</w:t>
      </w:r>
      <w:r w:rsidRPr="00C02CBF">
        <w:rPr>
          <w:rFonts w:asciiTheme="minorHAnsi" w:hAnsiTheme="minorHAnsi" w:cstheme="minorHAnsi"/>
          <w:spacing w:val="1"/>
        </w:rPr>
        <w:t xml:space="preserve"> </w:t>
      </w:r>
      <w:r w:rsidRPr="00C02CBF">
        <w:rPr>
          <w:rFonts w:asciiTheme="minorHAnsi" w:hAnsiTheme="minorHAnsi" w:cstheme="minorHAnsi"/>
        </w:rPr>
        <w:t>M</w:t>
      </w:r>
      <w:r w:rsidRPr="003035AE">
        <w:rPr>
          <w:rFonts w:asciiTheme="minorHAnsi" w:hAnsiTheme="minorHAnsi" w:cstheme="minorHAnsi"/>
          <w:spacing w:val="-2"/>
        </w:rPr>
        <w:t>o</w:t>
      </w:r>
      <w:r w:rsidRPr="003035AE">
        <w:rPr>
          <w:rFonts w:asciiTheme="minorHAnsi" w:hAnsiTheme="minorHAnsi" w:cstheme="minorHAnsi"/>
        </w:rPr>
        <w:t>ne</w:t>
      </w:r>
      <w:r w:rsidRPr="003035AE">
        <w:rPr>
          <w:rFonts w:asciiTheme="minorHAnsi" w:hAnsiTheme="minorHAnsi" w:cstheme="minorHAnsi"/>
          <w:spacing w:val="-1"/>
        </w:rPr>
        <w:t>t</w:t>
      </w:r>
      <w:r w:rsidRPr="003035AE">
        <w:rPr>
          <w:rFonts w:asciiTheme="minorHAnsi" w:hAnsiTheme="minorHAnsi" w:cstheme="minorHAnsi"/>
        </w:rPr>
        <w:t>a</w:t>
      </w:r>
      <w:r w:rsidRPr="0085470E">
        <w:rPr>
          <w:rFonts w:asciiTheme="minorHAnsi" w:hAnsiTheme="minorHAnsi" w:cstheme="minorHAnsi"/>
          <w:spacing w:val="1"/>
        </w:rPr>
        <w:t>r</w:t>
      </w:r>
      <w:r w:rsidRPr="0085470E">
        <w:rPr>
          <w:rFonts w:asciiTheme="minorHAnsi" w:hAnsiTheme="minorHAnsi" w:cstheme="minorHAnsi"/>
        </w:rPr>
        <w:t>y</w:t>
      </w:r>
      <w:r w:rsidRPr="0085470E">
        <w:rPr>
          <w:rFonts w:asciiTheme="minorHAnsi" w:hAnsiTheme="minorHAnsi" w:cstheme="minorHAnsi"/>
          <w:spacing w:val="-2"/>
        </w:rPr>
        <w:t xml:space="preserve"> </w:t>
      </w:r>
      <w:r w:rsidRPr="0085470E">
        <w:rPr>
          <w:rFonts w:asciiTheme="minorHAnsi" w:hAnsiTheme="minorHAnsi" w:cstheme="minorHAnsi"/>
        </w:rPr>
        <w:t>Fu</w:t>
      </w:r>
      <w:r w:rsidRPr="0085470E">
        <w:rPr>
          <w:rFonts w:asciiTheme="minorHAnsi" w:hAnsiTheme="minorHAnsi" w:cstheme="minorHAnsi"/>
          <w:spacing w:val="-2"/>
        </w:rPr>
        <w:t>n</w:t>
      </w:r>
      <w:r w:rsidRPr="0085470E">
        <w:rPr>
          <w:rFonts w:asciiTheme="minorHAnsi" w:hAnsiTheme="minorHAnsi" w:cstheme="minorHAnsi"/>
        </w:rPr>
        <w:t xml:space="preserve">d </w:t>
      </w:r>
    </w:p>
    <w:p w14:paraId="1A7901F6" w14:textId="28A99708" w:rsidR="007D4846" w:rsidRDefault="001D26F8" w:rsidP="00A860B6">
      <w:pPr>
        <w:widowControl w:val="0"/>
        <w:tabs>
          <w:tab w:val="left" w:pos="1440"/>
        </w:tabs>
        <w:autoSpaceDE w:val="0"/>
        <w:autoSpaceDN w:val="0"/>
        <w:adjustRightInd w:val="0"/>
        <w:spacing w:before="4" w:after="0" w:line="242" w:lineRule="auto"/>
        <w:ind w:left="106" w:right="40"/>
        <w:rPr>
          <w:rFonts w:asciiTheme="minorHAnsi" w:hAnsiTheme="minorHAnsi" w:cstheme="minorHAnsi"/>
        </w:rPr>
      </w:pPr>
      <w:r w:rsidRPr="00A20F63">
        <w:rPr>
          <w:rFonts w:asciiTheme="minorHAnsi" w:hAnsiTheme="minorHAnsi" w:cstheme="minorHAnsi"/>
        </w:rPr>
        <w:t>JIRAMA</w:t>
      </w:r>
      <w:r w:rsidR="007D4846" w:rsidRPr="00A20F63">
        <w:rPr>
          <w:rFonts w:asciiTheme="minorHAnsi" w:hAnsiTheme="minorHAnsi" w:cstheme="minorHAnsi"/>
        </w:rPr>
        <w:tab/>
      </w:r>
      <w:r w:rsidR="00A20F63" w:rsidRPr="006C4C8E">
        <w:rPr>
          <w:rFonts w:asciiTheme="minorHAnsi" w:hAnsiTheme="minorHAnsi" w:cstheme="minorHAnsi"/>
          <w:i/>
        </w:rPr>
        <w:t>Jiro sy Rano Malagasy</w:t>
      </w:r>
      <w:r w:rsidR="00A20F63" w:rsidRPr="00A20F63">
        <w:rPr>
          <w:rFonts w:asciiTheme="minorHAnsi" w:hAnsiTheme="minorHAnsi" w:cstheme="minorHAnsi"/>
        </w:rPr>
        <w:t xml:space="preserve"> </w:t>
      </w:r>
      <w:r w:rsidR="00A20F63">
        <w:rPr>
          <w:rFonts w:asciiTheme="minorHAnsi" w:hAnsiTheme="minorHAnsi" w:cstheme="minorHAnsi"/>
        </w:rPr>
        <w:t>(</w:t>
      </w:r>
      <w:r w:rsidR="007D4846" w:rsidRPr="00A20F63">
        <w:rPr>
          <w:rFonts w:asciiTheme="minorHAnsi" w:hAnsiTheme="minorHAnsi" w:cstheme="minorHAnsi"/>
        </w:rPr>
        <w:t>State-Owned Electricity and Water Company)</w:t>
      </w:r>
    </w:p>
    <w:p w14:paraId="0D13E86C" w14:textId="20DF5CF7" w:rsidR="000549F3" w:rsidRPr="00A20F63" w:rsidRDefault="000549F3" w:rsidP="00A860B6">
      <w:pPr>
        <w:widowControl w:val="0"/>
        <w:tabs>
          <w:tab w:val="left" w:pos="1440"/>
        </w:tabs>
        <w:autoSpaceDE w:val="0"/>
        <w:autoSpaceDN w:val="0"/>
        <w:adjustRightInd w:val="0"/>
        <w:spacing w:before="4" w:after="0" w:line="242" w:lineRule="auto"/>
        <w:ind w:left="106" w:right="40"/>
        <w:rPr>
          <w:rFonts w:asciiTheme="minorHAnsi" w:hAnsiTheme="minorHAnsi" w:cstheme="minorHAnsi"/>
        </w:rPr>
      </w:pPr>
      <w:r>
        <w:rPr>
          <w:rFonts w:asciiTheme="minorHAnsi" w:eastAsia="Calibri" w:hAnsiTheme="minorHAnsi" w:cstheme="minorHAnsi"/>
        </w:rPr>
        <w:t>k</w:t>
      </w:r>
      <w:r w:rsidRPr="00E36113">
        <w:rPr>
          <w:rFonts w:asciiTheme="minorHAnsi" w:eastAsia="Calibri" w:hAnsiTheme="minorHAnsi" w:cstheme="minorHAnsi"/>
        </w:rPr>
        <w:t>W</w:t>
      </w:r>
      <w:r>
        <w:rPr>
          <w:rFonts w:asciiTheme="minorHAnsi" w:eastAsia="Calibri" w:hAnsiTheme="minorHAnsi" w:cstheme="minorHAnsi"/>
        </w:rPr>
        <w:t>.</w:t>
      </w:r>
      <w:r w:rsidRPr="00E36113">
        <w:rPr>
          <w:rFonts w:asciiTheme="minorHAnsi" w:eastAsia="Calibri" w:hAnsiTheme="minorHAnsi" w:cstheme="minorHAnsi"/>
        </w:rPr>
        <w:t>h</w:t>
      </w:r>
      <w:r>
        <w:rPr>
          <w:rFonts w:asciiTheme="minorHAnsi" w:eastAsia="Calibri" w:hAnsiTheme="minorHAnsi" w:cstheme="minorHAnsi"/>
        </w:rPr>
        <w:tab/>
        <w:t>Kilowatt hour</w:t>
      </w:r>
    </w:p>
    <w:p w14:paraId="192D291B" w14:textId="5B3521F2" w:rsidR="006F4D33" w:rsidRDefault="006F4D33" w:rsidP="00A860B6">
      <w:pPr>
        <w:widowControl w:val="0"/>
        <w:tabs>
          <w:tab w:val="left" w:pos="1440"/>
        </w:tabs>
        <w:autoSpaceDE w:val="0"/>
        <w:autoSpaceDN w:val="0"/>
        <w:adjustRightInd w:val="0"/>
        <w:spacing w:before="1" w:after="0" w:line="240" w:lineRule="auto"/>
        <w:ind w:left="106" w:right="-20"/>
        <w:rPr>
          <w:rFonts w:asciiTheme="minorHAnsi" w:hAnsiTheme="minorHAnsi" w:cstheme="minorHAnsi"/>
        </w:rPr>
      </w:pPr>
      <w:r>
        <w:rPr>
          <w:rFonts w:asciiTheme="minorHAnsi" w:hAnsiTheme="minorHAnsi" w:cstheme="minorHAnsi"/>
        </w:rPr>
        <w:t>MDB</w:t>
      </w:r>
      <w:r>
        <w:rPr>
          <w:rFonts w:asciiTheme="minorHAnsi" w:hAnsiTheme="minorHAnsi" w:cstheme="minorHAnsi"/>
        </w:rPr>
        <w:tab/>
      </w:r>
      <w:r w:rsidRPr="006C66C2">
        <w:rPr>
          <w:rFonts w:asciiTheme="minorHAnsi" w:hAnsiTheme="minorHAnsi" w:cstheme="minorHAnsi"/>
        </w:rPr>
        <w:t>Multilateral Development Bank</w:t>
      </w:r>
    </w:p>
    <w:p w14:paraId="2F4D07EB" w14:textId="7BC6EADD" w:rsidR="007D4846" w:rsidRPr="00406280" w:rsidRDefault="007D4846" w:rsidP="00A860B6">
      <w:pPr>
        <w:widowControl w:val="0"/>
        <w:tabs>
          <w:tab w:val="left" w:pos="1440"/>
        </w:tabs>
        <w:autoSpaceDE w:val="0"/>
        <w:autoSpaceDN w:val="0"/>
        <w:adjustRightInd w:val="0"/>
        <w:spacing w:before="1" w:after="0" w:line="240" w:lineRule="auto"/>
        <w:ind w:left="106" w:right="-20"/>
        <w:rPr>
          <w:rFonts w:asciiTheme="minorHAnsi" w:hAnsiTheme="minorHAnsi" w:cstheme="minorHAnsi"/>
        </w:rPr>
      </w:pPr>
      <w:r w:rsidRPr="00406280">
        <w:rPr>
          <w:rFonts w:asciiTheme="minorHAnsi" w:hAnsiTheme="minorHAnsi" w:cstheme="minorHAnsi"/>
        </w:rPr>
        <w:t>MFB</w:t>
      </w:r>
      <w:r w:rsidRPr="00406280">
        <w:rPr>
          <w:rFonts w:asciiTheme="minorHAnsi" w:hAnsiTheme="minorHAnsi" w:cstheme="minorHAnsi"/>
        </w:rPr>
        <w:tab/>
        <w:t>M</w:t>
      </w:r>
      <w:r w:rsidRPr="00406280">
        <w:rPr>
          <w:rFonts w:asciiTheme="minorHAnsi" w:hAnsiTheme="minorHAnsi" w:cstheme="minorHAnsi"/>
          <w:spacing w:val="1"/>
        </w:rPr>
        <w:t>i</w:t>
      </w:r>
      <w:r w:rsidRPr="00406280">
        <w:rPr>
          <w:rFonts w:asciiTheme="minorHAnsi" w:hAnsiTheme="minorHAnsi" w:cstheme="minorHAnsi"/>
          <w:spacing w:val="-2"/>
        </w:rPr>
        <w:t>n</w:t>
      </w:r>
      <w:r w:rsidRPr="00406280">
        <w:rPr>
          <w:rFonts w:asciiTheme="minorHAnsi" w:hAnsiTheme="minorHAnsi" w:cstheme="minorHAnsi"/>
          <w:spacing w:val="1"/>
        </w:rPr>
        <w:t>i</w:t>
      </w:r>
      <w:r w:rsidRPr="00406280">
        <w:rPr>
          <w:rFonts w:asciiTheme="minorHAnsi" w:hAnsiTheme="minorHAnsi" w:cstheme="minorHAnsi"/>
          <w:spacing w:val="-2"/>
        </w:rPr>
        <w:t>s</w:t>
      </w:r>
      <w:r w:rsidRPr="00406280">
        <w:rPr>
          <w:rFonts w:asciiTheme="minorHAnsi" w:hAnsiTheme="minorHAnsi" w:cstheme="minorHAnsi"/>
          <w:spacing w:val="1"/>
        </w:rPr>
        <w:t>tr</w:t>
      </w:r>
      <w:r w:rsidRPr="00406280">
        <w:rPr>
          <w:rFonts w:asciiTheme="minorHAnsi" w:hAnsiTheme="minorHAnsi" w:cstheme="minorHAnsi"/>
        </w:rPr>
        <w:t>y</w:t>
      </w:r>
      <w:r w:rsidRPr="00406280">
        <w:rPr>
          <w:rFonts w:asciiTheme="minorHAnsi" w:hAnsiTheme="minorHAnsi" w:cstheme="minorHAnsi"/>
          <w:spacing w:val="-2"/>
        </w:rPr>
        <w:t xml:space="preserve"> </w:t>
      </w:r>
      <w:r w:rsidRPr="00406280">
        <w:rPr>
          <w:rFonts w:asciiTheme="minorHAnsi" w:hAnsiTheme="minorHAnsi" w:cstheme="minorHAnsi"/>
        </w:rPr>
        <w:t>of</w:t>
      </w:r>
      <w:r w:rsidRPr="00406280">
        <w:rPr>
          <w:rFonts w:asciiTheme="minorHAnsi" w:hAnsiTheme="minorHAnsi" w:cstheme="minorHAnsi"/>
          <w:spacing w:val="1"/>
        </w:rPr>
        <w:t xml:space="preserve"> </w:t>
      </w:r>
      <w:r w:rsidRPr="00406280">
        <w:rPr>
          <w:rFonts w:asciiTheme="minorHAnsi" w:hAnsiTheme="minorHAnsi" w:cstheme="minorHAnsi"/>
          <w:spacing w:val="-3"/>
        </w:rPr>
        <w:t>F</w:t>
      </w:r>
      <w:r w:rsidRPr="00406280">
        <w:rPr>
          <w:rFonts w:asciiTheme="minorHAnsi" w:hAnsiTheme="minorHAnsi" w:cstheme="minorHAnsi"/>
          <w:spacing w:val="1"/>
        </w:rPr>
        <w:t>i</w:t>
      </w:r>
      <w:r w:rsidRPr="00406280">
        <w:rPr>
          <w:rFonts w:asciiTheme="minorHAnsi" w:hAnsiTheme="minorHAnsi" w:cstheme="minorHAnsi"/>
        </w:rPr>
        <w:t>nan</w:t>
      </w:r>
      <w:r w:rsidRPr="00406280">
        <w:rPr>
          <w:rFonts w:asciiTheme="minorHAnsi" w:hAnsiTheme="minorHAnsi" w:cstheme="minorHAnsi"/>
          <w:spacing w:val="-2"/>
        </w:rPr>
        <w:t>c</w:t>
      </w:r>
      <w:r w:rsidRPr="00406280">
        <w:rPr>
          <w:rFonts w:asciiTheme="minorHAnsi" w:hAnsiTheme="minorHAnsi" w:cstheme="minorHAnsi"/>
        </w:rPr>
        <w:t>e and Budget</w:t>
      </w:r>
    </w:p>
    <w:p w14:paraId="39359C23" w14:textId="3A6C01B1" w:rsidR="00D34525" w:rsidRPr="00406280" w:rsidRDefault="00D34525" w:rsidP="00A860B6">
      <w:pPr>
        <w:widowControl w:val="0"/>
        <w:tabs>
          <w:tab w:val="left" w:pos="1440"/>
        </w:tabs>
        <w:autoSpaceDE w:val="0"/>
        <w:autoSpaceDN w:val="0"/>
        <w:adjustRightInd w:val="0"/>
        <w:spacing w:before="1" w:after="0" w:line="240" w:lineRule="auto"/>
        <w:ind w:left="106" w:right="-20"/>
        <w:rPr>
          <w:rFonts w:asciiTheme="minorHAnsi" w:hAnsiTheme="minorHAnsi" w:cstheme="minorHAnsi"/>
        </w:rPr>
      </w:pPr>
      <w:r w:rsidRPr="00406280">
        <w:rPr>
          <w:rFonts w:asciiTheme="minorHAnsi" w:hAnsiTheme="minorHAnsi" w:cstheme="minorHAnsi"/>
        </w:rPr>
        <w:t>MGA</w:t>
      </w:r>
      <w:r w:rsidRPr="00406280">
        <w:rPr>
          <w:rFonts w:asciiTheme="minorHAnsi" w:hAnsiTheme="minorHAnsi" w:cstheme="minorHAnsi"/>
        </w:rPr>
        <w:tab/>
        <w:t xml:space="preserve">Malagasy </w:t>
      </w:r>
      <w:r w:rsidR="00FC2014">
        <w:rPr>
          <w:rFonts w:asciiTheme="minorHAnsi" w:hAnsiTheme="minorHAnsi" w:cstheme="minorHAnsi"/>
        </w:rPr>
        <w:t>Ariary</w:t>
      </w:r>
    </w:p>
    <w:p w14:paraId="0143A763" w14:textId="77777777" w:rsidR="007D4846" w:rsidRPr="0085470E" w:rsidRDefault="007D4846"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85470E">
        <w:rPr>
          <w:rFonts w:asciiTheme="minorHAnsi" w:hAnsiTheme="minorHAnsi" w:cstheme="minorHAnsi"/>
        </w:rPr>
        <w:t>NDP</w:t>
      </w:r>
      <w:r w:rsidRPr="0085470E">
        <w:rPr>
          <w:rFonts w:asciiTheme="minorHAnsi" w:hAnsiTheme="minorHAnsi" w:cstheme="minorHAnsi"/>
        </w:rPr>
        <w:tab/>
        <w:t>National Development Plan</w:t>
      </w:r>
    </w:p>
    <w:p w14:paraId="1B792874" w14:textId="77777777" w:rsidR="00EF230D" w:rsidRPr="00A20F63" w:rsidRDefault="00EF230D"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E36113">
        <w:rPr>
          <w:rFonts w:asciiTheme="minorHAnsi" w:hAnsiTheme="minorHAnsi" w:cstheme="minorHAnsi"/>
        </w:rPr>
        <w:t>NEO</w:t>
      </w:r>
      <w:r w:rsidRPr="00E36113">
        <w:rPr>
          <w:rFonts w:asciiTheme="minorHAnsi" w:hAnsiTheme="minorHAnsi" w:cstheme="minorHAnsi"/>
        </w:rPr>
        <w:tab/>
        <w:t>National Environment Office</w:t>
      </w:r>
    </w:p>
    <w:p w14:paraId="0552136F" w14:textId="574605E3" w:rsidR="00C36D49" w:rsidRDefault="00C36D49"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Pr>
          <w:rFonts w:asciiTheme="minorHAnsi" w:hAnsiTheme="minorHAnsi" w:cstheme="minorHAnsi"/>
        </w:rPr>
        <w:t>PA</w:t>
      </w:r>
      <w:r>
        <w:rPr>
          <w:rFonts w:asciiTheme="minorHAnsi" w:hAnsiTheme="minorHAnsi" w:cstheme="minorHAnsi"/>
        </w:rPr>
        <w:tab/>
        <w:t>Prior Action</w:t>
      </w:r>
    </w:p>
    <w:p w14:paraId="40AEA2F8" w14:textId="7E790F6F" w:rsidR="008E04AF" w:rsidRDefault="008E04AF"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Pr>
          <w:rFonts w:asciiTheme="minorHAnsi" w:hAnsiTheme="minorHAnsi" w:cstheme="minorHAnsi"/>
        </w:rPr>
        <w:t>PAP</w:t>
      </w:r>
      <w:r>
        <w:rPr>
          <w:rFonts w:asciiTheme="minorHAnsi" w:hAnsiTheme="minorHAnsi" w:cstheme="minorHAnsi"/>
        </w:rPr>
        <w:tab/>
      </w:r>
      <w:r w:rsidRPr="00E36113">
        <w:rPr>
          <w:rFonts w:asciiTheme="minorHAnsi" w:hAnsiTheme="minorHAnsi" w:cstheme="minorHAnsi"/>
        </w:rPr>
        <w:t>Priority Action Plan</w:t>
      </w:r>
    </w:p>
    <w:p w14:paraId="2BB37918" w14:textId="10F5CC63" w:rsidR="007D4846" w:rsidRPr="00406280" w:rsidRDefault="007D4846"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406280">
        <w:rPr>
          <w:rFonts w:asciiTheme="minorHAnsi" w:hAnsiTheme="minorHAnsi" w:cstheme="minorHAnsi"/>
        </w:rPr>
        <w:t>PEFA</w:t>
      </w:r>
      <w:r w:rsidRPr="00406280">
        <w:rPr>
          <w:rFonts w:asciiTheme="minorHAnsi" w:hAnsiTheme="minorHAnsi" w:cstheme="minorHAnsi"/>
        </w:rPr>
        <w:tab/>
        <w:t>Public Expenditure and Financial Accountability</w:t>
      </w:r>
    </w:p>
    <w:p w14:paraId="1F3953C7" w14:textId="77777777" w:rsidR="007D4846" w:rsidRPr="00406280" w:rsidRDefault="007D4846"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406280">
        <w:rPr>
          <w:rFonts w:asciiTheme="minorHAnsi" w:hAnsiTheme="minorHAnsi" w:cstheme="minorHAnsi"/>
        </w:rPr>
        <w:t>PFM</w:t>
      </w:r>
      <w:r w:rsidRPr="00406280">
        <w:rPr>
          <w:rFonts w:asciiTheme="minorHAnsi" w:hAnsiTheme="minorHAnsi" w:cstheme="minorHAnsi"/>
        </w:rPr>
        <w:tab/>
        <w:t xml:space="preserve">Public Finance Management </w:t>
      </w:r>
    </w:p>
    <w:p w14:paraId="75A6DCBB" w14:textId="77777777" w:rsidR="0088621F" w:rsidRDefault="0088621F"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Pr>
          <w:rFonts w:asciiTheme="minorHAnsi" w:hAnsiTheme="minorHAnsi" w:cstheme="minorHAnsi"/>
        </w:rPr>
        <w:t>PFSI</w:t>
      </w:r>
      <w:r>
        <w:rPr>
          <w:rFonts w:asciiTheme="minorHAnsi" w:hAnsiTheme="minorHAnsi" w:cstheme="minorHAnsi"/>
        </w:rPr>
        <w:tab/>
        <w:t>Public Finance Sustainability and Investment</w:t>
      </w:r>
    </w:p>
    <w:p w14:paraId="754FCCC3" w14:textId="7F47842E" w:rsidR="00FA4B71" w:rsidRPr="00601B29" w:rsidRDefault="00FA4B71"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601B29">
        <w:rPr>
          <w:rFonts w:asciiTheme="minorHAnsi" w:hAnsiTheme="minorHAnsi" w:cstheme="minorHAnsi"/>
        </w:rPr>
        <w:t>PIM</w:t>
      </w:r>
      <w:r w:rsidRPr="00601B29">
        <w:rPr>
          <w:rFonts w:asciiTheme="minorHAnsi" w:hAnsiTheme="minorHAnsi" w:cstheme="minorHAnsi"/>
        </w:rPr>
        <w:tab/>
        <w:t>Public Investment management</w:t>
      </w:r>
    </w:p>
    <w:p w14:paraId="116F3C05" w14:textId="77777777" w:rsidR="007D4846" w:rsidRPr="0085470E" w:rsidRDefault="007D4846"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85470E">
        <w:rPr>
          <w:rFonts w:asciiTheme="minorHAnsi" w:hAnsiTheme="minorHAnsi" w:cstheme="minorHAnsi"/>
        </w:rPr>
        <w:t>PPP</w:t>
      </w:r>
      <w:r w:rsidRPr="0085470E">
        <w:rPr>
          <w:rFonts w:asciiTheme="minorHAnsi" w:hAnsiTheme="minorHAnsi" w:cstheme="minorHAnsi"/>
        </w:rPr>
        <w:tab/>
        <w:t>P</w:t>
      </w:r>
      <w:r w:rsidR="001A6FFE" w:rsidRPr="0085470E">
        <w:rPr>
          <w:rFonts w:asciiTheme="minorHAnsi" w:hAnsiTheme="minorHAnsi" w:cstheme="minorHAnsi"/>
        </w:rPr>
        <w:t>ublic Private Partnership</w:t>
      </w:r>
    </w:p>
    <w:p w14:paraId="735E43EF" w14:textId="77777777" w:rsidR="007E148B" w:rsidRPr="00E36113" w:rsidRDefault="007E148B"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E36113">
        <w:rPr>
          <w:rFonts w:asciiTheme="minorHAnsi" w:hAnsiTheme="minorHAnsi" w:cstheme="minorHAnsi"/>
        </w:rPr>
        <w:t>PV</w:t>
      </w:r>
      <w:r w:rsidRPr="00E36113">
        <w:rPr>
          <w:rFonts w:asciiTheme="minorHAnsi" w:hAnsiTheme="minorHAnsi" w:cstheme="minorHAnsi"/>
        </w:rPr>
        <w:tab/>
        <w:t>Present Value</w:t>
      </w:r>
    </w:p>
    <w:p w14:paraId="026129E7" w14:textId="77777777" w:rsidR="007D4846" w:rsidRPr="00E36113" w:rsidRDefault="007D4846"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E36113">
        <w:rPr>
          <w:rFonts w:asciiTheme="minorHAnsi" w:hAnsiTheme="minorHAnsi" w:cstheme="minorHAnsi"/>
        </w:rPr>
        <w:t>RCF</w:t>
      </w:r>
      <w:r w:rsidRPr="00E36113">
        <w:rPr>
          <w:rFonts w:asciiTheme="minorHAnsi" w:hAnsiTheme="minorHAnsi" w:cstheme="minorHAnsi"/>
        </w:rPr>
        <w:tab/>
        <w:t>Rapid Credit Facility</w:t>
      </w:r>
    </w:p>
    <w:p w14:paraId="33C37CA4" w14:textId="77777777" w:rsidR="007D4846" w:rsidRPr="00E36113" w:rsidRDefault="007D4846"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E36113">
        <w:rPr>
          <w:rFonts w:asciiTheme="minorHAnsi" w:hAnsiTheme="minorHAnsi" w:cstheme="minorHAnsi"/>
        </w:rPr>
        <w:t>S</w:t>
      </w:r>
      <w:r w:rsidRPr="00E36113">
        <w:rPr>
          <w:rFonts w:asciiTheme="minorHAnsi" w:hAnsiTheme="minorHAnsi" w:cstheme="minorHAnsi"/>
          <w:spacing w:val="-1"/>
        </w:rPr>
        <w:t>D</w:t>
      </w:r>
      <w:r w:rsidRPr="00E36113">
        <w:rPr>
          <w:rFonts w:asciiTheme="minorHAnsi" w:hAnsiTheme="minorHAnsi" w:cstheme="minorHAnsi"/>
        </w:rPr>
        <w:t>R</w:t>
      </w:r>
      <w:r w:rsidRPr="00E36113">
        <w:rPr>
          <w:rFonts w:asciiTheme="minorHAnsi" w:hAnsiTheme="minorHAnsi" w:cstheme="minorHAnsi"/>
        </w:rPr>
        <w:tab/>
        <w:t>Spec</w:t>
      </w:r>
      <w:r w:rsidRPr="00E36113">
        <w:rPr>
          <w:rFonts w:asciiTheme="minorHAnsi" w:hAnsiTheme="minorHAnsi" w:cstheme="minorHAnsi"/>
          <w:spacing w:val="-1"/>
        </w:rPr>
        <w:t>i</w:t>
      </w:r>
      <w:r w:rsidRPr="00E36113">
        <w:rPr>
          <w:rFonts w:asciiTheme="minorHAnsi" w:hAnsiTheme="minorHAnsi" w:cstheme="minorHAnsi"/>
        </w:rPr>
        <w:t>al</w:t>
      </w:r>
      <w:r w:rsidRPr="00E36113">
        <w:rPr>
          <w:rFonts w:asciiTheme="minorHAnsi" w:hAnsiTheme="minorHAnsi" w:cstheme="minorHAnsi"/>
          <w:spacing w:val="1"/>
        </w:rPr>
        <w:t xml:space="preserve"> </w:t>
      </w:r>
      <w:r w:rsidRPr="00E36113">
        <w:rPr>
          <w:rFonts w:asciiTheme="minorHAnsi" w:hAnsiTheme="minorHAnsi" w:cstheme="minorHAnsi"/>
          <w:spacing w:val="-4"/>
        </w:rPr>
        <w:t>D</w:t>
      </w:r>
      <w:r w:rsidRPr="00E36113">
        <w:rPr>
          <w:rFonts w:asciiTheme="minorHAnsi" w:hAnsiTheme="minorHAnsi" w:cstheme="minorHAnsi"/>
          <w:spacing w:val="1"/>
        </w:rPr>
        <w:t>r</w:t>
      </w:r>
      <w:r w:rsidRPr="00E36113">
        <w:rPr>
          <w:rFonts w:asciiTheme="minorHAnsi" w:hAnsiTheme="minorHAnsi" w:cstheme="minorHAnsi"/>
        </w:rPr>
        <w:t>a</w:t>
      </w:r>
      <w:r w:rsidRPr="00E36113">
        <w:rPr>
          <w:rFonts w:asciiTheme="minorHAnsi" w:hAnsiTheme="minorHAnsi" w:cstheme="minorHAnsi"/>
          <w:spacing w:val="-1"/>
        </w:rPr>
        <w:t>w</w:t>
      </w:r>
      <w:r w:rsidRPr="00E36113">
        <w:rPr>
          <w:rFonts w:asciiTheme="minorHAnsi" w:hAnsiTheme="minorHAnsi" w:cstheme="minorHAnsi"/>
          <w:spacing w:val="1"/>
        </w:rPr>
        <w:t>i</w:t>
      </w:r>
      <w:r w:rsidRPr="00E36113">
        <w:rPr>
          <w:rFonts w:asciiTheme="minorHAnsi" w:hAnsiTheme="minorHAnsi" w:cstheme="minorHAnsi"/>
        </w:rPr>
        <w:t>ng</w:t>
      </w:r>
      <w:r w:rsidRPr="00E36113">
        <w:rPr>
          <w:rFonts w:asciiTheme="minorHAnsi" w:hAnsiTheme="minorHAnsi" w:cstheme="minorHAnsi"/>
          <w:spacing w:val="-2"/>
        </w:rPr>
        <w:t xml:space="preserve"> </w:t>
      </w:r>
      <w:r w:rsidRPr="00E36113">
        <w:rPr>
          <w:rFonts w:asciiTheme="minorHAnsi" w:hAnsiTheme="minorHAnsi" w:cstheme="minorHAnsi"/>
          <w:spacing w:val="-1"/>
        </w:rPr>
        <w:t>R</w:t>
      </w:r>
      <w:r w:rsidRPr="00E36113">
        <w:rPr>
          <w:rFonts w:asciiTheme="minorHAnsi" w:hAnsiTheme="minorHAnsi" w:cstheme="minorHAnsi"/>
          <w:spacing w:val="1"/>
        </w:rPr>
        <w:t>i</w:t>
      </w:r>
      <w:r w:rsidRPr="00E36113">
        <w:rPr>
          <w:rFonts w:asciiTheme="minorHAnsi" w:hAnsiTheme="minorHAnsi" w:cstheme="minorHAnsi"/>
          <w:spacing w:val="-2"/>
        </w:rPr>
        <w:t>g</w:t>
      </w:r>
      <w:r w:rsidRPr="00E36113">
        <w:rPr>
          <w:rFonts w:asciiTheme="minorHAnsi" w:hAnsiTheme="minorHAnsi" w:cstheme="minorHAnsi"/>
        </w:rPr>
        <w:t>h</w:t>
      </w:r>
      <w:r w:rsidRPr="00E36113">
        <w:rPr>
          <w:rFonts w:asciiTheme="minorHAnsi" w:hAnsiTheme="minorHAnsi" w:cstheme="minorHAnsi"/>
          <w:spacing w:val="1"/>
        </w:rPr>
        <w:t>t</w:t>
      </w:r>
      <w:r w:rsidRPr="00E36113">
        <w:rPr>
          <w:rFonts w:asciiTheme="minorHAnsi" w:hAnsiTheme="minorHAnsi" w:cstheme="minorHAnsi"/>
        </w:rPr>
        <w:t>s</w:t>
      </w:r>
    </w:p>
    <w:p w14:paraId="6D9167CE" w14:textId="0C612B68" w:rsidR="007D4846" w:rsidRPr="00DC050B" w:rsidRDefault="007D4846"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DC050B">
        <w:rPr>
          <w:rFonts w:asciiTheme="minorHAnsi" w:hAnsiTheme="minorHAnsi" w:cstheme="minorHAnsi"/>
        </w:rPr>
        <w:lastRenderedPageBreak/>
        <w:t>SOE</w:t>
      </w:r>
      <w:r w:rsidRPr="00DC050B">
        <w:rPr>
          <w:rFonts w:asciiTheme="minorHAnsi" w:hAnsiTheme="minorHAnsi" w:cstheme="minorHAnsi"/>
        </w:rPr>
        <w:tab/>
        <w:t>State-Owned Enterprise</w:t>
      </w:r>
    </w:p>
    <w:p w14:paraId="36E2ACA8" w14:textId="77777777" w:rsidR="007D4846" w:rsidRPr="00DC050B" w:rsidRDefault="007D4846" w:rsidP="00A860B6">
      <w:pPr>
        <w:widowControl w:val="0"/>
        <w:tabs>
          <w:tab w:val="left" w:pos="1440"/>
        </w:tabs>
        <w:autoSpaceDE w:val="0"/>
        <w:autoSpaceDN w:val="0"/>
        <w:adjustRightInd w:val="0"/>
        <w:spacing w:before="4" w:after="0" w:line="240" w:lineRule="auto"/>
        <w:ind w:left="106" w:right="-20"/>
        <w:rPr>
          <w:rFonts w:asciiTheme="minorHAnsi" w:hAnsiTheme="minorHAnsi" w:cstheme="minorHAnsi"/>
        </w:rPr>
      </w:pPr>
      <w:r w:rsidRPr="00DC050B">
        <w:rPr>
          <w:rFonts w:asciiTheme="minorHAnsi" w:hAnsiTheme="minorHAnsi" w:cstheme="minorHAnsi"/>
        </w:rPr>
        <w:t>SSA</w:t>
      </w:r>
      <w:r w:rsidRPr="00DC050B">
        <w:rPr>
          <w:rFonts w:asciiTheme="minorHAnsi" w:hAnsiTheme="minorHAnsi" w:cstheme="minorHAnsi"/>
        </w:rPr>
        <w:tab/>
        <w:t>Sub-Saharan Africa</w:t>
      </w:r>
    </w:p>
    <w:p w14:paraId="310672FD" w14:textId="77777777" w:rsidR="00FA4B71" w:rsidRPr="00DC050B" w:rsidRDefault="00FA4B71" w:rsidP="00A860B6">
      <w:pPr>
        <w:widowControl w:val="0"/>
        <w:tabs>
          <w:tab w:val="left" w:pos="1440"/>
        </w:tabs>
        <w:autoSpaceDE w:val="0"/>
        <w:autoSpaceDN w:val="0"/>
        <w:adjustRightInd w:val="0"/>
        <w:spacing w:before="1" w:after="0" w:line="249" w:lineRule="exact"/>
        <w:ind w:left="107" w:right="-20"/>
        <w:rPr>
          <w:rFonts w:asciiTheme="minorHAnsi" w:hAnsiTheme="minorHAnsi" w:cstheme="minorHAnsi"/>
          <w:position w:val="-1"/>
        </w:rPr>
      </w:pPr>
      <w:r w:rsidRPr="00DC050B">
        <w:rPr>
          <w:rFonts w:asciiTheme="minorHAnsi" w:hAnsiTheme="minorHAnsi" w:cstheme="minorHAnsi"/>
          <w:position w:val="-1"/>
        </w:rPr>
        <w:t>TA</w:t>
      </w:r>
      <w:r w:rsidRPr="00DC050B">
        <w:rPr>
          <w:rFonts w:asciiTheme="minorHAnsi" w:hAnsiTheme="minorHAnsi" w:cstheme="minorHAnsi"/>
          <w:position w:val="-1"/>
        </w:rPr>
        <w:tab/>
        <w:t>Technical Assistance</w:t>
      </w:r>
    </w:p>
    <w:p w14:paraId="5F761219" w14:textId="77777777" w:rsidR="007D4846" w:rsidRPr="00DC050B" w:rsidRDefault="007D4846" w:rsidP="00A860B6">
      <w:pPr>
        <w:widowControl w:val="0"/>
        <w:tabs>
          <w:tab w:val="left" w:pos="1440"/>
        </w:tabs>
        <w:autoSpaceDE w:val="0"/>
        <w:autoSpaceDN w:val="0"/>
        <w:adjustRightInd w:val="0"/>
        <w:spacing w:before="1" w:after="0" w:line="249" w:lineRule="exact"/>
        <w:ind w:left="107" w:right="-20"/>
        <w:rPr>
          <w:rFonts w:asciiTheme="minorHAnsi" w:hAnsiTheme="minorHAnsi" w:cstheme="minorHAnsi"/>
          <w:position w:val="-1"/>
        </w:rPr>
      </w:pPr>
      <w:r w:rsidRPr="00DC050B">
        <w:rPr>
          <w:rFonts w:asciiTheme="minorHAnsi" w:hAnsiTheme="minorHAnsi" w:cstheme="minorHAnsi"/>
          <w:position w:val="-1"/>
        </w:rPr>
        <w:t>US$</w:t>
      </w:r>
      <w:r w:rsidRPr="00DC050B">
        <w:rPr>
          <w:rFonts w:asciiTheme="minorHAnsi" w:hAnsiTheme="minorHAnsi" w:cstheme="minorHAnsi"/>
          <w:position w:val="-1"/>
        </w:rPr>
        <w:tab/>
        <w:t>United States Dollar</w:t>
      </w:r>
    </w:p>
    <w:p w14:paraId="135CC8F0" w14:textId="77777777" w:rsidR="00242D42" w:rsidRDefault="007D4846" w:rsidP="00242D42">
      <w:pPr>
        <w:widowControl w:val="0"/>
        <w:tabs>
          <w:tab w:val="left" w:pos="1440"/>
        </w:tabs>
        <w:autoSpaceDE w:val="0"/>
        <w:autoSpaceDN w:val="0"/>
        <w:adjustRightInd w:val="0"/>
        <w:spacing w:before="1" w:after="0" w:line="249" w:lineRule="exact"/>
        <w:ind w:left="107" w:right="-20"/>
        <w:rPr>
          <w:rFonts w:asciiTheme="minorHAnsi" w:hAnsiTheme="minorHAnsi" w:cstheme="minorHAnsi"/>
          <w:position w:val="-1"/>
        </w:rPr>
      </w:pPr>
      <w:r w:rsidRPr="006C66C2">
        <w:rPr>
          <w:rFonts w:asciiTheme="minorHAnsi" w:hAnsiTheme="minorHAnsi" w:cstheme="minorHAnsi"/>
          <w:position w:val="-1"/>
        </w:rPr>
        <w:t>VAT</w:t>
      </w:r>
      <w:r w:rsidRPr="006C66C2">
        <w:rPr>
          <w:rFonts w:asciiTheme="minorHAnsi" w:hAnsiTheme="minorHAnsi" w:cstheme="minorHAnsi"/>
          <w:position w:val="-1"/>
        </w:rPr>
        <w:tab/>
        <w:t>Value Added Tax</w:t>
      </w:r>
    </w:p>
    <w:p w14:paraId="0DDD822C" w14:textId="77777777" w:rsidR="00242D42" w:rsidRDefault="000B71C0" w:rsidP="00242D42">
      <w:pPr>
        <w:widowControl w:val="0"/>
        <w:tabs>
          <w:tab w:val="left" w:pos="1440"/>
        </w:tabs>
        <w:autoSpaceDE w:val="0"/>
        <w:autoSpaceDN w:val="0"/>
        <w:adjustRightInd w:val="0"/>
        <w:spacing w:before="1" w:after="0" w:line="249" w:lineRule="exact"/>
        <w:ind w:left="107" w:right="-20"/>
        <w:rPr>
          <w:rFonts w:asciiTheme="minorHAnsi" w:hAnsiTheme="minorHAnsi" w:cstheme="minorHAnsi"/>
        </w:rPr>
      </w:pPr>
      <w:r>
        <w:rPr>
          <w:rFonts w:asciiTheme="minorHAnsi" w:hAnsiTheme="minorHAnsi" w:cstheme="minorHAnsi"/>
        </w:rPr>
        <w:t>WB</w:t>
      </w:r>
      <w:r>
        <w:rPr>
          <w:rFonts w:asciiTheme="minorHAnsi" w:hAnsiTheme="minorHAnsi" w:cstheme="minorHAnsi"/>
        </w:rPr>
        <w:tab/>
        <w:t>World Bank</w:t>
      </w:r>
    </w:p>
    <w:p w14:paraId="12C893B5" w14:textId="176EB9E0" w:rsidR="000B71C0" w:rsidRPr="006C66C2" w:rsidRDefault="000B71C0" w:rsidP="00242D42">
      <w:pPr>
        <w:widowControl w:val="0"/>
        <w:tabs>
          <w:tab w:val="left" w:pos="1440"/>
        </w:tabs>
        <w:autoSpaceDE w:val="0"/>
        <w:autoSpaceDN w:val="0"/>
        <w:adjustRightInd w:val="0"/>
        <w:spacing w:before="1" w:after="0" w:line="249" w:lineRule="exact"/>
        <w:ind w:left="107" w:right="-20"/>
        <w:rPr>
          <w:rFonts w:asciiTheme="minorHAnsi" w:hAnsiTheme="minorHAnsi" w:cstheme="minorHAnsi"/>
        </w:rPr>
      </w:pPr>
      <w:r>
        <w:rPr>
          <w:rFonts w:asciiTheme="minorHAnsi" w:hAnsiTheme="minorHAnsi" w:cstheme="minorHAnsi"/>
        </w:rPr>
        <w:t>WBG</w:t>
      </w:r>
      <w:r>
        <w:rPr>
          <w:rFonts w:asciiTheme="minorHAnsi" w:hAnsiTheme="minorHAnsi" w:cstheme="minorHAnsi"/>
        </w:rPr>
        <w:tab/>
        <w:t>World Bank Group</w:t>
      </w:r>
    </w:p>
    <w:p w14:paraId="7B7A8587" w14:textId="77777777" w:rsidR="004B362F" w:rsidRPr="006C66C2"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2661795E" w14:textId="77777777" w:rsidR="004B362F" w:rsidRPr="00A20F6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0479BF3A" w14:textId="77777777" w:rsidR="004B362F" w:rsidRPr="00A20F6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4DA9D0C3" w14:textId="77777777" w:rsidR="004B362F" w:rsidRPr="00A20F6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06BAA7A1" w14:textId="77777777" w:rsidR="004B362F" w:rsidRPr="00A20F6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41BD7659" w14:textId="77777777" w:rsidR="004B362F" w:rsidRPr="00406280"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1C720A47" w14:textId="77777777" w:rsidR="004B362F" w:rsidRPr="00406280"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5E010661" w14:textId="77777777" w:rsidR="004B362F" w:rsidRPr="00601B29"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685EA71B" w14:textId="77777777" w:rsidR="004B362F" w:rsidRPr="0085470E"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123D97EB"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5FF9D56E"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0E7DCC9C"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0B1F2284"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447BCB04"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5C28209C"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0A77D771"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3290CA91"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77B7DF36"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63FAFFD8"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2F35EA98"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42759CFD"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35147299"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6C7D2581"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1814C279"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6F755221"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02DCA258"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654CC23D"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4CC487D0"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2A9B0564"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182A841A"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321AAAD2"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4417F7CE"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668A788B"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693F5D1C"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3EE3FB99"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4B380329"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3EDE08EC"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67091515" w14:textId="77777777" w:rsidR="004B362F" w:rsidRPr="00E36113" w:rsidRDefault="004B362F"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p w14:paraId="627AAE2E" w14:textId="77777777" w:rsidR="00723715" w:rsidRPr="00E36113" w:rsidRDefault="00723715" w:rsidP="00A6243E">
      <w:pPr>
        <w:keepNext/>
        <w:keepLines/>
        <w:tabs>
          <w:tab w:val="left" w:pos="1400"/>
        </w:tabs>
        <w:autoSpaceDE w:val="0"/>
        <w:autoSpaceDN w:val="0"/>
        <w:adjustRightInd w:val="0"/>
        <w:spacing w:before="1" w:after="0" w:line="249" w:lineRule="exact"/>
        <w:ind w:left="107" w:right="-20"/>
        <w:rPr>
          <w:rFonts w:asciiTheme="minorHAnsi" w:hAnsiTheme="minorHAnsi" w:cstheme="minorHAnsi"/>
        </w:rPr>
      </w:pPr>
    </w:p>
    <w:tbl>
      <w:tblPr>
        <w:tblpPr w:leftFromText="180" w:rightFromText="180" w:vertAnchor="text" w:horzAnchor="margin" w:tblpY="244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26"/>
        <w:gridCol w:w="278"/>
        <w:gridCol w:w="4558"/>
      </w:tblGrid>
      <w:tr w:rsidR="00EE0BD2" w:rsidRPr="00B66802" w14:paraId="250CA973" w14:textId="77777777" w:rsidTr="00EE0BD2">
        <w:tc>
          <w:tcPr>
            <w:tcW w:w="4426" w:type="dxa"/>
            <w:shd w:val="clear" w:color="auto" w:fill="auto"/>
          </w:tcPr>
          <w:p w14:paraId="6237AE27" w14:textId="77777777" w:rsidR="00EE0BD2" w:rsidRPr="00E36113" w:rsidRDefault="00EE0BD2" w:rsidP="00EE0BD2">
            <w:pPr>
              <w:keepNext/>
              <w:keepLines/>
              <w:autoSpaceDE w:val="0"/>
              <w:autoSpaceDN w:val="0"/>
              <w:adjustRightInd w:val="0"/>
              <w:spacing w:after="0" w:line="200" w:lineRule="exact"/>
              <w:jc w:val="right"/>
              <w:rPr>
                <w:rFonts w:asciiTheme="minorHAnsi" w:hAnsiTheme="minorHAnsi" w:cstheme="minorHAnsi"/>
                <w:position w:val="-1"/>
              </w:rPr>
            </w:pPr>
            <w:r w:rsidRPr="00E36113">
              <w:rPr>
                <w:rFonts w:asciiTheme="minorHAnsi" w:hAnsiTheme="minorHAnsi" w:cstheme="minorHAnsi"/>
                <w:position w:val="-1"/>
              </w:rPr>
              <w:t>Regional Vice President</w:t>
            </w:r>
          </w:p>
        </w:tc>
        <w:tc>
          <w:tcPr>
            <w:tcW w:w="278" w:type="dxa"/>
            <w:shd w:val="clear" w:color="auto" w:fill="auto"/>
          </w:tcPr>
          <w:p w14:paraId="0D20ECCE" w14:textId="77777777" w:rsidR="00EE0BD2" w:rsidRPr="00E36113" w:rsidRDefault="00EE0BD2" w:rsidP="00EE0BD2">
            <w:pPr>
              <w:keepNext/>
              <w:keepLines/>
              <w:autoSpaceDE w:val="0"/>
              <w:autoSpaceDN w:val="0"/>
              <w:adjustRightInd w:val="0"/>
              <w:spacing w:after="0" w:line="200" w:lineRule="exact"/>
              <w:ind w:left="-106"/>
              <w:rPr>
                <w:rFonts w:asciiTheme="minorHAnsi" w:hAnsiTheme="minorHAnsi" w:cstheme="minorHAnsi"/>
              </w:rPr>
            </w:pPr>
            <w:r w:rsidRPr="00E36113">
              <w:rPr>
                <w:rFonts w:asciiTheme="minorHAnsi" w:hAnsiTheme="minorHAnsi" w:cstheme="minorHAnsi"/>
              </w:rPr>
              <w:t>:</w:t>
            </w:r>
          </w:p>
        </w:tc>
        <w:tc>
          <w:tcPr>
            <w:tcW w:w="4558" w:type="dxa"/>
            <w:shd w:val="clear" w:color="auto" w:fill="auto"/>
          </w:tcPr>
          <w:p w14:paraId="43295E1F" w14:textId="77777777" w:rsidR="00EE0BD2" w:rsidRPr="00E36113" w:rsidRDefault="00EE0BD2" w:rsidP="00EE0BD2">
            <w:pPr>
              <w:keepNext/>
              <w:keepLines/>
              <w:autoSpaceDE w:val="0"/>
              <w:autoSpaceDN w:val="0"/>
              <w:adjustRightInd w:val="0"/>
              <w:spacing w:after="0" w:line="200" w:lineRule="exact"/>
              <w:rPr>
                <w:rFonts w:asciiTheme="minorHAnsi" w:hAnsiTheme="minorHAnsi" w:cstheme="minorHAnsi"/>
                <w:position w:val="-1"/>
              </w:rPr>
            </w:pPr>
            <w:r w:rsidRPr="00E36113">
              <w:rPr>
                <w:rFonts w:asciiTheme="minorHAnsi" w:hAnsiTheme="minorHAnsi" w:cstheme="minorHAnsi"/>
                <w:position w:val="-1"/>
              </w:rPr>
              <w:t>Makhtar Diop</w:t>
            </w:r>
          </w:p>
        </w:tc>
      </w:tr>
      <w:tr w:rsidR="00EE0BD2" w:rsidRPr="00B66802" w14:paraId="16C83A46" w14:textId="77777777" w:rsidTr="00EE0BD2">
        <w:tc>
          <w:tcPr>
            <w:tcW w:w="4426" w:type="dxa"/>
            <w:shd w:val="clear" w:color="auto" w:fill="auto"/>
          </w:tcPr>
          <w:p w14:paraId="71CD609D" w14:textId="77777777" w:rsidR="00EE0BD2" w:rsidRPr="00DC050B" w:rsidRDefault="00EE0BD2" w:rsidP="00EE0BD2">
            <w:pPr>
              <w:keepNext/>
              <w:keepLines/>
              <w:autoSpaceDE w:val="0"/>
              <w:autoSpaceDN w:val="0"/>
              <w:adjustRightInd w:val="0"/>
              <w:spacing w:after="0" w:line="200" w:lineRule="exact"/>
              <w:jc w:val="right"/>
              <w:rPr>
                <w:rFonts w:asciiTheme="minorHAnsi" w:hAnsiTheme="minorHAnsi" w:cstheme="minorHAnsi"/>
                <w:position w:val="-1"/>
              </w:rPr>
            </w:pPr>
            <w:r w:rsidRPr="00DC050B">
              <w:rPr>
                <w:rFonts w:asciiTheme="minorHAnsi" w:hAnsiTheme="minorHAnsi" w:cstheme="minorHAnsi"/>
                <w:position w:val="-1"/>
              </w:rPr>
              <w:t>Country Director</w:t>
            </w:r>
          </w:p>
        </w:tc>
        <w:tc>
          <w:tcPr>
            <w:tcW w:w="278" w:type="dxa"/>
            <w:shd w:val="clear" w:color="auto" w:fill="auto"/>
          </w:tcPr>
          <w:p w14:paraId="6F005DF2" w14:textId="77777777" w:rsidR="00EE0BD2" w:rsidRPr="00DC050B" w:rsidRDefault="00EE0BD2" w:rsidP="00EE0BD2">
            <w:pPr>
              <w:keepNext/>
              <w:keepLines/>
              <w:autoSpaceDE w:val="0"/>
              <w:autoSpaceDN w:val="0"/>
              <w:adjustRightInd w:val="0"/>
              <w:spacing w:after="0" w:line="200" w:lineRule="exact"/>
              <w:ind w:left="-106"/>
              <w:rPr>
                <w:rFonts w:asciiTheme="minorHAnsi" w:hAnsiTheme="minorHAnsi" w:cstheme="minorHAnsi"/>
              </w:rPr>
            </w:pPr>
            <w:r w:rsidRPr="00DC050B">
              <w:rPr>
                <w:rFonts w:asciiTheme="minorHAnsi" w:hAnsiTheme="minorHAnsi" w:cstheme="minorHAnsi"/>
              </w:rPr>
              <w:t>:</w:t>
            </w:r>
          </w:p>
        </w:tc>
        <w:tc>
          <w:tcPr>
            <w:tcW w:w="4558" w:type="dxa"/>
            <w:shd w:val="clear" w:color="auto" w:fill="auto"/>
          </w:tcPr>
          <w:p w14:paraId="7C20F0F1" w14:textId="77777777" w:rsidR="00EE0BD2" w:rsidRPr="006C66C2" w:rsidRDefault="00EE0BD2" w:rsidP="00EE0BD2">
            <w:pPr>
              <w:keepNext/>
              <w:keepLines/>
              <w:autoSpaceDE w:val="0"/>
              <w:autoSpaceDN w:val="0"/>
              <w:adjustRightInd w:val="0"/>
              <w:spacing w:after="0" w:line="200" w:lineRule="exact"/>
              <w:rPr>
                <w:rFonts w:asciiTheme="minorHAnsi" w:hAnsiTheme="minorHAnsi" w:cstheme="minorHAnsi"/>
                <w:position w:val="-1"/>
              </w:rPr>
            </w:pPr>
            <w:r w:rsidRPr="006C66C2">
              <w:rPr>
                <w:rFonts w:asciiTheme="minorHAnsi" w:hAnsiTheme="minorHAnsi" w:cstheme="minorHAnsi"/>
                <w:position w:val="-1"/>
              </w:rPr>
              <w:t>Mark Lundell</w:t>
            </w:r>
          </w:p>
        </w:tc>
      </w:tr>
      <w:tr w:rsidR="00EE0BD2" w:rsidRPr="00B66802" w14:paraId="49B60487" w14:textId="77777777" w:rsidTr="00EE0BD2">
        <w:tc>
          <w:tcPr>
            <w:tcW w:w="4426" w:type="dxa"/>
            <w:shd w:val="clear" w:color="auto" w:fill="auto"/>
          </w:tcPr>
          <w:p w14:paraId="1A70587D" w14:textId="77777777" w:rsidR="00EE0BD2" w:rsidRPr="00DC050B" w:rsidRDefault="00EE0BD2" w:rsidP="00EE0BD2">
            <w:pPr>
              <w:keepNext/>
              <w:keepLines/>
              <w:autoSpaceDE w:val="0"/>
              <w:autoSpaceDN w:val="0"/>
              <w:adjustRightInd w:val="0"/>
              <w:spacing w:after="0" w:line="200" w:lineRule="exact"/>
              <w:jc w:val="right"/>
              <w:rPr>
                <w:rFonts w:asciiTheme="minorHAnsi" w:hAnsiTheme="minorHAnsi" w:cstheme="minorHAnsi"/>
                <w:position w:val="-1"/>
              </w:rPr>
            </w:pPr>
            <w:r w:rsidRPr="00DC050B">
              <w:rPr>
                <w:rFonts w:asciiTheme="minorHAnsi" w:hAnsiTheme="minorHAnsi" w:cstheme="minorHAnsi"/>
                <w:position w:val="-1"/>
              </w:rPr>
              <w:t>Senior Global Practice Director</w:t>
            </w:r>
          </w:p>
        </w:tc>
        <w:tc>
          <w:tcPr>
            <w:tcW w:w="278" w:type="dxa"/>
            <w:shd w:val="clear" w:color="auto" w:fill="auto"/>
          </w:tcPr>
          <w:p w14:paraId="62FF6AB5" w14:textId="77777777" w:rsidR="00EE0BD2" w:rsidRPr="00DC050B" w:rsidRDefault="00EE0BD2" w:rsidP="00EE0BD2">
            <w:pPr>
              <w:keepNext/>
              <w:keepLines/>
              <w:autoSpaceDE w:val="0"/>
              <w:autoSpaceDN w:val="0"/>
              <w:adjustRightInd w:val="0"/>
              <w:spacing w:after="0" w:line="200" w:lineRule="exact"/>
              <w:ind w:left="-106"/>
              <w:rPr>
                <w:rFonts w:asciiTheme="minorHAnsi" w:hAnsiTheme="minorHAnsi" w:cstheme="minorHAnsi"/>
              </w:rPr>
            </w:pPr>
            <w:r w:rsidRPr="00DC050B">
              <w:rPr>
                <w:rFonts w:asciiTheme="minorHAnsi" w:hAnsiTheme="minorHAnsi" w:cstheme="minorHAnsi"/>
              </w:rPr>
              <w:t>:</w:t>
            </w:r>
          </w:p>
        </w:tc>
        <w:tc>
          <w:tcPr>
            <w:tcW w:w="4558" w:type="dxa"/>
            <w:shd w:val="clear" w:color="auto" w:fill="auto"/>
          </w:tcPr>
          <w:p w14:paraId="7BAD7D8A" w14:textId="77777777" w:rsidR="00EE0BD2" w:rsidRPr="006C66C2" w:rsidRDefault="00EE0BD2" w:rsidP="00EE0BD2">
            <w:pPr>
              <w:keepNext/>
              <w:keepLines/>
              <w:autoSpaceDE w:val="0"/>
              <w:autoSpaceDN w:val="0"/>
              <w:adjustRightInd w:val="0"/>
              <w:spacing w:after="0" w:line="200" w:lineRule="exact"/>
              <w:rPr>
                <w:rFonts w:asciiTheme="minorHAnsi" w:hAnsiTheme="minorHAnsi" w:cstheme="minorHAnsi"/>
                <w:position w:val="-1"/>
              </w:rPr>
            </w:pPr>
            <w:r w:rsidRPr="006C66C2">
              <w:rPr>
                <w:rFonts w:asciiTheme="minorHAnsi" w:hAnsiTheme="minorHAnsi" w:cstheme="minorHAnsi"/>
                <w:position w:val="-1"/>
              </w:rPr>
              <w:t>Carlos Felipe Jaramillo</w:t>
            </w:r>
          </w:p>
        </w:tc>
      </w:tr>
      <w:tr w:rsidR="00EE0BD2" w:rsidRPr="00B66802" w14:paraId="376DCC4B" w14:textId="77777777" w:rsidTr="00EE0BD2">
        <w:tc>
          <w:tcPr>
            <w:tcW w:w="4426" w:type="dxa"/>
            <w:shd w:val="clear" w:color="auto" w:fill="auto"/>
          </w:tcPr>
          <w:p w14:paraId="66D8905F" w14:textId="77777777" w:rsidR="00EE0BD2" w:rsidRPr="00DC050B" w:rsidRDefault="00EE0BD2" w:rsidP="00EE0BD2">
            <w:pPr>
              <w:keepNext/>
              <w:keepLines/>
              <w:autoSpaceDE w:val="0"/>
              <w:autoSpaceDN w:val="0"/>
              <w:adjustRightInd w:val="0"/>
              <w:spacing w:after="0" w:line="200" w:lineRule="exact"/>
              <w:jc w:val="right"/>
              <w:rPr>
                <w:rFonts w:asciiTheme="minorHAnsi" w:hAnsiTheme="minorHAnsi" w:cstheme="minorHAnsi"/>
                <w:position w:val="-1"/>
              </w:rPr>
            </w:pPr>
            <w:r w:rsidRPr="00DC050B">
              <w:rPr>
                <w:rFonts w:asciiTheme="minorHAnsi" w:hAnsiTheme="minorHAnsi" w:cstheme="minorHAnsi"/>
                <w:position w:val="-1"/>
              </w:rPr>
              <w:t>Practice Manager</w:t>
            </w:r>
          </w:p>
        </w:tc>
        <w:tc>
          <w:tcPr>
            <w:tcW w:w="278" w:type="dxa"/>
            <w:shd w:val="clear" w:color="auto" w:fill="auto"/>
          </w:tcPr>
          <w:p w14:paraId="1D278AD8" w14:textId="77777777" w:rsidR="00EE0BD2" w:rsidRPr="00DC050B" w:rsidRDefault="00EE0BD2" w:rsidP="00EE0BD2">
            <w:pPr>
              <w:keepNext/>
              <w:keepLines/>
              <w:autoSpaceDE w:val="0"/>
              <w:autoSpaceDN w:val="0"/>
              <w:adjustRightInd w:val="0"/>
              <w:spacing w:after="0" w:line="200" w:lineRule="exact"/>
              <w:ind w:left="-106"/>
              <w:rPr>
                <w:rFonts w:asciiTheme="minorHAnsi" w:hAnsiTheme="minorHAnsi" w:cstheme="minorHAnsi"/>
              </w:rPr>
            </w:pPr>
            <w:r w:rsidRPr="00DC050B">
              <w:rPr>
                <w:rFonts w:asciiTheme="minorHAnsi" w:hAnsiTheme="minorHAnsi" w:cstheme="minorHAnsi"/>
              </w:rPr>
              <w:t>:</w:t>
            </w:r>
          </w:p>
        </w:tc>
        <w:tc>
          <w:tcPr>
            <w:tcW w:w="4558" w:type="dxa"/>
            <w:shd w:val="clear" w:color="auto" w:fill="auto"/>
          </w:tcPr>
          <w:p w14:paraId="11063D63" w14:textId="77777777" w:rsidR="00EE0BD2" w:rsidRPr="00DC050B" w:rsidRDefault="00EE0BD2" w:rsidP="00EE0BD2">
            <w:pPr>
              <w:keepNext/>
              <w:keepLines/>
              <w:autoSpaceDE w:val="0"/>
              <w:autoSpaceDN w:val="0"/>
              <w:adjustRightInd w:val="0"/>
              <w:spacing w:after="0" w:line="200" w:lineRule="exact"/>
              <w:rPr>
                <w:rFonts w:asciiTheme="minorHAnsi" w:hAnsiTheme="minorHAnsi" w:cstheme="minorHAnsi"/>
                <w:position w:val="-1"/>
              </w:rPr>
            </w:pPr>
            <w:r w:rsidRPr="00DC050B">
              <w:rPr>
                <w:rFonts w:asciiTheme="minorHAnsi" w:hAnsiTheme="minorHAnsi" w:cstheme="minorHAnsi"/>
                <w:position w:val="-1"/>
              </w:rPr>
              <w:t>Mathew Verghis</w:t>
            </w:r>
          </w:p>
        </w:tc>
      </w:tr>
      <w:tr w:rsidR="00EE0BD2" w:rsidRPr="00B66802" w14:paraId="1110B242" w14:textId="77777777" w:rsidTr="00EE0BD2">
        <w:trPr>
          <w:trHeight w:val="225"/>
        </w:trPr>
        <w:tc>
          <w:tcPr>
            <w:tcW w:w="4426" w:type="dxa"/>
            <w:shd w:val="clear" w:color="auto" w:fill="auto"/>
          </w:tcPr>
          <w:p w14:paraId="0A431E1C" w14:textId="77777777" w:rsidR="00EE0BD2" w:rsidRPr="00DC050B" w:rsidRDefault="00EE0BD2" w:rsidP="00EE0BD2">
            <w:pPr>
              <w:keepNext/>
              <w:keepLines/>
              <w:autoSpaceDE w:val="0"/>
              <w:autoSpaceDN w:val="0"/>
              <w:adjustRightInd w:val="0"/>
              <w:spacing w:after="0" w:line="200" w:lineRule="exact"/>
              <w:jc w:val="right"/>
              <w:rPr>
                <w:rFonts w:asciiTheme="minorHAnsi" w:hAnsiTheme="minorHAnsi" w:cstheme="minorHAnsi"/>
                <w:position w:val="-1"/>
              </w:rPr>
            </w:pPr>
            <w:r w:rsidRPr="00DC050B">
              <w:rPr>
                <w:rFonts w:asciiTheme="minorHAnsi" w:hAnsiTheme="minorHAnsi" w:cstheme="minorHAnsi"/>
                <w:position w:val="-1"/>
              </w:rPr>
              <w:t>Task Team Leaders</w:t>
            </w:r>
          </w:p>
        </w:tc>
        <w:tc>
          <w:tcPr>
            <w:tcW w:w="278" w:type="dxa"/>
            <w:shd w:val="clear" w:color="auto" w:fill="auto"/>
          </w:tcPr>
          <w:p w14:paraId="4BE6C8E0" w14:textId="77777777" w:rsidR="00EE0BD2" w:rsidRPr="00DC050B" w:rsidRDefault="00EE0BD2" w:rsidP="00EE0BD2">
            <w:pPr>
              <w:keepNext/>
              <w:keepLines/>
              <w:autoSpaceDE w:val="0"/>
              <w:autoSpaceDN w:val="0"/>
              <w:adjustRightInd w:val="0"/>
              <w:spacing w:after="0" w:line="200" w:lineRule="exact"/>
              <w:ind w:left="-106"/>
              <w:rPr>
                <w:rFonts w:asciiTheme="minorHAnsi" w:hAnsiTheme="minorHAnsi" w:cstheme="minorHAnsi"/>
              </w:rPr>
            </w:pPr>
            <w:r w:rsidRPr="00DC050B">
              <w:rPr>
                <w:rFonts w:asciiTheme="minorHAnsi" w:hAnsiTheme="minorHAnsi" w:cstheme="minorHAnsi"/>
              </w:rPr>
              <w:t>:</w:t>
            </w:r>
          </w:p>
        </w:tc>
        <w:tc>
          <w:tcPr>
            <w:tcW w:w="4558" w:type="dxa"/>
            <w:shd w:val="clear" w:color="auto" w:fill="auto"/>
          </w:tcPr>
          <w:p w14:paraId="6FB515C2" w14:textId="77777777" w:rsidR="00EE0BD2" w:rsidRPr="006C66C2" w:rsidRDefault="00EE0BD2" w:rsidP="00EE0BD2">
            <w:pPr>
              <w:keepNext/>
              <w:keepLines/>
              <w:autoSpaceDE w:val="0"/>
              <w:autoSpaceDN w:val="0"/>
              <w:adjustRightInd w:val="0"/>
              <w:spacing w:after="0" w:line="200" w:lineRule="exact"/>
              <w:rPr>
                <w:rFonts w:asciiTheme="minorHAnsi" w:hAnsiTheme="minorHAnsi" w:cstheme="minorHAnsi"/>
                <w:position w:val="-1"/>
              </w:rPr>
            </w:pPr>
            <w:r w:rsidRPr="006C66C2">
              <w:rPr>
                <w:rFonts w:asciiTheme="minorHAnsi" w:hAnsiTheme="minorHAnsi" w:cstheme="minorHAnsi"/>
                <w:position w:val="-1"/>
              </w:rPr>
              <w:t>Natasha Sharma; Faniry Razafimanantsoa</w:t>
            </w:r>
          </w:p>
        </w:tc>
      </w:tr>
    </w:tbl>
    <w:p w14:paraId="41743C86" w14:textId="77777777" w:rsidR="00A96EA2" w:rsidRPr="00B66802" w:rsidRDefault="00A96EA2" w:rsidP="00A6243E">
      <w:pPr>
        <w:widowControl w:val="0"/>
        <w:autoSpaceDE w:val="0"/>
        <w:autoSpaceDN w:val="0"/>
        <w:adjustRightInd w:val="0"/>
        <w:spacing w:after="0" w:line="200" w:lineRule="exact"/>
        <w:rPr>
          <w:rFonts w:asciiTheme="minorHAnsi" w:hAnsiTheme="minorHAnsi" w:cstheme="minorHAnsi"/>
        </w:rPr>
      </w:pPr>
    </w:p>
    <w:p w14:paraId="2342B7AC" w14:textId="77777777" w:rsidR="00A6243E" w:rsidRPr="00E36113" w:rsidRDefault="00A6243E" w:rsidP="00A6243E">
      <w:pPr>
        <w:widowControl w:val="0"/>
        <w:autoSpaceDE w:val="0"/>
        <w:autoSpaceDN w:val="0"/>
        <w:adjustRightInd w:val="0"/>
        <w:spacing w:before="32" w:after="0" w:line="240" w:lineRule="auto"/>
        <w:ind w:left="4338" w:right="2931"/>
        <w:jc w:val="center"/>
        <w:rPr>
          <w:rFonts w:asciiTheme="minorHAnsi" w:hAnsiTheme="minorHAnsi" w:cstheme="minorHAnsi"/>
        </w:rPr>
        <w:sectPr w:rsidR="00A6243E" w:rsidRPr="00E36113" w:rsidSect="00BD284E">
          <w:footerReference w:type="default" r:id="rId9"/>
          <w:pgSz w:w="12240" w:h="15840"/>
          <w:pgMar w:top="576" w:right="1440" w:bottom="274" w:left="1440" w:header="720" w:footer="720" w:gutter="0"/>
          <w:pgNumType w:fmt="lowerRoman" w:start="1"/>
          <w:cols w:space="720"/>
          <w:noEndnote/>
        </w:sectPr>
      </w:pPr>
    </w:p>
    <w:p w14:paraId="518D16E7" w14:textId="77777777" w:rsidR="00D13B0F" w:rsidRPr="00E36113" w:rsidRDefault="00D13B0F" w:rsidP="00D13B0F">
      <w:pPr>
        <w:spacing w:after="0" w:line="240" w:lineRule="auto"/>
        <w:jc w:val="center"/>
        <w:rPr>
          <w:rFonts w:asciiTheme="minorHAnsi" w:hAnsiTheme="minorHAnsi" w:cstheme="minorHAnsi"/>
          <w:b/>
          <w:smallCaps/>
          <w:sz w:val="24"/>
        </w:rPr>
      </w:pPr>
      <w:r w:rsidRPr="00E36113">
        <w:rPr>
          <w:rFonts w:asciiTheme="minorHAnsi" w:hAnsiTheme="minorHAnsi" w:cstheme="minorHAnsi"/>
          <w:b/>
          <w:smallCaps/>
          <w:sz w:val="24"/>
        </w:rPr>
        <w:lastRenderedPageBreak/>
        <w:t>the republic of Madagascar</w:t>
      </w:r>
    </w:p>
    <w:p w14:paraId="2CB47875" w14:textId="77777777" w:rsidR="00D13B0F" w:rsidRPr="00E36113" w:rsidRDefault="00D13B0F" w:rsidP="00D13B0F">
      <w:pPr>
        <w:spacing w:after="0" w:line="240" w:lineRule="auto"/>
        <w:jc w:val="center"/>
        <w:rPr>
          <w:rFonts w:asciiTheme="minorHAnsi" w:hAnsiTheme="minorHAnsi" w:cstheme="minorHAnsi"/>
          <w:b/>
          <w:smallCaps/>
          <w:sz w:val="24"/>
        </w:rPr>
      </w:pPr>
    </w:p>
    <w:p w14:paraId="227DE07F" w14:textId="68504D2F" w:rsidR="00D13B0F" w:rsidRPr="00E36113" w:rsidRDefault="00E87601" w:rsidP="00D13B0F">
      <w:pPr>
        <w:spacing w:after="0" w:line="240" w:lineRule="auto"/>
        <w:jc w:val="center"/>
        <w:rPr>
          <w:rFonts w:asciiTheme="minorHAnsi" w:hAnsiTheme="minorHAnsi" w:cstheme="minorHAnsi"/>
          <w:smallCaps/>
          <w:sz w:val="24"/>
        </w:rPr>
      </w:pPr>
      <w:r w:rsidRPr="00E36113">
        <w:rPr>
          <w:rFonts w:asciiTheme="minorHAnsi" w:hAnsiTheme="minorHAnsi" w:cstheme="minorHAnsi"/>
          <w:b/>
          <w:smallCaps/>
          <w:sz w:val="24"/>
        </w:rPr>
        <w:t>public finance</w:t>
      </w:r>
      <w:r w:rsidR="00FC3B84" w:rsidRPr="00E36113">
        <w:rPr>
          <w:rFonts w:asciiTheme="minorHAnsi" w:hAnsiTheme="minorHAnsi" w:cstheme="minorHAnsi"/>
          <w:b/>
          <w:smallCaps/>
          <w:sz w:val="24"/>
        </w:rPr>
        <w:t xml:space="preserve"> sustainability and investment</w:t>
      </w:r>
      <w:r w:rsidR="00EB2F8B" w:rsidRPr="00E36113">
        <w:rPr>
          <w:rFonts w:asciiTheme="minorHAnsi" w:hAnsiTheme="minorHAnsi" w:cstheme="minorHAnsi"/>
          <w:b/>
          <w:smallCaps/>
          <w:sz w:val="24"/>
        </w:rPr>
        <w:t xml:space="preserve"> development policy financin</w:t>
      </w:r>
      <w:r w:rsidR="00781F2F" w:rsidRPr="00E36113">
        <w:rPr>
          <w:rFonts w:asciiTheme="minorHAnsi" w:hAnsiTheme="minorHAnsi" w:cstheme="minorHAnsi"/>
          <w:b/>
          <w:smallCaps/>
          <w:sz w:val="24"/>
        </w:rPr>
        <w:t xml:space="preserve">g </w:t>
      </w:r>
      <w:r w:rsidR="0007045E">
        <w:rPr>
          <w:rFonts w:asciiTheme="minorHAnsi" w:hAnsiTheme="minorHAnsi" w:cstheme="minorHAnsi"/>
          <w:b/>
          <w:smallCaps/>
          <w:sz w:val="24"/>
        </w:rPr>
        <w:t xml:space="preserve">ii </w:t>
      </w:r>
      <w:r w:rsidR="00781F2F" w:rsidRPr="00E36113">
        <w:rPr>
          <w:rFonts w:asciiTheme="minorHAnsi" w:hAnsiTheme="minorHAnsi" w:cstheme="minorHAnsi"/>
          <w:b/>
          <w:smallCaps/>
          <w:sz w:val="24"/>
        </w:rPr>
        <w:t>operation</w:t>
      </w:r>
    </w:p>
    <w:p w14:paraId="521A2042" w14:textId="77777777" w:rsidR="00D13B0F" w:rsidRPr="00E36113" w:rsidRDefault="00D13B0F" w:rsidP="00D13B0F">
      <w:pPr>
        <w:spacing w:after="0" w:line="240" w:lineRule="auto"/>
        <w:jc w:val="center"/>
        <w:rPr>
          <w:rFonts w:asciiTheme="minorHAnsi" w:hAnsiTheme="minorHAnsi" w:cstheme="minorHAnsi"/>
          <w:smallCaps/>
          <w:sz w:val="24"/>
        </w:rPr>
      </w:pPr>
    </w:p>
    <w:p w14:paraId="3DD52DE7" w14:textId="40F4D27C" w:rsidR="00D35BC4" w:rsidRPr="00B66802" w:rsidRDefault="00D13B0F" w:rsidP="001844FB">
      <w:pPr>
        <w:spacing w:after="0" w:line="240" w:lineRule="auto"/>
        <w:jc w:val="center"/>
        <w:rPr>
          <w:rFonts w:asciiTheme="minorHAnsi" w:hAnsiTheme="minorHAnsi" w:cstheme="minorHAnsi"/>
        </w:rPr>
      </w:pPr>
      <w:r w:rsidRPr="00E36113">
        <w:rPr>
          <w:rFonts w:asciiTheme="minorHAnsi" w:hAnsiTheme="minorHAnsi" w:cstheme="minorHAnsi"/>
          <w:b/>
          <w:smallCaps/>
        </w:rPr>
        <w:t>table of contents</w:t>
      </w:r>
    </w:p>
    <w:p w14:paraId="364EC54B" w14:textId="77777777" w:rsidR="00D35BC4" w:rsidRPr="00B66802" w:rsidRDefault="00D35BC4">
      <w:pPr>
        <w:widowControl w:val="0"/>
        <w:autoSpaceDE w:val="0"/>
        <w:autoSpaceDN w:val="0"/>
        <w:adjustRightInd w:val="0"/>
        <w:spacing w:before="19" w:after="0" w:line="220" w:lineRule="exact"/>
        <w:rPr>
          <w:rFonts w:asciiTheme="minorHAnsi" w:hAnsiTheme="minorHAnsi" w:cstheme="minorHAnsi"/>
        </w:rPr>
      </w:pPr>
    </w:p>
    <w:p w14:paraId="06F3A7F0" w14:textId="77777777" w:rsidR="00D35BC4" w:rsidRPr="00BD4A16" w:rsidRDefault="00D35BC4">
      <w:pPr>
        <w:widowControl w:val="0"/>
        <w:autoSpaceDE w:val="0"/>
        <w:autoSpaceDN w:val="0"/>
        <w:adjustRightInd w:val="0"/>
        <w:spacing w:before="2" w:after="0" w:line="160" w:lineRule="exact"/>
        <w:rPr>
          <w:rFonts w:asciiTheme="minorHAnsi" w:hAnsiTheme="minorHAnsi" w:cstheme="minorHAnsi"/>
        </w:rPr>
      </w:pPr>
    </w:p>
    <w:p w14:paraId="6E5840CA" w14:textId="7F6E169E" w:rsidR="00DC01E7" w:rsidRDefault="00B97AC6">
      <w:pPr>
        <w:pStyle w:val="TOC1"/>
        <w:rPr>
          <w:rFonts w:asciiTheme="minorHAnsi" w:eastAsiaTheme="minorEastAsia" w:hAnsiTheme="minorHAnsi" w:cstheme="minorBidi"/>
          <w:b w:val="0"/>
        </w:rPr>
      </w:pPr>
      <w:r w:rsidRPr="00A1554C">
        <w:rPr>
          <w:rFonts w:asciiTheme="minorHAnsi" w:hAnsiTheme="minorHAnsi" w:cstheme="minorHAnsi"/>
        </w:rPr>
        <w:fldChar w:fldCharType="begin"/>
      </w:r>
      <w:r w:rsidRPr="00A1554C">
        <w:rPr>
          <w:rFonts w:asciiTheme="minorHAnsi" w:hAnsiTheme="minorHAnsi" w:cstheme="minorHAnsi"/>
        </w:rPr>
        <w:instrText xml:space="preserve"> TOC \o "1-3" \h \z \u </w:instrText>
      </w:r>
      <w:r w:rsidRPr="00A1554C">
        <w:rPr>
          <w:rFonts w:asciiTheme="minorHAnsi" w:hAnsiTheme="minorHAnsi" w:cstheme="minorHAnsi"/>
        </w:rPr>
        <w:fldChar w:fldCharType="separate"/>
      </w:r>
      <w:hyperlink w:anchor="_Toc496204240" w:history="1">
        <w:r w:rsidR="00DC01E7" w:rsidRPr="00774C61">
          <w:rPr>
            <w:rStyle w:val="Hyperlink"/>
            <w:rFonts w:cstheme="minorHAnsi"/>
          </w:rPr>
          <w:t xml:space="preserve">SUMMARY OF </w:t>
        </w:r>
        <w:r w:rsidR="00DC01E7" w:rsidRPr="00774C61">
          <w:rPr>
            <w:rStyle w:val="Hyperlink"/>
            <w:rFonts w:cstheme="minorHAnsi"/>
            <w:spacing w:val="2"/>
          </w:rPr>
          <w:t>P</w:t>
        </w:r>
        <w:r w:rsidR="00DC01E7" w:rsidRPr="00774C61">
          <w:rPr>
            <w:rStyle w:val="Hyperlink"/>
            <w:rFonts w:cstheme="minorHAnsi"/>
          </w:rPr>
          <w:t xml:space="preserve">ROPOSED GRANT AND </w:t>
        </w:r>
        <w:r w:rsidR="00DC01E7" w:rsidRPr="00774C61">
          <w:rPr>
            <w:rStyle w:val="Hyperlink"/>
            <w:rFonts w:cstheme="minorHAnsi"/>
            <w:spacing w:val="2"/>
          </w:rPr>
          <w:t>P</w:t>
        </w:r>
        <w:r w:rsidR="00DC01E7" w:rsidRPr="00774C61">
          <w:rPr>
            <w:rStyle w:val="Hyperlink"/>
            <w:rFonts w:cstheme="minorHAnsi"/>
          </w:rPr>
          <w:t>R</w:t>
        </w:r>
        <w:r w:rsidR="00DC01E7" w:rsidRPr="00774C61">
          <w:rPr>
            <w:rStyle w:val="Hyperlink"/>
            <w:rFonts w:cstheme="minorHAnsi"/>
            <w:spacing w:val="1"/>
          </w:rPr>
          <w:t>O</w:t>
        </w:r>
        <w:r w:rsidR="00DC01E7" w:rsidRPr="00774C61">
          <w:rPr>
            <w:rStyle w:val="Hyperlink"/>
            <w:rFonts w:cstheme="minorHAnsi"/>
          </w:rPr>
          <w:t>GRAM</w:t>
        </w:r>
        <w:r w:rsidR="00DC01E7">
          <w:rPr>
            <w:webHidden/>
          </w:rPr>
          <w:tab/>
        </w:r>
        <w:r w:rsidR="00DC01E7">
          <w:rPr>
            <w:webHidden/>
          </w:rPr>
          <w:fldChar w:fldCharType="begin"/>
        </w:r>
        <w:r w:rsidR="00DC01E7">
          <w:rPr>
            <w:webHidden/>
          </w:rPr>
          <w:instrText xml:space="preserve"> PAGEREF _Toc496204240 \h </w:instrText>
        </w:r>
        <w:r w:rsidR="00DC01E7">
          <w:rPr>
            <w:webHidden/>
          </w:rPr>
        </w:r>
        <w:r w:rsidR="00DC01E7">
          <w:rPr>
            <w:webHidden/>
          </w:rPr>
          <w:fldChar w:fldCharType="separate"/>
        </w:r>
        <w:r w:rsidR="006D54FB">
          <w:rPr>
            <w:webHidden/>
          </w:rPr>
          <w:t>vi</w:t>
        </w:r>
        <w:r w:rsidR="00DC01E7">
          <w:rPr>
            <w:webHidden/>
          </w:rPr>
          <w:fldChar w:fldCharType="end"/>
        </w:r>
      </w:hyperlink>
    </w:p>
    <w:p w14:paraId="4ABA7CE5" w14:textId="17B0DFFA" w:rsidR="00DC01E7" w:rsidRDefault="008B4E47">
      <w:pPr>
        <w:pStyle w:val="TOC1"/>
        <w:rPr>
          <w:rFonts w:asciiTheme="minorHAnsi" w:eastAsiaTheme="minorEastAsia" w:hAnsiTheme="minorHAnsi" w:cstheme="minorBidi"/>
          <w:b w:val="0"/>
        </w:rPr>
      </w:pPr>
      <w:hyperlink w:anchor="_Toc496204241" w:history="1">
        <w:r w:rsidR="00DC01E7" w:rsidRPr="00774C61">
          <w:rPr>
            <w:rStyle w:val="Hyperlink"/>
            <w:rFonts w:cstheme="minorHAnsi"/>
          </w:rPr>
          <w:t>1.</w:t>
        </w:r>
        <w:r w:rsidR="00DC01E7">
          <w:rPr>
            <w:rFonts w:asciiTheme="minorHAnsi" w:eastAsiaTheme="minorEastAsia" w:hAnsiTheme="minorHAnsi" w:cstheme="minorBidi"/>
            <w:b w:val="0"/>
          </w:rPr>
          <w:tab/>
        </w:r>
        <w:r w:rsidR="00DC01E7" w:rsidRPr="00774C61">
          <w:rPr>
            <w:rStyle w:val="Hyperlink"/>
            <w:rFonts w:cstheme="minorHAnsi"/>
          </w:rPr>
          <w:t>INTRODUCTION AND COUNTRY CONTEXT</w:t>
        </w:r>
        <w:r w:rsidR="00DC01E7">
          <w:rPr>
            <w:webHidden/>
          </w:rPr>
          <w:tab/>
        </w:r>
        <w:r w:rsidR="00DC01E7">
          <w:rPr>
            <w:webHidden/>
          </w:rPr>
          <w:fldChar w:fldCharType="begin"/>
        </w:r>
        <w:r w:rsidR="00DC01E7">
          <w:rPr>
            <w:webHidden/>
          </w:rPr>
          <w:instrText xml:space="preserve"> PAGEREF _Toc496204241 \h </w:instrText>
        </w:r>
        <w:r w:rsidR="00DC01E7">
          <w:rPr>
            <w:webHidden/>
          </w:rPr>
        </w:r>
        <w:r w:rsidR="00DC01E7">
          <w:rPr>
            <w:webHidden/>
          </w:rPr>
          <w:fldChar w:fldCharType="separate"/>
        </w:r>
        <w:r w:rsidR="006D54FB">
          <w:rPr>
            <w:webHidden/>
          </w:rPr>
          <w:t>1</w:t>
        </w:r>
        <w:r w:rsidR="00DC01E7">
          <w:rPr>
            <w:webHidden/>
          </w:rPr>
          <w:fldChar w:fldCharType="end"/>
        </w:r>
      </w:hyperlink>
    </w:p>
    <w:p w14:paraId="6F562C3D" w14:textId="00B30FE5" w:rsidR="00DC01E7" w:rsidRDefault="008B4E47">
      <w:pPr>
        <w:pStyle w:val="TOC1"/>
        <w:rPr>
          <w:rFonts w:asciiTheme="minorHAnsi" w:eastAsiaTheme="minorEastAsia" w:hAnsiTheme="minorHAnsi" w:cstheme="minorBidi"/>
          <w:b w:val="0"/>
        </w:rPr>
      </w:pPr>
      <w:hyperlink w:anchor="_Toc496204242" w:history="1">
        <w:r w:rsidR="00DC01E7" w:rsidRPr="00774C61">
          <w:rPr>
            <w:rStyle w:val="Hyperlink"/>
            <w:rFonts w:cstheme="minorHAnsi"/>
          </w:rPr>
          <w:t>2.</w:t>
        </w:r>
        <w:r w:rsidR="00DC01E7">
          <w:rPr>
            <w:rFonts w:asciiTheme="minorHAnsi" w:eastAsiaTheme="minorEastAsia" w:hAnsiTheme="minorHAnsi" w:cstheme="minorBidi"/>
            <w:b w:val="0"/>
          </w:rPr>
          <w:tab/>
        </w:r>
        <w:r w:rsidR="00DC01E7" w:rsidRPr="00774C61">
          <w:rPr>
            <w:rStyle w:val="Hyperlink"/>
            <w:rFonts w:cstheme="minorHAnsi"/>
            <w:spacing w:val="-1"/>
          </w:rPr>
          <w:t>M</w:t>
        </w:r>
        <w:r w:rsidR="00DC01E7" w:rsidRPr="00774C61">
          <w:rPr>
            <w:rStyle w:val="Hyperlink"/>
            <w:rFonts w:cstheme="minorHAnsi"/>
          </w:rPr>
          <w:t>ACRO</w:t>
        </w:r>
        <w:r w:rsidR="00DC01E7" w:rsidRPr="00774C61">
          <w:rPr>
            <w:rStyle w:val="Hyperlink"/>
            <w:rFonts w:cstheme="minorHAnsi"/>
            <w:spacing w:val="1"/>
          </w:rPr>
          <w:t>E</w:t>
        </w:r>
        <w:r w:rsidR="00DC01E7" w:rsidRPr="00774C61">
          <w:rPr>
            <w:rStyle w:val="Hyperlink"/>
            <w:rFonts w:cstheme="minorHAnsi"/>
          </w:rPr>
          <w:t>CONO</w:t>
        </w:r>
        <w:r w:rsidR="00DC01E7" w:rsidRPr="00774C61">
          <w:rPr>
            <w:rStyle w:val="Hyperlink"/>
            <w:rFonts w:cstheme="minorHAnsi"/>
            <w:spacing w:val="-1"/>
          </w:rPr>
          <w:t>M</w:t>
        </w:r>
        <w:r w:rsidR="00DC01E7" w:rsidRPr="00774C61">
          <w:rPr>
            <w:rStyle w:val="Hyperlink"/>
            <w:rFonts w:cstheme="minorHAnsi"/>
            <w:spacing w:val="3"/>
          </w:rPr>
          <w:t>I</w:t>
        </w:r>
        <w:r w:rsidR="00DC01E7" w:rsidRPr="00774C61">
          <w:rPr>
            <w:rStyle w:val="Hyperlink"/>
            <w:rFonts w:cstheme="minorHAnsi"/>
          </w:rPr>
          <w:t xml:space="preserve">C </w:t>
        </w:r>
        <w:r w:rsidR="00DC01E7" w:rsidRPr="00774C61">
          <w:rPr>
            <w:rStyle w:val="Hyperlink"/>
            <w:rFonts w:cstheme="minorHAnsi"/>
            <w:spacing w:val="-3"/>
          </w:rPr>
          <w:t>P</w:t>
        </w:r>
        <w:r w:rsidR="00DC01E7" w:rsidRPr="00774C61">
          <w:rPr>
            <w:rStyle w:val="Hyperlink"/>
            <w:rFonts w:cstheme="minorHAnsi"/>
          </w:rPr>
          <w:t>O</w:t>
        </w:r>
        <w:r w:rsidR="00DC01E7" w:rsidRPr="00774C61">
          <w:rPr>
            <w:rStyle w:val="Hyperlink"/>
            <w:rFonts w:cstheme="minorHAnsi"/>
            <w:spacing w:val="1"/>
          </w:rPr>
          <w:t>L</w:t>
        </w:r>
        <w:r w:rsidR="00DC01E7" w:rsidRPr="00774C61">
          <w:rPr>
            <w:rStyle w:val="Hyperlink"/>
            <w:rFonts w:cstheme="minorHAnsi"/>
          </w:rPr>
          <w:t>ICY</w:t>
        </w:r>
        <w:r w:rsidR="00DC01E7" w:rsidRPr="00774C61">
          <w:rPr>
            <w:rStyle w:val="Hyperlink"/>
            <w:rFonts w:cstheme="minorHAnsi"/>
            <w:spacing w:val="2"/>
          </w:rPr>
          <w:t xml:space="preserve"> </w:t>
        </w:r>
        <w:r w:rsidR="00DC01E7" w:rsidRPr="00774C61">
          <w:rPr>
            <w:rStyle w:val="Hyperlink"/>
            <w:rFonts w:cstheme="minorHAnsi"/>
            <w:spacing w:val="-3"/>
          </w:rPr>
          <w:t>F</w:t>
        </w:r>
        <w:r w:rsidR="00DC01E7" w:rsidRPr="00774C61">
          <w:rPr>
            <w:rStyle w:val="Hyperlink"/>
            <w:rFonts w:cstheme="minorHAnsi"/>
            <w:spacing w:val="2"/>
          </w:rPr>
          <w:t>R</w:t>
        </w:r>
        <w:r w:rsidR="00DC01E7" w:rsidRPr="00774C61">
          <w:rPr>
            <w:rStyle w:val="Hyperlink"/>
            <w:rFonts w:cstheme="minorHAnsi"/>
          </w:rPr>
          <w:t>A</w:t>
        </w:r>
        <w:r w:rsidR="00DC01E7" w:rsidRPr="00774C61">
          <w:rPr>
            <w:rStyle w:val="Hyperlink"/>
            <w:rFonts w:cstheme="minorHAnsi"/>
            <w:spacing w:val="-1"/>
          </w:rPr>
          <w:t>M</w:t>
        </w:r>
        <w:r w:rsidR="00DC01E7" w:rsidRPr="00774C61">
          <w:rPr>
            <w:rStyle w:val="Hyperlink"/>
            <w:rFonts w:cstheme="minorHAnsi"/>
            <w:spacing w:val="1"/>
          </w:rPr>
          <w:t>E</w:t>
        </w:r>
        <w:r w:rsidR="00DC01E7" w:rsidRPr="00774C61">
          <w:rPr>
            <w:rStyle w:val="Hyperlink"/>
            <w:rFonts w:cstheme="minorHAnsi"/>
            <w:spacing w:val="2"/>
          </w:rPr>
          <w:t>W</w:t>
        </w:r>
        <w:r w:rsidR="00DC01E7" w:rsidRPr="00774C61">
          <w:rPr>
            <w:rStyle w:val="Hyperlink"/>
            <w:rFonts w:cstheme="minorHAnsi"/>
          </w:rPr>
          <w:t>ORK</w:t>
        </w:r>
        <w:r w:rsidR="00DC01E7">
          <w:rPr>
            <w:webHidden/>
          </w:rPr>
          <w:tab/>
        </w:r>
        <w:r w:rsidR="00DC01E7">
          <w:rPr>
            <w:webHidden/>
          </w:rPr>
          <w:fldChar w:fldCharType="begin"/>
        </w:r>
        <w:r w:rsidR="00DC01E7">
          <w:rPr>
            <w:webHidden/>
          </w:rPr>
          <w:instrText xml:space="preserve"> PAGEREF _Toc496204242 \h </w:instrText>
        </w:r>
        <w:r w:rsidR="00DC01E7">
          <w:rPr>
            <w:webHidden/>
          </w:rPr>
        </w:r>
        <w:r w:rsidR="00DC01E7">
          <w:rPr>
            <w:webHidden/>
          </w:rPr>
          <w:fldChar w:fldCharType="separate"/>
        </w:r>
        <w:r w:rsidR="006D54FB">
          <w:rPr>
            <w:webHidden/>
          </w:rPr>
          <w:t>3</w:t>
        </w:r>
        <w:r w:rsidR="00DC01E7">
          <w:rPr>
            <w:webHidden/>
          </w:rPr>
          <w:fldChar w:fldCharType="end"/>
        </w:r>
      </w:hyperlink>
    </w:p>
    <w:p w14:paraId="57EC1233" w14:textId="6406FD9B" w:rsidR="00DC01E7" w:rsidRDefault="008B4E47">
      <w:pPr>
        <w:pStyle w:val="TOC3"/>
        <w:tabs>
          <w:tab w:val="left" w:pos="660"/>
        </w:tabs>
        <w:rPr>
          <w:rFonts w:asciiTheme="minorHAnsi" w:eastAsiaTheme="minorEastAsia" w:hAnsiTheme="minorHAnsi" w:cstheme="minorBidi"/>
        </w:rPr>
      </w:pPr>
      <w:hyperlink w:anchor="_Toc496204243" w:history="1">
        <w:r w:rsidR="00DC01E7" w:rsidRPr="00774C61">
          <w:rPr>
            <w:rStyle w:val="Hyperlink"/>
            <w:rFonts w:cstheme="minorHAnsi"/>
          </w:rPr>
          <w:t xml:space="preserve">2.1. </w:t>
        </w:r>
        <w:r w:rsidR="00DC01E7">
          <w:rPr>
            <w:rFonts w:asciiTheme="minorHAnsi" w:eastAsiaTheme="minorEastAsia" w:hAnsiTheme="minorHAnsi" w:cstheme="minorBidi"/>
          </w:rPr>
          <w:tab/>
        </w:r>
        <w:r w:rsidR="00DC01E7" w:rsidRPr="00774C61">
          <w:rPr>
            <w:rStyle w:val="Hyperlink"/>
            <w:rFonts w:cstheme="minorHAnsi"/>
          </w:rPr>
          <w:t>Recent Economic Developments</w:t>
        </w:r>
        <w:r w:rsidR="00DC01E7">
          <w:rPr>
            <w:webHidden/>
          </w:rPr>
          <w:tab/>
        </w:r>
        <w:r w:rsidR="00DC01E7">
          <w:rPr>
            <w:webHidden/>
          </w:rPr>
          <w:fldChar w:fldCharType="begin"/>
        </w:r>
        <w:r w:rsidR="00DC01E7">
          <w:rPr>
            <w:webHidden/>
          </w:rPr>
          <w:instrText xml:space="preserve"> PAGEREF _Toc496204243 \h </w:instrText>
        </w:r>
        <w:r w:rsidR="00DC01E7">
          <w:rPr>
            <w:webHidden/>
          </w:rPr>
        </w:r>
        <w:r w:rsidR="00DC01E7">
          <w:rPr>
            <w:webHidden/>
          </w:rPr>
          <w:fldChar w:fldCharType="separate"/>
        </w:r>
        <w:r w:rsidR="006D54FB">
          <w:rPr>
            <w:webHidden/>
          </w:rPr>
          <w:t>3</w:t>
        </w:r>
        <w:r w:rsidR="00DC01E7">
          <w:rPr>
            <w:webHidden/>
          </w:rPr>
          <w:fldChar w:fldCharType="end"/>
        </w:r>
      </w:hyperlink>
    </w:p>
    <w:p w14:paraId="16831A0D" w14:textId="48E11BAA" w:rsidR="00DC01E7" w:rsidRDefault="008B4E47">
      <w:pPr>
        <w:pStyle w:val="TOC3"/>
        <w:tabs>
          <w:tab w:val="left" w:pos="660"/>
        </w:tabs>
        <w:rPr>
          <w:rFonts w:asciiTheme="minorHAnsi" w:eastAsiaTheme="minorEastAsia" w:hAnsiTheme="minorHAnsi" w:cstheme="minorBidi"/>
        </w:rPr>
      </w:pPr>
      <w:hyperlink w:anchor="_Toc496204244" w:history="1">
        <w:r w:rsidR="00DC01E7" w:rsidRPr="00774C61">
          <w:rPr>
            <w:rStyle w:val="Hyperlink"/>
            <w:rFonts w:cstheme="minorHAnsi"/>
          </w:rPr>
          <w:t xml:space="preserve">2.2. </w:t>
        </w:r>
        <w:r w:rsidR="00DC01E7">
          <w:rPr>
            <w:rFonts w:asciiTheme="minorHAnsi" w:eastAsiaTheme="minorEastAsia" w:hAnsiTheme="minorHAnsi" w:cstheme="minorBidi"/>
          </w:rPr>
          <w:tab/>
        </w:r>
        <w:r w:rsidR="00DC01E7" w:rsidRPr="00774C61">
          <w:rPr>
            <w:rStyle w:val="Hyperlink"/>
            <w:rFonts w:cstheme="minorHAnsi"/>
          </w:rPr>
          <w:t>Macroeconomic Outlook</w:t>
        </w:r>
        <w:r w:rsidR="00DC01E7">
          <w:rPr>
            <w:webHidden/>
          </w:rPr>
          <w:tab/>
        </w:r>
        <w:r w:rsidR="00DC01E7">
          <w:rPr>
            <w:webHidden/>
          </w:rPr>
          <w:fldChar w:fldCharType="begin"/>
        </w:r>
        <w:r w:rsidR="00DC01E7">
          <w:rPr>
            <w:webHidden/>
          </w:rPr>
          <w:instrText xml:space="preserve"> PAGEREF _Toc496204244 \h </w:instrText>
        </w:r>
        <w:r w:rsidR="00DC01E7">
          <w:rPr>
            <w:webHidden/>
          </w:rPr>
        </w:r>
        <w:r w:rsidR="00DC01E7">
          <w:rPr>
            <w:webHidden/>
          </w:rPr>
          <w:fldChar w:fldCharType="separate"/>
        </w:r>
        <w:r w:rsidR="006D54FB">
          <w:rPr>
            <w:webHidden/>
          </w:rPr>
          <w:t>6</w:t>
        </w:r>
        <w:r w:rsidR="00DC01E7">
          <w:rPr>
            <w:webHidden/>
          </w:rPr>
          <w:fldChar w:fldCharType="end"/>
        </w:r>
      </w:hyperlink>
    </w:p>
    <w:p w14:paraId="3E8B314D" w14:textId="373197B4" w:rsidR="00DC01E7" w:rsidRDefault="008B4E47">
      <w:pPr>
        <w:pStyle w:val="TOC1"/>
        <w:rPr>
          <w:rFonts w:asciiTheme="minorHAnsi" w:eastAsiaTheme="minorEastAsia" w:hAnsiTheme="minorHAnsi" w:cstheme="minorBidi"/>
          <w:b w:val="0"/>
        </w:rPr>
      </w:pPr>
      <w:hyperlink w:anchor="_Toc496204245" w:history="1">
        <w:r w:rsidR="00DC01E7" w:rsidRPr="00774C61">
          <w:rPr>
            <w:rStyle w:val="Hyperlink"/>
            <w:rFonts w:cstheme="minorHAnsi"/>
          </w:rPr>
          <w:t>3.</w:t>
        </w:r>
        <w:r w:rsidR="00DC01E7">
          <w:rPr>
            <w:rFonts w:asciiTheme="minorHAnsi" w:eastAsiaTheme="minorEastAsia" w:hAnsiTheme="minorHAnsi" w:cstheme="minorBidi"/>
            <w:b w:val="0"/>
          </w:rPr>
          <w:tab/>
        </w:r>
        <w:r w:rsidR="00DC01E7" w:rsidRPr="00774C61">
          <w:rPr>
            <w:rStyle w:val="Hyperlink"/>
            <w:rFonts w:cstheme="minorHAnsi"/>
          </w:rPr>
          <w:t>THE GOVERNMENT’S PROGRAM</w:t>
        </w:r>
        <w:r w:rsidR="00DC01E7">
          <w:rPr>
            <w:webHidden/>
          </w:rPr>
          <w:tab/>
        </w:r>
        <w:r w:rsidR="00DC01E7">
          <w:rPr>
            <w:webHidden/>
          </w:rPr>
          <w:fldChar w:fldCharType="begin"/>
        </w:r>
        <w:r w:rsidR="00DC01E7">
          <w:rPr>
            <w:webHidden/>
          </w:rPr>
          <w:instrText xml:space="preserve"> PAGEREF _Toc496204245 \h </w:instrText>
        </w:r>
        <w:r w:rsidR="00DC01E7">
          <w:rPr>
            <w:webHidden/>
          </w:rPr>
        </w:r>
        <w:r w:rsidR="00DC01E7">
          <w:rPr>
            <w:webHidden/>
          </w:rPr>
          <w:fldChar w:fldCharType="separate"/>
        </w:r>
        <w:r w:rsidR="006D54FB">
          <w:rPr>
            <w:webHidden/>
          </w:rPr>
          <w:t>11</w:t>
        </w:r>
        <w:r w:rsidR="00DC01E7">
          <w:rPr>
            <w:webHidden/>
          </w:rPr>
          <w:fldChar w:fldCharType="end"/>
        </w:r>
      </w:hyperlink>
    </w:p>
    <w:p w14:paraId="7CEF22DF" w14:textId="7B94F2C2" w:rsidR="00DC01E7" w:rsidRDefault="008B4E47">
      <w:pPr>
        <w:pStyle w:val="TOC1"/>
        <w:rPr>
          <w:rFonts w:asciiTheme="minorHAnsi" w:eastAsiaTheme="minorEastAsia" w:hAnsiTheme="minorHAnsi" w:cstheme="minorBidi"/>
          <w:b w:val="0"/>
        </w:rPr>
      </w:pPr>
      <w:hyperlink w:anchor="_Toc496204246" w:history="1">
        <w:r w:rsidR="00DC01E7" w:rsidRPr="00774C61">
          <w:rPr>
            <w:rStyle w:val="Hyperlink"/>
            <w:rFonts w:cstheme="minorHAnsi"/>
          </w:rPr>
          <w:t>4.</w:t>
        </w:r>
        <w:r w:rsidR="00DC01E7">
          <w:rPr>
            <w:rFonts w:asciiTheme="minorHAnsi" w:eastAsiaTheme="minorEastAsia" w:hAnsiTheme="minorHAnsi" w:cstheme="minorBidi"/>
            <w:b w:val="0"/>
          </w:rPr>
          <w:tab/>
        </w:r>
        <w:r w:rsidR="00DC01E7" w:rsidRPr="00774C61">
          <w:rPr>
            <w:rStyle w:val="Hyperlink"/>
            <w:rFonts w:cstheme="minorHAnsi"/>
          </w:rPr>
          <w:t>THE PROPOSED OPERATION</w:t>
        </w:r>
        <w:r w:rsidR="00DC01E7">
          <w:rPr>
            <w:webHidden/>
          </w:rPr>
          <w:tab/>
        </w:r>
        <w:r w:rsidR="00DC01E7">
          <w:rPr>
            <w:webHidden/>
          </w:rPr>
          <w:fldChar w:fldCharType="begin"/>
        </w:r>
        <w:r w:rsidR="00DC01E7">
          <w:rPr>
            <w:webHidden/>
          </w:rPr>
          <w:instrText xml:space="preserve"> PAGEREF _Toc496204246 \h </w:instrText>
        </w:r>
        <w:r w:rsidR="00DC01E7">
          <w:rPr>
            <w:webHidden/>
          </w:rPr>
        </w:r>
        <w:r w:rsidR="00DC01E7">
          <w:rPr>
            <w:webHidden/>
          </w:rPr>
          <w:fldChar w:fldCharType="separate"/>
        </w:r>
        <w:r w:rsidR="006D54FB">
          <w:rPr>
            <w:webHidden/>
          </w:rPr>
          <w:t>14</w:t>
        </w:r>
        <w:r w:rsidR="00DC01E7">
          <w:rPr>
            <w:webHidden/>
          </w:rPr>
          <w:fldChar w:fldCharType="end"/>
        </w:r>
      </w:hyperlink>
    </w:p>
    <w:p w14:paraId="7D19C549" w14:textId="46891C02" w:rsidR="00DC01E7" w:rsidRDefault="008B4E47">
      <w:pPr>
        <w:pStyle w:val="TOC2"/>
        <w:rPr>
          <w:rFonts w:asciiTheme="minorHAnsi" w:eastAsiaTheme="minorEastAsia" w:hAnsiTheme="minorHAnsi" w:cstheme="minorBidi"/>
          <w:noProof/>
        </w:rPr>
      </w:pPr>
      <w:hyperlink w:anchor="_Toc496204247" w:history="1">
        <w:r w:rsidR="00DC01E7" w:rsidRPr="00774C61">
          <w:rPr>
            <w:rStyle w:val="Hyperlink"/>
            <w:rFonts w:cstheme="minorHAnsi"/>
            <w:noProof/>
          </w:rPr>
          <w:t>4.1</w:t>
        </w:r>
        <w:r w:rsidR="00DC01E7">
          <w:rPr>
            <w:rFonts w:asciiTheme="minorHAnsi" w:eastAsiaTheme="minorEastAsia" w:hAnsiTheme="minorHAnsi" w:cstheme="minorBidi"/>
            <w:noProof/>
          </w:rPr>
          <w:tab/>
        </w:r>
        <w:r w:rsidR="00DC01E7" w:rsidRPr="00774C61">
          <w:rPr>
            <w:rStyle w:val="Hyperlink"/>
            <w:rFonts w:cstheme="minorHAnsi"/>
            <w:noProof/>
          </w:rPr>
          <w:t>LINK TO GOVERNMENT PROGRAM AND OPERATION DESCRIPTION</w:t>
        </w:r>
        <w:r w:rsidR="00DC01E7">
          <w:rPr>
            <w:noProof/>
            <w:webHidden/>
          </w:rPr>
          <w:tab/>
        </w:r>
        <w:r w:rsidR="00DC01E7">
          <w:rPr>
            <w:noProof/>
            <w:webHidden/>
          </w:rPr>
          <w:fldChar w:fldCharType="begin"/>
        </w:r>
        <w:r w:rsidR="00DC01E7">
          <w:rPr>
            <w:noProof/>
            <w:webHidden/>
          </w:rPr>
          <w:instrText xml:space="preserve"> PAGEREF _Toc496204247 \h </w:instrText>
        </w:r>
        <w:r w:rsidR="00DC01E7">
          <w:rPr>
            <w:noProof/>
            <w:webHidden/>
          </w:rPr>
        </w:r>
        <w:r w:rsidR="00DC01E7">
          <w:rPr>
            <w:noProof/>
            <w:webHidden/>
          </w:rPr>
          <w:fldChar w:fldCharType="separate"/>
        </w:r>
        <w:r w:rsidR="006D54FB">
          <w:rPr>
            <w:noProof/>
            <w:webHidden/>
          </w:rPr>
          <w:t>14</w:t>
        </w:r>
        <w:r w:rsidR="00DC01E7">
          <w:rPr>
            <w:noProof/>
            <w:webHidden/>
          </w:rPr>
          <w:fldChar w:fldCharType="end"/>
        </w:r>
      </w:hyperlink>
    </w:p>
    <w:p w14:paraId="60B28085" w14:textId="608A45BC" w:rsidR="00DC01E7" w:rsidRDefault="008B4E47">
      <w:pPr>
        <w:pStyle w:val="TOC2"/>
        <w:rPr>
          <w:rFonts w:asciiTheme="minorHAnsi" w:eastAsiaTheme="minorEastAsia" w:hAnsiTheme="minorHAnsi" w:cstheme="minorBidi"/>
          <w:noProof/>
        </w:rPr>
      </w:pPr>
      <w:hyperlink w:anchor="_Toc496204248" w:history="1">
        <w:r w:rsidR="00DC01E7" w:rsidRPr="00774C61">
          <w:rPr>
            <w:rStyle w:val="Hyperlink"/>
            <w:noProof/>
          </w:rPr>
          <w:t>4.2</w:t>
        </w:r>
        <w:r w:rsidR="00DC01E7">
          <w:rPr>
            <w:rFonts w:asciiTheme="minorHAnsi" w:eastAsiaTheme="minorEastAsia" w:hAnsiTheme="minorHAnsi" w:cstheme="minorBidi"/>
            <w:noProof/>
          </w:rPr>
          <w:tab/>
        </w:r>
        <w:r w:rsidR="00DC01E7" w:rsidRPr="00774C61">
          <w:rPr>
            <w:rStyle w:val="Hyperlink"/>
            <w:noProof/>
          </w:rPr>
          <w:t>PRIOR ACTIONS, RESULTS AND ANALYTICAL UNDERPINNINGS</w:t>
        </w:r>
        <w:r w:rsidR="00DC01E7">
          <w:rPr>
            <w:noProof/>
            <w:webHidden/>
          </w:rPr>
          <w:tab/>
        </w:r>
        <w:r w:rsidR="00DC01E7">
          <w:rPr>
            <w:noProof/>
            <w:webHidden/>
          </w:rPr>
          <w:fldChar w:fldCharType="begin"/>
        </w:r>
        <w:r w:rsidR="00DC01E7">
          <w:rPr>
            <w:noProof/>
            <w:webHidden/>
          </w:rPr>
          <w:instrText xml:space="preserve"> PAGEREF _Toc496204248 \h </w:instrText>
        </w:r>
        <w:r w:rsidR="00DC01E7">
          <w:rPr>
            <w:noProof/>
            <w:webHidden/>
          </w:rPr>
        </w:r>
        <w:r w:rsidR="00DC01E7">
          <w:rPr>
            <w:noProof/>
            <w:webHidden/>
          </w:rPr>
          <w:fldChar w:fldCharType="separate"/>
        </w:r>
        <w:r w:rsidR="006D54FB">
          <w:rPr>
            <w:noProof/>
            <w:webHidden/>
          </w:rPr>
          <w:t>16</w:t>
        </w:r>
        <w:r w:rsidR="00DC01E7">
          <w:rPr>
            <w:noProof/>
            <w:webHidden/>
          </w:rPr>
          <w:fldChar w:fldCharType="end"/>
        </w:r>
      </w:hyperlink>
    </w:p>
    <w:p w14:paraId="3AF96A06" w14:textId="70CDD84D" w:rsidR="00DC01E7" w:rsidRDefault="008B4E47">
      <w:pPr>
        <w:pStyle w:val="TOC2"/>
        <w:rPr>
          <w:rFonts w:asciiTheme="minorHAnsi" w:eastAsiaTheme="minorEastAsia" w:hAnsiTheme="minorHAnsi" w:cstheme="minorBidi"/>
          <w:noProof/>
        </w:rPr>
      </w:pPr>
      <w:hyperlink w:anchor="_Toc496204249" w:history="1">
        <w:r w:rsidR="00DC01E7" w:rsidRPr="00774C61">
          <w:rPr>
            <w:rStyle w:val="Hyperlink"/>
            <w:rFonts w:cstheme="minorHAnsi"/>
            <w:noProof/>
          </w:rPr>
          <w:t xml:space="preserve">4.3 </w:t>
        </w:r>
        <w:r w:rsidR="00DC01E7">
          <w:rPr>
            <w:rFonts w:asciiTheme="minorHAnsi" w:eastAsiaTheme="minorEastAsia" w:hAnsiTheme="minorHAnsi" w:cstheme="minorBidi"/>
            <w:noProof/>
          </w:rPr>
          <w:tab/>
        </w:r>
        <w:r w:rsidR="00DC01E7" w:rsidRPr="00774C61">
          <w:rPr>
            <w:rStyle w:val="Hyperlink"/>
            <w:rFonts w:cstheme="minorHAnsi"/>
            <w:noProof/>
          </w:rPr>
          <w:t>LINK</w:t>
        </w:r>
        <w:r w:rsidR="00DC01E7" w:rsidRPr="00774C61">
          <w:rPr>
            <w:rStyle w:val="Hyperlink"/>
            <w:rFonts w:cstheme="minorHAnsi"/>
            <w:noProof/>
            <w:spacing w:val="32"/>
          </w:rPr>
          <w:t xml:space="preserve"> </w:t>
        </w:r>
        <w:r w:rsidR="00DC01E7" w:rsidRPr="00774C61">
          <w:rPr>
            <w:rStyle w:val="Hyperlink"/>
            <w:rFonts w:cstheme="minorHAnsi"/>
            <w:noProof/>
          </w:rPr>
          <w:t>TO</w:t>
        </w:r>
        <w:r w:rsidR="00DC01E7" w:rsidRPr="00774C61">
          <w:rPr>
            <w:rStyle w:val="Hyperlink"/>
            <w:rFonts w:cstheme="minorHAnsi"/>
            <w:noProof/>
            <w:spacing w:val="34"/>
          </w:rPr>
          <w:t xml:space="preserve"> </w:t>
        </w:r>
        <w:r w:rsidR="00DC01E7" w:rsidRPr="00774C61">
          <w:rPr>
            <w:rStyle w:val="Hyperlink"/>
            <w:rFonts w:cstheme="minorHAnsi"/>
            <w:noProof/>
          </w:rPr>
          <w:t>CPF,</w:t>
        </w:r>
        <w:r w:rsidR="00DC01E7" w:rsidRPr="00774C61">
          <w:rPr>
            <w:rStyle w:val="Hyperlink"/>
            <w:rFonts w:cstheme="minorHAnsi"/>
            <w:noProof/>
            <w:spacing w:val="34"/>
          </w:rPr>
          <w:t xml:space="preserve"> </w:t>
        </w:r>
        <w:r w:rsidR="00DC01E7" w:rsidRPr="00774C61">
          <w:rPr>
            <w:rStyle w:val="Hyperlink"/>
            <w:rFonts w:cstheme="minorHAnsi"/>
            <w:noProof/>
          </w:rPr>
          <w:t>OTHER WORLD BANK OPERATIONS</w:t>
        </w:r>
        <w:r w:rsidR="00DC01E7" w:rsidRPr="00774C61">
          <w:rPr>
            <w:rStyle w:val="Hyperlink"/>
            <w:rFonts w:cstheme="minorHAnsi"/>
            <w:noProof/>
            <w:spacing w:val="35"/>
          </w:rPr>
          <w:t xml:space="preserve"> </w:t>
        </w:r>
        <w:r w:rsidR="00DC01E7" w:rsidRPr="00774C61">
          <w:rPr>
            <w:rStyle w:val="Hyperlink"/>
            <w:rFonts w:cstheme="minorHAnsi"/>
            <w:noProof/>
          </w:rPr>
          <w:t>AND</w:t>
        </w:r>
        <w:r w:rsidR="00DC01E7" w:rsidRPr="00774C61">
          <w:rPr>
            <w:rStyle w:val="Hyperlink"/>
            <w:rFonts w:cstheme="minorHAnsi"/>
            <w:noProof/>
            <w:spacing w:val="33"/>
          </w:rPr>
          <w:t xml:space="preserve"> </w:t>
        </w:r>
        <w:r w:rsidR="00DC01E7" w:rsidRPr="00774C61">
          <w:rPr>
            <w:rStyle w:val="Hyperlink"/>
            <w:rFonts w:cstheme="minorHAnsi"/>
            <w:noProof/>
          </w:rPr>
          <w:t>T</w:t>
        </w:r>
        <w:r w:rsidR="00DC01E7" w:rsidRPr="00774C61">
          <w:rPr>
            <w:rStyle w:val="Hyperlink"/>
            <w:rFonts w:cstheme="minorHAnsi"/>
            <w:noProof/>
            <w:spacing w:val="-2"/>
          </w:rPr>
          <w:t>H</w:t>
        </w:r>
        <w:r w:rsidR="00DC01E7" w:rsidRPr="00774C61">
          <w:rPr>
            <w:rStyle w:val="Hyperlink"/>
            <w:rFonts w:cstheme="minorHAnsi"/>
            <w:noProof/>
          </w:rPr>
          <w:t>E</w:t>
        </w:r>
        <w:r w:rsidR="00DC01E7" w:rsidRPr="00774C61">
          <w:rPr>
            <w:rStyle w:val="Hyperlink"/>
            <w:rFonts w:cstheme="minorHAnsi"/>
            <w:noProof/>
            <w:spacing w:val="34"/>
          </w:rPr>
          <w:t xml:space="preserve"> </w:t>
        </w:r>
        <w:r w:rsidR="00DC01E7" w:rsidRPr="00774C61">
          <w:rPr>
            <w:rStyle w:val="Hyperlink"/>
            <w:rFonts w:cstheme="minorHAnsi"/>
            <w:noProof/>
          </w:rPr>
          <w:t>W</w:t>
        </w:r>
        <w:r w:rsidR="00DC01E7" w:rsidRPr="00774C61">
          <w:rPr>
            <w:rStyle w:val="Hyperlink"/>
            <w:rFonts w:cstheme="minorHAnsi"/>
            <w:noProof/>
            <w:spacing w:val="-2"/>
          </w:rPr>
          <w:t>B</w:t>
        </w:r>
        <w:r w:rsidR="00DC01E7" w:rsidRPr="00774C61">
          <w:rPr>
            <w:rStyle w:val="Hyperlink"/>
            <w:rFonts w:cstheme="minorHAnsi"/>
            <w:noProof/>
          </w:rPr>
          <w:t>G</w:t>
        </w:r>
        <w:r w:rsidR="00DC01E7" w:rsidRPr="00774C61">
          <w:rPr>
            <w:rStyle w:val="Hyperlink"/>
            <w:rFonts w:cstheme="minorHAnsi"/>
            <w:noProof/>
            <w:spacing w:val="32"/>
          </w:rPr>
          <w:t xml:space="preserve"> </w:t>
        </w:r>
        <w:r w:rsidR="00DC01E7" w:rsidRPr="00774C61">
          <w:rPr>
            <w:rStyle w:val="Hyperlink"/>
            <w:rFonts w:cstheme="minorHAnsi"/>
            <w:noProof/>
          </w:rPr>
          <w:t>STRATE</w:t>
        </w:r>
        <w:r w:rsidR="00DC01E7" w:rsidRPr="00774C61">
          <w:rPr>
            <w:rStyle w:val="Hyperlink"/>
            <w:rFonts w:cstheme="minorHAnsi"/>
            <w:noProof/>
            <w:spacing w:val="-2"/>
          </w:rPr>
          <w:t>G</w:t>
        </w:r>
        <w:r w:rsidR="00DC01E7" w:rsidRPr="00774C61">
          <w:rPr>
            <w:rStyle w:val="Hyperlink"/>
            <w:rFonts w:cstheme="minorHAnsi"/>
            <w:noProof/>
          </w:rPr>
          <w:t>Y</w:t>
        </w:r>
        <w:r w:rsidR="00DC01E7">
          <w:rPr>
            <w:noProof/>
            <w:webHidden/>
          </w:rPr>
          <w:tab/>
        </w:r>
        <w:r w:rsidR="00DC01E7">
          <w:rPr>
            <w:noProof/>
            <w:webHidden/>
          </w:rPr>
          <w:fldChar w:fldCharType="begin"/>
        </w:r>
        <w:r w:rsidR="00DC01E7">
          <w:rPr>
            <w:noProof/>
            <w:webHidden/>
          </w:rPr>
          <w:instrText xml:space="preserve"> PAGEREF _Toc496204249 \h </w:instrText>
        </w:r>
        <w:r w:rsidR="00DC01E7">
          <w:rPr>
            <w:noProof/>
            <w:webHidden/>
          </w:rPr>
        </w:r>
        <w:r w:rsidR="00DC01E7">
          <w:rPr>
            <w:noProof/>
            <w:webHidden/>
          </w:rPr>
          <w:fldChar w:fldCharType="separate"/>
        </w:r>
        <w:r w:rsidR="006D54FB">
          <w:rPr>
            <w:noProof/>
            <w:webHidden/>
          </w:rPr>
          <w:t>25</w:t>
        </w:r>
        <w:r w:rsidR="00DC01E7">
          <w:rPr>
            <w:noProof/>
            <w:webHidden/>
          </w:rPr>
          <w:fldChar w:fldCharType="end"/>
        </w:r>
      </w:hyperlink>
    </w:p>
    <w:p w14:paraId="0D653DC0" w14:textId="4703C760" w:rsidR="00DC01E7" w:rsidRDefault="008B4E47">
      <w:pPr>
        <w:pStyle w:val="TOC2"/>
        <w:rPr>
          <w:rFonts w:asciiTheme="minorHAnsi" w:eastAsiaTheme="minorEastAsia" w:hAnsiTheme="minorHAnsi" w:cstheme="minorBidi"/>
          <w:noProof/>
        </w:rPr>
      </w:pPr>
      <w:hyperlink w:anchor="_Toc496204250" w:history="1">
        <w:r w:rsidR="00DC01E7" w:rsidRPr="00774C61">
          <w:rPr>
            <w:rStyle w:val="Hyperlink"/>
            <w:rFonts w:cstheme="minorHAnsi"/>
            <w:noProof/>
          </w:rPr>
          <w:t xml:space="preserve">4.4 </w:t>
        </w:r>
        <w:r w:rsidR="00DC01E7">
          <w:rPr>
            <w:rFonts w:asciiTheme="minorHAnsi" w:eastAsiaTheme="minorEastAsia" w:hAnsiTheme="minorHAnsi" w:cstheme="minorBidi"/>
            <w:noProof/>
          </w:rPr>
          <w:tab/>
        </w:r>
        <w:r w:rsidR="00DC01E7" w:rsidRPr="00774C61">
          <w:rPr>
            <w:rStyle w:val="Hyperlink"/>
            <w:rFonts w:cstheme="minorHAnsi"/>
            <w:noProof/>
          </w:rPr>
          <w:t>CONSULTATIONS AND COLLABORATION WITH DEVELOPMENT PARTNERS</w:t>
        </w:r>
        <w:r w:rsidR="00DC01E7">
          <w:rPr>
            <w:noProof/>
            <w:webHidden/>
          </w:rPr>
          <w:tab/>
        </w:r>
        <w:r w:rsidR="00DC01E7">
          <w:rPr>
            <w:noProof/>
            <w:webHidden/>
          </w:rPr>
          <w:fldChar w:fldCharType="begin"/>
        </w:r>
        <w:r w:rsidR="00DC01E7">
          <w:rPr>
            <w:noProof/>
            <w:webHidden/>
          </w:rPr>
          <w:instrText xml:space="preserve"> PAGEREF _Toc496204250 \h </w:instrText>
        </w:r>
        <w:r w:rsidR="00DC01E7">
          <w:rPr>
            <w:noProof/>
            <w:webHidden/>
          </w:rPr>
        </w:r>
        <w:r w:rsidR="00DC01E7">
          <w:rPr>
            <w:noProof/>
            <w:webHidden/>
          </w:rPr>
          <w:fldChar w:fldCharType="separate"/>
        </w:r>
        <w:r w:rsidR="006D54FB">
          <w:rPr>
            <w:noProof/>
            <w:webHidden/>
          </w:rPr>
          <w:t>26</w:t>
        </w:r>
        <w:r w:rsidR="00DC01E7">
          <w:rPr>
            <w:noProof/>
            <w:webHidden/>
          </w:rPr>
          <w:fldChar w:fldCharType="end"/>
        </w:r>
      </w:hyperlink>
    </w:p>
    <w:p w14:paraId="7FFEB2DB" w14:textId="05FC5074" w:rsidR="00DC01E7" w:rsidRDefault="008B4E47">
      <w:pPr>
        <w:pStyle w:val="TOC1"/>
        <w:rPr>
          <w:rFonts w:asciiTheme="minorHAnsi" w:eastAsiaTheme="minorEastAsia" w:hAnsiTheme="minorHAnsi" w:cstheme="minorBidi"/>
          <w:b w:val="0"/>
        </w:rPr>
      </w:pPr>
      <w:hyperlink w:anchor="_Toc496204251" w:history="1">
        <w:r w:rsidR="00DC01E7" w:rsidRPr="00774C61">
          <w:rPr>
            <w:rStyle w:val="Hyperlink"/>
            <w:rFonts w:cstheme="minorHAnsi"/>
          </w:rPr>
          <w:t>5.</w:t>
        </w:r>
        <w:r w:rsidR="00DC01E7">
          <w:rPr>
            <w:rFonts w:asciiTheme="minorHAnsi" w:eastAsiaTheme="minorEastAsia" w:hAnsiTheme="minorHAnsi" w:cstheme="minorBidi"/>
            <w:b w:val="0"/>
          </w:rPr>
          <w:tab/>
        </w:r>
        <w:r w:rsidR="00DC01E7" w:rsidRPr="00774C61">
          <w:rPr>
            <w:rStyle w:val="Hyperlink"/>
            <w:rFonts w:cstheme="minorHAnsi"/>
          </w:rPr>
          <w:t>OTHER DESIGN AND APPRAISAL ISSUES</w:t>
        </w:r>
        <w:r w:rsidR="00DC01E7">
          <w:rPr>
            <w:webHidden/>
          </w:rPr>
          <w:tab/>
        </w:r>
        <w:r w:rsidR="00DC01E7">
          <w:rPr>
            <w:webHidden/>
          </w:rPr>
          <w:fldChar w:fldCharType="begin"/>
        </w:r>
        <w:r w:rsidR="00DC01E7">
          <w:rPr>
            <w:webHidden/>
          </w:rPr>
          <w:instrText xml:space="preserve"> PAGEREF _Toc496204251 \h </w:instrText>
        </w:r>
        <w:r w:rsidR="00DC01E7">
          <w:rPr>
            <w:webHidden/>
          </w:rPr>
        </w:r>
        <w:r w:rsidR="00DC01E7">
          <w:rPr>
            <w:webHidden/>
          </w:rPr>
          <w:fldChar w:fldCharType="separate"/>
        </w:r>
        <w:r w:rsidR="006D54FB">
          <w:rPr>
            <w:webHidden/>
          </w:rPr>
          <w:t>27</w:t>
        </w:r>
        <w:r w:rsidR="00DC01E7">
          <w:rPr>
            <w:webHidden/>
          </w:rPr>
          <w:fldChar w:fldCharType="end"/>
        </w:r>
      </w:hyperlink>
    </w:p>
    <w:p w14:paraId="69208008" w14:textId="191290C7" w:rsidR="00DC01E7" w:rsidRDefault="008B4E47">
      <w:pPr>
        <w:pStyle w:val="TOC2"/>
        <w:rPr>
          <w:rFonts w:asciiTheme="minorHAnsi" w:eastAsiaTheme="minorEastAsia" w:hAnsiTheme="minorHAnsi" w:cstheme="minorBidi"/>
          <w:noProof/>
        </w:rPr>
      </w:pPr>
      <w:hyperlink w:anchor="_Toc496204252" w:history="1">
        <w:r w:rsidR="00DC01E7" w:rsidRPr="00774C61">
          <w:rPr>
            <w:rStyle w:val="Hyperlink"/>
            <w:rFonts w:cstheme="minorHAnsi"/>
            <w:noProof/>
          </w:rPr>
          <w:t>5.1</w:t>
        </w:r>
        <w:r w:rsidR="00DC01E7">
          <w:rPr>
            <w:rFonts w:asciiTheme="minorHAnsi" w:eastAsiaTheme="minorEastAsia" w:hAnsiTheme="minorHAnsi" w:cstheme="minorBidi"/>
            <w:noProof/>
          </w:rPr>
          <w:tab/>
        </w:r>
        <w:r w:rsidR="00DC01E7" w:rsidRPr="00774C61">
          <w:rPr>
            <w:rStyle w:val="Hyperlink"/>
            <w:rFonts w:cstheme="minorHAnsi"/>
            <w:noProof/>
          </w:rPr>
          <w:t xml:space="preserve">POVERTY AND SOCIAL IMPACT </w:t>
        </w:r>
        <w:r w:rsidR="00DC01E7">
          <w:rPr>
            <w:noProof/>
            <w:webHidden/>
          </w:rPr>
          <w:tab/>
        </w:r>
        <w:r w:rsidR="00DC01E7">
          <w:rPr>
            <w:noProof/>
            <w:webHidden/>
          </w:rPr>
          <w:fldChar w:fldCharType="begin"/>
        </w:r>
        <w:r w:rsidR="00DC01E7">
          <w:rPr>
            <w:noProof/>
            <w:webHidden/>
          </w:rPr>
          <w:instrText xml:space="preserve"> PAGEREF _Toc496204252 \h </w:instrText>
        </w:r>
        <w:r w:rsidR="00DC01E7">
          <w:rPr>
            <w:noProof/>
            <w:webHidden/>
          </w:rPr>
        </w:r>
        <w:r w:rsidR="00DC01E7">
          <w:rPr>
            <w:noProof/>
            <w:webHidden/>
          </w:rPr>
          <w:fldChar w:fldCharType="separate"/>
        </w:r>
        <w:r w:rsidR="006D54FB">
          <w:rPr>
            <w:noProof/>
            <w:webHidden/>
          </w:rPr>
          <w:t>27</w:t>
        </w:r>
        <w:r w:rsidR="00DC01E7">
          <w:rPr>
            <w:noProof/>
            <w:webHidden/>
          </w:rPr>
          <w:fldChar w:fldCharType="end"/>
        </w:r>
      </w:hyperlink>
    </w:p>
    <w:p w14:paraId="1EDC9224" w14:textId="1D3238C2" w:rsidR="00DC01E7" w:rsidRDefault="008B4E47">
      <w:pPr>
        <w:pStyle w:val="TOC2"/>
        <w:rPr>
          <w:rFonts w:asciiTheme="minorHAnsi" w:eastAsiaTheme="minorEastAsia" w:hAnsiTheme="minorHAnsi" w:cstheme="minorBidi"/>
          <w:noProof/>
        </w:rPr>
      </w:pPr>
      <w:hyperlink w:anchor="_Toc496204253" w:history="1">
        <w:r w:rsidR="00DC01E7" w:rsidRPr="00774C61">
          <w:rPr>
            <w:rStyle w:val="Hyperlink"/>
            <w:rFonts w:cstheme="minorHAnsi"/>
            <w:noProof/>
          </w:rPr>
          <w:t>5.2</w:t>
        </w:r>
        <w:r w:rsidR="00DC01E7">
          <w:rPr>
            <w:rFonts w:asciiTheme="minorHAnsi" w:eastAsiaTheme="minorEastAsia" w:hAnsiTheme="minorHAnsi" w:cstheme="minorBidi"/>
            <w:noProof/>
          </w:rPr>
          <w:tab/>
        </w:r>
        <w:r w:rsidR="00DC01E7" w:rsidRPr="00774C61">
          <w:rPr>
            <w:rStyle w:val="Hyperlink"/>
            <w:rFonts w:cstheme="minorHAnsi"/>
            <w:noProof/>
          </w:rPr>
          <w:t>ENVIRON</w:t>
        </w:r>
        <w:r w:rsidR="00DC01E7" w:rsidRPr="00774C61">
          <w:rPr>
            <w:rStyle w:val="Hyperlink"/>
            <w:rFonts w:cstheme="minorHAnsi"/>
            <w:noProof/>
            <w:spacing w:val="-1"/>
          </w:rPr>
          <w:t>M</w:t>
        </w:r>
        <w:r w:rsidR="00DC01E7" w:rsidRPr="00774C61">
          <w:rPr>
            <w:rStyle w:val="Hyperlink"/>
            <w:rFonts w:cstheme="minorHAnsi"/>
            <w:noProof/>
          </w:rPr>
          <w:t>ENTAL ASPECTS</w:t>
        </w:r>
        <w:r w:rsidR="00DC01E7">
          <w:rPr>
            <w:noProof/>
            <w:webHidden/>
          </w:rPr>
          <w:tab/>
        </w:r>
        <w:r w:rsidR="00DC01E7">
          <w:rPr>
            <w:noProof/>
            <w:webHidden/>
          </w:rPr>
          <w:fldChar w:fldCharType="begin"/>
        </w:r>
        <w:r w:rsidR="00DC01E7">
          <w:rPr>
            <w:noProof/>
            <w:webHidden/>
          </w:rPr>
          <w:instrText xml:space="preserve"> PAGEREF _Toc496204253 \h </w:instrText>
        </w:r>
        <w:r w:rsidR="00DC01E7">
          <w:rPr>
            <w:noProof/>
            <w:webHidden/>
          </w:rPr>
        </w:r>
        <w:r w:rsidR="00DC01E7">
          <w:rPr>
            <w:noProof/>
            <w:webHidden/>
          </w:rPr>
          <w:fldChar w:fldCharType="separate"/>
        </w:r>
        <w:r w:rsidR="006D54FB">
          <w:rPr>
            <w:noProof/>
            <w:webHidden/>
          </w:rPr>
          <w:t>28</w:t>
        </w:r>
        <w:r w:rsidR="00DC01E7">
          <w:rPr>
            <w:noProof/>
            <w:webHidden/>
          </w:rPr>
          <w:fldChar w:fldCharType="end"/>
        </w:r>
      </w:hyperlink>
    </w:p>
    <w:p w14:paraId="0EDF43C0" w14:textId="76CECF60" w:rsidR="00DC01E7" w:rsidRDefault="008B4E47">
      <w:pPr>
        <w:pStyle w:val="TOC2"/>
        <w:rPr>
          <w:rFonts w:asciiTheme="minorHAnsi" w:eastAsiaTheme="minorEastAsia" w:hAnsiTheme="minorHAnsi" w:cstheme="minorBidi"/>
          <w:noProof/>
        </w:rPr>
      </w:pPr>
      <w:hyperlink w:anchor="_Toc496204254" w:history="1">
        <w:r w:rsidR="00DC01E7" w:rsidRPr="00774C61">
          <w:rPr>
            <w:rStyle w:val="Hyperlink"/>
            <w:rFonts w:cstheme="minorHAnsi"/>
            <w:noProof/>
          </w:rPr>
          <w:t>5.3</w:t>
        </w:r>
        <w:r w:rsidR="00DC01E7">
          <w:rPr>
            <w:rFonts w:asciiTheme="minorHAnsi" w:eastAsiaTheme="minorEastAsia" w:hAnsiTheme="minorHAnsi" w:cstheme="minorBidi"/>
            <w:noProof/>
          </w:rPr>
          <w:tab/>
        </w:r>
        <w:r w:rsidR="00DC01E7" w:rsidRPr="00774C61">
          <w:rPr>
            <w:rStyle w:val="Hyperlink"/>
            <w:rFonts w:cstheme="minorHAnsi"/>
            <w:noProof/>
          </w:rPr>
          <w:t>PF</w:t>
        </w:r>
        <w:r w:rsidR="00DC01E7" w:rsidRPr="00774C61">
          <w:rPr>
            <w:rStyle w:val="Hyperlink"/>
            <w:rFonts w:cstheme="minorHAnsi"/>
            <w:noProof/>
            <w:spacing w:val="-1"/>
          </w:rPr>
          <w:t>M</w:t>
        </w:r>
        <w:r w:rsidR="00DC01E7" w:rsidRPr="00774C61">
          <w:rPr>
            <w:rStyle w:val="Hyperlink"/>
            <w:rFonts w:cstheme="minorHAnsi"/>
            <w:noProof/>
          </w:rPr>
          <w:t>, DISBURSE</w:t>
        </w:r>
        <w:r w:rsidR="00DC01E7" w:rsidRPr="00774C61">
          <w:rPr>
            <w:rStyle w:val="Hyperlink"/>
            <w:rFonts w:cstheme="minorHAnsi"/>
            <w:noProof/>
            <w:spacing w:val="-1"/>
          </w:rPr>
          <w:t>M</w:t>
        </w:r>
        <w:r w:rsidR="00DC01E7" w:rsidRPr="00774C61">
          <w:rPr>
            <w:rStyle w:val="Hyperlink"/>
            <w:rFonts w:cstheme="minorHAnsi"/>
            <w:noProof/>
          </w:rPr>
          <w:t>ENT AND AUDITI</w:t>
        </w:r>
        <w:r w:rsidR="00DC01E7" w:rsidRPr="00774C61">
          <w:rPr>
            <w:rStyle w:val="Hyperlink"/>
            <w:rFonts w:cstheme="minorHAnsi"/>
            <w:noProof/>
            <w:spacing w:val="2"/>
          </w:rPr>
          <w:t>N</w:t>
        </w:r>
        <w:r w:rsidR="00DC01E7" w:rsidRPr="00774C61">
          <w:rPr>
            <w:rStyle w:val="Hyperlink"/>
            <w:rFonts w:cstheme="minorHAnsi"/>
            <w:noProof/>
          </w:rPr>
          <w:t>G ASPECTS</w:t>
        </w:r>
        <w:r w:rsidR="00DC01E7">
          <w:rPr>
            <w:noProof/>
            <w:webHidden/>
          </w:rPr>
          <w:tab/>
        </w:r>
        <w:r w:rsidR="00DC01E7">
          <w:rPr>
            <w:noProof/>
            <w:webHidden/>
          </w:rPr>
          <w:fldChar w:fldCharType="begin"/>
        </w:r>
        <w:r w:rsidR="00DC01E7">
          <w:rPr>
            <w:noProof/>
            <w:webHidden/>
          </w:rPr>
          <w:instrText xml:space="preserve"> PAGEREF _Toc496204254 \h </w:instrText>
        </w:r>
        <w:r w:rsidR="00DC01E7">
          <w:rPr>
            <w:noProof/>
            <w:webHidden/>
          </w:rPr>
        </w:r>
        <w:r w:rsidR="00DC01E7">
          <w:rPr>
            <w:noProof/>
            <w:webHidden/>
          </w:rPr>
          <w:fldChar w:fldCharType="separate"/>
        </w:r>
        <w:r w:rsidR="006D54FB">
          <w:rPr>
            <w:noProof/>
            <w:webHidden/>
          </w:rPr>
          <w:t>29</w:t>
        </w:r>
        <w:r w:rsidR="00DC01E7">
          <w:rPr>
            <w:noProof/>
            <w:webHidden/>
          </w:rPr>
          <w:fldChar w:fldCharType="end"/>
        </w:r>
      </w:hyperlink>
    </w:p>
    <w:p w14:paraId="2636D9F8" w14:textId="6BAC1D3C" w:rsidR="00DC01E7" w:rsidRDefault="008B4E47">
      <w:pPr>
        <w:pStyle w:val="TOC2"/>
        <w:rPr>
          <w:rFonts w:asciiTheme="minorHAnsi" w:eastAsiaTheme="minorEastAsia" w:hAnsiTheme="minorHAnsi" w:cstheme="minorBidi"/>
          <w:noProof/>
        </w:rPr>
      </w:pPr>
      <w:hyperlink w:anchor="_Toc496204255" w:history="1">
        <w:r w:rsidR="00DC01E7" w:rsidRPr="00774C61">
          <w:rPr>
            <w:rStyle w:val="Hyperlink"/>
            <w:rFonts w:cstheme="minorHAnsi"/>
            <w:noProof/>
          </w:rPr>
          <w:t>5.4</w:t>
        </w:r>
        <w:r w:rsidR="00DC01E7">
          <w:rPr>
            <w:rFonts w:asciiTheme="minorHAnsi" w:eastAsiaTheme="minorEastAsia" w:hAnsiTheme="minorHAnsi" w:cstheme="minorBidi"/>
            <w:noProof/>
          </w:rPr>
          <w:tab/>
        </w:r>
        <w:r w:rsidR="00DC01E7" w:rsidRPr="00774C61">
          <w:rPr>
            <w:rStyle w:val="Hyperlink"/>
            <w:rFonts w:cstheme="minorHAnsi"/>
            <w:noProof/>
            <w:spacing w:val="-1"/>
          </w:rPr>
          <w:t>M</w:t>
        </w:r>
        <w:r w:rsidR="00DC01E7" w:rsidRPr="00774C61">
          <w:rPr>
            <w:rStyle w:val="Hyperlink"/>
            <w:rFonts w:cstheme="minorHAnsi"/>
            <w:noProof/>
          </w:rPr>
          <w:t>ONITORING, EVALUATION AND ACCOUNTABILITY</w:t>
        </w:r>
        <w:r w:rsidR="00DC01E7">
          <w:rPr>
            <w:noProof/>
            <w:webHidden/>
          </w:rPr>
          <w:tab/>
        </w:r>
        <w:r w:rsidR="00DC01E7">
          <w:rPr>
            <w:noProof/>
            <w:webHidden/>
          </w:rPr>
          <w:fldChar w:fldCharType="begin"/>
        </w:r>
        <w:r w:rsidR="00DC01E7">
          <w:rPr>
            <w:noProof/>
            <w:webHidden/>
          </w:rPr>
          <w:instrText xml:space="preserve"> PAGEREF _Toc496204255 \h </w:instrText>
        </w:r>
        <w:r w:rsidR="00DC01E7">
          <w:rPr>
            <w:noProof/>
            <w:webHidden/>
          </w:rPr>
        </w:r>
        <w:r w:rsidR="00DC01E7">
          <w:rPr>
            <w:noProof/>
            <w:webHidden/>
          </w:rPr>
          <w:fldChar w:fldCharType="separate"/>
        </w:r>
        <w:r w:rsidR="006D54FB">
          <w:rPr>
            <w:noProof/>
            <w:webHidden/>
          </w:rPr>
          <w:t>30</w:t>
        </w:r>
        <w:r w:rsidR="00DC01E7">
          <w:rPr>
            <w:noProof/>
            <w:webHidden/>
          </w:rPr>
          <w:fldChar w:fldCharType="end"/>
        </w:r>
      </w:hyperlink>
    </w:p>
    <w:p w14:paraId="2154C1EF" w14:textId="74389D85" w:rsidR="00DC01E7" w:rsidRDefault="008B4E47">
      <w:pPr>
        <w:pStyle w:val="TOC1"/>
        <w:rPr>
          <w:rFonts w:asciiTheme="minorHAnsi" w:eastAsiaTheme="minorEastAsia" w:hAnsiTheme="minorHAnsi" w:cstheme="minorBidi"/>
          <w:b w:val="0"/>
        </w:rPr>
      </w:pPr>
      <w:hyperlink w:anchor="_Toc496204256" w:history="1">
        <w:r w:rsidR="00DC01E7" w:rsidRPr="00774C61">
          <w:rPr>
            <w:rStyle w:val="Hyperlink"/>
            <w:rFonts w:cstheme="minorHAnsi"/>
          </w:rPr>
          <w:t>6.</w:t>
        </w:r>
        <w:r w:rsidR="00DC01E7">
          <w:rPr>
            <w:rFonts w:asciiTheme="minorHAnsi" w:eastAsiaTheme="minorEastAsia" w:hAnsiTheme="minorHAnsi" w:cstheme="minorBidi"/>
            <w:b w:val="0"/>
          </w:rPr>
          <w:tab/>
        </w:r>
        <w:r w:rsidR="00DC01E7" w:rsidRPr="00774C61">
          <w:rPr>
            <w:rStyle w:val="Hyperlink"/>
            <w:rFonts w:cstheme="minorHAnsi"/>
          </w:rPr>
          <w:t>SUMMARY OF RISKS AND MITIGATION</w:t>
        </w:r>
        <w:r w:rsidR="00DC01E7">
          <w:rPr>
            <w:webHidden/>
          </w:rPr>
          <w:tab/>
        </w:r>
        <w:r w:rsidR="00DC01E7">
          <w:rPr>
            <w:webHidden/>
          </w:rPr>
          <w:fldChar w:fldCharType="begin"/>
        </w:r>
        <w:r w:rsidR="00DC01E7">
          <w:rPr>
            <w:webHidden/>
          </w:rPr>
          <w:instrText xml:space="preserve"> PAGEREF _Toc496204256 \h </w:instrText>
        </w:r>
        <w:r w:rsidR="00DC01E7">
          <w:rPr>
            <w:webHidden/>
          </w:rPr>
        </w:r>
        <w:r w:rsidR="00DC01E7">
          <w:rPr>
            <w:webHidden/>
          </w:rPr>
          <w:fldChar w:fldCharType="separate"/>
        </w:r>
        <w:r w:rsidR="006D54FB">
          <w:rPr>
            <w:webHidden/>
          </w:rPr>
          <w:t>31</w:t>
        </w:r>
        <w:r w:rsidR="00DC01E7">
          <w:rPr>
            <w:webHidden/>
          </w:rPr>
          <w:fldChar w:fldCharType="end"/>
        </w:r>
      </w:hyperlink>
    </w:p>
    <w:p w14:paraId="4BA0A233" w14:textId="07B66747" w:rsidR="00DC01E7" w:rsidRDefault="008B4E47">
      <w:pPr>
        <w:pStyle w:val="TOC3"/>
        <w:rPr>
          <w:rFonts w:asciiTheme="minorHAnsi" w:eastAsiaTheme="minorEastAsia" w:hAnsiTheme="minorHAnsi" w:cstheme="minorBidi"/>
        </w:rPr>
      </w:pPr>
      <w:hyperlink w:anchor="_Toc496204257" w:history="1">
        <w:r w:rsidR="00DC01E7" w:rsidRPr="00774C61">
          <w:rPr>
            <w:rStyle w:val="Hyperlink"/>
            <w:rFonts w:cstheme="minorHAnsi"/>
          </w:rPr>
          <w:t>ANNEX 1: POLICY AND RESULTS MATRIX</w:t>
        </w:r>
        <w:r w:rsidR="00DC01E7">
          <w:rPr>
            <w:webHidden/>
          </w:rPr>
          <w:tab/>
        </w:r>
        <w:r w:rsidR="00DC01E7">
          <w:rPr>
            <w:webHidden/>
          </w:rPr>
          <w:fldChar w:fldCharType="begin"/>
        </w:r>
        <w:r w:rsidR="00DC01E7">
          <w:rPr>
            <w:webHidden/>
          </w:rPr>
          <w:instrText xml:space="preserve"> PAGEREF _Toc496204257 \h </w:instrText>
        </w:r>
        <w:r w:rsidR="00DC01E7">
          <w:rPr>
            <w:webHidden/>
          </w:rPr>
        </w:r>
        <w:r w:rsidR="00DC01E7">
          <w:rPr>
            <w:webHidden/>
          </w:rPr>
          <w:fldChar w:fldCharType="separate"/>
        </w:r>
        <w:r w:rsidR="006D54FB">
          <w:rPr>
            <w:webHidden/>
          </w:rPr>
          <w:t>33</w:t>
        </w:r>
        <w:r w:rsidR="00DC01E7">
          <w:rPr>
            <w:webHidden/>
          </w:rPr>
          <w:fldChar w:fldCharType="end"/>
        </w:r>
      </w:hyperlink>
    </w:p>
    <w:p w14:paraId="6C7B5717" w14:textId="7BDA35EF" w:rsidR="00DC01E7" w:rsidRDefault="008B4E47">
      <w:pPr>
        <w:pStyle w:val="TOC3"/>
        <w:rPr>
          <w:rFonts w:asciiTheme="minorHAnsi" w:eastAsiaTheme="minorEastAsia" w:hAnsiTheme="minorHAnsi" w:cstheme="minorBidi"/>
        </w:rPr>
      </w:pPr>
      <w:hyperlink w:anchor="_Toc496204258" w:history="1">
        <w:r w:rsidR="00DC01E7" w:rsidRPr="00774C61">
          <w:rPr>
            <w:rStyle w:val="Hyperlink"/>
            <w:rFonts w:cstheme="minorHAnsi"/>
          </w:rPr>
          <w:t>ANNEX 2:</w:t>
        </w:r>
        <w:r w:rsidR="00DC01E7" w:rsidRPr="00774C61">
          <w:rPr>
            <w:rStyle w:val="Hyperlink"/>
            <w:rFonts w:cstheme="minorHAnsi"/>
            <w:spacing w:val="1"/>
          </w:rPr>
          <w:t xml:space="preserve"> </w:t>
        </w:r>
        <w:r w:rsidR="00DC01E7" w:rsidRPr="00774C61">
          <w:rPr>
            <w:rStyle w:val="Hyperlink"/>
            <w:rFonts w:cstheme="minorHAnsi"/>
          </w:rPr>
          <w:t xml:space="preserve">LETTER </w:t>
        </w:r>
        <w:r w:rsidR="00DC01E7" w:rsidRPr="00774C61">
          <w:rPr>
            <w:rStyle w:val="Hyperlink"/>
            <w:rFonts w:cstheme="minorHAnsi"/>
            <w:spacing w:val="1"/>
          </w:rPr>
          <w:t>O</w:t>
        </w:r>
        <w:r w:rsidR="00DC01E7" w:rsidRPr="00774C61">
          <w:rPr>
            <w:rStyle w:val="Hyperlink"/>
            <w:rFonts w:cstheme="minorHAnsi"/>
          </w:rPr>
          <w:t>F DEVEL</w:t>
        </w:r>
        <w:r w:rsidR="00DC01E7" w:rsidRPr="00774C61">
          <w:rPr>
            <w:rStyle w:val="Hyperlink"/>
            <w:rFonts w:cstheme="minorHAnsi"/>
            <w:spacing w:val="1"/>
          </w:rPr>
          <w:t>O</w:t>
        </w:r>
        <w:r w:rsidR="00DC01E7" w:rsidRPr="00774C61">
          <w:rPr>
            <w:rStyle w:val="Hyperlink"/>
            <w:rFonts w:cstheme="minorHAnsi"/>
            <w:spacing w:val="2"/>
          </w:rPr>
          <w:t>P</w:t>
        </w:r>
        <w:r w:rsidR="00DC01E7" w:rsidRPr="00774C61">
          <w:rPr>
            <w:rStyle w:val="Hyperlink"/>
            <w:rFonts w:cstheme="minorHAnsi"/>
          </w:rPr>
          <w:t>MENT</w:t>
        </w:r>
        <w:r w:rsidR="00DC01E7" w:rsidRPr="00774C61">
          <w:rPr>
            <w:rStyle w:val="Hyperlink"/>
            <w:rFonts w:cstheme="minorHAnsi"/>
            <w:spacing w:val="-3"/>
          </w:rPr>
          <w:t xml:space="preserve"> </w:t>
        </w:r>
        <w:r w:rsidR="00DC01E7" w:rsidRPr="00774C61">
          <w:rPr>
            <w:rStyle w:val="Hyperlink"/>
            <w:rFonts w:cstheme="minorHAnsi"/>
          </w:rPr>
          <w:t>P</w:t>
        </w:r>
        <w:r w:rsidR="00DC01E7" w:rsidRPr="00774C61">
          <w:rPr>
            <w:rStyle w:val="Hyperlink"/>
            <w:rFonts w:cstheme="minorHAnsi"/>
            <w:spacing w:val="1"/>
          </w:rPr>
          <w:t>O</w:t>
        </w:r>
        <w:r w:rsidR="00DC01E7" w:rsidRPr="00774C61">
          <w:rPr>
            <w:rStyle w:val="Hyperlink"/>
            <w:rFonts w:cstheme="minorHAnsi"/>
          </w:rPr>
          <w:t>L</w:t>
        </w:r>
        <w:r w:rsidR="00DC01E7" w:rsidRPr="00774C61">
          <w:rPr>
            <w:rStyle w:val="Hyperlink"/>
            <w:rFonts w:cstheme="minorHAnsi"/>
            <w:spacing w:val="-2"/>
          </w:rPr>
          <w:t>I</w:t>
        </w:r>
        <w:r w:rsidR="00DC01E7" w:rsidRPr="00774C61">
          <w:rPr>
            <w:rStyle w:val="Hyperlink"/>
            <w:rFonts w:cstheme="minorHAnsi"/>
          </w:rPr>
          <w:t>CY</w:t>
        </w:r>
        <w:r w:rsidR="00DC01E7">
          <w:rPr>
            <w:webHidden/>
          </w:rPr>
          <w:tab/>
        </w:r>
        <w:r w:rsidR="00DC01E7">
          <w:rPr>
            <w:webHidden/>
          </w:rPr>
          <w:fldChar w:fldCharType="begin"/>
        </w:r>
        <w:r w:rsidR="00DC01E7">
          <w:rPr>
            <w:webHidden/>
          </w:rPr>
          <w:instrText xml:space="preserve"> PAGEREF _Toc496204258 \h </w:instrText>
        </w:r>
        <w:r w:rsidR="00DC01E7">
          <w:rPr>
            <w:webHidden/>
          </w:rPr>
        </w:r>
        <w:r w:rsidR="00DC01E7">
          <w:rPr>
            <w:webHidden/>
          </w:rPr>
          <w:fldChar w:fldCharType="separate"/>
        </w:r>
        <w:r w:rsidR="006D54FB">
          <w:rPr>
            <w:webHidden/>
          </w:rPr>
          <w:t>37</w:t>
        </w:r>
        <w:r w:rsidR="00DC01E7">
          <w:rPr>
            <w:webHidden/>
          </w:rPr>
          <w:fldChar w:fldCharType="end"/>
        </w:r>
      </w:hyperlink>
    </w:p>
    <w:p w14:paraId="52C90205" w14:textId="198FD2F8" w:rsidR="00DC01E7" w:rsidRDefault="008B4E47">
      <w:pPr>
        <w:pStyle w:val="TOC3"/>
        <w:rPr>
          <w:rFonts w:asciiTheme="minorHAnsi" w:eastAsiaTheme="minorEastAsia" w:hAnsiTheme="minorHAnsi" w:cstheme="minorBidi"/>
        </w:rPr>
      </w:pPr>
      <w:hyperlink w:anchor="_Toc496204259" w:history="1">
        <w:r w:rsidR="00DC01E7" w:rsidRPr="00774C61">
          <w:rPr>
            <w:rStyle w:val="Hyperlink"/>
            <w:rFonts w:cstheme="minorHAnsi"/>
          </w:rPr>
          <w:t>ANNEX 3:</w:t>
        </w:r>
        <w:r w:rsidR="00DC01E7" w:rsidRPr="00774C61">
          <w:rPr>
            <w:rStyle w:val="Hyperlink"/>
            <w:rFonts w:cstheme="minorHAnsi"/>
            <w:spacing w:val="1"/>
          </w:rPr>
          <w:t xml:space="preserve"> </w:t>
        </w:r>
        <w:r w:rsidR="00DC01E7" w:rsidRPr="00774C61">
          <w:rPr>
            <w:rStyle w:val="Hyperlink"/>
            <w:rFonts w:cstheme="minorHAnsi"/>
            <w:spacing w:val="2"/>
          </w:rPr>
          <w:t>F</w:t>
        </w:r>
        <w:r w:rsidR="00DC01E7" w:rsidRPr="00774C61">
          <w:rPr>
            <w:rStyle w:val="Hyperlink"/>
            <w:rFonts w:cstheme="minorHAnsi"/>
          </w:rPr>
          <w:t>UND RELATI</w:t>
        </w:r>
        <w:r w:rsidR="00DC01E7" w:rsidRPr="00774C61">
          <w:rPr>
            <w:rStyle w:val="Hyperlink"/>
            <w:rFonts w:cstheme="minorHAnsi"/>
            <w:spacing w:val="1"/>
          </w:rPr>
          <w:t>O</w:t>
        </w:r>
        <w:r w:rsidR="00DC01E7" w:rsidRPr="00774C61">
          <w:rPr>
            <w:rStyle w:val="Hyperlink"/>
            <w:rFonts w:cstheme="minorHAnsi"/>
          </w:rPr>
          <w:t>NS ANNEX</w:t>
        </w:r>
        <w:r w:rsidR="00DC01E7">
          <w:rPr>
            <w:webHidden/>
          </w:rPr>
          <w:tab/>
        </w:r>
        <w:r w:rsidR="00DC01E7">
          <w:rPr>
            <w:webHidden/>
          </w:rPr>
          <w:fldChar w:fldCharType="begin"/>
        </w:r>
        <w:r w:rsidR="00DC01E7">
          <w:rPr>
            <w:webHidden/>
          </w:rPr>
          <w:instrText xml:space="preserve"> PAGEREF _Toc496204259 \h </w:instrText>
        </w:r>
        <w:r w:rsidR="00DC01E7">
          <w:rPr>
            <w:webHidden/>
          </w:rPr>
        </w:r>
        <w:r w:rsidR="00DC01E7">
          <w:rPr>
            <w:webHidden/>
          </w:rPr>
          <w:fldChar w:fldCharType="separate"/>
        </w:r>
        <w:r w:rsidR="006D54FB">
          <w:rPr>
            <w:webHidden/>
          </w:rPr>
          <w:t>46</w:t>
        </w:r>
        <w:r w:rsidR="00DC01E7">
          <w:rPr>
            <w:webHidden/>
          </w:rPr>
          <w:fldChar w:fldCharType="end"/>
        </w:r>
      </w:hyperlink>
    </w:p>
    <w:p w14:paraId="045F4C9E" w14:textId="5495F496" w:rsidR="00DC01E7" w:rsidRDefault="008B4E47">
      <w:pPr>
        <w:pStyle w:val="TOC3"/>
        <w:rPr>
          <w:rFonts w:asciiTheme="minorHAnsi" w:eastAsiaTheme="minorEastAsia" w:hAnsiTheme="minorHAnsi" w:cstheme="minorBidi"/>
        </w:rPr>
      </w:pPr>
      <w:hyperlink w:anchor="_Toc496204260" w:history="1">
        <w:r w:rsidR="00DC01E7" w:rsidRPr="00774C61">
          <w:rPr>
            <w:rStyle w:val="Hyperlink"/>
            <w:rFonts w:cstheme="minorHAnsi"/>
            <w:spacing w:val="-1"/>
          </w:rPr>
          <w:t>ANNE</w:t>
        </w:r>
        <w:r w:rsidR="00DC01E7" w:rsidRPr="00774C61">
          <w:rPr>
            <w:rStyle w:val="Hyperlink"/>
            <w:rFonts w:cstheme="minorHAnsi"/>
          </w:rPr>
          <w:t>X</w:t>
        </w:r>
        <w:r w:rsidR="00DC01E7" w:rsidRPr="00774C61">
          <w:rPr>
            <w:rStyle w:val="Hyperlink"/>
            <w:rFonts w:cstheme="minorHAnsi"/>
            <w:spacing w:val="-1"/>
          </w:rPr>
          <w:t xml:space="preserve"> </w:t>
        </w:r>
        <w:r w:rsidR="00DC01E7" w:rsidRPr="00774C61">
          <w:rPr>
            <w:rStyle w:val="Hyperlink"/>
            <w:rFonts w:cstheme="minorHAnsi"/>
          </w:rPr>
          <w:t>4:</w:t>
        </w:r>
        <w:r w:rsidR="00DC01E7" w:rsidRPr="00774C61">
          <w:rPr>
            <w:rStyle w:val="Hyperlink"/>
            <w:rFonts w:cstheme="minorHAnsi"/>
            <w:spacing w:val="1"/>
          </w:rPr>
          <w:t xml:space="preserve"> </w:t>
        </w:r>
        <w:r w:rsidR="00DC01E7" w:rsidRPr="00774C61">
          <w:rPr>
            <w:rStyle w:val="Hyperlink"/>
            <w:rFonts w:cstheme="minorHAnsi"/>
          </w:rPr>
          <w:t>ENVIRONMENT AND POVERTY/SOCIAL ANALYSIS TABLE</w:t>
        </w:r>
        <w:r w:rsidR="00DC01E7">
          <w:rPr>
            <w:webHidden/>
          </w:rPr>
          <w:tab/>
        </w:r>
        <w:r w:rsidR="00DC01E7">
          <w:rPr>
            <w:webHidden/>
          </w:rPr>
          <w:fldChar w:fldCharType="begin"/>
        </w:r>
        <w:r w:rsidR="00DC01E7">
          <w:rPr>
            <w:webHidden/>
          </w:rPr>
          <w:instrText xml:space="preserve"> PAGEREF _Toc496204260 \h </w:instrText>
        </w:r>
        <w:r w:rsidR="00DC01E7">
          <w:rPr>
            <w:webHidden/>
          </w:rPr>
        </w:r>
        <w:r w:rsidR="00DC01E7">
          <w:rPr>
            <w:webHidden/>
          </w:rPr>
          <w:fldChar w:fldCharType="separate"/>
        </w:r>
        <w:r w:rsidR="006D54FB">
          <w:rPr>
            <w:webHidden/>
          </w:rPr>
          <w:t>48</w:t>
        </w:r>
        <w:r w:rsidR="00DC01E7">
          <w:rPr>
            <w:webHidden/>
          </w:rPr>
          <w:fldChar w:fldCharType="end"/>
        </w:r>
      </w:hyperlink>
    </w:p>
    <w:p w14:paraId="48DA835A" w14:textId="715894FA" w:rsidR="002A617C" w:rsidRPr="00B66802" w:rsidRDefault="00B97AC6">
      <w:pPr>
        <w:rPr>
          <w:rFonts w:asciiTheme="minorHAnsi" w:hAnsiTheme="minorHAnsi" w:cstheme="minorHAnsi"/>
        </w:rPr>
      </w:pPr>
      <w:r w:rsidRPr="00A1554C">
        <w:rPr>
          <w:rFonts w:asciiTheme="minorHAnsi" w:hAnsiTheme="minorHAnsi" w:cstheme="minorHAnsi"/>
        </w:rPr>
        <w:fldChar w:fldCharType="end"/>
      </w:r>
    </w:p>
    <w:p w14:paraId="01EDDCAE" w14:textId="77777777" w:rsidR="002A617C" w:rsidRPr="00B66802" w:rsidRDefault="002A617C">
      <w:pPr>
        <w:rPr>
          <w:rFonts w:asciiTheme="minorHAnsi" w:hAnsiTheme="minorHAnsi" w:cstheme="minorHAnsi"/>
        </w:rPr>
      </w:pPr>
      <w:r w:rsidRPr="00B66802">
        <w:rPr>
          <w:rFonts w:asciiTheme="minorHAnsi" w:hAnsiTheme="minorHAnsi" w:cstheme="minorHAnsi"/>
        </w:rPr>
        <w:br w:type="page"/>
      </w:r>
    </w:p>
    <w:p w14:paraId="1D37AF8B" w14:textId="77777777" w:rsidR="00D13B0F" w:rsidRPr="00BD4A16" w:rsidRDefault="00D13B0F" w:rsidP="00D13B0F">
      <w:pPr>
        <w:widowControl w:val="0"/>
        <w:autoSpaceDE w:val="0"/>
        <w:autoSpaceDN w:val="0"/>
        <w:adjustRightInd w:val="0"/>
        <w:spacing w:after="0" w:line="200" w:lineRule="exac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13B0F" w:rsidRPr="00B66802" w14:paraId="0F3E80A9" w14:textId="77777777" w:rsidTr="00063D6F">
        <w:tc>
          <w:tcPr>
            <w:tcW w:w="9576" w:type="dxa"/>
            <w:shd w:val="clear" w:color="auto" w:fill="auto"/>
          </w:tcPr>
          <w:p w14:paraId="7C56210A" w14:textId="14D95E5D" w:rsidR="00D13B0F" w:rsidRPr="00BF0F8E" w:rsidRDefault="00CA046B" w:rsidP="0011115D">
            <w:pPr>
              <w:autoSpaceDE w:val="0"/>
              <w:autoSpaceDN w:val="0"/>
              <w:spacing w:before="120" w:after="120" w:line="240" w:lineRule="auto"/>
              <w:jc w:val="both"/>
              <w:rPr>
                <w:rFonts w:asciiTheme="minorHAnsi" w:hAnsiTheme="minorHAnsi" w:cstheme="minorHAnsi"/>
              </w:rPr>
            </w:pPr>
            <w:r w:rsidRPr="00BF0F8E">
              <w:rPr>
                <w:rFonts w:asciiTheme="minorHAnsi" w:hAnsiTheme="minorHAnsi" w:cstheme="minorHAnsi"/>
                <w:spacing w:val="2"/>
              </w:rPr>
              <w:t>T</w:t>
            </w:r>
            <w:r w:rsidRPr="00BF0F8E">
              <w:rPr>
                <w:rFonts w:asciiTheme="minorHAnsi" w:hAnsiTheme="minorHAnsi" w:cstheme="minorHAnsi"/>
              </w:rPr>
              <w:t>he</w:t>
            </w:r>
            <w:r w:rsidRPr="00BF0F8E">
              <w:rPr>
                <w:rFonts w:asciiTheme="minorHAnsi" w:hAnsiTheme="minorHAnsi" w:cstheme="minorHAnsi"/>
                <w:spacing w:val="-2"/>
              </w:rPr>
              <w:t xml:space="preserve"> proposed Development Policy Financing </w:t>
            </w:r>
            <w:r w:rsidRPr="00BF0F8E">
              <w:rPr>
                <w:rFonts w:asciiTheme="minorHAnsi" w:hAnsiTheme="minorHAnsi" w:cstheme="minorHAnsi"/>
                <w:spacing w:val="-1"/>
              </w:rPr>
              <w:t>w</w:t>
            </w:r>
            <w:r w:rsidRPr="00BF0F8E">
              <w:rPr>
                <w:rFonts w:asciiTheme="minorHAnsi" w:hAnsiTheme="minorHAnsi" w:cstheme="minorHAnsi"/>
              </w:rPr>
              <w:t>as</w:t>
            </w:r>
            <w:r w:rsidRPr="00BF0F8E">
              <w:rPr>
                <w:rFonts w:asciiTheme="minorHAnsi" w:hAnsiTheme="minorHAnsi" w:cstheme="minorHAnsi"/>
                <w:spacing w:val="-2"/>
              </w:rPr>
              <w:t xml:space="preserve"> </w:t>
            </w:r>
            <w:r w:rsidRPr="00BF0F8E">
              <w:rPr>
                <w:rFonts w:asciiTheme="minorHAnsi" w:hAnsiTheme="minorHAnsi" w:cstheme="minorHAnsi"/>
              </w:rPr>
              <w:t>p</w:t>
            </w:r>
            <w:r w:rsidRPr="00BF0F8E">
              <w:rPr>
                <w:rFonts w:asciiTheme="minorHAnsi" w:hAnsiTheme="minorHAnsi" w:cstheme="minorHAnsi"/>
                <w:spacing w:val="1"/>
              </w:rPr>
              <w:t>r</w:t>
            </w:r>
            <w:r w:rsidRPr="00BF0F8E">
              <w:rPr>
                <w:rFonts w:asciiTheme="minorHAnsi" w:hAnsiTheme="minorHAnsi" w:cstheme="minorHAnsi"/>
                <w:spacing w:val="-2"/>
              </w:rPr>
              <w:t>e</w:t>
            </w:r>
            <w:r w:rsidRPr="00BF0F8E">
              <w:rPr>
                <w:rFonts w:asciiTheme="minorHAnsi" w:hAnsiTheme="minorHAnsi" w:cstheme="minorHAnsi"/>
              </w:rPr>
              <w:t>pa</w:t>
            </w:r>
            <w:r w:rsidRPr="00BF0F8E">
              <w:rPr>
                <w:rFonts w:asciiTheme="minorHAnsi" w:hAnsiTheme="minorHAnsi" w:cstheme="minorHAnsi"/>
                <w:spacing w:val="-2"/>
              </w:rPr>
              <w:t>r</w:t>
            </w:r>
            <w:r w:rsidRPr="00BF0F8E">
              <w:rPr>
                <w:rFonts w:asciiTheme="minorHAnsi" w:hAnsiTheme="minorHAnsi" w:cstheme="minorHAnsi"/>
              </w:rPr>
              <w:t>ed by</w:t>
            </w:r>
            <w:r w:rsidRPr="00BF0F8E">
              <w:rPr>
                <w:rFonts w:asciiTheme="minorHAnsi" w:hAnsiTheme="minorHAnsi" w:cstheme="minorHAnsi"/>
                <w:spacing w:val="-2"/>
              </w:rPr>
              <w:t xml:space="preserve"> </w:t>
            </w:r>
            <w:r w:rsidRPr="00BF0F8E">
              <w:rPr>
                <w:rFonts w:asciiTheme="minorHAnsi" w:hAnsiTheme="minorHAnsi" w:cstheme="minorHAnsi"/>
              </w:rPr>
              <w:t xml:space="preserve">an </w:t>
            </w:r>
            <w:r w:rsidRPr="00BF0F8E">
              <w:rPr>
                <w:rFonts w:asciiTheme="minorHAnsi" w:hAnsiTheme="minorHAnsi" w:cstheme="minorHAnsi"/>
                <w:spacing w:val="-2"/>
              </w:rPr>
              <w:t>I</w:t>
            </w:r>
            <w:r w:rsidRPr="00BF0F8E">
              <w:rPr>
                <w:rFonts w:asciiTheme="minorHAnsi" w:hAnsiTheme="minorHAnsi" w:cstheme="minorHAnsi"/>
                <w:spacing w:val="-1"/>
              </w:rPr>
              <w:t>D</w:t>
            </w:r>
            <w:r w:rsidRPr="00BF0F8E">
              <w:rPr>
                <w:rFonts w:asciiTheme="minorHAnsi" w:hAnsiTheme="minorHAnsi" w:cstheme="minorHAnsi"/>
              </w:rPr>
              <w:t>A</w:t>
            </w:r>
            <w:r w:rsidRPr="00BF0F8E">
              <w:rPr>
                <w:rFonts w:asciiTheme="minorHAnsi" w:hAnsiTheme="minorHAnsi" w:cstheme="minorHAnsi"/>
                <w:spacing w:val="-1"/>
              </w:rPr>
              <w:t xml:space="preserve"> </w:t>
            </w:r>
            <w:r w:rsidRPr="00BF0F8E">
              <w:rPr>
                <w:rFonts w:asciiTheme="minorHAnsi" w:hAnsiTheme="minorHAnsi" w:cstheme="minorHAnsi"/>
                <w:spacing w:val="1"/>
              </w:rPr>
              <w:t>t</w:t>
            </w:r>
            <w:r w:rsidRPr="00BF0F8E">
              <w:rPr>
                <w:rFonts w:asciiTheme="minorHAnsi" w:hAnsiTheme="minorHAnsi" w:cstheme="minorHAnsi"/>
              </w:rPr>
              <w:t>eam</w:t>
            </w:r>
            <w:r w:rsidRPr="00BF0F8E">
              <w:rPr>
                <w:rFonts w:asciiTheme="minorHAnsi" w:hAnsiTheme="minorHAnsi" w:cstheme="minorHAnsi"/>
                <w:spacing w:val="-4"/>
              </w:rPr>
              <w:t xml:space="preserve"> </w:t>
            </w:r>
            <w:r w:rsidRPr="00BF0F8E">
              <w:rPr>
                <w:rFonts w:asciiTheme="minorHAnsi" w:hAnsiTheme="minorHAnsi" w:cstheme="minorHAnsi"/>
              </w:rPr>
              <w:t>cons</w:t>
            </w:r>
            <w:r w:rsidRPr="00BF0F8E">
              <w:rPr>
                <w:rFonts w:asciiTheme="minorHAnsi" w:hAnsiTheme="minorHAnsi" w:cstheme="minorHAnsi"/>
                <w:spacing w:val="1"/>
              </w:rPr>
              <w:t>i</w:t>
            </w:r>
            <w:r w:rsidRPr="00BF0F8E">
              <w:rPr>
                <w:rFonts w:asciiTheme="minorHAnsi" w:hAnsiTheme="minorHAnsi" w:cstheme="minorHAnsi"/>
              </w:rPr>
              <w:t>s</w:t>
            </w:r>
            <w:r w:rsidRPr="00BF0F8E">
              <w:rPr>
                <w:rFonts w:asciiTheme="minorHAnsi" w:hAnsiTheme="minorHAnsi" w:cstheme="minorHAnsi"/>
                <w:spacing w:val="-1"/>
              </w:rPr>
              <w:t>t</w:t>
            </w:r>
            <w:r w:rsidRPr="00BF0F8E">
              <w:rPr>
                <w:rFonts w:asciiTheme="minorHAnsi" w:hAnsiTheme="minorHAnsi" w:cstheme="minorHAnsi"/>
                <w:spacing w:val="1"/>
              </w:rPr>
              <w:t>i</w:t>
            </w:r>
            <w:r w:rsidRPr="00BF0F8E">
              <w:rPr>
                <w:rFonts w:asciiTheme="minorHAnsi" w:hAnsiTheme="minorHAnsi" w:cstheme="minorHAnsi"/>
              </w:rPr>
              <w:t>ng</w:t>
            </w:r>
            <w:r w:rsidRPr="00BF0F8E">
              <w:rPr>
                <w:rFonts w:asciiTheme="minorHAnsi" w:hAnsiTheme="minorHAnsi" w:cstheme="minorHAnsi"/>
                <w:spacing w:val="-2"/>
              </w:rPr>
              <w:t xml:space="preserve"> </w:t>
            </w:r>
            <w:r w:rsidRPr="00BF0F8E">
              <w:rPr>
                <w:rFonts w:asciiTheme="minorHAnsi" w:hAnsiTheme="minorHAnsi" w:cstheme="minorHAnsi"/>
              </w:rPr>
              <w:t>of: Natasha Sharma (Senior Economist, GMF13 and TTL), and</w:t>
            </w:r>
            <w:r w:rsidRPr="00BF0F8E">
              <w:rPr>
                <w:rFonts w:asciiTheme="minorHAnsi" w:hAnsiTheme="minorHAnsi" w:cstheme="minorHAnsi"/>
                <w:spacing w:val="-1"/>
              </w:rPr>
              <w:t xml:space="preserve"> </w:t>
            </w:r>
            <w:r w:rsidRPr="00BF0F8E">
              <w:rPr>
                <w:rFonts w:asciiTheme="minorHAnsi" w:hAnsiTheme="minorHAnsi" w:cstheme="minorHAnsi"/>
              </w:rPr>
              <w:t>Faniry Razafimanantsoa (Economist, GMF13 and co-TTL). The team includes Heriniaina Mikaela Andrianasy (Public Sector Specialist, GGO13), Hajarivony Andriamarofara (Consultant, GGO13), Raul Felix Junquera-Varela (GG028), Vonjy Miarintsoa Rakotondramanana (Senior Energy Specialist, GEE01), Jan Friedrich Kappen (Senior Energy Specialist, GEE07), Asta Zviniene (Senior Social Protection Specialist, GSP04), Eneida Fernandes (Senior Private Sector Specialist, GTC13), Lira Hariravaka Rajenarison (Consultant, GTCA2), Jeffrey John Delmon  (Senior Infrastructure Finance Specialist, GCPPP), Laurent Olivier Corthay (Senior Private Sector Specialist, GTC07), Francesco Strobbe (Senior Financial Sector Economist, GFM07), Noro Aina Andriamihaja (Senior Financial Sector Specialist, GFM01), Shireen Mahdi (Senior Economist, GMF13), Siobhan McInerney-Lankford (Senior Counsel, LEGAM), Faly Diallo (Finance Officer, WFALA), Tom Bundervoet (Senior Economist, GPV01), Ellena Rabeson (Operations Officer, AFMMG), Paul Jean Feno (Senior Environmental Specialist, GEN07), Maharavo Ramarotahiantsoa (Financial Management Specialist, GGO26), Lova Niaina Ravaoarimino (Senior Procurement Specialist, GGO07), Fanjaniaina Prisca Mamitiana (Consultant, GMF 13), Claire Dollman (Consultant, GTCA2),  Iolinjaka Razafimahefa and Rondro Rajaobelison (Program Assistant, AFMMG). Finally, the team benefited from the guidance of Mark R. Lundell (Country Director, AFCS2), Mathew A. Verghis (Practice Manager, GMF02), Ivailo V. Izvorski (Interim Practice Manager and Lead Economist, GMFDR), Coralie Gevers (Country Manager, AFMMG), and Carolin Geginat (Program Leader, AFCS2). Valuable peer review comments and suggestions were provided by Gregory Smith (Senior Economist, GMF13) and Sanja Madzarevic-Sujster (Senior Country Economist, GMF03).</w:t>
            </w:r>
          </w:p>
        </w:tc>
      </w:tr>
    </w:tbl>
    <w:p w14:paraId="6BDA88F7" w14:textId="77777777" w:rsidR="00D13B0F" w:rsidRPr="00B66802" w:rsidRDefault="00D13B0F" w:rsidP="00D13B0F">
      <w:pPr>
        <w:widowControl w:val="0"/>
        <w:autoSpaceDE w:val="0"/>
        <w:autoSpaceDN w:val="0"/>
        <w:adjustRightInd w:val="0"/>
        <w:spacing w:after="0" w:line="200" w:lineRule="exact"/>
        <w:rPr>
          <w:rFonts w:asciiTheme="minorHAnsi" w:hAnsiTheme="minorHAnsi" w:cstheme="minorHAnsi"/>
        </w:rPr>
      </w:pPr>
    </w:p>
    <w:p w14:paraId="39C56710" w14:textId="77777777" w:rsidR="00D13B0F" w:rsidRPr="00BD4A16" w:rsidRDefault="00D13B0F" w:rsidP="00D13B0F">
      <w:pPr>
        <w:widowControl w:val="0"/>
        <w:autoSpaceDE w:val="0"/>
        <w:autoSpaceDN w:val="0"/>
        <w:adjustRightInd w:val="0"/>
        <w:spacing w:after="0" w:line="200" w:lineRule="exact"/>
        <w:rPr>
          <w:rFonts w:asciiTheme="minorHAnsi" w:hAnsiTheme="minorHAnsi" w:cstheme="minorHAnsi"/>
        </w:rPr>
      </w:pPr>
    </w:p>
    <w:p w14:paraId="650FAA0D" w14:textId="77777777" w:rsidR="00D13B0F" w:rsidRPr="00E36113" w:rsidRDefault="00D13B0F" w:rsidP="00D13B0F">
      <w:pPr>
        <w:widowControl w:val="0"/>
        <w:autoSpaceDE w:val="0"/>
        <w:autoSpaceDN w:val="0"/>
        <w:adjustRightInd w:val="0"/>
        <w:spacing w:before="32" w:after="0" w:line="240" w:lineRule="auto"/>
        <w:ind w:left="671" w:right="-20"/>
        <w:rPr>
          <w:rFonts w:asciiTheme="minorHAnsi" w:hAnsiTheme="minorHAnsi" w:cstheme="minorHAnsi"/>
        </w:rPr>
        <w:sectPr w:rsidR="00D13B0F" w:rsidRPr="00E36113" w:rsidSect="004B362F">
          <w:footerReference w:type="default" r:id="rId10"/>
          <w:pgSz w:w="12240" w:h="15840"/>
          <w:pgMar w:top="1483" w:right="1440" w:bottom="274" w:left="1440" w:header="720" w:footer="720" w:gutter="0"/>
          <w:pgNumType w:fmt="lowerRoman"/>
          <w:cols w:space="720"/>
          <w:noEndnote/>
        </w:sectPr>
      </w:pPr>
    </w:p>
    <w:p w14:paraId="24FB9B60" w14:textId="77777777" w:rsidR="00D35BC4" w:rsidRPr="00E36113" w:rsidRDefault="00D35BC4" w:rsidP="00395B9E">
      <w:pPr>
        <w:pStyle w:val="Heading1"/>
        <w:numPr>
          <w:ilvl w:val="0"/>
          <w:numId w:val="0"/>
        </w:numPr>
        <w:ind w:left="432"/>
        <w:rPr>
          <w:rFonts w:asciiTheme="minorHAnsi" w:hAnsiTheme="minorHAnsi" w:cstheme="minorHAnsi"/>
          <w:szCs w:val="22"/>
        </w:rPr>
      </w:pPr>
      <w:bookmarkStart w:id="1" w:name="_Toc496204240"/>
      <w:r w:rsidRPr="00E36113">
        <w:rPr>
          <w:rFonts w:asciiTheme="minorHAnsi" w:hAnsiTheme="minorHAnsi" w:cstheme="minorHAnsi"/>
          <w:szCs w:val="22"/>
        </w:rPr>
        <w:lastRenderedPageBreak/>
        <w:t xml:space="preserve">SUMMARY OF </w:t>
      </w:r>
      <w:r w:rsidRPr="00E36113">
        <w:rPr>
          <w:rFonts w:asciiTheme="minorHAnsi" w:hAnsiTheme="minorHAnsi" w:cstheme="minorHAnsi"/>
          <w:spacing w:val="2"/>
          <w:szCs w:val="22"/>
        </w:rPr>
        <w:t>P</w:t>
      </w:r>
      <w:r w:rsidRPr="00E36113">
        <w:rPr>
          <w:rFonts w:asciiTheme="minorHAnsi" w:hAnsiTheme="minorHAnsi" w:cstheme="minorHAnsi"/>
          <w:szCs w:val="22"/>
        </w:rPr>
        <w:t xml:space="preserve">ROPOSED </w:t>
      </w:r>
      <w:r w:rsidR="002A334F" w:rsidRPr="00E36113">
        <w:rPr>
          <w:rFonts w:asciiTheme="minorHAnsi" w:hAnsiTheme="minorHAnsi" w:cstheme="minorHAnsi"/>
          <w:szCs w:val="22"/>
        </w:rPr>
        <w:t>GRANT</w:t>
      </w:r>
      <w:r w:rsidRPr="00E36113">
        <w:rPr>
          <w:rFonts w:asciiTheme="minorHAnsi" w:hAnsiTheme="minorHAnsi" w:cstheme="minorHAnsi"/>
          <w:szCs w:val="22"/>
        </w:rPr>
        <w:t xml:space="preserve"> AND </w:t>
      </w:r>
      <w:r w:rsidRPr="00E36113">
        <w:rPr>
          <w:rFonts w:asciiTheme="minorHAnsi" w:hAnsiTheme="minorHAnsi" w:cstheme="minorHAnsi"/>
          <w:spacing w:val="2"/>
          <w:szCs w:val="22"/>
        </w:rPr>
        <w:t>P</w:t>
      </w:r>
      <w:r w:rsidRPr="00E36113">
        <w:rPr>
          <w:rFonts w:asciiTheme="minorHAnsi" w:hAnsiTheme="minorHAnsi" w:cstheme="minorHAnsi"/>
          <w:szCs w:val="22"/>
        </w:rPr>
        <w:t>R</w:t>
      </w:r>
      <w:r w:rsidRPr="00E36113">
        <w:rPr>
          <w:rFonts w:asciiTheme="minorHAnsi" w:hAnsiTheme="minorHAnsi" w:cstheme="minorHAnsi"/>
          <w:spacing w:val="1"/>
          <w:szCs w:val="22"/>
        </w:rPr>
        <w:t>O</w:t>
      </w:r>
      <w:r w:rsidRPr="00E36113">
        <w:rPr>
          <w:rFonts w:asciiTheme="minorHAnsi" w:hAnsiTheme="minorHAnsi" w:cstheme="minorHAnsi"/>
          <w:szCs w:val="22"/>
        </w:rPr>
        <w:t>GRAM</w:t>
      </w:r>
      <w:bookmarkEnd w:id="1"/>
    </w:p>
    <w:p w14:paraId="638485DE" w14:textId="77777777" w:rsidR="00D13B0F" w:rsidRPr="00E36113" w:rsidRDefault="00D13B0F" w:rsidP="00D13B0F">
      <w:pPr>
        <w:widowControl w:val="0"/>
        <w:tabs>
          <w:tab w:val="left" w:pos="6030"/>
        </w:tabs>
        <w:autoSpaceDE w:val="0"/>
        <w:autoSpaceDN w:val="0"/>
        <w:adjustRightInd w:val="0"/>
        <w:spacing w:after="0" w:line="252" w:lineRule="exact"/>
        <w:jc w:val="center"/>
        <w:rPr>
          <w:rFonts w:asciiTheme="minorHAnsi" w:hAnsiTheme="minorHAnsi" w:cstheme="minorHAnsi"/>
          <w:iCs/>
          <w:spacing w:val="-2"/>
        </w:rPr>
      </w:pPr>
      <w:r w:rsidRPr="00E36113">
        <w:rPr>
          <w:rFonts w:asciiTheme="minorHAnsi" w:hAnsiTheme="minorHAnsi" w:cstheme="minorHAnsi"/>
          <w:iCs/>
          <w:spacing w:val="-2"/>
        </w:rPr>
        <w:t>THE REPUBLIC OF MADAGASCAR</w:t>
      </w:r>
    </w:p>
    <w:p w14:paraId="6E10873D" w14:textId="77777777" w:rsidR="00D13B0F" w:rsidRPr="00E36113" w:rsidRDefault="00D13B0F" w:rsidP="00D13B0F">
      <w:pPr>
        <w:widowControl w:val="0"/>
        <w:tabs>
          <w:tab w:val="left" w:pos="6030"/>
        </w:tabs>
        <w:autoSpaceDE w:val="0"/>
        <w:autoSpaceDN w:val="0"/>
        <w:adjustRightInd w:val="0"/>
        <w:spacing w:after="0" w:line="252" w:lineRule="exact"/>
        <w:jc w:val="center"/>
        <w:rPr>
          <w:rFonts w:asciiTheme="minorHAnsi" w:hAnsiTheme="minorHAnsi" w:cstheme="minorHAnsi"/>
          <w:iCs/>
          <w:spacing w:val="-2"/>
        </w:rPr>
      </w:pPr>
    </w:p>
    <w:p w14:paraId="0B211717" w14:textId="7AF65807" w:rsidR="00D13B0F" w:rsidRPr="00E36113" w:rsidRDefault="004E18A9" w:rsidP="00781F2F">
      <w:pPr>
        <w:widowControl w:val="0"/>
        <w:tabs>
          <w:tab w:val="left" w:pos="390"/>
          <w:tab w:val="center" w:pos="5071"/>
          <w:tab w:val="left" w:pos="6660"/>
          <w:tab w:val="left" w:pos="6930"/>
        </w:tabs>
        <w:autoSpaceDE w:val="0"/>
        <w:autoSpaceDN w:val="0"/>
        <w:adjustRightInd w:val="0"/>
        <w:spacing w:after="0" w:line="252" w:lineRule="exact"/>
        <w:jc w:val="center"/>
        <w:rPr>
          <w:rFonts w:asciiTheme="minorHAnsi" w:hAnsiTheme="minorHAnsi" w:cstheme="minorHAnsi"/>
        </w:rPr>
      </w:pPr>
      <w:r w:rsidRPr="00E36113">
        <w:rPr>
          <w:rFonts w:asciiTheme="minorHAnsi" w:hAnsiTheme="minorHAnsi" w:cstheme="minorHAnsi"/>
          <w:iCs/>
          <w:spacing w:val="-2"/>
        </w:rPr>
        <w:t>PUBLIC FINANCE</w:t>
      </w:r>
      <w:r w:rsidR="008A4083" w:rsidRPr="00E36113">
        <w:rPr>
          <w:rFonts w:asciiTheme="minorHAnsi" w:hAnsiTheme="minorHAnsi" w:cstheme="minorHAnsi"/>
          <w:iCs/>
          <w:spacing w:val="-2"/>
        </w:rPr>
        <w:t xml:space="preserve"> SUSTAINABILITY AND INVESTMENT</w:t>
      </w:r>
      <w:r w:rsidR="00D13B0F" w:rsidRPr="00E36113">
        <w:rPr>
          <w:rFonts w:asciiTheme="minorHAnsi" w:hAnsiTheme="minorHAnsi" w:cstheme="minorHAnsi"/>
          <w:iCs/>
          <w:spacing w:val="-2"/>
        </w:rPr>
        <w:t xml:space="preserve"> DEVELOPMENT POLICY </w:t>
      </w:r>
      <w:r w:rsidR="00EB2F8B" w:rsidRPr="00E36113">
        <w:rPr>
          <w:rFonts w:asciiTheme="minorHAnsi" w:hAnsiTheme="minorHAnsi" w:cstheme="minorHAnsi"/>
          <w:iCs/>
          <w:spacing w:val="-2"/>
        </w:rPr>
        <w:t>FINANCING</w:t>
      </w:r>
      <w:r w:rsidR="00D9533E" w:rsidRPr="00E36113">
        <w:rPr>
          <w:rFonts w:asciiTheme="minorHAnsi" w:hAnsiTheme="minorHAnsi" w:cstheme="minorHAnsi"/>
          <w:iCs/>
          <w:spacing w:val="-2"/>
        </w:rPr>
        <w:t xml:space="preserve"> </w:t>
      </w:r>
      <w:r w:rsidR="0007045E">
        <w:rPr>
          <w:rFonts w:asciiTheme="minorHAnsi" w:hAnsiTheme="minorHAnsi" w:cstheme="minorHAnsi"/>
          <w:iCs/>
          <w:spacing w:val="-2"/>
        </w:rPr>
        <w:t xml:space="preserve">II </w:t>
      </w:r>
      <w:r w:rsidR="00D9533E" w:rsidRPr="00E36113">
        <w:rPr>
          <w:rFonts w:asciiTheme="minorHAnsi" w:hAnsiTheme="minorHAnsi" w:cstheme="minorHAnsi"/>
          <w:iCs/>
          <w:spacing w:val="-2"/>
        </w:rPr>
        <w:t>OPERATION</w:t>
      </w:r>
    </w:p>
    <w:p w14:paraId="0F7F7E70" w14:textId="77777777" w:rsidR="00D35BC4" w:rsidRPr="00E36113" w:rsidRDefault="00D35BC4">
      <w:pPr>
        <w:widowControl w:val="0"/>
        <w:autoSpaceDE w:val="0"/>
        <w:autoSpaceDN w:val="0"/>
        <w:adjustRightInd w:val="0"/>
        <w:spacing w:before="19" w:after="0" w:line="240" w:lineRule="exact"/>
        <w:rPr>
          <w:rFonts w:asciiTheme="minorHAnsi" w:hAnsiTheme="minorHAnsi" w:cstheme="minorHAnsi"/>
        </w:rPr>
      </w:pPr>
    </w:p>
    <w:tbl>
      <w:tblPr>
        <w:tblW w:w="10432" w:type="dxa"/>
        <w:jc w:val="center"/>
        <w:tblLayout w:type="fixed"/>
        <w:tblCellMar>
          <w:left w:w="0" w:type="dxa"/>
          <w:right w:w="0" w:type="dxa"/>
        </w:tblCellMar>
        <w:tblLook w:val="0000" w:firstRow="0" w:lastRow="0" w:firstColumn="0" w:lastColumn="0" w:noHBand="0" w:noVBand="0"/>
      </w:tblPr>
      <w:tblGrid>
        <w:gridCol w:w="2328"/>
        <w:gridCol w:w="8104"/>
      </w:tblGrid>
      <w:tr w:rsidR="00D35BC4" w:rsidRPr="00B66802" w14:paraId="02562147" w14:textId="77777777" w:rsidTr="00EF06DD">
        <w:trPr>
          <w:trHeight w:hRule="exact" w:val="323"/>
          <w:jc w:val="center"/>
        </w:trPr>
        <w:tc>
          <w:tcPr>
            <w:tcW w:w="2328" w:type="dxa"/>
            <w:tcBorders>
              <w:top w:val="single" w:sz="6" w:space="0" w:color="000000"/>
              <w:left w:val="single" w:sz="6" w:space="0" w:color="000000"/>
              <w:bottom w:val="single" w:sz="6" w:space="0" w:color="000000"/>
              <w:right w:val="single" w:sz="6" w:space="0" w:color="000000"/>
            </w:tcBorders>
            <w:vAlign w:val="center"/>
          </w:tcPr>
          <w:p w14:paraId="29224131" w14:textId="77777777" w:rsidR="00D35BC4" w:rsidRPr="00E36113" w:rsidRDefault="00D35BC4" w:rsidP="00EF06DD">
            <w:pPr>
              <w:widowControl w:val="0"/>
              <w:autoSpaceDE w:val="0"/>
              <w:autoSpaceDN w:val="0"/>
              <w:adjustRightInd w:val="0"/>
              <w:spacing w:after="0" w:line="240" w:lineRule="auto"/>
              <w:ind w:left="100" w:right="-20"/>
              <w:rPr>
                <w:rFonts w:asciiTheme="minorHAnsi" w:hAnsiTheme="minorHAnsi" w:cstheme="minorHAnsi"/>
                <w:sz w:val="20"/>
                <w:szCs w:val="20"/>
              </w:rPr>
            </w:pPr>
            <w:r w:rsidRPr="00E36113">
              <w:rPr>
                <w:rFonts w:asciiTheme="minorHAnsi" w:hAnsiTheme="minorHAnsi" w:cstheme="minorHAnsi"/>
                <w:spacing w:val="-1"/>
                <w:sz w:val="20"/>
                <w:szCs w:val="20"/>
              </w:rPr>
              <w:t>B</w:t>
            </w:r>
            <w:r w:rsidRPr="00E36113">
              <w:rPr>
                <w:rFonts w:asciiTheme="minorHAnsi" w:hAnsiTheme="minorHAnsi" w:cstheme="minorHAnsi"/>
                <w:sz w:val="20"/>
                <w:szCs w:val="20"/>
              </w:rPr>
              <w:t>o</w:t>
            </w:r>
            <w:r w:rsidRPr="00E36113">
              <w:rPr>
                <w:rFonts w:asciiTheme="minorHAnsi" w:hAnsiTheme="minorHAnsi" w:cstheme="minorHAnsi"/>
                <w:spacing w:val="1"/>
                <w:sz w:val="20"/>
                <w:szCs w:val="20"/>
              </w:rPr>
              <w:t>rr</w:t>
            </w:r>
            <w:r w:rsidRPr="00E36113">
              <w:rPr>
                <w:rFonts w:asciiTheme="minorHAnsi" w:hAnsiTheme="minorHAnsi" w:cstheme="minorHAnsi"/>
                <w:sz w:val="20"/>
                <w:szCs w:val="20"/>
              </w:rPr>
              <w:t>o</w:t>
            </w:r>
            <w:r w:rsidRPr="00E36113">
              <w:rPr>
                <w:rFonts w:asciiTheme="minorHAnsi" w:hAnsiTheme="minorHAnsi" w:cstheme="minorHAnsi"/>
                <w:spacing w:val="-1"/>
                <w:sz w:val="20"/>
                <w:szCs w:val="20"/>
              </w:rPr>
              <w:t>w</w:t>
            </w:r>
            <w:r w:rsidRPr="00E36113">
              <w:rPr>
                <w:rFonts w:asciiTheme="minorHAnsi" w:hAnsiTheme="minorHAnsi" w:cstheme="minorHAnsi"/>
                <w:spacing w:val="-2"/>
                <w:sz w:val="20"/>
                <w:szCs w:val="20"/>
              </w:rPr>
              <w:t>e</w:t>
            </w:r>
            <w:r w:rsidRPr="00E36113">
              <w:rPr>
                <w:rFonts w:asciiTheme="minorHAnsi" w:hAnsiTheme="minorHAnsi" w:cstheme="minorHAnsi"/>
                <w:sz w:val="20"/>
                <w:szCs w:val="20"/>
              </w:rPr>
              <w:t>r</w:t>
            </w:r>
          </w:p>
        </w:tc>
        <w:tc>
          <w:tcPr>
            <w:tcW w:w="8104" w:type="dxa"/>
            <w:tcBorders>
              <w:top w:val="single" w:sz="6" w:space="0" w:color="000000"/>
              <w:left w:val="single" w:sz="6" w:space="0" w:color="000000"/>
              <w:bottom w:val="single" w:sz="6" w:space="0" w:color="000000"/>
              <w:right w:val="single" w:sz="6" w:space="0" w:color="000000"/>
            </w:tcBorders>
            <w:vAlign w:val="center"/>
          </w:tcPr>
          <w:p w14:paraId="222BB89D" w14:textId="77777777" w:rsidR="00D35BC4" w:rsidRPr="00E36113" w:rsidRDefault="00D13B0F" w:rsidP="00EF06DD">
            <w:pPr>
              <w:widowControl w:val="0"/>
              <w:autoSpaceDE w:val="0"/>
              <w:autoSpaceDN w:val="0"/>
              <w:adjustRightInd w:val="0"/>
              <w:spacing w:after="0" w:line="240" w:lineRule="auto"/>
              <w:ind w:left="100" w:right="-20"/>
              <w:rPr>
                <w:rFonts w:asciiTheme="minorHAnsi" w:hAnsiTheme="minorHAnsi" w:cstheme="minorHAnsi"/>
                <w:sz w:val="20"/>
                <w:szCs w:val="20"/>
              </w:rPr>
            </w:pPr>
            <w:r w:rsidRPr="00E36113">
              <w:rPr>
                <w:rFonts w:asciiTheme="minorHAnsi" w:hAnsiTheme="minorHAnsi" w:cstheme="minorHAnsi"/>
                <w:iCs/>
                <w:spacing w:val="1"/>
                <w:sz w:val="20"/>
                <w:szCs w:val="20"/>
              </w:rPr>
              <w:t>Republic of Madagascar</w:t>
            </w:r>
          </w:p>
        </w:tc>
      </w:tr>
      <w:tr w:rsidR="00D35BC4" w:rsidRPr="00B66802" w14:paraId="1004BF1C" w14:textId="77777777" w:rsidTr="00EF06DD">
        <w:trPr>
          <w:trHeight w:hRule="exact" w:val="269"/>
          <w:jc w:val="center"/>
        </w:trPr>
        <w:tc>
          <w:tcPr>
            <w:tcW w:w="2328" w:type="dxa"/>
            <w:tcBorders>
              <w:top w:val="single" w:sz="6" w:space="0" w:color="000000"/>
              <w:left w:val="single" w:sz="6" w:space="0" w:color="000000"/>
              <w:bottom w:val="single" w:sz="6" w:space="0" w:color="000000"/>
              <w:right w:val="single" w:sz="6" w:space="0" w:color="000000"/>
            </w:tcBorders>
            <w:vAlign w:val="center"/>
          </w:tcPr>
          <w:p w14:paraId="3D4743C9" w14:textId="77777777" w:rsidR="00D35BC4" w:rsidRPr="00DC050B" w:rsidRDefault="00D35BC4" w:rsidP="00EF06DD">
            <w:pPr>
              <w:widowControl w:val="0"/>
              <w:autoSpaceDE w:val="0"/>
              <w:autoSpaceDN w:val="0"/>
              <w:adjustRightInd w:val="0"/>
              <w:spacing w:after="0" w:line="240" w:lineRule="auto"/>
              <w:ind w:left="100" w:right="-20"/>
              <w:rPr>
                <w:rFonts w:asciiTheme="minorHAnsi" w:hAnsiTheme="minorHAnsi" w:cstheme="minorHAnsi"/>
                <w:sz w:val="20"/>
                <w:szCs w:val="20"/>
              </w:rPr>
            </w:pPr>
            <w:r w:rsidRPr="00B66802">
              <w:rPr>
                <w:rFonts w:asciiTheme="minorHAnsi" w:hAnsiTheme="minorHAnsi" w:cstheme="minorHAnsi"/>
                <w:spacing w:val="-2"/>
                <w:sz w:val="20"/>
                <w:szCs w:val="20"/>
              </w:rPr>
              <w:t>I</w:t>
            </w:r>
            <w:r w:rsidRPr="00B66802">
              <w:rPr>
                <w:rFonts w:asciiTheme="minorHAnsi" w:hAnsiTheme="minorHAnsi" w:cstheme="minorHAnsi"/>
                <w:spacing w:val="-1"/>
                <w:sz w:val="20"/>
                <w:szCs w:val="20"/>
              </w:rPr>
              <w:t>m</w:t>
            </w:r>
            <w:r w:rsidRPr="00B66802">
              <w:rPr>
                <w:rFonts w:asciiTheme="minorHAnsi" w:hAnsiTheme="minorHAnsi" w:cstheme="minorHAnsi"/>
                <w:sz w:val="20"/>
                <w:szCs w:val="20"/>
              </w:rPr>
              <w:t>p</w:t>
            </w:r>
            <w:r w:rsidRPr="00B66802">
              <w:rPr>
                <w:rFonts w:asciiTheme="minorHAnsi" w:hAnsiTheme="minorHAnsi" w:cstheme="minorHAnsi"/>
                <w:spacing w:val="1"/>
                <w:sz w:val="20"/>
                <w:szCs w:val="20"/>
              </w:rPr>
              <w:t>l</w:t>
            </w:r>
            <w:r w:rsidRPr="00BD4A16">
              <w:rPr>
                <w:rFonts w:asciiTheme="minorHAnsi" w:hAnsiTheme="minorHAnsi" w:cstheme="minorHAnsi"/>
                <w:sz w:val="20"/>
                <w:szCs w:val="20"/>
              </w:rPr>
              <w:t>e</w:t>
            </w:r>
            <w:r w:rsidRPr="00DC050B">
              <w:rPr>
                <w:rFonts w:asciiTheme="minorHAnsi" w:hAnsiTheme="minorHAnsi" w:cstheme="minorHAnsi"/>
                <w:spacing w:val="-4"/>
                <w:sz w:val="20"/>
                <w:szCs w:val="20"/>
              </w:rPr>
              <w:t>m</w:t>
            </w:r>
            <w:r w:rsidRPr="00DC050B">
              <w:rPr>
                <w:rFonts w:asciiTheme="minorHAnsi" w:hAnsiTheme="minorHAnsi" w:cstheme="minorHAnsi"/>
                <w:sz w:val="20"/>
                <w:szCs w:val="20"/>
              </w:rPr>
              <w:t>en</w:t>
            </w:r>
            <w:r w:rsidRPr="00DC050B">
              <w:rPr>
                <w:rFonts w:asciiTheme="minorHAnsi" w:hAnsiTheme="minorHAnsi" w:cstheme="minorHAnsi"/>
                <w:spacing w:val="1"/>
                <w:sz w:val="20"/>
                <w:szCs w:val="20"/>
              </w:rPr>
              <w:t>t</w:t>
            </w:r>
            <w:r w:rsidRPr="00DC050B">
              <w:rPr>
                <w:rFonts w:asciiTheme="minorHAnsi" w:hAnsiTheme="minorHAnsi" w:cstheme="minorHAnsi"/>
                <w:sz w:val="20"/>
                <w:szCs w:val="20"/>
              </w:rPr>
              <w:t>a</w:t>
            </w:r>
            <w:r w:rsidRPr="00DC050B">
              <w:rPr>
                <w:rFonts w:asciiTheme="minorHAnsi" w:hAnsiTheme="minorHAnsi" w:cstheme="minorHAnsi"/>
                <w:spacing w:val="1"/>
                <w:sz w:val="20"/>
                <w:szCs w:val="20"/>
              </w:rPr>
              <w:t>ti</w:t>
            </w:r>
            <w:r w:rsidRPr="00DC050B">
              <w:rPr>
                <w:rFonts w:asciiTheme="minorHAnsi" w:hAnsiTheme="minorHAnsi" w:cstheme="minorHAnsi"/>
                <w:spacing w:val="-2"/>
                <w:sz w:val="20"/>
                <w:szCs w:val="20"/>
              </w:rPr>
              <w:t>o</w:t>
            </w:r>
            <w:r w:rsidRPr="00DC050B">
              <w:rPr>
                <w:rFonts w:asciiTheme="minorHAnsi" w:hAnsiTheme="minorHAnsi" w:cstheme="minorHAnsi"/>
                <w:sz w:val="20"/>
                <w:szCs w:val="20"/>
              </w:rPr>
              <w:t xml:space="preserve">n </w:t>
            </w:r>
            <w:r w:rsidRPr="00DC050B">
              <w:rPr>
                <w:rFonts w:asciiTheme="minorHAnsi" w:hAnsiTheme="minorHAnsi" w:cstheme="minorHAnsi"/>
                <w:spacing w:val="-1"/>
                <w:sz w:val="20"/>
                <w:szCs w:val="20"/>
              </w:rPr>
              <w:t>A</w:t>
            </w:r>
            <w:r w:rsidRPr="00DC050B">
              <w:rPr>
                <w:rFonts w:asciiTheme="minorHAnsi" w:hAnsiTheme="minorHAnsi" w:cstheme="minorHAnsi"/>
                <w:spacing w:val="-2"/>
                <w:sz w:val="20"/>
                <w:szCs w:val="20"/>
              </w:rPr>
              <w:t>g</w:t>
            </w:r>
            <w:r w:rsidRPr="00DC050B">
              <w:rPr>
                <w:rFonts w:asciiTheme="minorHAnsi" w:hAnsiTheme="minorHAnsi" w:cstheme="minorHAnsi"/>
                <w:sz w:val="20"/>
                <w:szCs w:val="20"/>
              </w:rPr>
              <w:t>ency</w:t>
            </w:r>
          </w:p>
        </w:tc>
        <w:tc>
          <w:tcPr>
            <w:tcW w:w="8104" w:type="dxa"/>
            <w:tcBorders>
              <w:top w:val="single" w:sz="6" w:space="0" w:color="000000"/>
              <w:left w:val="single" w:sz="6" w:space="0" w:color="000000"/>
              <w:bottom w:val="single" w:sz="6" w:space="0" w:color="000000"/>
              <w:right w:val="single" w:sz="6" w:space="0" w:color="000000"/>
            </w:tcBorders>
            <w:vAlign w:val="center"/>
          </w:tcPr>
          <w:p w14:paraId="72004931" w14:textId="77777777" w:rsidR="00D35BC4" w:rsidRPr="00DC050B" w:rsidRDefault="00D13B0F" w:rsidP="00EF06DD">
            <w:pPr>
              <w:widowControl w:val="0"/>
              <w:autoSpaceDE w:val="0"/>
              <w:autoSpaceDN w:val="0"/>
              <w:adjustRightInd w:val="0"/>
              <w:spacing w:after="0" w:line="240" w:lineRule="auto"/>
              <w:ind w:left="100" w:right="-20"/>
              <w:rPr>
                <w:rFonts w:asciiTheme="minorHAnsi" w:hAnsiTheme="minorHAnsi" w:cstheme="minorHAnsi"/>
                <w:sz w:val="20"/>
                <w:szCs w:val="20"/>
              </w:rPr>
            </w:pPr>
            <w:r w:rsidRPr="00DC050B">
              <w:rPr>
                <w:rFonts w:asciiTheme="minorHAnsi" w:hAnsiTheme="minorHAnsi" w:cstheme="minorHAnsi"/>
                <w:sz w:val="20"/>
                <w:szCs w:val="20"/>
              </w:rPr>
              <w:t>Ministry of Finance and Budget</w:t>
            </w:r>
          </w:p>
        </w:tc>
      </w:tr>
      <w:tr w:rsidR="00D35BC4" w:rsidRPr="00B66802" w14:paraId="02D053B8" w14:textId="77777777" w:rsidTr="00EF06DD">
        <w:trPr>
          <w:trHeight w:hRule="exact" w:val="269"/>
          <w:jc w:val="center"/>
        </w:trPr>
        <w:tc>
          <w:tcPr>
            <w:tcW w:w="2328" w:type="dxa"/>
            <w:tcBorders>
              <w:top w:val="single" w:sz="6" w:space="0" w:color="000000"/>
              <w:left w:val="single" w:sz="6" w:space="0" w:color="000000"/>
              <w:bottom w:val="single" w:sz="6" w:space="0" w:color="000000"/>
              <w:right w:val="single" w:sz="6" w:space="0" w:color="000000"/>
            </w:tcBorders>
            <w:vAlign w:val="center"/>
          </w:tcPr>
          <w:p w14:paraId="212454A3" w14:textId="77777777" w:rsidR="00D35BC4" w:rsidRPr="00DC050B" w:rsidRDefault="00D35BC4" w:rsidP="00EF06DD">
            <w:pPr>
              <w:widowControl w:val="0"/>
              <w:autoSpaceDE w:val="0"/>
              <w:autoSpaceDN w:val="0"/>
              <w:adjustRightInd w:val="0"/>
              <w:spacing w:after="0" w:line="240" w:lineRule="auto"/>
              <w:ind w:left="100" w:right="-20"/>
              <w:rPr>
                <w:rFonts w:asciiTheme="minorHAnsi" w:hAnsiTheme="minorHAnsi" w:cstheme="minorHAnsi"/>
                <w:sz w:val="20"/>
                <w:szCs w:val="20"/>
              </w:rPr>
            </w:pPr>
            <w:r w:rsidRPr="00B66802">
              <w:rPr>
                <w:rFonts w:asciiTheme="minorHAnsi" w:hAnsiTheme="minorHAnsi" w:cstheme="minorHAnsi"/>
                <w:sz w:val="20"/>
                <w:szCs w:val="20"/>
              </w:rPr>
              <w:t>F</w:t>
            </w:r>
            <w:r w:rsidRPr="00B66802">
              <w:rPr>
                <w:rFonts w:asciiTheme="minorHAnsi" w:hAnsiTheme="minorHAnsi" w:cstheme="minorHAnsi"/>
                <w:spacing w:val="1"/>
                <w:sz w:val="20"/>
                <w:szCs w:val="20"/>
              </w:rPr>
              <w:t>i</w:t>
            </w:r>
            <w:r w:rsidRPr="00B66802">
              <w:rPr>
                <w:rFonts w:asciiTheme="minorHAnsi" w:hAnsiTheme="minorHAnsi" w:cstheme="minorHAnsi"/>
                <w:sz w:val="20"/>
                <w:szCs w:val="20"/>
              </w:rPr>
              <w:t>nan</w:t>
            </w:r>
            <w:r w:rsidRPr="00B66802">
              <w:rPr>
                <w:rFonts w:asciiTheme="minorHAnsi" w:hAnsiTheme="minorHAnsi" w:cstheme="minorHAnsi"/>
                <w:spacing w:val="-2"/>
                <w:sz w:val="20"/>
                <w:szCs w:val="20"/>
              </w:rPr>
              <w:t>c</w:t>
            </w:r>
            <w:r w:rsidRPr="00BD4A16">
              <w:rPr>
                <w:rFonts w:asciiTheme="minorHAnsi" w:hAnsiTheme="minorHAnsi" w:cstheme="minorHAnsi"/>
                <w:spacing w:val="1"/>
                <w:sz w:val="20"/>
                <w:szCs w:val="20"/>
              </w:rPr>
              <w:t>i</w:t>
            </w:r>
            <w:r w:rsidRPr="00DC050B">
              <w:rPr>
                <w:rFonts w:asciiTheme="minorHAnsi" w:hAnsiTheme="minorHAnsi" w:cstheme="minorHAnsi"/>
                <w:sz w:val="20"/>
                <w:szCs w:val="20"/>
              </w:rPr>
              <w:t>ng</w:t>
            </w:r>
            <w:r w:rsidRPr="00DC050B">
              <w:rPr>
                <w:rFonts w:asciiTheme="minorHAnsi" w:hAnsiTheme="minorHAnsi" w:cstheme="minorHAnsi"/>
                <w:spacing w:val="-2"/>
                <w:sz w:val="20"/>
                <w:szCs w:val="20"/>
              </w:rPr>
              <w:t xml:space="preserve"> </w:t>
            </w:r>
            <w:r w:rsidRPr="00DC050B">
              <w:rPr>
                <w:rFonts w:asciiTheme="minorHAnsi" w:hAnsiTheme="minorHAnsi" w:cstheme="minorHAnsi"/>
                <w:spacing w:val="-1"/>
                <w:sz w:val="20"/>
                <w:szCs w:val="20"/>
              </w:rPr>
              <w:t>D</w:t>
            </w:r>
            <w:r w:rsidRPr="00DC050B">
              <w:rPr>
                <w:rFonts w:asciiTheme="minorHAnsi" w:hAnsiTheme="minorHAnsi" w:cstheme="minorHAnsi"/>
                <w:sz w:val="20"/>
                <w:szCs w:val="20"/>
              </w:rPr>
              <w:t>a</w:t>
            </w:r>
            <w:r w:rsidRPr="00DC050B">
              <w:rPr>
                <w:rFonts w:asciiTheme="minorHAnsi" w:hAnsiTheme="minorHAnsi" w:cstheme="minorHAnsi"/>
                <w:spacing w:val="1"/>
                <w:sz w:val="20"/>
                <w:szCs w:val="20"/>
              </w:rPr>
              <w:t>t</w:t>
            </w:r>
            <w:r w:rsidRPr="00DC050B">
              <w:rPr>
                <w:rFonts w:asciiTheme="minorHAnsi" w:hAnsiTheme="minorHAnsi" w:cstheme="minorHAnsi"/>
                <w:sz w:val="20"/>
                <w:szCs w:val="20"/>
              </w:rPr>
              <w:t>a</w:t>
            </w:r>
          </w:p>
        </w:tc>
        <w:tc>
          <w:tcPr>
            <w:tcW w:w="8104" w:type="dxa"/>
            <w:tcBorders>
              <w:top w:val="single" w:sz="6" w:space="0" w:color="000000"/>
              <w:left w:val="single" w:sz="6" w:space="0" w:color="000000"/>
              <w:bottom w:val="single" w:sz="6" w:space="0" w:color="000000"/>
              <w:right w:val="single" w:sz="6" w:space="0" w:color="000000"/>
            </w:tcBorders>
            <w:vAlign w:val="center"/>
          </w:tcPr>
          <w:p w14:paraId="09CFC54A" w14:textId="4BCC2E67" w:rsidR="00D35BC4" w:rsidRPr="006C66C2" w:rsidRDefault="00D13B0F" w:rsidP="00EF06DD">
            <w:pPr>
              <w:widowControl w:val="0"/>
              <w:autoSpaceDE w:val="0"/>
              <w:autoSpaceDN w:val="0"/>
              <w:adjustRightInd w:val="0"/>
              <w:spacing w:after="0" w:line="240" w:lineRule="auto"/>
              <w:ind w:left="100" w:right="-20"/>
              <w:rPr>
                <w:rFonts w:asciiTheme="minorHAnsi" w:hAnsiTheme="minorHAnsi" w:cstheme="minorHAnsi"/>
                <w:sz w:val="20"/>
                <w:szCs w:val="20"/>
              </w:rPr>
            </w:pPr>
            <w:r w:rsidRPr="00DC050B">
              <w:rPr>
                <w:rFonts w:asciiTheme="minorHAnsi" w:hAnsiTheme="minorHAnsi" w:cstheme="minorHAnsi"/>
                <w:iCs/>
                <w:spacing w:val="1"/>
                <w:sz w:val="20"/>
                <w:szCs w:val="20"/>
              </w:rPr>
              <w:t xml:space="preserve">IDA </w:t>
            </w:r>
            <w:r w:rsidR="00876A8E" w:rsidRPr="00DC050B">
              <w:rPr>
                <w:rFonts w:asciiTheme="minorHAnsi" w:hAnsiTheme="minorHAnsi" w:cstheme="minorHAnsi"/>
                <w:iCs/>
                <w:spacing w:val="1"/>
                <w:sz w:val="20"/>
                <w:szCs w:val="20"/>
              </w:rPr>
              <w:t>grant</w:t>
            </w:r>
            <w:r w:rsidRPr="00DC050B">
              <w:rPr>
                <w:rFonts w:asciiTheme="minorHAnsi" w:hAnsiTheme="minorHAnsi" w:cstheme="minorHAnsi"/>
                <w:iCs/>
                <w:spacing w:val="1"/>
                <w:sz w:val="20"/>
                <w:szCs w:val="20"/>
              </w:rPr>
              <w:t xml:space="preserve">: SDR </w:t>
            </w:r>
            <w:r w:rsidR="00724841" w:rsidRPr="006C66C2">
              <w:rPr>
                <w:rFonts w:asciiTheme="minorHAnsi" w:hAnsiTheme="minorHAnsi" w:cstheme="minorHAnsi"/>
                <w:iCs/>
                <w:spacing w:val="1"/>
                <w:sz w:val="20"/>
                <w:szCs w:val="20"/>
              </w:rPr>
              <w:t>31.9</w:t>
            </w:r>
            <w:r w:rsidR="002F2C49" w:rsidRPr="006C66C2">
              <w:rPr>
                <w:rFonts w:asciiTheme="minorHAnsi" w:hAnsiTheme="minorHAnsi" w:cstheme="minorHAnsi"/>
                <w:sz w:val="20"/>
                <w:szCs w:val="20"/>
              </w:rPr>
              <w:t xml:space="preserve"> </w:t>
            </w:r>
            <w:r w:rsidR="001316C1" w:rsidRPr="006C66C2">
              <w:rPr>
                <w:rFonts w:asciiTheme="minorHAnsi" w:hAnsiTheme="minorHAnsi" w:cstheme="minorHAnsi"/>
                <w:iCs/>
                <w:spacing w:val="1"/>
                <w:sz w:val="20"/>
                <w:szCs w:val="20"/>
              </w:rPr>
              <w:t>million (US$</w:t>
            </w:r>
            <w:r w:rsidR="00CE2397" w:rsidRPr="006C66C2">
              <w:rPr>
                <w:rFonts w:asciiTheme="minorHAnsi" w:hAnsiTheme="minorHAnsi" w:cstheme="minorHAnsi"/>
                <w:iCs/>
                <w:spacing w:val="1"/>
                <w:sz w:val="20"/>
                <w:szCs w:val="20"/>
              </w:rPr>
              <w:t>4</w:t>
            </w:r>
            <w:r w:rsidR="0027612D" w:rsidRPr="006C66C2">
              <w:rPr>
                <w:rFonts w:asciiTheme="minorHAnsi" w:hAnsiTheme="minorHAnsi" w:cstheme="minorHAnsi"/>
                <w:iCs/>
                <w:spacing w:val="1"/>
                <w:sz w:val="20"/>
                <w:szCs w:val="20"/>
              </w:rPr>
              <w:t>5</w:t>
            </w:r>
            <w:r w:rsidRPr="006C66C2">
              <w:rPr>
                <w:rFonts w:asciiTheme="minorHAnsi" w:hAnsiTheme="minorHAnsi" w:cstheme="minorHAnsi"/>
                <w:iCs/>
                <w:spacing w:val="1"/>
                <w:sz w:val="20"/>
                <w:szCs w:val="20"/>
              </w:rPr>
              <w:t xml:space="preserve">.0 million equivalent). </w:t>
            </w:r>
          </w:p>
        </w:tc>
      </w:tr>
      <w:tr w:rsidR="00D35BC4" w:rsidRPr="00B66802" w14:paraId="780B06B5" w14:textId="77777777" w:rsidTr="00EF06DD">
        <w:trPr>
          <w:trHeight w:hRule="exact" w:val="251"/>
          <w:jc w:val="center"/>
        </w:trPr>
        <w:tc>
          <w:tcPr>
            <w:tcW w:w="2328" w:type="dxa"/>
            <w:tcBorders>
              <w:top w:val="single" w:sz="6" w:space="0" w:color="000000"/>
              <w:left w:val="single" w:sz="6" w:space="0" w:color="000000"/>
              <w:bottom w:val="single" w:sz="6" w:space="0" w:color="000000"/>
              <w:right w:val="single" w:sz="6" w:space="0" w:color="000000"/>
            </w:tcBorders>
            <w:vAlign w:val="center"/>
          </w:tcPr>
          <w:p w14:paraId="0D28774A" w14:textId="77777777" w:rsidR="00D35BC4" w:rsidRPr="00DC050B" w:rsidRDefault="00D35BC4" w:rsidP="00EF06DD">
            <w:pPr>
              <w:widowControl w:val="0"/>
              <w:autoSpaceDE w:val="0"/>
              <w:autoSpaceDN w:val="0"/>
              <w:adjustRightInd w:val="0"/>
              <w:spacing w:after="0" w:line="240" w:lineRule="auto"/>
              <w:ind w:left="100" w:right="-20"/>
              <w:rPr>
                <w:rFonts w:asciiTheme="minorHAnsi" w:hAnsiTheme="minorHAnsi" w:cstheme="minorHAnsi"/>
                <w:sz w:val="20"/>
                <w:szCs w:val="20"/>
              </w:rPr>
            </w:pPr>
            <w:r w:rsidRPr="00B66802">
              <w:rPr>
                <w:rFonts w:asciiTheme="minorHAnsi" w:hAnsiTheme="minorHAnsi" w:cstheme="minorHAnsi"/>
                <w:spacing w:val="-1"/>
                <w:sz w:val="20"/>
                <w:szCs w:val="20"/>
              </w:rPr>
              <w:t>O</w:t>
            </w:r>
            <w:r w:rsidRPr="00B66802">
              <w:rPr>
                <w:rFonts w:asciiTheme="minorHAnsi" w:hAnsiTheme="minorHAnsi" w:cstheme="minorHAnsi"/>
                <w:sz w:val="20"/>
                <w:szCs w:val="20"/>
              </w:rPr>
              <w:t>pe</w:t>
            </w:r>
            <w:r w:rsidRPr="00B66802">
              <w:rPr>
                <w:rFonts w:asciiTheme="minorHAnsi" w:hAnsiTheme="minorHAnsi" w:cstheme="minorHAnsi"/>
                <w:spacing w:val="1"/>
                <w:sz w:val="20"/>
                <w:szCs w:val="20"/>
              </w:rPr>
              <w:t>r</w:t>
            </w:r>
            <w:r w:rsidRPr="00B66802">
              <w:rPr>
                <w:rFonts w:asciiTheme="minorHAnsi" w:hAnsiTheme="minorHAnsi" w:cstheme="minorHAnsi"/>
                <w:spacing w:val="-2"/>
                <w:sz w:val="20"/>
                <w:szCs w:val="20"/>
              </w:rPr>
              <w:t>a</w:t>
            </w:r>
            <w:r w:rsidRPr="00BD4A16">
              <w:rPr>
                <w:rFonts w:asciiTheme="minorHAnsi" w:hAnsiTheme="minorHAnsi" w:cstheme="minorHAnsi"/>
                <w:spacing w:val="1"/>
                <w:sz w:val="20"/>
                <w:szCs w:val="20"/>
              </w:rPr>
              <w:t>ti</w:t>
            </w:r>
            <w:r w:rsidRPr="00DC050B">
              <w:rPr>
                <w:rFonts w:asciiTheme="minorHAnsi" w:hAnsiTheme="minorHAnsi" w:cstheme="minorHAnsi"/>
                <w:sz w:val="20"/>
                <w:szCs w:val="20"/>
              </w:rPr>
              <w:t>on</w:t>
            </w:r>
            <w:r w:rsidRPr="00DC050B">
              <w:rPr>
                <w:rFonts w:asciiTheme="minorHAnsi" w:hAnsiTheme="minorHAnsi" w:cstheme="minorHAnsi"/>
                <w:spacing w:val="-5"/>
                <w:sz w:val="20"/>
                <w:szCs w:val="20"/>
              </w:rPr>
              <w:t xml:space="preserve"> </w:t>
            </w:r>
            <w:r w:rsidRPr="00DC050B">
              <w:rPr>
                <w:rFonts w:asciiTheme="minorHAnsi" w:hAnsiTheme="minorHAnsi" w:cstheme="minorHAnsi"/>
                <w:spacing w:val="2"/>
                <w:sz w:val="20"/>
                <w:szCs w:val="20"/>
              </w:rPr>
              <w:t>T</w:t>
            </w:r>
            <w:r w:rsidRPr="00DC050B">
              <w:rPr>
                <w:rFonts w:asciiTheme="minorHAnsi" w:hAnsiTheme="minorHAnsi" w:cstheme="minorHAnsi"/>
                <w:spacing w:val="-2"/>
                <w:sz w:val="20"/>
                <w:szCs w:val="20"/>
              </w:rPr>
              <w:t>y</w:t>
            </w:r>
            <w:r w:rsidRPr="00DC050B">
              <w:rPr>
                <w:rFonts w:asciiTheme="minorHAnsi" w:hAnsiTheme="minorHAnsi" w:cstheme="minorHAnsi"/>
                <w:sz w:val="20"/>
                <w:szCs w:val="20"/>
              </w:rPr>
              <w:t>pe</w:t>
            </w:r>
          </w:p>
        </w:tc>
        <w:tc>
          <w:tcPr>
            <w:tcW w:w="8104" w:type="dxa"/>
            <w:tcBorders>
              <w:top w:val="single" w:sz="6" w:space="0" w:color="000000"/>
              <w:left w:val="single" w:sz="6" w:space="0" w:color="000000"/>
              <w:bottom w:val="single" w:sz="6" w:space="0" w:color="000000"/>
              <w:right w:val="single" w:sz="6" w:space="0" w:color="000000"/>
            </w:tcBorders>
            <w:vAlign w:val="center"/>
          </w:tcPr>
          <w:p w14:paraId="64750343" w14:textId="4CD344CB" w:rsidR="00D35BC4" w:rsidRPr="006C66C2" w:rsidRDefault="00CE2397" w:rsidP="00EF06DD">
            <w:pPr>
              <w:widowControl w:val="0"/>
              <w:autoSpaceDE w:val="0"/>
              <w:autoSpaceDN w:val="0"/>
              <w:adjustRightInd w:val="0"/>
              <w:spacing w:after="0" w:line="240" w:lineRule="auto"/>
              <w:ind w:left="100" w:right="272"/>
              <w:rPr>
                <w:rFonts w:asciiTheme="minorHAnsi" w:hAnsiTheme="minorHAnsi" w:cstheme="minorHAnsi"/>
                <w:sz w:val="20"/>
                <w:szCs w:val="20"/>
              </w:rPr>
            </w:pPr>
            <w:r w:rsidRPr="00DC050B">
              <w:rPr>
                <w:rFonts w:asciiTheme="minorHAnsi" w:hAnsiTheme="minorHAnsi" w:cstheme="minorHAnsi"/>
                <w:sz w:val="20"/>
                <w:szCs w:val="20"/>
              </w:rPr>
              <w:t xml:space="preserve">Second </w:t>
            </w:r>
            <w:r w:rsidR="00B471C5" w:rsidRPr="00DC050B">
              <w:rPr>
                <w:rFonts w:asciiTheme="minorHAnsi" w:hAnsiTheme="minorHAnsi" w:cstheme="minorHAnsi"/>
                <w:sz w:val="20"/>
                <w:szCs w:val="20"/>
              </w:rPr>
              <w:t xml:space="preserve">in a programmatic series of </w:t>
            </w:r>
            <w:r w:rsidR="00A860B6" w:rsidRPr="00DC050B">
              <w:rPr>
                <w:rFonts w:asciiTheme="minorHAnsi" w:hAnsiTheme="minorHAnsi" w:cstheme="minorHAnsi"/>
                <w:sz w:val="20"/>
                <w:szCs w:val="20"/>
              </w:rPr>
              <w:t xml:space="preserve">two </w:t>
            </w:r>
            <w:r w:rsidR="00B471C5" w:rsidRPr="006C66C2">
              <w:rPr>
                <w:rFonts w:asciiTheme="minorHAnsi" w:hAnsiTheme="minorHAnsi" w:cstheme="minorHAnsi"/>
                <w:sz w:val="20"/>
                <w:szCs w:val="20"/>
              </w:rPr>
              <w:t>operations</w:t>
            </w:r>
            <w:r w:rsidR="005930F9" w:rsidRPr="006C66C2">
              <w:rPr>
                <w:rFonts w:asciiTheme="minorHAnsi" w:hAnsiTheme="minorHAnsi" w:cstheme="minorHAnsi"/>
                <w:sz w:val="20"/>
                <w:szCs w:val="20"/>
              </w:rPr>
              <w:t xml:space="preserve"> – single tranche</w:t>
            </w:r>
          </w:p>
        </w:tc>
      </w:tr>
      <w:tr w:rsidR="00D35BC4" w:rsidRPr="00B66802" w14:paraId="73AE60FD" w14:textId="77777777" w:rsidTr="00530384">
        <w:trPr>
          <w:trHeight w:hRule="exact" w:val="800"/>
          <w:jc w:val="center"/>
        </w:trPr>
        <w:tc>
          <w:tcPr>
            <w:tcW w:w="2328" w:type="dxa"/>
            <w:tcBorders>
              <w:top w:val="single" w:sz="6" w:space="0" w:color="000000"/>
              <w:left w:val="single" w:sz="6" w:space="0" w:color="000000"/>
              <w:bottom w:val="single" w:sz="6" w:space="0" w:color="000000"/>
              <w:right w:val="single" w:sz="6" w:space="0" w:color="000000"/>
            </w:tcBorders>
            <w:vAlign w:val="center"/>
          </w:tcPr>
          <w:p w14:paraId="5A0D3574" w14:textId="77777777" w:rsidR="00D35BC4" w:rsidRPr="006C66C2" w:rsidRDefault="00D35BC4" w:rsidP="00EF06DD">
            <w:pPr>
              <w:widowControl w:val="0"/>
              <w:autoSpaceDE w:val="0"/>
              <w:autoSpaceDN w:val="0"/>
              <w:adjustRightInd w:val="0"/>
              <w:spacing w:after="0" w:line="240" w:lineRule="auto"/>
              <w:ind w:left="100" w:right="59"/>
              <w:rPr>
                <w:rFonts w:asciiTheme="minorHAnsi" w:hAnsiTheme="minorHAnsi" w:cstheme="minorHAnsi"/>
                <w:sz w:val="20"/>
                <w:szCs w:val="20"/>
              </w:rPr>
            </w:pPr>
            <w:r w:rsidRPr="00B66802">
              <w:rPr>
                <w:rFonts w:asciiTheme="minorHAnsi" w:hAnsiTheme="minorHAnsi" w:cstheme="minorHAnsi"/>
                <w:sz w:val="20"/>
                <w:szCs w:val="20"/>
              </w:rPr>
              <w:t>P</w:t>
            </w:r>
            <w:r w:rsidRPr="00B66802">
              <w:rPr>
                <w:rFonts w:asciiTheme="minorHAnsi" w:hAnsiTheme="minorHAnsi" w:cstheme="minorHAnsi"/>
                <w:spacing w:val="1"/>
                <w:sz w:val="20"/>
                <w:szCs w:val="20"/>
              </w:rPr>
              <w:t>i</w:t>
            </w:r>
            <w:r w:rsidRPr="00B66802">
              <w:rPr>
                <w:rFonts w:asciiTheme="minorHAnsi" w:hAnsiTheme="minorHAnsi" w:cstheme="minorHAnsi"/>
                <w:spacing w:val="-1"/>
                <w:sz w:val="20"/>
                <w:szCs w:val="20"/>
              </w:rPr>
              <w:t>l</w:t>
            </w:r>
            <w:r w:rsidRPr="00B66802">
              <w:rPr>
                <w:rFonts w:asciiTheme="minorHAnsi" w:hAnsiTheme="minorHAnsi" w:cstheme="minorHAnsi"/>
                <w:spacing w:val="1"/>
                <w:sz w:val="20"/>
                <w:szCs w:val="20"/>
              </w:rPr>
              <w:t>l</w:t>
            </w:r>
            <w:r w:rsidRPr="00BD4A16">
              <w:rPr>
                <w:rFonts w:asciiTheme="minorHAnsi" w:hAnsiTheme="minorHAnsi" w:cstheme="minorHAnsi"/>
                <w:sz w:val="20"/>
                <w:szCs w:val="20"/>
              </w:rPr>
              <w:t>a</w:t>
            </w:r>
            <w:r w:rsidRPr="00DC050B">
              <w:rPr>
                <w:rFonts w:asciiTheme="minorHAnsi" w:hAnsiTheme="minorHAnsi" w:cstheme="minorHAnsi"/>
                <w:spacing w:val="-2"/>
                <w:sz w:val="20"/>
                <w:szCs w:val="20"/>
              </w:rPr>
              <w:t>r</w:t>
            </w:r>
            <w:r w:rsidRPr="00DC050B">
              <w:rPr>
                <w:rFonts w:asciiTheme="minorHAnsi" w:hAnsiTheme="minorHAnsi" w:cstheme="minorHAnsi"/>
                <w:sz w:val="20"/>
                <w:szCs w:val="20"/>
              </w:rPr>
              <w:t>s</w:t>
            </w:r>
            <w:r w:rsidRPr="00DC050B">
              <w:rPr>
                <w:rFonts w:asciiTheme="minorHAnsi" w:hAnsiTheme="minorHAnsi" w:cstheme="minorHAnsi"/>
                <w:spacing w:val="1"/>
                <w:sz w:val="20"/>
                <w:szCs w:val="20"/>
              </w:rPr>
              <w:t xml:space="preserve"> </w:t>
            </w:r>
            <w:r w:rsidRPr="00DC050B">
              <w:rPr>
                <w:rFonts w:asciiTheme="minorHAnsi" w:hAnsiTheme="minorHAnsi" w:cstheme="minorHAnsi"/>
                <w:sz w:val="20"/>
                <w:szCs w:val="20"/>
              </w:rPr>
              <w:t>of</w:t>
            </w:r>
            <w:r w:rsidRPr="00DC050B">
              <w:rPr>
                <w:rFonts w:asciiTheme="minorHAnsi" w:hAnsiTheme="minorHAnsi" w:cstheme="minorHAnsi"/>
                <w:spacing w:val="-1"/>
                <w:sz w:val="20"/>
                <w:szCs w:val="20"/>
              </w:rPr>
              <w:t xml:space="preserve"> </w:t>
            </w:r>
            <w:r w:rsidRPr="00DC050B">
              <w:rPr>
                <w:rFonts w:asciiTheme="minorHAnsi" w:hAnsiTheme="minorHAnsi" w:cstheme="minorHAnsi"/>
                <w:spacing w:val="1"/>
                <w:sz w:val="20"/>
                <w:szCs w:val="20"/>
              </w:rPr>
              <w:t>t</w:t>
            </w:r>
            <w:r w:rsidRPr="00DC050B">
              <w:rPr>
                <w:rFonts w:asciiTheme="minorHAnsi" w:hAnsiTheme="minorHAnsi" w:cstheme="minorHAnsi"/>
                <w:spacing w:val="-2"/>
                <w:sz w:val="20"/>
                <w:szCs w:val="20"/>
              </w:rPr>
              <w:t>h</w:t>
            </w:r>
            <w:r w:rsidRPr="00DC050B">
              <w:rPr>
                <w:rFonts w:asciiTheme="minorHAnsi" w:hAnsiTheme="minorHAnsi" w:cstheme="minorHAnsi"/>
                <w:sz w:val="20"/>
                <w:szCs w:val="20"/>
              </w:rPr>
              <w:t>e</w:t>
            </w:r>
            <w:r w:rsidRPr="00DC050B">
              <w:rPr>
                <w:rFonts w:asciiTheme="minorHAnsi" w:hAnsiTheme="minorHAnsi" w:cstheme="minorHAnsi"/>
                <w:spacing w:val="1"/>
                <w:sz w:val="20"/>
                <w:szCs w:val="20"/>
              </w:rPr>
              <w:t xml:space="preserve"> </w:t>
            </w:r>
            <w:r w:rsidRPr="00DC050B">
              <w:rPr>
                <w:rFonts w:asciiTheme="minorHAnsi" w:hAnsiTheme="minorHAnsi" w:cstheme="minorHAnsi"/>
                <w:spacing w:val="-1"/>
                <w:sz w:val="20"/>
                <w:szCs w:val="20"/>
              </w:rPr>
              <w:t>O</w:t>
            </w:r>
            <w:r w:rsidRPr="00DC050B">
              <w:rPr>
                <w:rFonts w:asciiTheme="minorHAnsi" w:hAnsiTheme="minorHAnsi" w:cstheme="minorHAnsi"/>
                <w:sz w:val="20"/>
                <w:szCs w:val="20"/>
              </w:rPr>
              <w:t>pe</w:t>
            </w:r>
            <w:r w:rsidRPr="00DC050B">
              <w:rPr>
                <w:rFonts w:asciiTheme="minorHAnsi" w:hAnsiTheme="minorHAnsi" w:cstheme="minorHAnsi"/>
                <w:spacing w:val="-2"/>
                <w:sz w:val="20"/>
                <w:szCs w:val="20"/>
              </w:rPr>
              <w:t>r</w:t>
            </w:r>
            <w:r w:rsidRPr="00DC050B">
              <w:rPr>
                <w:rFonts w:asciiTheme="minorHAnsi" w:hAnsiTheme="minorHAnsi" w:cstheme="minorHAnsi"/>
                <w:sz w:val="20"/>
                <w:szCs w:val="20"/>
              </w:rPr>
              <w:t>a</w:t>
            </w:r>
            <w:r w:rsidRPr="00DC050B">
              <w:rPr>
                <w:rFonts w:asciiTheme="minorHAnsi" w:hAnsiTheme="minorHAnsi" w:cstheme="minorHAnsi"/>
                <w:spacing w:val="-1"/>
                <w:sz w:val="20"/>
                <w:szCs w:val="20"/>
              </w:rPr>
              <w:t>t</w:t>
            </w:r>
            <w:r w:rsidRPr="00DC050B">
              <w:rPr>
                <w:rFonts w:asciiTheme="minorHAnsi" w:hAnsiTheme="minorHAnsi" w:cstheme="minorHAnsi"/>
                <w:spacing w:val="1"/>
                <w:sz w:val="20"/>
                <w:szCs w:val="20"/>
              </w:rPr>
              <w:t>i</w:t>
            </w:r>
            <w:r w:rsidRPr="00DC050B">
              <w:rPr>
                <w:rFonts w:asciiTheme="minorHAnsi" w:hAnsiTheme="minorHAnsi" w:cstheme="minorHAnsi"/>
                <w:sz w:val="20"/>
                <w:szCs w:val="20"/>
              </w:rPr>
              <w:t xml:space="preserve">on </w:t>
            </w:r>
            <w:r w:rsidRPr="00DC050B">
              <w:rPr>
                <w:rFonts w:asciiTheme="minorHAnsi" w:hAnsiTheme="minorHAnsi" w:cstheme="minorHAnsi"/>
                <w:spacing w:val="-1"/>
                <w:sz w:val="20"/>
                <w:szCs w:val="20"/>
              </w:rPr>
              <w:t>A</w:t>
            </w:r>
            <w:r w:rsidRPr="00DC050B">
              <w:rPr>
                <w:rFonts w:asciiTheme="minorHAnsi" w:hAnsiTheme="minorHAnsi" w:cstheme="minorHAnsi"/>
                <w:sz w:val="20"/>
                <w:szCs w:val="20"/>
              </w:rPr>
              <w:t>nd P</w:t>
            </w:r>
            <w:r w:rsidR="005B0922" w:rsidRPr="00DC050B">
              <w:rPr>
                <w:rFonts w:asciiTheme="minorHAnsi" w:hAnsiTheme="minorHAnsi" w:cstheme="minorHAnsi"/>
                <w:sz w:val="20"/>
                <w:szCs w:val="20"/>
              </w:rPr>
              <w:t>DO</w:t>
            </w:r>
          </w:p>
        </w:tc>
        <w:tc>
          <w:tcPr>
            <w:tcW w:w="8104" w:type="dxa"/>
            <w:tcBorders>
              <w:top w:val="single" w:sz="6" w:space="0" w:color="000000"/>
              <w:left w:val="single" w:sz="6" w:space="0" w:color="000000"/>
              <w:bottom w:val="single" w:sz="4" w:space="0" w:color="auto"/>
              <w:right w:val="single" w:sz="6" w:space="0" w:color="000000"/>
            </w:tcBorders>
            <w:vAlign w:val="center"/>
          </w:tcPr>
          <w:p w14:paraId="47C88BF7" w14:textId="4FBA17B4" w:rsidR="00D35BC4" w:rsidRPr="00DC050B" w:rsidRDefault="007333FF" w:rsidP="00EF06DD">
            <w:pPr>
              <w:widowControl w:val="0"/>
              <w:autoSpaceDE w:val="0"/>
              <w:autoSpaceDN w:val="0"/>
              <w:adjustRightInd w:val="0"/>
              <w:spacing w:after="0" w:line="240" w:lineRule="auto"/>
              <w:ind w:left="100" w:right="-20"/>
              <w:rPr>
                <w:rFonts w:asciiTheme="minorHAnsi" w:hAnsiTheme="minorHAnsi" w:cstheme="minorHAnsi"/>
                <w:sz w:val="20"/>
                <w:szCs w:val="20"/>
              </w:rPr>
            </w:pPr>
            <w:r w:rsidRPr="006C66C2">
              <w:rPr>
                <w:rFonts w:asciiTheme="minorHAnsi" w:hAnsiTheme="minorHAnsi" w:cstheme="minorHAnsi"/>
                <w:sz w:val="20"/>
                <w:szCs w:val="20"/>
              </w:rPr>
              <w:t>The program development objectives</w:t>
            </w:r>
            <w:r w:rsidR="00530384" w:rsidRPr="006C66C2">
              <w:rPr>
                <w:rFonts w:asciiTheme="minorHAnsi" w:hAnsiTheme="minorHAnsi" w:cstheme="minorHAnsi"/>
                <w:sz w:val="20"/>
                <w:szCs w:val="20"/>
              </w:rPr>
              <w:t>, which</w:t>
            </w:r>
            <w:r w:rsidRPr="006C66C2">
              <w:rPr>
                <w:rFonts w:asciiTheme="minorHAnsi" w:hAnsiTheme="minorHAnsi" w:cstheme="minorHAnsi"/>
                <w:sz w:val="20"/>
                <w:szCs w:val="20"/>
              </w:rPr>
              <w:t xml:space="preserve"> are </w:t>
            </w:r>
            <w:r w:rsidR="00530384" w:rsidRPr="006C66C2">
              <w:rPr>
                <w:rFonts w:asciiTheme="minorHAnsi" w:hAnsiTheme="minorHAnsi" w:cstheme="minorHAnsi"/>
                <w:sz w:val="20"/>
                <w:szCs w:val="20"/>
              </w:rPr>
              <w:t>reflected in the two pillars of the operations are</w:t>
            </w:r>
            <w:r w:rsidR="003F3297">
              <w:rPr>
                <w:rFonts w:asciiTheme="minorHAnsi" w:hAnsiTheme="minorHAnsi" w:cstheme="minorHAnsi"/>
                <w:sz w:val="20"/>
                <w:szCs w:val="20"/>
              </w:rPr>
              <w:t xml:space="preserve"> to</w:t>
            </w:r>
            <w:r w:rsidR="00530384" w:rsidRPr="006C66C2">
              <w:rPr>
                <w:rFonts w:asciiTheme="minorHAnsi" w:hAnsiTheme="minorHAnsi" w:cstheme="minorHAnsi"/>
                <w:sz w:val="20"/>
                <w:szCs w:val="20"/>
              </w:rPr>
              <w:t xml:space="preserve">: </w:t>
            </w:r>
            <w:r w:rsidRPr="006C66C2">
              <w:rPr>
                <w:rFonts w:asciiTheme="minorHAnsi" w:hAnsiTheme="minorHAnsi" w:cstheme="minorHAnsi"/>
                <w:sz w:val="20"/>
                <w:szCs w:val="20"/>
              </w:rPr>
              <w:t xml:space="preserve">(i) </w:t>
            </w:r>
            <w:r w:rsidR="008635D1" w:rsidRPr="0007045E">
              <w:rPr>
                <w:rFonts w:asciiTheme="minorHAnsi" w:eastAsia="Times New Roman" w:hAnsiTheme="minorHAnsi" w:cstheme="minorHAnsi"/>
                <w:sz w:val="20"/>
                <w:szCs w:val="20"/>
              </w:rPr>
              <w:t xml:space="preserve">Strengthen the fiscal framework </w:t>
            </w:r>
            <w:r w:rsidR="003C4CD7" w:rsidRPr="0007045E">
              <w:rPr>
                <w:rFonts w:asciiTheme="minorHAnsi" w:eastAsia="Times New Roman" w:hAnsiTheme="minorHAnsi" w:cstheme="minorHAnsi"/>
                <w:sz w:val="20"/>
                <w:szCs w:val="20"/>
              </w:rPr>
              <w:t>by creating fiscal space to support priority expenditures</w:t>
            </w:r>
            <w:r w:rsidR="00647E13" w:rsidRPr="00B66802">
              <w:rPr>
                <w:rFonts w:asciiTheme="minorHAnsi" w:hAnsiTheme="minorHAnsi" w:cstheme="minorHAnsi"/>
                <w:sz w:val="20"/>
                <w:szCs w:val="20"/>
              </w:rPr>
              <w:t>;</w:t>
            </w:r>
            <w:r w:rsidR="00705F69" w:rsidRPr="00B66802">
              <w:rPr>
                <w:rFonts w:asciiTheme="minorHAnsi" w:hAnsiTheme="minorHAnsi" w:cstheme="minorHAnsi"/>
                <w:sz w:val="20"/>
                <w:szCs w:val="20"/>
              </w:rPr>
              <w:t xml:space="preserve"> </w:t>
            </w:r>
            <w:r w:rsidR="008635D1" w:rsidRPr="00B66802">
              <w:rPr>
                <w:rFonts w:asciiTheme="minorHAnsi" w:hAnsiTheme="minorHAnsi" w:cstheme="minorHAnsi"/>
                <w:sz w:val="20"/>
                <w:szCs w:val="20"/>
              </w:rPr>
              <w:t>and (ii) I</w:t>
            </w:r>
            <w:r w:rsidRPr="00BD4A16">
              <w:rPr>
                <w:rFonts w:asciiTheme="minorHAnsi" w:hAnsiTheme="minorHAnsi" w:cstheme="minorHAnsi"/>
                <w:sz w:val="20"/>
                <w:szCs w:val="20"/>
              </w:rPr>
              <w:t>mprov</w:t>
            </w:r>
            <w:r w:rsidR="00647E13" w:rsidRPr="00DC050B">
              <w:rPr>
                <w:rFonts w:asciiTheme="minorHAnsi" w:hAnsiTheme="minorHAnsi" w:cstheme="minorHAnsi"/>
                <w:sz w:val="20"/>
                <w:szCs w:val="20"/>
              </w:rPr>
              <w:t>e</w:t>
            </w:r>
            <w:r w:rsidRPr="00DC050B">
              <w:rPr>
                <w:rFonts w:asciiTheme="minorHAnsi" w:hAnsiTheme="minorHAnsi" w:cstheme="minorHAnsi"/>
                <w:sz w:val="20"/>
                <w:szCs w:val="20"/>
              </w:rPr>
              <w:t xml:space="preserve"> the environment for </w:t>
            </w:r>
            <w:r w:rsidR="002827E0" w:rsidRPr="00DC050B">
              <w:rPr>
                <w:rFonts w:asciiTheme="minorHAnsi" w:hAnsiTheme="minorHAnsi" w:cstheme="minorHAnsi"/>
                <w:sz w:val="20"/>
                <w:szCs w:val="20"/>
              </w:rPr>
              <w:t>investment</w:t>
            </w:r>
            <w:r w:rsidRPr="00DC050B">
              <w:rPr>
                <w:rFonts w:asciiTheme="minorHAnsi" w:hAnsiTheme="minorHAnsi" w:cstheme="minorHAnsi"/>
                <w:sz w:val="20"/>
                <w:szCs w:val="20"/>
              </w:rPr>
              <w:t>.</w:t>
            </w:r>
          </w:p>
        </w:tc>
      </w:tr>
      <w:tr w:rsidR="00CB71D2" w:rsidRPr="00B66802" w14:paraId="13DD6182" w14:textId="77777777" w:rsidTr="00FA4942">
        <w:trPr>
          <w:trHeight w:val="7286"/>
          <w:jc w:val="center"/>
        </w:trPr>
        <w:tc>
          <w:tcPr>
            <w:tcW w:w="2328" w:type="dxa"/>
            <w:tcBorders>
              <w:top w:val="single" w:sz="6" w:space="0" w:color="000000"/>
              <w:left w:val="single" w:sz="6" w:space="0" w:color="000000"/>
              <w:right w:val="single" w:sz="4" w:space="0" w:color="auto"/>
            </w:tcBorders>
          </w:tcPr>
          <w:p w14:paraId="03CBB716" w14:textId="77777777" w:rsidR="00CB71D2" w:rsidRPr="00DC050B" w:rsidRDefault="00CB71D2" w:rsidP="00EF06DD">
            <w:pPr>
              <w:widowControl w:val="0"/>
              <w:autoSpaceDE w:val="0"/>
              <w:autoSpaceDN w:val="0"/>
              <w:adjustRightInd w:val="0"/>
              <w:spacing w:after="0" w:line="240" w:lineRule="auto"/>
              <w:ind w:left="100" w:right="-20"/>
              <w:rPr>
                <w:rFonts w:asciiTheme="minorHAnsi" w:hAnsiTheme="minorHAnsi" w:cstheme="minorHAnsi"/>
                <w:sz w:val="20"/>
                <w:szCs w:val="20"/>
              </w:rPr>
            </w:pPr>
            <w:r w:rsidRPr="00B66802">
              <w:rPr>
                <w:rFonts w:asciiTheme="minorHAnsi" w:hAnsiTheme="minorHAnsi" w:cstheme="minorHAnsi"/>
                <w:spacing w:val="-1"/>
                <w:sz w:val="20"/>
                <w:szCs w:val="20"/>
              </w:rPr>
              <w:t>R</w:t>
            </w:r>
            <w:r w:rsidRPr="00B66802">
              <w:rPr>
                <w:rFonts w:asciiTheme="minorHAnsi" w:hAnsiTheme="minorHAnsi" w:cstheme="minorHAnsi"/>
                <w:sz w:val="20"/>
                <w:szCs w:val="20"/>
              </w:rPr>
              <w:t>esu</w:t>
            </w:r>
            <w:r w:rsidRPr="00B66802">
              <w:rPr>
                <w:rFonts w:asciiTheme="minorHAnsi" w:hAnsiTheme="minorHAnsi" w:cstheme="minorHAnsi"/>
                <w:spacing w:val="-1"/>
                <w:sz w:val="20"/>
                <w:szCs w:val="20"/>
              </w:rPr>
              <w:t>l</w:t>
            </w:r>
            <w:r w:rsidRPr="00B66802">
              <w:rPr>
                <w:rFonts w:asciiTheme="minorHAnsi" w:hAnsiTheme="minorHAnsi" w:cstheme="minorHAnsi"/>
                <w:sz w:val="20"/>
                <w:szCs w:val="20"/>
              </w:rPr>
              <w:t>t</w:t>
            </w:r>
            <w:r w:rsidRPr="00BD4A16">
              <w:rPr>
                <w:rFonts w:asciiTheme="minorHAnsi" w:hAnsiTheme="minorHAnsi" w:cstheme="minorHAnsi"/>
                <w:spacing w:val="1"/>
                <w:sz w:val="20"/>
                <w:szCs w:val="20"/>
              </w:rPr>
              <w:t xml:space="preserve"> </w:t>
            </w:r>
            <w:r w:rsidRPr="00DC050B">
              <w:rPr>
                <w:rFonts w:asciiTheme="minorHAnsi" w:hAnsiTheme="minorHAnsi" w:cstheme="minorHAnsi"/>
                <w:spacing w:val="-4"/>
                <w:sz w:val="20"/>
                <w:szCs w:val="20"/>
              </w:rPr>
              <w:t>I</w:t>
            </w:r>
            <w:r w:rsidRPr="00DC050B">
              <w:rPr>
                <w:rFonts w:asciiTheme="minorHAnsi" w:hAnsiTheme="minorHAnsi" w:cstheme="minorHAnsi"/>
                <w:sz w:val="20"/>
                <w:szCs w:val="20"/>
              </w:rPr>
              <w:t>nd</w:t>
            </w:r>
            <w:r w:rsidRPr="00DC050B">
              <w:rPr>
                <w:rFonts w:asciiTheme="minorHAnsi" w:hAnsiTheme="minorHAnsi" w:cstheme="minorHAnsi"/>
                <w:spacing w:val="1"/>
                <w:sz w:val="20"/>
                <w:szCs w:val="20"/>
              </w:rPr>
              <w:t>i</w:t>
            </w:r>
            <w:r w:rsidRPr="00DC050B">
              <w:rPr>
                <w:rFonts w:asciiTheme="minorHAnsi" w:hAnsiTheme="minorHAnsi" w:cstheme="minorHAnsi"/>
                <w:sz w:val="20"/>
                <w:szCs w:val="20"/>
              </w:rPr>
              <w:t>ca</w:t>
            </w:r>
            <w:r w:rsidRPr="00DC050B">
              <w:rPr>
                <w:rFonts w:asciiTheme="minorHAnsi" w:hAnsiTheme="minorHAnsi" w:cstheme="minorHAnsi"/>
                <w:spacing w:val="1"/>
                <w:sz w:val="20"/>
                <w:szCs w:val="20"/>
              </w:rPr>
              <w:t>t</w:t>
            </w:r>
            <w:r w:rsidRPr="00DC050B">
              <w:rPr>
                <w:rFonts w:asciiTheme="minorHAnsi" w:hAnsiTheme="minorHAnsi" w:cstheme="minorHAnsi"/>
                <w:spacing w:val="-2"/>
                <w:sz w:val="20"/>
                <w:szCs w:val="20"/>
              </w:rPr>
              <w:t>o</w:t>
            </w:r>
            <w:r w:rsidRPr="00DC050B">
              <w:rPr>
                <w:rFonts w:asciiTheme="minorHAnsi" w:hAnsiTheme="minorHAnsi" w:cstheme="minorHAnsi"/>
                <w:spacing w:val="1"/>
                <w:sz w:val="20"/>
                <w:szCs w:val="20"/>
              </w:rPr>
              <w:t>r</w:t>
            </w:r>
            <w:r w:rsidRPr="00DC050B">
              <w:rPr>
                <w:rFonts w:asciiTheme="minorHAnsi" w:hAnsiTheme="minorHAnsi" w:cstheme="minorHAnsi"/>
                <w:sz w:val="20"/>
                <w:szCs w:val="20"/>
              </w:rPr>
              <w:t>s:</w:t>
            </w:r>
          </w:p>
          <w:p w14:paraId="393B6D22" w14:textId="77777777" w:rsidR="00CB71D2" w:rsidRPr="006C66C2" w:rsidRDefault="007333FF" w:rsidP="00EF06DD">
            <w:pPr>
              <w:widowControl w:val="0"/>
              <w:autoSpaceDE w:val="0"/>
              <w:autoSpaceDN w:val="0"/>
              <w:adjustRightInd w:val="0"/>
              <w:spacing w:after="0" w:line="240" w:lineRule="auto"/>
              <w:ind w:left="100" w:right="-20"/>
              <w:rPr>
                <w:rFonts w:asciiTheme="minorHAnsi" w:hAnsiTheme="minorHAnsi" w:cstheme="minorHAnsi"/>
                <w:sz w:val="20"/>
                <w:szCs w:val="20"/>
              </w:rPr>
            </w:pPr>
            <w:r w:rsidRPr="00DC050B">
              <w:rPr>
                <w:rFonts w:asciiTheme="minorHAnsi" w:hAnsiTheme="minorHAnsi" w:cstheme="minorHAnsi"/>
                <w:sz w:val="20"/>
                <w:szCs w:val="20"/>
              </w:rPr>
              <w:t>(Baseline: 2015</w:t>
            </w:r>
            <w:r w:rsidR="00CB71D2" w:rsidRPr="00DC050B">
              <w:rPr>
                <w:rFonts w:asciiTheme="minorHAnsi" w:hAnsiTheme="minorHAnsi" w:cstheme="minorHAnsi"/>
                <w:sz w:val="20"/>
                <w:szCs w:val="20"/>
              </w:rPr>
              <w:t xml:space="preserve"> unless otherwise not</w:t>
            </w:r>
            <w:r w:rsidRPr="00DC050B">
              <w:rPr>
                <w:rFonts w:asciiTheme="minorHAnsi" w:hAnsiTheme="minorHAnsi" w:cstheme="minorHAnsi"/>
                <w:sz w:val="20"/>
                <w:szCs w:val="20"/>
              </w:rPr>
              <w:t>ed; Target 2019</w:t>
            </w:r>
            <w:r w:rsidR="00CB71D2" w:rsidRPr="006C66C2">
              <w:rPr>
                <w:rFonts w:asciiTheme="minorHAnsi" w:hAnsiTheme="minorHAnsi" w:cstheme="minorHAnsi"/>
                <w:sz w:val="20"/>
                <w:szCs w:val="20"/>
              </w:rPr>
              <w:t>)</w:t>
            </w:r>
          </w:p>
          <w:p w14:paraId="37D67649" w14:textId="77777777" w:rsidR="00CB71D2" w:rsidRPr="006C66C2" w:rsidRDefault="00CB71D2" w:rsidP="00EF06DD">
            <w:pPr>
              <w:widowControl w:val="0"/>
              <w:autoSpaceDE w:val="0"/>
              <w:autoSpaceDN w:val="0"/>
              <w:adjustRightInd w:val="0"/>
              <w:spacing w:after="0" w:line="240" w:lineRule="auto"/>
              <w:ind w:right="-20"/>
              <w:rPr>
                <w:rFonts w:asciiTheme="minorHAnsi" w:hAnsiTheme="minorHAnsi" w:cstheme="minorHAnsi"/>
                <w:sz w:val="20"/>
                <w:szCs w:val="20"/>
              </w:rPr>
            </w:pPr>
          </w:p>
        </w:tc>
        <w:tc>
          <w:tcPr>
            <w:tcW w:w="8104" w:type="dxa"/>
            <w:tcBorders>
              <w:top w:val="single" w:sz="4" w:space="0" w:color="auto"/>
              <w:left w:val="single" w:sz="4" w:space="0" w:color="auto"/>
              <w:right w:val="single" w:sz="4" w:space="0" w:color="auto"/>
            </w:tcBorders>
            <w:vAlign w:val="center"/>
          </w:tcPr>
          <w:p w14:paraId="466B52C4" w14:textId="77777777" w:rsidR="00EF06DD" w:rsidRPr="00A20F63" w:rsidRDefault="00EF06DD" w:rsidP="00EF06DD">
            <w:pPr>
              <w:spacing w:after="0" w:line="240" w:lineRule="auto"/>
              <w:ind w:left="245"/>
              <w:rPr>
                <w:rFonts w:asciiTheme="minorHAnsi" w:hAnsiTheme="minorHAnsi" w:cstheme="minorHAnsi"/>
                <w:sz w:val="20"/>
                <w:szCs w:val="20"/>
              </w:rPr>
            </w:pPr>
            <w:r w:rsidRPr="00A20F63">
              <w:rPr>
                <w:rFonts w:asciiTheme="minorHAnsi" w:hAnsiTheme="minorHAnsi" w:cstheme="minorHAnsi"/>
                <w:sz w:val="20"/>
                <w:szCs w:val="20"/>
              </w:rPr>
              <w:t>Revenue effort increased:</w:t>
            </w:r>
          </w:p>
          <w:p w14:paraId="767AF96D" w14:textId="37F8000A" w:rsidR="00EF06DD" w:rsidRPr="00A20F63" w:rsidRDefault="00EF06DD" w:rsidP="00EF06DD">
            <w:pPr>
              <w:spacing w:after="0" w:line="240" w:lineRule="auto"/>
              <w:ind w:left="245"/>
              <w:rPr>
                <w:rFonts w:asciiTheme="minorHAnsi" w:hAnsiTheme="minorHAnsi" w:cstheme="minorHAnsi"/>
                <w:sz w:val="20"/>
                <w:szCs w:val="20"/>
              </w:rPr>
            </w:pPr>
            <w:r w:rsidRPr="00A20F63">
              <w:rPr>
                <w:rFonts w:asciiTheme="minorHAnsi" w:hAnsiTheme="minorHAnsi" w:cstheme="minorHAnsi"/>
                <w:sz w:val="20"/>
                <w:szCs w:val="20"/>
              </w:rPr>
              <w:t>Baseline: 10.</w:t>
            </w:r>
            <w:r w:rsidR="00AF7D82">
              <w:rPr>
                <w:rFonts w:asciiTheme="minorHAnsi" w:hAnsiTheme="minorHAnsi" w:cstheme="minorHAnsi"/>
                <w:sz w:val="20"/>
                <w:szCs w:val="20"/>
              </w:rPr>
              <w:t>1</w:t>
            </w:r>
            <w:r w:rsidR="00AF7D82" w:rsidRPr="00A20F63">
              <w:rPr>
                <w:rFonts w:asciiTheme="minorHAnsi" w:hAnsiTheme="minorHAnsi" w:cstheme="minorHAnsi"/>
                <w:sz w:val="20"/>
                <w:szCs w:val="20"/>
              </w:rPr>
              <w:t xml:space="preserve"> </w:t>
            </w:r>
            <w:r w:rsidRPr="00A20F63">
              <w:rPr>
                <w:rFonts w:asciiTheme="minorHAnsi" w:hAnsiTheme="minorHAnsi" w:cstheme="minorHAnsi"/>
                <w:sz w:val="20"/>
                <w:szCs w:val="20"/>
              </w:rPr>
              <w:t>percent of GDP (2015); Target: 12.0 percent of GDP (2019)</w:t>
            </w:r>
          </w:p>
          <w:p w14:paraId="2BDAC734" w14:textId="46892CB4" w:rsidR="00EF06DD" w:rsidRPr="00A20F63" w:rsidRDefault="00EF06DD" w:rsidP="00EF06DD">
            <w:pPr>
              <w:spacing w:after="0" w:line="240" w:lineRule="auto"/>
              <w:ind w:left="245"/>
              <w:rPr>
                <w:rFonts w:asciiTheme="minorHAnsi" w:hAnsiTheme="minorHAnsi" w:cstheme="minorHAnsi"/>
                <w:sz w:val="12"/>
                <w:szCs w:val="12"/>
              </w:rPr>
            </w:pPr>
          </w:p>
          <w:p w14:paraId="29DF517F" w14:textId="77777777" w:rsidR="00EF06DD" w:rsidRPr="00A20F63" w:rsidRDefault="00EF06DD" w:rsidP="00EF06DD">
            <w:pPr>
              <w:spacing w:after="0" w:line="240" w:lineRule="auto"/>
              <w:ind w:left="245"/>
              <w:rPr>
                <w:rFonts w:asciiTheme="minorHAnsi" w:hAnsiTheme="minorHAnsi" w:cstheme="minorHAnsi"/>
                <w:sz w:val="20"/>
                <w:szCs w:val="20"/>
              </w:rPr>
            </w:pPr>
            <w:r w:rsidRPr="00A20F63">
              <w:rPr>
                <w:rFonts w:asciiTheme="minorHAnsi" w:hAnsiTheme="minorHAnsi" w:cstheme="minorHAnsi"/>
                <w:sz w:val="20"/>
                <w:szCs w:val="20"/>
              </w:rPr>
              <w:t>Value of tax expenditures eliminated</w:t>
            </w:r>
          </w:p>
          <w:p w14:paraId="5F731CF0" w14:textId="1471D2CE" w:rsidR="00EF06DD" w:rsidRPr="00A20F63" w:rsidRDefault="00EF06DD" w:rsidP="00EF06DD">
            <w:pPr>
              <w:spacing w:after="0" w:line="240" w:lineRule="auto"/>
              <w:ind w:left="245"/>
              <w:rPr>
                <w:rFonts w:asciiTheme="minorHAnsi" w:hAnsiTheme="minorHAnsi" w:cstheme="minorHAnsi"/>
                <w:sz w:val="20"/>
                <w:szCs w:val="20"/>
              </w:rPr>
            </w:pPr>
            <w:r w:rsidRPr="00A20F63">
              <w:rPr>
                <w:rFonts w:asciiTheme="minorHAnsi" w:hAnsiTheme="minorHAnsi" w:cstheme="minorHAnsi"/>
                <w:sz w:val="20"/>
                <w:szCs w:val="20"/>
              </w:rPr>
              <w:t xml:space="preserve">Baseline: </w:t>
            </w:r>
            <w:r w:rsidR="00FB6693" w:rsidRPr="00A20F63">
              <w:rPr>
                <w:rFonts w:asciiTheme="minorHAnsi" w:hAnsiTheme="minorHAnsi" w:cstheme="minorHAnsi"/>
                <w:sz w:val="20"/>
                <w:szCs w:val="20"/>
              </w:rPr>
              <w:t xml:space="preserve">MGA </w:t>
            </w:r>
            <w:r w:rsidRPr="00A20F63">
              <w:rPr>
                <w:rFonts w:asciiTheme="minorHAnsi" w:hAnsiTheme="minorHAnsi" w:cstheme="minorHAnsi"/>
                <w:sz w:val="20"/>
                <w:szCs w:val="20"/>
              </w:rPr>
              <w:t>0</w:t>
            </w:r>
            <w:r w:rsidR="00FB6693">
              <w:rPr>
                <w:rFonts w:asciiTheme="minorHAnsi" w:hAnsiTheme="minorHAnsi" w:cstheme="minorHAnsi"/>
                <w:sz w:val="20"/>
                <w:szCs w:val="20"/>
              </w:rPr>
              <w:t xml:space="preserve"> </w:t>
            </w:r>
            <w:r w:rsidRPr="00A20F63">
              <w:rPr>
                <w:rFonts w:asciiTheme="minorHAnsi" w:hAnsiTheme="minorHAnsi" w:cstheme="minorHAnsi"/>
                <w:sz w:val="20"/>
                <w:szCs w:val="20"/>
              </w:rPr>
              <w:t>b</w:t>
            </w:r>
            <w:r w:rsidR="00FB6693">
              <w:rPr>
                <w:rFonts w:asciiTheme="minorHAnsi" w:hAnsiTheme="minorHAnsi" w:cstheme="minorHAnsi"/>
                <w:sz w:val="20"/>
                <w:szCs w:val="20"/>
              </w:rPr>
              <w:t>illio</w:t>
            </w:r>
            <w:r w:rsidRPr="00A20F63">
              <w:rPr>
                <w:rFonts w:asciiTheme="minorHAnsi" w:hAnsiTheme="minorHAnsi" w:cstheme="minorHAnsi"/>
                <w:sz w:val="20"/>
                <w:szCs w:val="20"/>
              </w:rPr>
              <w:t xml:space="preserve">n (2017); Target: </w:t>
            </w:r>
            <w:r w:rsidR="00FB6693" w:rsidRPr="00A20F63">
              <w:rPr>
                <w:rFonts w:asciiTheme="minorHAnsi" w:hAnsiTheme="minorHAnsi" w:cstheme="minorHAnsi"/>
                <w:sz w:val="20"/>
                <w:szCs w:val="20"/>
              </w:rPr>
              <w:t xml:space="preserve">MGA </w:t>
            </w:r>
            <w:r w:rsidRPr="00A20F63">
              <w:rPr>
                <w:rFonts w:asciiTheme="minorHAnsi" w:hAnsiTheme="minorHAnsi" w:cstheme="minorHAnsi"/>
                <w:sz w:val="20"/>
                <w:szCs w:val="20"/>
              </w:rPr>
              <w:t>70</w:t>
            </w:r>
            <w:r w:rsidR="00FB6693">
              <w:rPr>
                <w:rFonts w:asciiTheme="minorHAnsi" w:hAnsiTheme="minorHAnsi" w:cstheme="minorHAnsi"/>
                <w:sz w:val="20"/>
                <w:szCs w:val="20"/>
              </w:rPr>
              <w:t xml:space="preserve"> </w:t>
            </w:r>
            <w:r w:rsidRPr="00A20F63">
              <w:rPr>
                <w:rFonts w:asciiTheme="minorHAnsi" w:hAnsiTheme="minorHAnsi" w:cstheme="minorHAnsi"/>
                <w:sz w:val="20"/>
                <w:szCs w:val="20"/>
              </w:rPr>
              <w:t>b</w:t>
            </w:r>
            <w:r w:rsidR="00FB6693">
              <w:rPr>
                <w:rFonts w:asciiTheme="minorHAnsi" w:hAnsiTheme="minorHAnsi" w:cstheme="minorHAnsi"/>
                <w:sz w:val="20"/>
                <w:szCs w:val="20"/>
              </w:rPr>
              <w:t>illio</w:t>
            </w:r>
            <w:r w:rsidRPr="00A20F63">
              <w:rPr>
                <w:rFonts w:asciiTheme="minorHAnsi" w:hAnsiTheme="minorHAnsi" w:cstheme="minorHAnsi"/>
                <w:sz w:val="20"/>
                <w:szCs w:val="20"/>
              </w:rPr>
              <w:t xml:space="preserve">n (2019) </w:t>
            </w:r>
          </w:p>
          <w:p w14:paraId="1784BED3" w14:textId="36A40CC3" w:rsidR="00EF06DD" w:rsidRPr="00406280" w:rsidRDefault="00EF06DD" w:rsidP="00EF06DD">
            <w:pPr>
              <w:spacing w:after="0" w:line="240" w:lineRule="auto"/>
              <w:ind w:left="245"/>
              <w:rPr>
                <w:rFonts w:asciiTheme="minorHAnsi" w:hAnsiTheme="minorHAnsi" w:cstheme="minorHAnsi"/>
                <w:sz w:val="12"/>
                <w:szCs w:val="12"/>
              </w:rPr>
            </w:pPr>
          </w:p>
          <w:p w14:paraId="1C0DFAE5" w14:textId="3ADF7EDD" w:rsidR="00EF06DD" w:rsidRPr="00406280" w:rsidRDefault="00EF06DD" w:rsidP="00EF06DD">
            <w:pPr>
              <w:spacing w:after="0" w:line="240" w:lineRule="auto"/>
              <w:ind w:left="245"/>
              <w:rPr>
                <w:rFonts w:asciiTheme="minorHAnsi" w:hAnsiTheme="minorHAnsi" w:cstheme="minorHAnsi"/>
                <w:sz w:val="20"/>
                <w:szCs w:val="20"/>
              </w:rPr>
            </w:pPr>
            <w:r w:rsidRPr="00406280">
              <w:rPr>
                <w:rFonts w:asciiTheme="minorHAnsi" w:hAnsiTheme="minorHAnsi" w:cstheme="minorHAnsi"/>
                <w:sz w:val="20"/>
                <w:szCs w:val="20"/>
              </w:rPr>
              <w:t>Selected transfers reduced as a share of total expenditure</w:t>
            </w:r>
          </w:p>
          <w:p w14:paraId="08E901B3" w14:textId="014F03D2" w:rsidR="00EF06DD" w:rsidRPr="0085470E" w:rsidRDefault="00EF06DD" w:rsidP="00EF06DD">
            <w:pPr>
              <w:spacing w:after="0" w:line="240" w:lineRule="auto"/>
              <w:ind w:left="245"/>
              <w:rPr>
                <w:rFonts w:asciiTheme="minorHAnsi" w:hAnsiTheme="minorHAnsi" w:cstheme="minorHAnsi"/>
                <w:sz w:val="20"/>
                <w:szCs w:val="20"/>
              </w:rPr>
            </w:pPr>
            <w:r w:rsidRPr="00601B29">
              <w:rPr>
                <w:rFonts w:asciiTheme="minorHAnsi" w:hAnsiTheme="minorHAnsi" w:cstheme="minorHAnsi"/>
                <w:sz w:val="20"/>
                <w:szCs w:val="20"/>
              </w:rPr>
              <w:t>Baseline: 13 percent (2015)</w:t>
            </w:r>
            <w:r w:rsidR="00FA4942" w:rsidRPr="0085470E">
              <w:rPr>
                <w:rFonts w:asciiTheme="minorHAnsi" w:hAnsiTheme="minorHAnsi" w:cstheme="minorHAnsi"/>
                <w:sz w:val="20"/>
                <w:szCs w:val="20"/>
              </w:rPr>
              <w:t xml:space="preserve">; </w:t>
            </w:r>
            <w:r w:rsidRPr="0085470E">
              <w:rPr>
                <w:rFonts w:asciiTheme="minorHAnsi" w:hAnsiTheme="minorHAnsi" w:cstheme="minorHAnsi"/>
                <w:sz w:val="20"/>
                <w:szCs w:val="20"/>
              </w:rPr>
              <w:t>Target: 3 percent (2019) [o/w: transfer to the Pension Fund reduced from 5.8 percent to 1.6 percent; o/w: Fuel subsidies reduced from 1.8 percent to 0 percent]</w:t>
            </w:r>
          </w:p>
          <w:p w14:paraId="4E8A67EF" w14:textId="1DDB4236" w:rsidR="00EF06DD" w:rsidRPr="00E36113" w:rsidRDefault="00EF06DD" w:rsidP="00EF06DD">
            <w:pPr>
              <w:spacing w:after="0" w:line="240" w:lineRule="auto"/>
              <w:ind w:left="245"/>
              <w:rPr>
                <w:rFonts w:asciiTheme="minorHAnsi" w:hAnsiTheme="minorHAnsi" w:cstheme="minorHAnsi"/>
                <w:sz w:val="12"/>
                <w:szCs w:val="12"/>
              </w:rPr>
            </w:pPr>
          </w:p>
          <w:p w14:paraId="28D17877" w14:textId="51D58827" w:rsidR="00EF06DD" w:rsidRPr="00E36113" w:rsidRDefault="00EF06DD" w:rsidP="00EF06DD">
            <w:pPr>
              <w:spacing w:after="0" w:line="240" w:lineRule="auto"/>
              <w:ind w:left="245"/>
              <w:rPr>
                <w:rFonts w:asciiTheme="minorHAnsi" w:hAnsiTheme="minorHAnsi" w:cstheme="minorHAnsi"/>
                <w:sz w:val="20"/>
                <w:szCs w:val="20"/>
              </w:rPr>
            </w:pPr>
            <w:r w:rsidRPr="00E36113">
              <w:rPr>
                <w:rFonts w:asciiTheme="minorHAnsi" w:hAnsiTheme="minorHAnsi" w:cstheme="minorHAnsi"/>
                <w:sz w:val="20"/>
                <w:szCs w:val="20"/>
              </w:rPr>
              <w:t>Share of priority spending on social sectors</w:t>
            </w:r>
          </w:p>
          <w:p w14:paraId="3C1BFC46" w14:textId="7FD1C0FC" w:rsidR="00EF06DD" w:rsidRPr="00E36113" w:rsidRDefault="00EF06DD" w:rsidP="00EF06DD">
            <w:pPr>
              <w:spacing w:after="0" w:line="240" w:lineRule="auto"/>
              <w:ind w:left="245"/>
              <w:rPr>
                <w:rFonts w:asciiTheme="minorHAnsi" w:hAnsiTheme="minorHAnsi" w:cstheme="minorHAnsi"/>
                <w:sz w:val="20"/>
                <w:szCs w:val="20"/>
              </w:rPr>
            </w:pPr>
            <w:r w:rsidRPr="00E36113">
              <w:rPr>
                <w:rFonts w:asciiTheme="minorHAnsi" w:hAnsiTheme="minorHAnsi" w:cstheme="minorHAnsi"/>
                <w:sz w:val="20"/>
                <w:szCs w:val="20"/>
              </w:rPr>
              <w:t>Baseline: 0.7 percent of GDP (2015)</w:t>
            </w:r>
            <w:r w:rsidR="00FA4942" w:rsidRPr="00E36113">
              <w:rPr>
                <w:rFonts w:asciiTheme="minorHAnsi" w:hAnsiTheme="minorHAnsi" w:cstheme="minorHAnsi"/>
                <w:sz w:val="20"/>
                <w:szCs w:val="20"/>
              </w:rPr>
              <w:t xml:space="preserve">; </w:t>
            </w:r>
            <w:r w:rsidRPr="00E36113">
              <w:rPr>
                <w:rFonts w:asciiTheme="minorHAnsi" w:hAnsiTheme="minorHAnsi" w:cstheme="minorHAnsi"/>
                <w:sz w:val="20"/>
                <w:szCs w:val="20"/>
              </w:rPr>
              <w:t>Target: 1.3 percent of GDP (2019)</w:t>
            </w:r>
          </w:p>
          <w:p w14:paraId="7F87CEAE" w14:textId="14A575D0" w:rsidR="00EF06DD" w:rsidRPr="00E36113" w:rsidRDefault="00EF06DD" w:rsidP="00EF06DD">
            <w:pPr>
              <w:spacing w:after="0" w:line="240" w:lineRule="auto"/>
              <w:ind w:left="245"/>
              <w:rPr>
                <w:rFonts w:asciiTheme="minorHAnsi" w:hAnsiTheme="minorHAnsi" w:cstheme="minorHAnsi"/>
                <w:sz w:val="12"/>
                <w:szCs w:val="12"/>
              </w:rPr>
            </w:pPr>
          </w:p>
          <w:p w14:paraId="670E1D1E" w14:textId="792D6F04" w:rsidR="00EF06DD" w:rsidRPr="00B66802" w:rsidRDefault="00EF06DD" w:rsidP="00EF06DD">
            <w:pPr>
              <w:spacing w:after="0" w:line="240" w:lineRule="auto"/>
              <w:ind w:left="245"/>
              <w:rPr>
                <w:rFonts w:asciiTheme="minorHAnsi" w:hAnsiTheme="minorHAnsi" w:cstheme="minorHAnsi"/>
                <w:sz w:val="20"/>
                <w:szCs w:val="20"/>
              </w:rPr>
            </w:pPr>
            <w:r w:rsidRPr="00135527">
              <w:rPr>
                <w:rFonts w:asciiTheme="minorHAnsi" w:hAnsiTheme="minorHAnsi" w:cstheme="minorHAnsi"/>
                <w:sz w:val="20"/>
                <w:szCs w:val="20"/>
              </w:rPr>
              <w:t xml:space="preserve">Share of new PPPs that follow appraisal and selection processes under the PPP Act </w:t>
            </w:r>
            <w:r w:rsidRPr="00135527">
              <w:rPr>
                <w:rFonts w:asciiTheme="minorHAnsi" w:hAnsiTheme="minorHAnsi" w:cstheme="minorHAnsi"/>
                <w:sz w:val="20"/>
                <w:szCs w:val="20"/>
              </w:rPr>
              <w:br/>
            </w:r>
            <w:r w:rsidRPr="00B66802">
              <w:rPr>
                <w:rFonts w:asciiTheme="minorHAnsi" w:hAnsiTheme="minorHAnsi" w:cstheme="minorHAnsi"/>
                <w:sz w:val="20"/>
                <w:szCs w:val="20"/>
              </w:rPr>
              <w:t xml:space="preserve">Baseline: 0 </w:t>
            </w:r>
            <w:r w:rsidR="0007045E">
              <w:rPr>
                <w:rFonts w:asciiTheme="minorHAnsi" w:hAnsiTheme="minorHAnsi" w:cstheme="minorHAnsi"/>
                <w:sz w:val="20"/>
                <w:szCs w:val="20"/>
              </w:rPr>
              <w:t xml:space="preserve">percent </w:t>
            </w:r>
            <w:r w:rsidRPr="00B66802">
              <w:rPr>
                <w:rFonts w:asciiTheme="minorHAnsi" w:hAnsiTheme="minorHAnsi" w:cstheme="minorHAnsi"/>
                <w:sz w:val="20"/>
                <w:szCs w:val="20"/>
              </w:rPr>
              <w:t>(2015)</w:t>
            </w:r>
            <w:r w:rsidR="00FA4942" w:rsidRPr="00B66802">
              <w:rPr>
                <w:rFonts w:asciiTheme="minorHAnsi" w:hAnsiTheme="minorHAnsi" w:cstheme="minorHAnsi"/>
                <w:sz w:val="20"/>
                <w:szCs w:val="20"/>
              </w:rPr>
              <w:t xml:space="preserve">; </w:t>
            </w:r>
            <w:r w:rsidRPr="00B66802">
              <w:rPr>
                <w:rFonts w:asciiTheme="minorHAnsi" w:hAnsiTheme="minorHAnsi" w:cstheme="minorHAnsi"/>
                <w:sz w:val="20"/>
                <w:szCs w:val="20"/>
              </w:rPr>
              <w:t xml:space="preserve">Target: 100 </w:t>
            </w:r>
            <w:r w:rsidR="0007045E">
              <w:rPr>
                <w:rFonts w:asciiTheme="minorHAnsi" w:hAnsiTheme="minorHAnsi" w:cstheme="minorHAnsi"/>
                <w:sz w:val="20"/>
                <w:szCs w:val="20"/>
              </w:rPr>
              <w:t xml:space="preserve">percent </w:t>
            </w:r>
            <w:r w:rsidRPr="00B66802">
              <w:rPr>
                <w:rFonts w:asciiTheme="minorHAnsi" w:hAnsiTheme="minorHAnsi" w:cstheme="minorHAnsi"/>
                <w:sz w:val="20"/>
                <w:szCs w:val="20"/>
              </w:rPr>
              <w:t>(2019)</w:t>
            </w:r>
          </w:p>
          <w:p w14:paraId="2AA55686" w14:textId="29E59D33" w:rsidR="00EF06DD" w:rsidRPr="00BD4A16" w:rsidRDefault="00EF06DD" w:rsidP="00EF06DD">
            <w:pPr>
              <w:spacing w:after="0" w:line="240" w:lineRule="auto"/>
              <w:ind w:left="245"/>
              <w:rPr>
                <w:rFonts w:asciiTheme="minorHAnsi" w:hAnsiTheme="minorHAnsi" w:cstheme="minorHAnsi"/>
                <w:sz w:val="12"/>
                <w:szCs w:val="12"/>
              </w:rPr>
            </w:pPr>
          </w:p>
          <w:p w14:paraId="79D09043" w14:textId="7DB052CD" w:rsidR="00EF06DD" w:rsidRPr="006C66C2" w:rsidRDefault="00EF06DD" w:rsidP="00EF06DD">
            <w:pPr>
              <w:spacing w:after="0" w:line="240" w:lineRule="auto"/>
              <w:ind w:left="245"/>
              <w:rPr>
                <w:rFonts w:asciiTheme="minorHAnsi" w:hAnsiTheme="minorHAnsi" w:cstheme="minorHAnsi"/>
                <w:sz w:val="20"/>
                <w:szCs w:val="20"/>
              </w:rPr>
            </w:pPr>
            <w:r w:rsidRPr="00DC050B">
              <w:rPr>
                <w:rFonts w:asciiTheme="minorHAnsi" w:hAnsiTheme="minorHAnsi" w:cstheme="minorHAnsi"/>
                <w:sz w:val="20"/>
                <w:szCs w:val="20"/>
              </w:rPr>
              <w:t xml:space="preserve">Share of domestically financed investment projects above </w:t>
            </w:r>
            <w:r w:rsidR="00FB6693" w:rsidRPr="00DC050B">
              <w:rPr>
                <w:rFonts w:asciiTheme="minorHAnsi" w:hAnsiTheme="minorHAnsi" w:cstheme="minorHAnsi"/>
                <w:sz w:val="20"/>
                <w:szCs w:val="20"/>
              </w:rPr>
              <w:t xml:space="preserve">MGA </w:t>
            </w:r>
            <w:r w:rsidRPr="00DC050B">
              <w:rPr>
                <w:rFonts w:asciiTheme="minorHAnsi" w:hAnsiTheme="minorHAnsi" w:cstheme="minorHAnsi"/>
                <w:sz w:val="20"/>
                <w:szCs w:val="20"/>
              </w:rPr>
              <w:t>5</w:t>
            </w:r>
            <w:r w:rsidR="00FB6693">
              <w:rPr>
                <w:rFonts w:asciiTheme="minorHAnsi" w:hAnsiTheme="minorHAnsi" w:cstheme="minorHAnsi"/>
                <w:sz w:val="20"/>
                <w:szCs w:val="20"/>
              </w:rPr>
              <w:t xml:space="preserve"> </w:t>
            </w:r>
            <w:r w:rsidRPr="00DC050B">
              <w:rPr>
                <w:rFonts w:asciiTheme="minorHAnsi" w:hAnsiTheme="minorHAnsi" w:cstheme="minorHAnsi"/>
                <w:sz w:val="20"/>
                <w:szCs w:val="20"/>
              </w:rPr>
              <w:t>b</w:t>
            </w:r>
            <w:r w:rsidR="00FB6693">
              <w:rPr>
                <w:rFonts w:asciiTheme="minorHAnsi" w:hAnsiTheme="minorHAnsi" w:cstheme="minorHAnsi"/>
                <w:sz w:val="20"/>
                <w:szCs w:val="20"/>
              </w:rPr>
              <w:t>illio</w:t>
            </w:r>
            <w:r w:rsidRPr="00DC050B">
              <w:rPr>
                <w:rFonts w:asciiTheme="minorHAnsi" w:hAnsiTheme="minorHAnsi" w:cstheme="minorHAnsi"/>
                <w:sz w:val="20"/>
                <w:szCs w:val="20"/>
              </w:rPr>
              <w:t>n subject to the new standardized sele</w:t>
            </w:r>
            <w:r w:rsidRPr="006C66C2">
              <w:rPr>
                <w:rFonts w:asciiTheme="minorHAnsi" w:hAnsiTheme="minorHAnsi" w:cstheme="minorHAnsi"/>
                <w:sz w:val="20"/>
                <w:szCs w:val="20"/>
              </w:rPr>
              <w:t>ction criteria and appraisal methodology</w:t>
            </w:r>
          </w:p>
          <w:p w14:paraId="1DA03435" w14:textId="450C237D" w:rsidR="00EF06DD" w:rsidRPr="006C66C2" w:rsidRDefault="00EF06DD" w:rsidP="00EF06DD">
            <w:pPr>
              <w:spacing w:after="0" w:line="240" w:lineRule="auto"/>
              <w:ind w:left="245"/>
              <w:rPr>
                <w:rFonts w:asciiTheme="minorHAnsi" w:hAnsiTheme="minorHAnsi" w:cstheme="minorHAnsi"/>
                <w:sz w:val="20"/>
                <w:szCs w:val="20"/>
              </w:rPr>
            </w:pPr>
            <w:r w:rsidRPr="006C66C2">
              <w:rPr>
                <w:rFonts w:asciiTheme="minorHAnsi" w:hAnsiTheme="minorHAnsi" w:cstheme="minorHAnsi"/>
                <w:sz w:val="20"/>
                <w:szCs w:val="20"/>
              </w:rPr>
              <w:t>Baseline: 0 (2015)</w:t>
            </w:r>
            <w:r w:rsidR="00FA4942" w:rsidRPr="006C66C2">
              <w:rPr>
                <w:rFonts w:asciiTheme="minorHAnsi" w:hAnsiTheme="minorHAnsi" w:cstheme="minorHAnsi"/>
                <w:sz w:val="20"/>
                <w:szCs w:val="20"/>
              </w:rPr>
              <w:t xml:space="preserve">; </w:t>
            </w:r>
            <w:r w:rsidRPr="006C66C2">
              <w:rPr>
                <w:rFonts w:asciiTheme="minorHAnsi" w:hAnsiTheme="minorHAnsi" w:cstheme="minorHAnsi"/>
                <w:sz w:val="20"/>
                <w:szCs w:val="20"/>
              </w:rPr>
              <w:t xml:space="preserve">Target: 100 percent (2019) </w:t>
            </w:r>
          </w:p>
          <w:p w14:paraId="1E03052E" w14:textId="77777777" w:rsidR="00EF06DD" w:rsidRPr="00A20F63" w:rsidRDefault="00EF06DD" w:rsidP="00EF06DD">
            <w:pPr>
              <w:spacing w:after="0" w:line="240" w:lineRule="auto"/>
              <w:ind w:left="245"/>
              <w:rPr>
                <w:rFonts w:asciiTheme="minorHAnsi" w:hAnsiTheme="minorHAnsi" w:cstheme="minorHAnsi"/>
                <w:sz w:val="12"/>
                <w:szCs w:val="12"/>
              </w:rPr>
            </w:pPr>
          </w:p>
          <w:p w14:paraId="0C3C3B62" w14:textId="77777777" w:rsidR="00EF06DD" w:rsidRPr="00A20F63" w:rsidRDefault="00EF06DD" w:rsidP="00EF06DD">
            <w:pPr>
              <w:spacing w:after="0" w:line="240" w:lineRule="auto"/>
              <w:ind w:left="245"/>
              <w:rPr>
                <w:rFonts w:asciiTheme="minorHAnsi" w:hAnsiTheme="minorHAnsi" w:cstheme="minorHAnsi"/>
                <w:sz w:val="20"/>
                <w:szCs w:val="20"/>
              </w:rPr>
            </w:pPr>
            <w:r w:rsidRPr="00A20F63">
              <w:rPr>
                <w:rFonts w:asciiTheme="minorHAnsi" w:hAnsiTheme="minorHAnsi" w:cstheme="minorHAnsi"/>
                <w:sz w:val="20"/>
                <w:szCs w:val="20"/>
              </w:rPr>
              <w:t xml:space="preserve">Share of new power generation contracts awarded competitively and published of the total contracts </w:t>
            </w:r>
          </w:p>
          <w:p w14:paraId="1F5CC61C" w14:textId="1DC3CD25" w:rsidR="00EF06DD" w:rsidRPr="00A20F63" w:rsidRDefault="00FA4942" w:rsidP="00EF06DD">
            <w:pPr>
              <w:spacing w:after="0" w:line="240" w:lineRule="auto"/>
              <w:ind w:left="245"/>
              <w:rPr>
                <w:rFonts w:asciiTheme="minorHAnsi" w:hAnsiTheme="minorHAnsi" w:cstheme="minorHAnsi"/>
                <w:sz w:val="20"/>
                <w:szCs w:val="20"/>
              </w:rPr>
            </w:pPr>
            <w:r w:rsidRPr="00A20F63">
              <w:rPr>
                <w:rFonts w:asciiTheme="minorHAnsi" w:hAnsiTheme="minorHAnsi" w:cstheme="minorHAnsi"/>
                <w:sz w:val="20"/>
                <w:szCs w:val="20"/>
              </w:rPr>
              <w:t xml:space="preserve">Baseline: 0 </w:t>
            </w:r>
            <w:r w:rsidR="0007045E">
              <w:rPr>
                <w:rFonts w:asciiTheme="minorHAnsi" w:hAnsiTheme="minorHAnsi" w:cstheme="minorHAnsi"/>
                <w:sz w:val="20"/>
                <w:szCs w:val="20"/>
              </w:rPr>
              <w:t xml:space="preserve">percent </w:t>
            </w:r>
            <w:r w:rsidRPr="00A20F63">
              <w:rPr>
                <w:rFonts w:asciiTheme="minorHAnsi" w:hAnsiTheme="minorHAnsi" w:cstheme="minorHAnsi"/>
                <w:sz w:val="20"/>
                <w:szCs w:val="20"/>
              </w:rPr>
              <w:t xml:space="preserve">(2015); </w:t>
            </w:r>
            <w:r w:rsidR="00EF06DD" w:rsidRPr="00A20F63">
              <w:rPr>
                <w:rFonts w:asciiTheme="minorHAnsi" w:hAnsiTheme="minorHAnsi" w:cstheme="minorHAnsi"/>
                <w:sz w:val="20"/>
                <w:szCs w:val="20"/>
              </w:rPr>
              <w:t>Target: 70</w:t>
            </w:r>
            <w:r w:rsidR="0007045E">
              <w:rPr>
                <w:rFonts w:asciiTheme="minorHAnsi" w:hAnsiTheme="minorHAnsi" w:cstheme="minorHAnsi"/>
                <w:sz w:val="20"/>
                <w:szCs w:val="20"/>
              </w:rPr>
              <w:t xml:space="preserve"> percent</w:t>
            </w:r>
            <w:r w:rsidR="00EF06DD" w:rsidRPr="00A20F63">
              <w:rPr>
                <w:rFonts w:asciiTheme="minorHAnsi" w:hAnsiTheme="minorHAnsi" w:cstheme="minorHAnsi"/>
                <w:sz w:val="20"/>
                <w:szCs w:val="20"/>
              </w:rPr>
              <w:t xml:space="preserve"> (2019)</w:t>
            </w:r>
          </w:p>
          <w:p w14:paraId="53E73E6E" w14:textId="77777777" w:rsidR="00EF06DD" w:rsidRPr="00A20F63" w:rsidRDefault="00EF06DD" w:rsidP="00EF06DD">
            <w:pPr>
              <w:spacing w:after="0" w:line="240" w:lineRule="auto"/>
              <w:ind w:left="245"/>
              <w:rPr>
                <w:rFonts w:asciiTheme="minorHAnsi" w:hAnsiTheme="minorHAnsi" w:cstheme="minorHAnsi"/>
                <w:sz w:val="12"/>
                <w:szCs w:val="12"/>
              </w:rPr>
            </w:pPr>
          </w:p>
          <w:p w14:paraId="127FCA59" w14:textId="77777777" w:rsidR="00EF06DD" w:rsidRPr="00A20F63" w:rsidRDefault="00EF06DD" w:rsidP="00EF06DD">
            <w:pPr>
              <w:spacing w:after="0" w:line="240" w:lineRule="auto"/>
              <w:ind w:left="250"/>
              <w:rPr>
                <w:rFonts w:asciiTheme="minorHAnsi" w:hAnsiTheme="minorHAnsi" w:cstheme="minorHAnsi"/>
                <w:sz w:val="20"/>
                <w:szCs w:val="20"/>
              </w:rPr>
            </w:pPr>
            <w:r w:rsidRPr="00A20F63">
              <w:rPr>
                <w:rFonts w:asciiTheme="minorHAnsi" w:hAnsiTheme="minorHAnsi" w:cstheme="minorHAnsi"/>
                <w:sz w:val="20"/>
                <w:szCs w:val="20"/>
              </w:rPr>
              <w:t xml:space="preserve">Percentage of cases randomly assigned  </w:t>
            </w:r>
          </w:p>
          <w:p w14:paraId="69348A6A" w14:textId="3E80CB30" w:rsidR="00EF06DD" w:rsidRPr="00406280" w:rsidRDefault="00EF06DD" w:rsidP="00EF06DD">
            <w:pPr>
              <w:spacing w:after="0" w:line="240" w:lineRule="auto"/>
              <w:ind w:left="245"/>
              <w:rPr>
                <w:rFonts w:asciiTheme="minorHAnsi" w:hAnsiTheme="minorHAnsi" w:cstheme="minorHAnsi"/>
                <w:sz w:val="20"/>
                <w:szCs w:val="20"/>
              </w:rPr>
            </w:pPr>
            <w:r w:rsidRPr="00406280">
              <w:rPr>
                <w:rFonts w:asciiTheme="minorHAnsi" w:hAnsiTheme="minorHAnsi" w:cstheme="minorHAnsi"/>
                <w:sz w:val="20"/>
                <w:szCs w:val="20"/>
              </w:rPr>
              <w:t>Baseline: 0 (2015); Target: 100 (2019)</w:t>
            </w:r>
          </w:p>
          <w:p w14:paraId="17B952C7" w14:textId="77777777" w:rsidR="00EF06DD" w:rsidRPr="00406280" w:rsidRDefault="00EF06DD" w:rsidP="00EF06DD">
            <w:pPr>
              <w:spacing w:after="0" w:line="240" w:lineRule="auto"/>
              <w:ind w:left="245"/>
              <w:rPr>
                <w:rFonts w:asciiTheme="minorHAnsi" w:hAnsiTheme="minorHAnsi" w:cstheme="minorHAnsi"/>
                <w:sz w:val="12"/>
                <w:szCs w:val="12"/>
              </w:rPr>
            </w:pPr>
          </w:p>
          <w:p w14:paraId="3BA947AD" w14:textId="77777777" w:rsidR="00EF06DD" w:rsidRPr="00601B29" w:rsidRDefault="00EF06DD" w:rsidP="00EF06DD">
            <w:pPr>
              <w:spacing w:after="0" w:line="240" w:lineRule="auto"/>
              <w:ind w:left="250"/>
              <w:rPr>
                <w:rFonts w:asciiTheme="minorHAnsi" w:hAnsiTheme="minorHAnsi" w:cstheme="minorHAnsi"/>
                <w:sz w:val="20"/>
                <w:szCs w:val="20"/>
              </w:rPr>
            </w:pPr>
            <w:r w:rsidRPr="00601B29">
              <w:rPr>
                <w:rFonts w:asciiTheme="minorHAnsi" w:hAnsiTheme="minorHAnsi" w:cstheme="minorHAnsi"/>
                <w:sz w:val="20"/>
                <w:szCs w:val="20"/>
              </w:rPr>
              <w:t xml:space="preserve">Number of days to resolve a commercial conflict </w:t>
            </w:r>
          </w:p>
          <w:p w14:paraId="04EEF35D" w14:textId="00A40301" w:rsidR="00EF06DD" w:rsidRPr="008C60FD" w:rsidRDefault="00FA4942" w:rsidP="00EF06DD">
            <w:pPr>
              <w:spacing w:after="0" w:line="240" w:lineRule="auto"/>
              <w:ind w:left="245"/>
              <w:rPr>
                <w:rFonts w:asciiTheme="minorHAnsi" w:hAnsiTheme="minorHAnsi" w:cstheme="minorHAnsi"/>
                <w:sz w:val="20"/>
                <w:szCs w:val="20"/>
              </w:rPr>
            </w:pPr>
            <w:r w:rsidRPr="00601B29">
              <w:rPr>
                <w:rFonts w:asciiTheme="minorHAnsi" w:hAnsiTheme="minorHAnsi" w:cstheme="minorHAnsi"/>
                <w:sz w:val="20"/>
                <w:szCs w:val="20"/>
              </w:rPr>
              <w:t xml:space="preserve">Baseline: 871 (2015); </w:t>
            </w:r>
            <w:r w:rsidR="00EF06DD" w:rsidRPr="00601B29">
              <w:rPr>
                <w:rFonts w:asciiTheme="minorHAnsi" w:hAnsiTheme="minorHAnsi" w:cstheme="minorHAnsi"/>
                <w:sz w:val="20"/>
                <w:szCs w:val="20"/>
              </w:rPr>
              <w:t>Target: Less than 600 days (2019)</w:t>
            </w:r>
          </w:p>
          <w:p w14:paraId="68CC7B87" w14:textId="2A0478A9" w:rsidR="00EF06DD" w:rsidRPr="00B66802" w:rsidRDefault="00EF06DD" w:rsidP="00EF06DD">
            <w:pPr>
              <w:spacing w:after="0" w:line="240" w:lineRule="auto"/>
              <w:ind w:left="245"/>
              <w:rPr>
                <w:rFonts w:asciiTheme="minorHAnsi" w:hAnsiTheme="minorHAnsi" w:cstheme="minorHAnsi"/>
                <w:sz w:val="12"/>
                <w:szCs w:val="12"/>
              </w:rPr>
            </w:pPr>
          </w:p>
          <w:p w14:paraId="6DBC579C" w14:textId="77777777" w:rsidR="00EF06DD" w:rsidRPr="00BD4A16" w:rsidRDefault="00EF06DD" w:rsidP="00EF06DD">
            <w:pPr>
              <w:spacing w:after="0" w:line="240" w:lineRule="auto"/>
              <w:ind w:left="245"/>
              <w:rPr>
                <w:rFonts w:asciiTheme="minorHAnsi" w:hAnsiTheme="minorHAnsi" w:cstheme="minorHAnsi"/>
                <w:sz w:val="20"/>
                <w:szCs w:val="20"/>
              </w:rPr>
            </w:pPr>
            <w:r w:rsidRPr="00BD4A16">
              <w:rPr>
                <w:rFonts w:asciiTheme="minorHAnsi" w:hAnsiTheme="minorHAnsi" w:cstheme="minorHAnsi"/>
                <w:sz w:val="20"/>
                <w:szCs w:val="20"/>
              </w:rPr>
              <w:t xml:space="preserve">Extent of risk based supervision. </w:t>
            </w:r>
          </w:p>
          <w:p w14:paraId="3A095A63" w14:textId="4B34B206" w:rsidR="00CB71D2" w:rsidRPr="006C66C2" w:rsidRDefault="00EF06DD" w:rsidP="003C4CD7">
            <w:pPr>
              <w:spacing w:after="0" w:line="240" w:lineRule="auto"/>
              <w:ind w:left="245"/>
              <w:rPr>
                <w:rFonts w:asciiTheme="minorHAnsi" w:hAnsiTheme="minorHAnsi" w:cstheme="minorHAnsi"/>
                <w:sz w:val="20"/>
                <w:szCs w:val="20"/>
              </w:rPr>
            </w:pPr>
            <w:r w:rsidRPr="00DC050B">
              <w:rPr>
                <w:rFonts w:asciiTheme="minorHAnsi" w:hAnsiTheme="minorHAnsi" w:cstheme="minorHAnsi"/>
                <w:sz w:val="20"/>
                <w:szCs w:val="20"/>
              </w:rPr>
              <w:t>Baseline: n</w:t>
            </w:r>
            <w:r w:rsidR="00FA4942" w:rsidRPr="00DC050B">
              <w:rPr>
                <w:rFonts w:asciiTheme="minorHAnsi" w:hAnsiTheme="minorHAnsi" w:cstheme="minorHAnsi"/>
                <w:sz w:val="20"/>
                <w:szCs w:val="20"/>
              </w:rPr>
              <w:t xml:space="preserve">o risk based supervision (2015); </w:t>
            </w:r>
            <w:r w:rsidRPr="00DC050B">
              <w:rPr>
                <w:rFonts w:asciiTheme="minorHAnsi" w:hAnsiTheme="minorHAnsi" w:cstheme="minorHAnsi"/>
                <w:sz w:val="20"/>
                <w:szCs w:val="20"/>
              </w:rPr>
              <w:t>Target: risk based</w:t>
            </w:r>
            <w:r w:rsidRPr="006C66C2">
              <w:rPr>
                <w:rFonts w:asciiTheme="minorHAnsi" w:hAnsiTheme="minorHAnsi" w:cstheme="minorHAnsi"/>
                <w:sz w:val="20"/>
                <w:szCs w:val="20"/>
              </w:rPr>
              <w:t xml:space="preserve"> supervision in place </w:t>
            </w:r>
            <w:r w:rsidR="00AE5A89">
              <w:rPr>
                <w:rFonts w:asciiTheme="minorHAnsi" w:hAnsiTheme="minorHAnsi" w:cstheme="minorHAnsi"/>
                <w:sz w:val="20"/>
                <w:szCs w:val="20"/>
              </w:rPr>
              <w:t xml:space="preserve">for MFIs </w:t>
            </w:r>
            <w:r w:rsidRPr="006C66C2">
              <w:rPr>
                <w:rFonts w:asciiTheme="minorHAnsi" w:hAnsiTheme="minorHAnsi" w:cstheme="minorHAnsi"/>
                <w:sz w:val="20"/>
                <w:szCs w:val="20"/>
              </w:rPr>
              <w:t>(2019)</w:t>
            </w:r>
          </w:p>
        </w:tc>
      </w:tr>
      <w:tr w:rsidR="00D35BC4" w:rsidRPr="00B66802" w14:paraId="6581D3CF" w14:textId="77777777" w:rsidTr="003D7DC9">
        <w:trPr>
          <w:trHeight w:hRule="exact" w:val="386"/>
          <w:jc w:val="center"/>
        </w:trPr>
        <w:tc>
          <w:tcPr>
            <w:tcW w:w="2328" w:type="dxa"/>
            <w:tcBorders>
              <w:top w:val="single" w:sz="6" w:space="0" w:color="000000"/>
              <w:left w:val="single" w:sz="6" w:space="0" w:color="000000"/>
              <w:bottom w:val="single" w:sz="6" w:space="0" w:color="000000"/>
              <w:right w:val="single" w:sz="6" w:space="0" w:color="000000"/>
            </w:tcBorders>
            <w:vAlign w:val="center"/>
          </w:tcPr>
          <w:p w14:paraId="2EF26E07" w14:textId="77777777" w:rsidR="00D35BC4" w:rsidRPr="00DC050B" w:rsidRDefault="00D35BC4" w:rsidP="00EF06DD">
            <w:pPr>
              <w:widowControl w:val="0"/>
              <w:autoSpaceDE w:val="0"/>
              <w:autoSpaceDN w:val="0"/>
              <w:adjustRightInd w:val="0"/>
              <w:spacing w:after="0" w:line="240" w:lineRule="auto"/>
              <w:ind w:left="100" w:right="-20"/>
              <w:rPr>
                <w:rFonts w:asciiTheme="minorHAnsi" w:hAnsiTheme="minorHAnsi" w:cstheme="minorHAnsi"/>
                <w:sz w:val="20"/>
                <w:szCs w:val="20"/>
              </w:rPr>
            </w:pPr>
            <w:r w:rsidRPr="00B66802">
              <w:rPr>
                <w:rFonts w:asciiTheme="minorHAnsi" w:hAnsiTheme="minorHAnsi" w:cstheme="minorHAnsi"/>
                <w:spacing w:val="-1"/>
                <w:sz w:val="20"/>
                <w:szCs w:val="20"/>
              </w:rPr>
              <w:t>O</w:t>
            </w:r>
            <w:r w:rsidRPr="00B66802">
              <w:rPr>
                <w:rFonts w:asciiTheme="minorHAnsi" w:hAnsiTheme="minorHAnsi" w:cstheme="minorHAnsi"/>
                <w:spacing w:val="-2"/>
                <w:sz w:val="20"/>
                <w:szCs w:val="20"/>
              </w:rPr>
              <w:t>v</w:t>
            </w:r>
            <w:r w:rsidRPr="00B66802">
              <w:rPr>
                <w:rFonts w:asciiTheme="minorHAnsi" w:hAnsiTheme="minorHAnsi" w:cstheme="minorHAnsi"/>
                <w:sz w:val="20"/>
                <w:szCs w:val="20"/>
              </w:rPr>
              <w:t>e</w:t>
            </w:r>
            <w:r w:rsidRPr="00B66802">
              <w:rPr>
                <w:rFonts w:asciiTheme="minorHAnsi" w:hAnsiTheme="minorHAnsi" w:cstheme="minorHAnsi"/>
                <w:spacing w:val="1"/>
                <w:sz w:val="20"/>
                <w:szCs w:val="20"/>
              </w:rPr>
              <w:t>r</w:t>
            </w:r>
            <w:r w:rsidRPr="00BD4A16">
              <w:rPr>
                <w:rFonts w:asciiTheme="minorHAnsi" w:hAnsiTheme="minorHAnsi" w:cstheme="minorHAnsi"/>
                <w:sz w:val="20"/>
                <w:szCs w:val="20"/>
              </w:rPr>
              <w:t>a</w:t>
            </w:r>
            <w:r w:rsidRPr="00DC050B">
              <w:rPr>
                <w:rFonts w:asciiTheme="minorHAnsi" w:hAnsiTheme="minorHAnsi" w:cstheme="minorHAnsi"/>
                <w:spacing w:val="1"/>
                <w:sz w:val="20"/>
                <w:szCs w:val="20"/>
              </w:rPr>
              <w:t>l</w:t>
            </w:r>
            <w:r w:rsidRPr="00DC050B">
              <w:rPr>
                <w:rFonts w:asciiTheme="minorHAnsi" w:hAnsiTheme="minorHAnsi" w:cstheme="minorHAnsi"/>
                <w:sz w:val="20"/>
                <w:szCs w:val="20"/>
              </w:rPr>
              <w:t>l</w:t>
            </w:r>
            <w:r w:rsidRPr="00DC050B">
              <w:rPr>
                <w:rFonts w:asciiTheme="minorHAnsi" w:hAnsiTheme="minorHAnsi" w:cstheme="minorHAnsi"/>
                <w:spacing w:val="-1"/>
                <w:sz w:val="20"/>
                <w:szCs w:val="20"/>
              </w:rPr>
              <w:t xml:space="preserve"> </w:t>
            </w:r>
            <w:r w:rsidRPr="00DC050B">
              <w:rPr>
                <w:rFonts w:asciiTheme="minorHAnsi" w:hAnsiTheme="minorHAnsi" w:cstheme="minorHAnsi"/>
                <w:spacing w:val="1"/>
                <w:sz w:val="20"/>
                <w:szCs w:val="20"/>
              </w:rPr>
              <w:t>r</w:t>
            </w:r>
            <w:r w:rsidRPr="00DC050B">
              <w:rPr>
                <w:rFonts w:asciiTheme="minorHAnsi" w:hAnsiTheme="minorHAnsi" w:cstheme="minorHAnsi"/>
                <w:spacing w:val="-1"/>
                <w:sz w:val="20"/>
                <w:szCs w:val="20"/>
              </w:rPr>
              <w:t>i</w:t>
            </w:r>
            <w:r w:rsidRPr="00DC050B">
              <w:rPr>
                <w:rFonts w:asciiTheme="minorHAnsi" w:hAnsiTheme="minorHAnsi" w:cstheme="minorHAnsi"/>
                <w:sz w:val="20"/>
                <w:szCs w:val="20"/>
              </w:rPr>
              <w:t>sk</w:t>
            </w:r>
            <w:r w:rsidRPr="00DC050B">
              <w:rPr>
                <w:rFonts w:asciiTheme="minorHAnsi" w:hAnsiTheme="minorHAnsi" w:cstheme="minorHAnsi"/>
                <w:spacing w:val="-2"/>
                <w:sz w:val="20"/>
                <w:szCs w:val="20"/>
              </w:rPr>
              <w:t xml:space="preserve"> </w:t>
            </w:r>
            <w:r w:rsidRPr="00DC050B">
              <w:rPr>
                <w:rFonts w:asciiTheme="minorHAnsi" w:hAnsiTheme="minorHAnsi" w:cstheme="minorHAnsi"/>
                <w:spacing w:val="1"/>
                <w:sz w:val="20"/>
                <w:szCs w:val="20"/>
              </w:rPr>
              <w:t>r</w:t>
            </w:r>
            <w:r w:rsidRPr="00DC050B">
              <w:rPr>
                <w:rFonts w:asciiTheme="minorHAnsi" w:hAnsiTheme="minorHAnsi" w:cstheme="minorHAnsi"/>
                <w:sz w:val="20"/>
                <w:szCs w:val="20"/>
              </w:rPr>
              <w:t>a</w:t>
            </w:r>
            <w:r w:rsidRPr="00DC050B">
              <w:rPr>
                <w:rFonts w:asciiTheme="minorHAnsi" w:hAnsiTheme="minorHAnsi" w:cstheme="minorHAnsi"/>
                <w:spacing w:val="-1"/>
                <w:sz w:val="20"/>
                <w:szCs w:val="20"/>
              </w:rPr>
              <w:t>t</w:t>
            </w:r>
            <w:r w:rsidRPr="00DC050B">
              <w:rPr>
                <w:rFonts w:asciiTheme="minorHAnsi" w:hAnsiTheme="minorHAnsi" w:cstheme="minorHAnsi"/>
                <w:spacing w:val="1"/>
                <w:sz w:val="20"/>
                <w:szCs w:val="20"/>
              </w:rPr>
              <w:t>i</w:t>
            </w:r>
            <w:r w:rsidRPr="00DC050B">
              <w:rPr>
                <w:rFonts w:asciiTheme="minorHAnsi" w:hAnsiTheme="minorHAnsi" w:cstheme="minorHAnsi"/>
                <w:sz w:val="20"/>
                <w:szCs w:val="20"/>
              </w:rPr>
              <w:t>ng</w:t>
            </w:r>
          </w:p>
        </w:tc>
        <w:tc>
          <w:tcPr>
            <w:tcW w:w="8104" w:type="dxa"/>
            <w:tcBorders>
              <w:top w:val="single" w:sz="4" w:space="0" w:color="auto"/>
              <w:left w:val="single" w:sz="6" w:space="0" w:color="000000"/>
              <w:bottom w:val="single" w:sz="6" w:space="0" w:color="000000"/>
              <w:right w:val="single" w:sz="6" w:space="0" w:color="000000"/>
            </w:tcBorders>
            <w:vAlign w:val="center"/>
          </w:tcPr>
          <w:p w14:paraId="2573C60E" w14:textId="77777777" w:rsidR="00D35BC4" w:rsidRPr="006C66C2" w:rsidRDefault="00D35BC4" w:rsidP="00EF06DD">
            <w:pPr>
              <w:widowControl w:val="0"/>
              <w:autoSpaceDE w:val="0"/>
              <w:autoSpaceDN w:val="0"/>
              <w:adjustRightInd w:val="0"/>
              <w:spacing w:after="0" w:line="240" w:lineRule="auto"/>
              <w:ind w:right="-20"/>
              <w:rPr>
                <w:rFonts w:asciiTheme="minorHAnsi" w:hAnsiTheme="minorHAnsi" w:cstheme="minorHAnsi"/>
                <w:sz w:val="20"/>
                <w:szCs w:val="20"/>
              </w:rPr>
            </w:pPr>
            <w:r w:rsidRPr="00DC050B">
              <w:rPr>
                <w:rFonts w:asciiTheme="minorHAnsi" w:hAnsiTheme="minorHAnsi" w:cstheme="minorHAnsi"/>
                <w:iCs/>
                <w:sz w:val="20"/>
                <w:szCs w:val="20"/>
              </w:rPr>
              <w:t>Su</w:t>
            </w:r>
            <w:r w:rsidRPr="00DC050B">
              <w:rPr>
                <w:rFonts w:asciiTheme="minorHAnsi" w:hAnsiTheme="minorHAnsi" w:cstheme="minorHAnsi"/>
                <w:iCs/>
                <w:spacing w:val="-2"/>
                <w:sz w:val="20"/>
                <w:szCs w:val="20"/>
              </w:rPr>
              <w:t>b</w:t>
            </w:r>
            <w:r w:rsidRPr="00DC050B">
              <w:rPr>
                <w:rFonts w:asciiTheme="minorHAnsi" w:hAnsiTheme="minorHAnsi" w:cstheme="minorHAnsi"/>
                <w:iCs/>
                <w:sz w:val="20"/>
                <w:szCs w:val="20"/>
              </w:rPr>
              <w:t>s</w:t>
            </w:r>
            <w:r w:rsidRPr="006C66C2">
              <w:rPr>
                <w:rFonts w:asciiTheme="minorHAnsi" w:hAnsiTheme="minorHAnsi" w:cstheme="minorHAnsi"/>
                <w:iCs/>
                <w:spacing w:val="1"/>
                <w:sz w:val="20"/>
                <w:szCs w:val="20"/>
              </w:rPr>
              <w:t>t</w:t>
            </w:r>
            <w:r w:rsidRPr="006C66C2">
              <w:rPr>
                <w:rFonts w:asciiTheme="minorHAnsi" w:hAnsiTheme="minorHAnsi" w:cstheme="minorHAnsi"/>
                <w:iCs/>
                <w:sz w:val="20"/>
                <w:szCs w:val="20"/>
              </w:rPr>
              <w:t>a</w:t>
            </w:r>
            <w:r w:rsidRPr="006C66C2">
              <w:rPr>
                <w:rFonts w:asciiTheme="minorHAnsi" w:hAnsiTheme="minorHAnsi" w:cstheme="minorHAnsi"/>
                <w:iCs/>
                <w:spacing w:val="-2"/>
                <w:sz w:val="20"/>
                <w:szCs w:val="20"/>
              </w:rPr>
              <w:t>n</w:t>
            </w:r>
            <w:r w:rsidRPr="006C66C2">
              <w:rPr>
                <w:rFonts w:asciiTheme="minorHAnsi" w:hAnsiTheme="minorHAnsi" w:cstheme="minorHAnsi"/>
                <w:iCs/>
                <w:spacing w:val="1"/>
                <w:sz w:val="20"/>
                <w:szCs w:val="20"/>
              </w:rPr>
              <w:t>ti</w:t>
            </w:r>
            <w:r w:rsidRPr="006C66C2">
              <w:rPr>
                <w:rFonts w:asciiTheme="minorHAnsi" w:hAnsiTheme="minorHAnsi" w:cstheme="minorHAnsi"/>
                <w:iCs/>
                <w:spacing w:val="-2"/>
                <w:sz w:val="20"/>
                <w:szCs w:val="20"/>
              </w:rPr>
              <w:t>a</w:t>
            </w:r>
            <w:r w:rsidRPr="006C66C2">
              <w:rPr>
                <w:rFonts w:asciiTheme="minorHAnsi" w:hAnsiTheme="minorHAnsi" w:cstheme="minorHAnsi"/>
                <w:iCs/>
                <w:spacing w:val="1"/>
                <w:sz w:val="20"/>
                <w:szCs w:val="20"/>
              </w:rPr>
              <w:t>l</w:t>
            </w:r>
          </w:p>
        </w:tc>
      </w:tr>
      <w:tr w:rsidR="00DD4CB7" w:rsidRPr="00B66802" w14:paraId="6115DE81" w14:textId="77777777" w:rsidTr="003C4CD7">
        <w:trPr>
          <w:trHeight w:hRule="exact" w:val="899"/>
          <w:jc w:val="center"/>
        </w:trPr>
        <w:tc>
          <w:tcPr>
            <w:tcW w:w="2328" w:type="dxa"/>
            <w:tcBorders>
              <w:top w:val="single" w:sz="6" w:space="0" w:color="000000"/>
              <w:left w:val="single" w:sz="6" w:space="0" w:color="000000"/>
              <w:bottom w:val="single" w:sz="6" w:space="0" w:color="000000"/>
              <w:right w:val="single" w:sz="6" w:space="0" w:color="000000"/>
            </w:tcBorders>
            <w:vAlign w:val="center"/>
          </w:tcPr>
          <w:p w14:paraId="40A7AC67" w14:textId="77777777" w:rsidR="00DD4CB7" w:rsidRPr="00B66802" w:rsidRDefault="00DD4CB7" w:rsidP="00EF06DD">
            <w:pPr>
              <w:widowControl w:val="0"/>
              <w:autoSpaceDE w:val="0"/>
              <w:autoSpaceDN w:val="0"/>
              <w:adjustRightInd w:val="0"/>
              <w:spacing w:after="0" w:line="240" w:lineRule="auto"/>
              <w:ind w:left="100" w:right="-20"/>
              <w:rPr>
                <w:rFonts w:asciiTheme="minorHAnsi" w:hAnsiTheme="minorHAnsi" w:cstheme="minorHAnsi"/>
                <w:spacing w:val="-1"/>
                <w:sz w:val="20"/>
                <w:szCs w:val="20"/>
              </w:rPr>
            </w:pPr>
            <w:r w:rsidRPr="00B66802">
              <w:rPr>
                <w:rFonts w:asciiTheme="minorHAnsi" w:hAnsiTheme="minorHAnsi" w:cstheme="minorHAnsi"/>
                <w:spacing w:val="-1"/>
                <w:sz w:val="20"/>
                <w:szCs w:val="20"/>
              </w:rPr>
              <w:t>Climate and disaster risks</w:t>
            </w:r>
          </w:p>
          <w:p w14:paraId="7B8DBD16" w14:textId="77777777" w:rsidR="001575C2" w:rsidRPr="00DC050B" w:rsidRDefault="001575C2" w:rsidP="00EF06DD">
            <w:pPr>
              <w:widowControl w:val="0"/>
              <w:autoSpaceDE w:val="0"/>
              <w:autoSpaceDN w:val="0"/>
              <w:adjustRightInd w:val="0"/>
              <w:spacing w:after="0" w:line="240" w:lineRule="auto"/>
              <w:ind w:left="100" w:right="-20"/>
              <w:rPr>
                <w:rFonts w:asciiTheme="minorHAnsi" w:hAnsiTheme="minorHAnsi" w:cstheme="minorHAnsi"/>
                <w:i/>
                <w:sz w:val="20"/>
                <w:szCs w:val="20"/>
              </w:rPr>
            </w:pPr>
            <w:r w:rsidRPr="00BD4A16">
              <w:rPr>
                <w:rFonts w:asciiTheme="minorHAnsi" w:hAnsiTheme="minorHAnsi" w:cstheme="minorHAnsi"/>
                <w:i/>
                <w:spacing w:val="-1"/>
                <w:sz w:val="20"/>
                <w:szCs w:val="20"/>
              </w:rPr>
              <w:t>(required for IDA countries)</w:t>
            </w:r>
          </w:p>
          <w:p w14:paraId="079BF4C0" w14:textId="77777777" w:rsidR="00DD4CB7" w:rsidRPr="00DC050B" w:rsidRDefault="00DD4CB7" w:rsidP="00EF06DD">
            <w:pPr>
              <w:widowControl w:val="0"/>
              <w:autoSpaceDE w:val="0"/>
              <w:autoSpaceDN w:val="0"/>
              <w:adjustRightInd w:val="0"/>
              <w:spacing w:after="0" w:line="240" w:lineRule="auto"/>
              <w:rPr>
                <w:rFonts w:asciiTheme="minorHAnsi" w:hAnsiTheme="minorHAnsi" w:cstheme="minorHAnsi"/>
                <w:sz w:val="20"/>
                <w:szCs w:val="20"/>
              </w:rPr>
            </w:pPr>
          </w:p>
        </w:tc>
        <w:tc>
          <w:tcPr>
            <w:tcW w:w="8104" w:type="dxa"/>
            <w:tcBorders>
              <w:top w:val="single" w:sz="6" w:space="0" w:color="000000"/>
              <w:left w:val="single" w:sz="6" w:space="0" w:color="000000"/>
              <w:bottom w:val="single" w:sz="6" w:space="0" w:color="000000"/>
              <w:right w:val="single" w:sz="6" w:space="0" w:color="000000"/>
            </w:tcBorders>
            <w:vAlign w:val="center"/>
          </w:tcPr>
          <w:p w14:paraId="050911B1" w14:textId="1FA09544" w:rsidR="0019559E" w:rsidRPr="006C66C2" w:rsidRDefault="00DD4CB7" w:rsidP="00EF06DD">
            <w:pPr>
              <w:shd w:val="clear" w:color="auto" w:fill="FFFFFF"/>
              <w:spacing w:after="0" w:line="240" w:lineRule="auto"/>
              <w:rPr>
                <w:rFonts w:asciiTheme="minorHAnsi" w:hAnsiTheme="minorHAnsi" w:cstheme="minorHAnsi"/>
                <w:iCs/>
                <w:sz w:val="20"/>
                <w:szCs w:val="20"/>
              </w:rPr>
            </w:pPr>
            <w:r w:rsidRPr="00DC050B">
              <w:rPr>
                <w:rFonts w:asciiTheme="minorHAnsi" w:hAnsiTheme="minorHAnsi" w:cstheme="minorHAnsi"/>
                <w:iCs/>
                <w:sz w:val="20"/>
                <w:szCs w:val="20"/>
              </w:rPr>
              <w:t xml:space="preserve">Are there short and long term climate and disaster risks relevant to the operation (as identified as part of the SORT environmental and </w:t>
            </w:r>
            <w:r w:rsidRPr="006C66C2">
              <w:rPr>
                <w:rFonts w:asciiTheme="minorHAnsi" w:hAnsiTheme="minorHAnsi" w:cstheme="minorHAnsi"/>
                <w:iCs/>
                <w:sz w:val="20"/>
                <w:szCs w:val="20"/>
              </w:rPr>
              <w:t xml:space="preserve">social risk rating)? </w:t>
            </w:r>
          </w:p>
          <w:p w14:paraId="1E7A9E41" w14:textId="6E8B0C4B" w:rsidR="00DD4CB7" w:rsidRPr="00DC050B" w:rsidRDefault="008C60FD" w:rsidP="003C4CD7">
            <w:pPr>
              <w:shd w:val="clear" w:color="auto" w:fill="FFFFFF"/>
              <w:spacing w:after="0" w:line="240" w:lineRule="auto"/>
              <w:ind w:left="720"/>
              <w:rPr>
                <w:rFonts w:asciiTheme="minorHAnsi" w:hAnsiTheme="minorHAnsi" w:cstheme="minorHAnsi"/>
                <w:iCs/>
                <w:sz w:val="20"/>
                <w:szCs w:val="20"/>
              </w:rPr>
            </w:pPr>
            <w:r w:rsidRPr="00B66802">
              <w:rPr>
                <w:rFonts w:asciiTheme="minorHAnsi" w:hAnsiTheme="minorHAnsi" w:cstheme="minorHAnsi"/>
                <w:noProof/>
                <w:sz w:val="20"/>
                <w:szCs w:val="20"/>
              </w:rPr>
              <mc:AlternateContent>
                <mc:Choice Requires="wps">
                  <w:drawing>
                    <wp:anchor distT="0" distB="0" distL="114300" distR="114300" simplePos="0" relativeHeight="251658240" behindDoc="0" locked="0" layoutInCell="1" allowOverlap="1" wp14:anchorId="1FDD5BF9" wp14:editId="0FBD65D0">
                      <wp:simplePos x="0" y="0"/>
                      <wp:positionH relativeFrom="column">
                        <wp:posOffset>1339215</wp:posOffset>
                      </wp:positionH>
                      <wp:positionV relativeFrom="paragraph">
                        <wp:posOffset>19685</wp:posOffset>
                      </wp:positionV>
                      <wp:extent cx="258445" cy="213360"/>
                      <wp:effectExtent l="0" t="0" r="27305" b="1524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13360"/>
                              </a:xfrm>
                              <a:prstGeom prst="rect">
                                <a:avLst/>
                              </a:prstGeom>
                              <a:solidFill>
                                <a:srgbClr val="FFFFFF"/>
                              </a:solidFill>
                              <a:ln w="9525">
                                <a:solidFill>
                                  <a:srgbClr val="000000"/>
                                </a:solidFill>
                                <a:miter lim="800000"/>
                                <a:headEnd/>
                                <a:tailEnd/>
                              </a:ln>
                            </wps:spPr>
                            <wps:txbx>
                              <w:txbxContent>
                                <w:p w14:paraId="087710CC" w14:textId="77777777" w:rsidR="008B4E47" w:rsidRPr="008C60FD" w:rsidRDefault="008B4E47" w:rsidP="00D13B0F">
                                  <w:pPr>
                                    <w:jc w:val="center"/>
                                    <w:rPr>
                                      <w:rFonts w:ascii="Times New Roman" w:hAnsi="Times New Roman"/>
                                      <w:sz w:val="16"/>
                                      <w:szCs w:val="16"/>
                                    </w:rPr>
                                  </w:pPr>
                                  <w:r w:rsidRPr="008C60FD">
                                    <w:rPr>
                                      <w:rFonts w:ascii="Times New Roman" w:hAnsi="Times New Roman"/>
                                      <w:sz w:val="16"/>
                                      <w:szCs w:val="16"/>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D5BF9" id="Rectangle 6" o:spid="_x0000_s1026" style="position:absolute;left:0;text-align:left;margin-left:105.45pt;margin-top:1.55pt;width:20.35pt;height: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">
                      <v:textbox>
                        <w:txbxContent>
                          <w:p w14:paraId="087710CC" w14:textId="77777777" w:rsidR="008B4E47" w:rsidRPr="008C60FD" w:rsidRDefault="008B4E47" w:rsidP="00D13B0F">
                            <w:pPr>
                              <w:jc w:val="center"/>
                              <w:rPr>
                                <w:rFonts w:ascii="Times New Roman" w:hAnsi="Times New Roman"/>
                                <w:sz w:val="16"/>
                                <w:szCs w:val="16"/>
                              </w:rPr>
                            </w:pPr>
                            <w:r w:rsidRPr="008C60FD">
                              <w:rPr>
                                <w:rFonts w:ascii="Times New Roman" w:hAnsi="Times New Roman"/>
                                <w:sz w:val="16"/>
                                <w:szCs w:val="16"/>
                              </w:rPr>
                              <w:t>X</w:t>
                            </w:r>
                          </w:p>
                        </w:txbxContent>
                      </v:textbox>
                    </v:rect>
                  </w:pict>
                </mc:Fallback>
              </mc:AlternateContent>
            </w:r>
            <w:r w:rsidR="003C4CD7" w:rsidRPr="00E36113">
              <w:rPr>
                <w:rFonts w:asciiTheme="minorHAnsi" w:hAnsiTheme="minorHAnsi" w:cstheme="minorHAnsi"/>
                <w:noProof/>
                <w:sz w:val="20"/>
                <w:szCs w:val="20"/>
              </w:rPr>
              <mc:AlternateContent>
                <mc:Choice Requires="wps">
                  <w:drawing>
                    <wp:anchor distT="0" distB="0" distL="114300" distR="114300" simplePos="0" relativeHeight="251656192" behindDoc="0" locked="0" layoutInCell="1" allowOverlap="1" wp14:anchorId="3FC6211E" wp14:editId="7E3C073B">
                      <wp:simplePos x="0" y="0"/>
                      <wp:positionH relativeFrom="column">
                        <wp:posOffset>755650</wp:posOffset>
                      </wp:positionH>
                      <wp:positionV relativeFrom="paragraph">
                        <wp:posOffset>17780</wp:posOffset>
                      </wp:positionV>
                      <wp:extent cx="258445" cy="194310"/>
                      <wp:effectExtent l="0" t="0" r="27305" b="1524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194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D8D33" id="Rectangle 7" o:spid="_x0000_s1026" style="position:absolute;margin-left:59.5pt;margin-top:1.4pt;width:20.35pt;height:1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"/>
                  </w:pict>
                </mc:Fallback>
              </mc:AlternateContent>
            </w:r>
            <w:r w:rsidR="0019559E" w:rsidRPr="00B66802">
              <w:rPr>
                <w:rFonts w:asciiTheme="minorHAnsi" w:hAnsiTheme="minorHAnsi" w:cstheme="minorHAnsi"/>
                <w:iCs/>
                <w:sz w:val="20"/>
                <w:szCs w:val="20"/>
              </w:rPr>
              <w:t xml:space="preserve">   </w:t>
            </w:r>
            <w:r w:rsidR="00DD4CB7" w:rsidRPr="00B66802">
              <w:rPr>
                <w:rFonts w:asciiTheme="minorHAnsi" w:hAnsiTheme="minorHAnsi" w:cstheme="minorHAnsi"/>
                <w:iCs/>
                <w:sz w:val="20"/>
                <w:szCs w:val="20"/>
              </w:rPr>
              <w:t>Yes</w:t>
            </w:r>
            <w:r w:rsidR="00C56789" w:rsidRPr="00B66802">
              <w:rPr>
                <w:rFonts w:asciiTheme="minorHAnsi" w:hAnsiTheme="minorHAnsi" w:cstheme="minorHAnsi"/>
                <w:iCs/>
                <w:sz w:val="20"/>
                <w:szCs w:val="20"/>
              </w:rPr>
              <w:t xml:space="preserve">             </w:t>
            </w:r>
            <w:r w:rsidR="00DD4CB7" w:rsidRPr="00B66802">
              <w:rPr>
                <w:rFonts w:asciiTheme="minorHAnsi" w:hAnsiTheme="minorHAnsi" w:cstheme="minorHAnsi"/>
                <w:iCs/>
                <w:sz w:val="20"/>
                <w:szCs w:val="20"/>
              </w:rPr>
              <w:t>No</w:t>
            </w:r>
            <w:r w:rsidR="00C56789" w:rsidRPr="00BD4A16">
              <w:rPr>
                <w:rFonts w:asciiTheme="minorHAnsi" w:hAnsiTheme="minorHAnsi" w:cstheme="minorHAnsi"/>
                <w:iCs/>
                <w:sz w:val="20"/>
                <w:szCs w:val="20"/>
              </w:rPr>
              <w:t xml:space="preserve">                     </w:t>
            </w:r>
          </w:p>
        </w:tc>
      </w:tr>
      <w:tr w:rsidR="00D35BC4" w:rsidRPr="00B66802" w14:paraId="2C379E76" w14:textId="77777777" w:rsidTr="00C24EDC">
        <w:trPr>
          <w:trHeight w:hRule="exact" w:val="375"/>
          <w:jc w:val="center"/>
        </w:trPr>
        <w:tc>
          <w:tcPr>
            <w:tcW w:w="2328" w:type="dxa"/>
            <w:tcBorders>
              <w:top w:val="single" w:sz="6" w:space="0" w:color="000000"/>
              <w:left w:val="single" w:sz="6" w:space="0" w:color="000000"/>
              <w:bottom w:val="single" w:sz="6" w:space="0" w:color="000000"/>
              <w:right w:val="single" w:sz="6" w:space="0" w:color="000000"/>
            </w:tcBorders>
            <w:vAlign w:val="center"/>
          </w:tcPr>
          <w:p w14:paraId="1F05F23A" w14:textId="77777777" w:rsidR="00D35BC4" w:rsidRPr="00DC050B" w:rsidRDefault="00D35BC4" w:rsidP="00EF06DD">
            <w:pPr>
              <w:widowControl w:val="0"/>
              <w:autoSpaceDE w:val="0"/>
              <w:autoSpaceDN w:val="0"/>
              <w:adjustRightInd w:val="0"/>
              <w:spacing w:after="0" w:line="240" w:lineRule="auto"/>
              <w:ind w:left="100" w:right="-20"/>
              <w:rPr>
                <w:rFonts w:asciiTheme="minorHAnsi" w:hAnsiTheme="minorHAnsi" w:cstheme="minorHAnsi"/>
                <w:sz w:val="20"/>
                <w:szCs w:val="20"/>
              </w:rPr>
            </w:pPr>
            <w:r w:rsidRPr="00B66802">
              <w:rPr>
                <w:rFonts w:asciiTheme="minorHAnsi" w:hAnsiTheme="minorHAnsi" w:cstheme="minorHAnsi"/>
                <w:spacing w:val="-1"/>
                <w:sz w:val="20"/>
                <w:szCs w:val="20"/>
              </w:rPr>
              <w:t>O</w:t>
            </w:r>
            <w:r w:rsidRPr="00B66802">
              <w:rPr>
                <w:rFonts w:asciiTheme="minorHAnsi" w:hAnsiTheme="minorHAnsi" w:cstheme="minorHAnsi"/>
                <w:sz w:val="20"/>
                <w:szCs w:val="20"/>
              </w:rPr>
              <w:t>pe</w:t>
            </w:r>
            <w:r w:rsidRPr="00B66802">
              <w:rPr>
                <w:rFonts w:asciiTheme="minorHAnsi" w:hAnsiTheme="minorHAnsi" w:cstheme="minorHAnsi"/>
                <w:spacing w:val="1"/>
                <w:sz w:val="20"/>
                <w:szCs w:val="20"/>
              </w:rPr>
              <w:t>r</w:t>
            </w:r>
            <w:r w:rsidRPr="00B66802">
              <w:rPr>
                <w:rFonts w:asciiTheme="minorHAnsi" w:hAnsiTheme="minorHAnsi" w:cstheme="minorHAnsi"/>
                <w:spacing w:val="-2"/>
                <w:sz w:val="20"/>
                <w:szCs w:val="20"/>
              </w:rPr>
              <w:t>a</w:t>
            </w:r>
            <w:r w:rsidRPr="00BD4A16">
              <w:rPr>
                <w:rFonts w:asciiTheme="minorHAnsi" w:hAnsiTheme="minorHAnsi" w:cstheme="minorHAnsi"/>
                <w:spacing w:val="1"/>
                <w:sz w:val="20"/>
                <w:szCs w:val="20"/>
              </w:rPr>
              <w:t>ti</w:t>
            </w:r>
            <w:r w:rsidRPr="00DC050B">
              <w:rPr>
                <w:rFonts w:asciiTheme="minorHAnsi" w:hAnsiTheme="minorHAnsi" w:cstheme="minorHAnsi"/>
                <w:sz w:val="20"/>
                <w:szCs w:val="20"/>
              </w:rPr>
              <w:t>on</w:t>
            </w:r>
            <w:r w:rsidRPr="00DC050B">
              <w:rPr>
                <w:rFonts w:asciiTheme="minorHAnsi" w:hAnsiTheme="minorHAnsi" w:cstheme="minorHAnsi"/>
                <w:spacing w:val="-2"/>
                <w:sz w:val="20"/>
                <w:szCs w:val="20"/>
              </w:rPr>
              <w:t xml:space="preserve"> </w:t>
            </w:r>
            <w:r w:rsidRPr="00DC050B">
              <w:rPr>
                <w:rFonts w:asciiTheme="minorHAnsi" w:hAnsiTheme="minorHAnsi" w:cstheme="minorHAnsi"/>
                <w:spacing w:val="-4"/>
                <w:sz w:val="20"/>
                <w:szCs w:val="20"/>
              </w:rPr>
              <w:t>I</w:t>
            </w:r>
            <w:r w:rsidRPr="00DC050B">
              <w:rPr>
                <w:rFonts w:asciiTheme="minorHAnsi" w:hAnsiTheme="minorHAnsi" w:cstheme="minorHAnsi"/>
                <w:sz w:val="20"/>
                <w:szCs w:val="20"/>
              </w:rPr>
              <w:t>D</w:t>
            </w:r>
          </w:p>
        </w:tc>
        <w:tc>
          <w:tcPr>
            <w:tcW w:w="8104" w:type="dxa"/>
            <w:tcBorders>
              <w:top w:val="single" w:sz="6" w:space="0" w:color="000000"/>
              <w:left w:val="single" w:sz="6" w:space="0" w:color="000000"/>
              <w:bottom w:val="single" w:sz="6" w:space="0" w:color="000000"/>
              <w:right w:val="single" w:sz="6" w:space="0" w:color="000000"/>
            </w:tcBorders>
            <w:vAlign w:val="center"/>
          </w:tcPr>
          <w:p w14:paraId="422A5C1C" w14:textId="77777777" w:rsidR="00363148" w:rsidRPr="00DC050B" w:rsidRDefault="00334BAE" w:rsidP="00EF06DD">
            <w:pPr>
              <w:widowControl w:val="0"/>
              <w:autoSpaceDE w:val="0"/>
              <w:autoSpaceDN w:val="0"/>
              <w:adjustRightInd w:val="0"/>
              <w:spacing w:after="0" w:line="240" w:lineRule="auto"/>
              <w:ind w:left="100" w:right="-20"/>
              <w:rPr>
                <w:rFonts w:asciiTheme="minorHAnsi" w:hAnsiTheme="minorHAnsi" w:cstheme="minorHAnsi"/>
                <w:sz w:val="20"/>
                <w:szCs w:val="20"/>
              </w:rPr>
            </w:pPr>
            <w:r w:rsidRPr="00DC050B">
              <w:rPr>
                <w:rFonts w:asciiTheme="minorHAnsi" w:hAnsiTheme="minorHAnsi" w:cstheme="minorHAnsi"/>
                <w:sz w:val="20"/>
                <w:szCs w:val="20"/>
              </w:rPr>
              <w:t>P164137</w:t>
            </w:r>
          </w:p>
          <w:p w14:paraId="6E1C6B1F" w14:textId="77777777" w:rsidR="00363148" w:rsidRPr="00DC050B" w:rsidRDefault="00363148" w:rsidP="00EF06DD">
            <w:pPr>
              <w:spacing w:after="0" w:line="240" w:lineRule="auto"/>
              <w:rPr>
                <w:rFonts w:asciiTheme="minorHAnsi" w:hAnsiTheme="minorHAnsi" w:cstheme="minorHAnsi"/>
                <w:sz w:val="20"/>
                <w:szCs w:val="20"/>
              </w:rPr>
            </w:pPr>
          </w:p>
          <w:p w14:paraId="53467301" w14:textId="77777777" w:rsidR="00363148" w:rsidRPr="006C66C2" w:rsidRDefault="00363148" w:rsidP="00EF06DD">
            <w:pPr>
              <w:spacing w:after="0" w:line="240" w:lineRule="auto"/>
              <w:rPr>
                <w:rFonts w:asciiTheme="minorHAnsi" w:hAnsiTheme="minorHAnsi" w:cstheme="minorHAnsi"/>
                <w:sz w:val="20"/>
                <w:szCs w:val="20"/>
              </w:rPr>
            </w:pPr>
          </w:p>
          <w:p w14:paraId="50B6D92F" w14:textId="77777777" w:rsidR="00363148" w:rsidRPr="006C66C2" w:rsidRDefault="00363148" w:rsidP="00EF06DD">
            <w:pPr>
              <w:spacing w:after="0" w:line="240" w:lineRule="auto"/>
              <w:rPr>
                <w:rFonts w:asciiTheme="minorHAnsi" w:hAnsiTheme="minorHAnsi" w:cstheme="minorHAnsi"/>
                <w:sz w:val="20"/>
                <w:szCs w:val="20"/>
              </w:rPr>
            </w:pPr>
          </w:p>
          <w:p w14:paraId="11B6C887" w14:textId="77777777" w:rsidR="00D35BC4" w:rsidRPr="00A20F63" w:rsidRDefault="00D35BC4" w:rsidP="00EF06DD">
            <w:pPr>
              <w:spacing w:after="0" w:line="240" w:lineRule="auto"/>
              <w:rPr>
                <w:rFonts w:asciiTheme="minorHAnsi" w:hAnsiTheme="minorHAnsi" w:cstheme="minorHAnsi"/>
                <w:sz w:val="20"/>
                <w:szCs w:val="20"/>
              </w:rPr>
            </w:pPr>
          </w:p>
        </w:tc>
      </w:tr>
    </w:tbl>
    <w:p w14:paraId="6CC6F047" w14:textId="77777777" w:rsidR="00D35BC4" w:rsidRPr="00E36113" w:rsidRDefault="00D35BC4" w:rsidP="00974BC1">
      <w:pPr>
        <w:rPr>
          <w:rFonts w:asciiTheme="minorHAnsi" w:hAnsiTheme="minorHAnsi" w:cstheme="minorHAnsi"/>
        </w:rPr>
        <w:sectPr w:rsidR="00D35BC4" w:rsidRPr="00E36113" w:rsidSect="00974BC1">
          <w:pgSz w:w="12240" w:h="15840"/>
          <w:pgMar w:top="1483" w:right="878" w:bottom="274" w:left="1224" w:header="720" w:footer="720" w:gutter="0"/>
          <w:pgNumType w:fmt="lowerRoman"/>
          <w:cols w:space="720" w:equalWidth="0">
            <w:col w:w="10142"/>
          </w:cols>
          <w:noEndnote/>
        </w:sectPr>
      </w:pPr>
    </w:p>
    <w:p w14:paraId="26FCC4B6" w14:textId="77777777" w:rsidR="00020D4D" w:rsidRPr="00E36113" w:rsidRDefault="00020D4D" w:rsidP="00020D4D">
      <w:pPr>
        <w:widowControl w:val="0"/>
        <w:autoSpaceDE w:val="0"/>
        <w:autoSpaceDN w:val="0"/>
        <w:adjustRightInd w:val="0"/>
        <w:spacing w:after="0" w:line="240" w:lineRule="auto"/>
        <w:jc w:val="center"/>
        <w:rPr>
          <w:rFonts w:asciiTheme="minorHAnsi" w:hAnsiTheme="minorHAnsi" w:cstheme="minorHAnsi"/>
          <w:b/>
          <w:bCs/>
          <w:iCs/>
        </w:rPr>
      </w:pPr>
      <w:r w:rsidRPr="00E36113">
        <w:rPr>
          <w:rFonts w:asciiTheme="minorHAnsi" w:hAnsiTheme="minorHAnsi" w:cstheme="minorHAnsi"/>
          <w:b/>
          <w:bCs/>
        </w:rPr>
        <w:lastRenderedPageBreak/>
        <w:t>IDA</w:t>
      </w:r>
      <w:r w:rsidRPr="00E36113">
        <w:rPr>
          <w:rFonts w:asciiTheme="minorHAnsi" w:hAnsiTheme="minorHAnsi" w:cstheme="minorHAnsi"/>
          <w:b/>
          <w:bCs/>
          <w:spacing w:val="-12"/>
        </w:rPr>
        <w:t xml:space="preserve"> </w:t>
      </w:r>
      <w:r w:rsidRPr="00E36113">
        <w:rPr>
          <w:rFonts w:asciiTheme="minorHAnsi" w:hAnsiTheme="minorHAnsi" w:cstheme="minorHAnsi"/>
          <w:b/>
          <w:bCs/>
          <w:spacing w:val="-3"/>
        </w:rPr>
        <w:t>P</w:t>
      </w:r>
      <w:r w:rsidRPr="00E36113">
        <w:rPr>
          <w:rFonts w:asciiTheme="minorHAnsi" w:hAnsiTheme="minorHAnsi" w:cstheme="minorHAnsi"/>
          <w:b/>
          <w:bCs/>
          <w:spacing w:val="2"/>
        </w:rPr>
        <w:t>R</w:t>
      </w:r>
      <w:r w:rsidRPr="00E36113">
        <w:rPr>
          <w:rFonts w:asciiTheme="minorHAnsi" w:hAnsiTheme="minorHAnsi" w:cstheme="minorHAnsi"/>
          <w:b/>
          <w:bCs/>
        </w:rPr>
        <w:t>O</w:t>
      </w:r>
      <w:r w:rsidRPr="00E36113">
        <w:rPr>
          <w:rFonts w:asciiTheme="minorHAnsi" w:hAnsiTheme="minorHAnsi" w:cstheme="minorHAnsi"/>
          <w:b/>
          <w:bCs/>
          <w:spacing w:val="-2"/>
        </w:rPr>
        <w:t>G</w:t>
      </w:r>
      <w:r w:rsidRPr="00E36113">
        <w:rPr>
          <w:rFonts w:asciiTheme="minorHAnsi" w:hAnsiTheme="minorHAnsi" w:cstheme="minorHAnsi"/>
          <w:b/>
          <w:bCs/>
        </w:rPr>
        <w:t>RAM</w:t>
      </w:r>
      <w:r w:rsidRPr="00E36113">
        <w:rPr>
          <w:rFonts w:asciiTheme="minorHAnsi" w:hAnsiTheme="minorHAnsi" w:cstheme="minorHAnsi"/>
          <w:b/>
          <w:bCs/>
          <w:spacing w:val="-13"/>
        </w:rPr>
        <w:t xml:space="preserve"> </w:t>
      </w:r>
      <w:r w:rsidRPr="00E36113">
        <w:rPr>
          <w:rFonts w:asciiTheme="minorHAnsi" w:hAnsiTheme="minorHAnsi" w:cstheme="minorHAnsi"/>
          <w:b/>
          <w:bCs/>
        </w:rPr>
        <w:t>DO</w:t>
      </w:r>
      <w:r w:rsidRPr="00E36113">
        <w:rPr>
          <w:rFonts w:asciiTheme="minorHAnsi" w:hAnsiTheme="minorHAnsi" w:cstheme="minorHAnsi"/>
          <w:b/>
          <w:bCs/>
          <w:spacing w:val="2"/>
        </w:rPr>
        <w:t>C</w:t>
      </w:r>
      <w:r w:rsidRPr="00E36113">
        <w:rPr>
          <w:rFonts w:asciiTheme="minorHAnsi" w:hAnsiTheme="minorHAnsi" w:cstheme="minorHAnsi"/>
          <w:b/>
          <w:bCs/>
        </w:rPr>
        <w:t>U</w:t>
      </w:r>
      <w:r w:rsidRPr="00E36113">
        <w:rPr>
          <w:rFonts w:asciiTheme="minorHAnsi" w:hAnsiTheme="minorHAnsi" w:cstheme="minorHAnsi"/>
          <w:b/>
          <w:bCs/>
          <w:spacing w:val="-1"/>
        </w:rPr>
        <w:t>M</w:t>
      </w:r>
      <w:r w:rsidRPr="00E36113">
        <w:rPr>
          <w:rFonts w:asciiTheme="minorHAnsi" w:hAnsiTheme="minorHAnsi" w:cstheme="minorHAnsi"/>
          <w:b/>
          <w:bCs/>
          <w:spacing w:val="1"/>
        </w:rPr>
        <w:t>E</w:t>
      </w:r>
      <w:r w:rsidRPr="00E36113">
        <w:rPr>
          <w:rFonts w:asciiTheme="minorHAnsi" w:hAnsiTheme="minorHAnsi" w:cstheme="minorHAnsi"/>
          <w:b/>
          <w:bCs/>
        </w:rPr>
        <w:t>NT</w:t>
      </w:r>
      <w:r w:rsidRPr="00E36113">
        <w:rPr>
          <w:rFonts w:asciiTheme="minorHAnsi" w:hAnsiTheme="minorHAnsi" w:cstheme="minorHAnsi"/>
          <w:b/>
          <w:bCs/>
          <w:spacing w:val="-9"/>
        </w:rPr>
        <w:t xml:space="preserve"> </w:t>
      </w:r>
      <w:r w:rsidRPr="00E36113">
        <w:rPr>
          <w:rFonts w:asciiTheme="minorHAnsi" w:hAnsiTheme="minorHAnsi" w:cstheme="minorHAnsi"/>
          <w:b/>
          <w:bCs/>
          <w:spacing w:val="-3"/>
        </w:rPr>
        <w:t>F</w:t>
      </w:r>
      <w:r w:rsidRPr="00E36113">
        <w:rPr>
          <w:rFonts w:asciiTheme="minorHAnsi" w:hAnsiTheme="minorHAnsi" w:cstheme="minorHAnsi"/>
          <w:b/>
          <w:bCs/>
        </w:rPr>
        <w:t>OR</w:t>
      </w:r>
      <w:r w:rsidRPr="00E36113">
        <w:rPr>
          <w:rFonts w:asciiTheme="minorHAnsi" w:hAnsiTheme="minorHAnsi" w:cstheme="minorHAnsi"/>
          <w:b/>
          <w:bCs/>
          <w:spacing w:val="-12"/>
        </w:rPr>
        <w:t xml:space="preserve"> </w:t>
      </w:r>
      <w:r w:rsidRPr="00E36113">
        <w:rPr>
          <w:rFonts w:asciiTheme="minorHAnsi" w:hAnsiTheme="minorHAnsi" w:cstheme="minorHAnsi"/>
          <w:b/>
          <w:bCs/>
        </w:rPr>
        <w:t xml:space="preserve">A </w:t>
      </w:r>
      <w:r w:rsidRPr="00E36113">
        <w:rPr>
          <w:rFonts w:asciiTheme="minorHAnsi" w:hAnsiTheme="minorHAnsi" w:cstheme="minorHAnsi"/>
          <w:b/>
          <w:bCs/>
          <w:spacing w:val="-3"/>
        </w:rPr>
        <w:t>P</w:t>
      </w:r>
      <w:r w:rsidRPr="00E36113">
        <w:rPr>
          <w:rFonts w:asciiTheme="minorHAnsi" w:hAnsiTheme="minorHAnsi" w:cstheme="minorHAnsi"/>
          <w:b/>
          <w:bCs/>
        </w:rPr>
        <w:t>R</w:t>
      </w:r>
      <w:r w:rsidRPr="00E36113">
        <w:rPr>
          <w:rFonts w:asciiTheme="minorHAnsi" w:hAnsiTheme="minorHAnsi" w:cstheme="minorHAnsi"/>
          <w:b/>
          <w:bCs/>
          <w:spacing w:val="3"/>
        </w:rPr>
        <w:t>O</w:t>
      </w:r>
      <w:r w:rsidRPr="00E36113">
        <w:rPr>
          <w:rFonts w:asciiTheme="minorHAnsi" w:hAnsiTheme="minorHAnsi" w:cstheme="minorHAnsi"/>
          <w:b/>
          <w:bCs/>
          <w:spacing w:val="-3"/>
        </w:rPr>
        <w:t>P</w:t>
      </w:r>
      <w:r w:rsidRPr="00E36113">
        <w:rPr>
          <w:rFonts w:asciiTheme="minorHAnsi" w:hAnsiTheme="minorHAnsi" w:cstheme="minorHAnsi"/>
          <w:b/>
          <w:bCs/>
        </w:rPr>
        <w:t>O</w:t>
      </w:r>
      <w:r w:rsidRPr="00E36113">
        <w:rPr>
          <w:rFonts w:asciiTheme="minorHAnsi" w:hAnsiTheme="minorHAnsi" w:cstheme="minorHAnsi"/>
          <w:b/>
          <w:bCs/>
          <w:spacing w:val="1"/>
        </w:rPr>
        <w:t>SE</w:t>
      </w:r>
      <w:r w:rsidRPr="00E36113">
        <w:rPr>
          <w:rFonts w:asciiTheme="minorHAnsi" w:hAnsiTheme="minorHAnsi" w:cstheme="minorHAnsi"/>
          <w:b/>
          <w:bCs/>
        </w:rPr>
        <w:t>D</w:t>
      </w:r>
      <w:r w:rsidRPr="00E36113">
        <w:rPr>
          <w:rFonts w:asciiTheme="minorHAnsi" w:hAnsiTheme="minorHAnsi" w:cstheme="minorHAnsi"/>
          <w:b/>
          <w:bCs/>
          <w:spacing w:val="-12"/>
        </w:rPr>
        <w:t xml:space="preserve"> </w:t>
      </w:r>
      <w:r w:rsidR="00876A8E" w:rsidRPr="00E36113">
        <w:rPr>
          <w:rFonts w:asciiTheme="minorHAnsi" w:hAnsiTheme="minorHAnsi" w:cstheme="minorHAnsi"/>
          <w:b/>
          <w:bCs/>
          <w:spacing w:val="-12"/>
        </w:rPr>
        <w:t>GRANT</w:t>
      </w:r>
      <w:r w:rsidR="00876A8E" w:rsidRPr="00E36113">
        <w:rPr>
          <w:rFonts w:asciiTheme="minorHAnsi" w:hAnsiTheme="minorHAnsi" w:cstheme="minorHAnsi"/>
          <w:b/>
          <w:bCs/>
          <w:iCs/>
        </w:rPr>
        <w:t xml:space="preserve"> </w:t>
      </w:r>
    </w:p>
    <w:p w14:paraId="4A1349C4" w14:textId="77777777" w:rsidR="00020D4D" w:rsidRPr="00E36113" w:rsidRDefault="00020D4D" w:rsidP="00020D4D">
      <w:pPr>
        <w:widowControl w:val="0"/>
        <w:autoSpaceDE w:val="0"/>
        <w:autoSpaceDN w:val="0"/>
        <w:adjustRightInd w:val="0"/>
        <w:spacing w:before="76" w:after="0" w:line="240" w:lineRule="auto"/>
        <w:jc w:val="center"/>
        <w:rPr>
          <w:rFonts w:asciiTheme="minorHAnsi" w:hAnsiTheme="minorHAnsi" w:cstheme="minorHAnsi"/>
          <w:b/>
          <w:bCs/>
          <w:spacing w:val="-12"/>
        </w:rPr>
      </w:pPr>
      <w:r w:rsidRPr="00E36113">
        <w:rPr>
          <w:rFonts w:asciiTheme="minorHAnsi" w:hAnsiTheme="minorHAnsi" w:cstheme="minorHAnsi"/>
          <w:b/>
          <w:bCs/>
          <w:spacing w:val="1"/>
        </w:rPr>
        <w:t>T</w:t>
      </w:r>
      <w:r w:rsidRPr="00E36113">
        <w:rPr>
          <w:rFonts w:asciiTheme="minorHAnsi" w:hAnsiTheme="minorHAnsi" w:cstheme="minorHAnsi"/>
          <w:b/>
          <w:bCs/>
        </w:rPr>
        <w:t>O</w:t>
      </w:r>
      <w:r w:rsidRPr="00E36113">
        <w:rPr>
          <w:rFonts w:asciiTheme="minorHAnsi" w:hAnsiTheme="minorHAnsi" w:cstheme="minorHAnsi"/>
          <w:b/>
          <w:bCs/>
          <w:spacing w:val="-12"/>
        </w:rPr>
        <w:t xml:space="preserve"> THE REPUBLIC OF MADAGASCAR</w:t>
      </w:r>
    </w:p>
    <w:p w14:paraId="6101C143" w14:textId="77777777" w:rsidR="00D35BC4" w:rsidRPr="00E36113" w:rsidRDefault="00D35BC4" w:rsidP="00395B9E">
      <w:pPr>
        <w:pStyle w:val="Heading1"/>
        <w:rPr>
          <w:rFonts w:asciiTheme="minorHAnsi" w:hAnsiTheme="minorHAnsi" w:cstheme="minorHAnsi"/>
          <w:szCs w:val="22"/>
        </w:rPr>
      </w:pPr>
      <w:bookmarkStart w:id="2" w:name="_Toc496204241"/>
      <w:r w:rsidRPr="00E36113">
        <w:rPr>
          <w:rFonts w:asciiTheme="minorHAnsi" w:hAnsiTheme="minorHAnsi" w:cstheme="minorHAnsi"/>
          <w:szCs w:val="22"/>
        </w:rPr>
        <w:t>INTRODUCTION AND COUNTRY CONTEXT</w:t>
      </w:r>
      <w:bookmarkEnd w:id="2"/>
    </w:p>
    <w:p w14:paraId="50712013" w14:textId="2579DE97" w:rsidR="00597071" w:rsidRPr="00B66802" w:rsidRDefault="00936381" w:rsidP="007A7246">
      <w:pPr>
        <w:pStyle w:val="ListParagraph"/>
        <w:numPr>
          <w:ilvl w:val="0"/>
          <w:numId w:val="1"/>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E36113">
        <w:rPr>
          <w:rFonts w:asciiTheme="minorHAnsi" w:hAnsiTheme="minorHAnsi" w:cstheme="minorHAnsi"/>
          <w:b/>
        </w:rPr>
        <w:t xml:space="preserve">This Program Document proposes the second </w:t>
      </w:r>
      <w:r w:rsidR="00A33EF4" w:rsidRPr="00E36113">
        <w:rPr>
          <w:rFonts w:asciiTheme="minorHAnsi" w:hAnsiTheme="minorHAnsi" w:cstheme="minorHAnsi"/>
          <w:b/>
        </w:rPr>
        <w:t>operation</w:t>
      </w:r>
      <w:r w:rsidRPr="00E36113">
        <w:rPr>
          <w:rFonts w:asciiTheme="minorHAnsi" w:hAnsiTheme="minorHAnsi" w:cstheme="minorHAnsi"/>
          <w:b/>
        </w:rPr>
        <w:t xml:space="preserve"> in a development policy operation </w:t>
      </w:r>
      <w:r w:rsidR="00A46F16">
        <w:rPr>
          <w:rFonts w:asciiTheme="minorHAnsi" w:hAnsiTheme="minorHAnsi" w:cstheme="minorHAnsi"/>
          <w:b/>
        </w:rPr>
        <w:t xml:space="preserve">(DPO) </w:t>
      </w:r>
      <w:r w:rsidRPr="00A46F16">
        <w:rPr>
          <w:rFonts w:asciiTheme="minorHAnsi" w:hAnsiTheme="minorHAnsi" w:cstheme="minorHAnsi"/>
          <w:b/>
        </w:rPr>
        <w:t xml:space="preserve">focused on strengthening Madagascar’s fiscal framework and on improving the investment climate. </w:t>
      </w:r>
      <w:r w:rsidRPr="00A46F16">
        <w:rPr>
          <w:rFonts w:asciiTheme="minorHAnsi" w:hAnsiTheme="minorHAnsi" w:cstheme="minorHAnsi"/>
        </w:rPr>
        <w:t xml:space="preserve">The </w:t>
      </w:r>
      <w:r w:rsidR="00E14247" w:rsidRPr="00A46F16">
        <w:rPr>
          <w:rFonts w:asciiTheme="minorHAnsi" w:hAnsiTheme="minorHAnsi" w:cstheme="minorHAnsi"/>
        </w:rPr>
        <w:t xml:space="preserve">proposed </w:t>
      </w:r>
      <w:r w:rsidR="00A33EF4" w:rsidRPr="00A46F16">
        <w:rPr>
          <w:rFonts w:asciiTheme="minorHAnsi" w:hAnsiTheme="minorHAnsi" w:cstheme="minorHAnsi"/>
        </w:rPr>
        <w:t>operation</w:t>
      </w:r>
      <w:r w:rsidR="00E14247" w:rsidRPr="00A46F16">
        <w:rPr>
          <w:rFonts w:asciiTheme="minorHAnsi" w:hAnsiTheme="minorHAnsi" w:cstheme="minorHAnsi"/>
        </w:rPr>
        <w:t xml:space="preserve"> </w:t>
      </w:r>
      <w:r w:rsidRPr="00A46F16">
        <w:rPr>
          <w:rFonts w:asciiTheme="minorHAnsi" w:hAnsiTheme="minorHAnsi" w:cstheme="minorHAnsi"/>
        </w:rPr>
        <w:t>is the second in</w:t>
      </w:r>
      <w:r w:rsidR="00C14C93" w:rsidRPr="00A46F16">
        <w:rPr>
          <w:rFonts w:asciiTheme="minorHAnsi" w:hAnsiTheme="minorHAnsi" w:cstheme="minorHAnsi"/>
        </w:rPr>
        <w:t xml:space="preserve"> the Public Finance Sustainability and Investment (PFSI</w:t>
      </w:r>
      <w:r w:rsidR="00A46F16">
        <w:rPr>
          <w:rFonts w:asciiTheme="minorHAnsi" w:hAnsiTheme="minorHAnsi" w:cstheme="minorHAnsi"/>
        </w:rPr>
        <w:t xml:space="preserve">) </w:t>
      </w:r>
      <w:r w:rsidR="00A46F16" w:rsidRPr="00A46F16">
        <w:rPr>
          <w:rFonts w:asciiTheme="minorHAnsi" w:hAnsiTheme="minorHAnsi" w:cstheme="minorHAnsi"/>
        </w:rPr>
        <w:t>(DPO2</w:t>
      </w:r>
      <w:r w:rsidR="00C14C93" w:rsidRPr="00A46F16">
        <w:rPr>
          <w:rFonts w:asciiTheme="minorHAnsi" w:hAnsiTheme="minorHAnsi" w:cstheme="minorHAnsi"/>
        </w:rPr>
        <w:t>)</w:t>
      </w:r>
      <w:r w:rsidRPr="00A46F16">
        <w:rPr>
          <w:rFonts w:asciiTheme="minorHAnsi" w:hAnsiTheme="minorHAnsi" w:cstheme="minorHAnsi"/>
        </w:rPr>
        <w:t xml:space="preserve"> programmatic series of two </w:t>
      </w:r>
      <w:r w:rsidR="006C66C2">
        <w:rPr>
          <w:rFonts w:asciiTheme="minorHAnsi" w:hAnsiTheme="minorHAnsi" w:cstheme="minorHAnsi"/>
        </w:rPr>
        <w:t>International Development Association (</w:t>
      </w:r>
      <w:r w:rsidRPr="006C66C2">
        <w:rPr>
          <w:rFonts w:asciiTheme="minorHAnsi" w:hAnsiTheme="minorHAnsi" w:cstheme="minorHAnsi"/>
        </w:rPr>
        <w:t>IDA</w:t>
      </w:r>
      <w:r w:rsidR="006C66C2">
        <w:rPr>
          <w:rFonts w:asciiTheme="minorHAnsi" w:hAnsiTheme="minorHAnsi" w:cstheme="minorHAnsi"/>
        </w:rPr>
        <w:t>)</w:t>
      </w:r>
      <w:r w:rsidRPr="006C66C2">
        <w:rPr>
          <w:rFonts w:asciiTheme="minorHAnsi" w:hAnsiTheme="minorHAnsi" w:cstheme="minorHAnsi"/>
        </w:rPr>
        <w:t xml:space="preserve"> grants and is intended to </w:t>
      </w:r>
      <w:r w:rsidRPr="006C66C2">
        <w:rPr>
          <w:rFonts w:asciiTheme="minorHAnsi" w:hAnsiTheme="minorHAnsi" w:cstheme="minorHAnsi"/>
          <w:color w:val="212121"/>
        </w:rPr>
        <w:t>deepen and consolidate the set of reforms implemented under the first series (DPO1</w:t>
      </w:r>
      <w:r w:rsidR="00E14247" w:rsidRPr="006C66C2">
        <w:rPr>
          <w:rFonts w:asciiTheme="minorHAnsi" w:hAnsiTheme="minorHAnsi" w:cstheme="minorHAnsi"/>
          <w:color w:val="212121"/>
        </w:rPr>
        <w:t xml:space="preserve"> - P160866</w:t>
      </w:r>
      <w:r w:rsidRPr="006C66C2">
        <w:rPr>
          <w:rFonts w:asciiTheme="minorHAnsi" w:hAnsiTheme="minorHAnsi" w:cstheme="minorHAnsi"/>
          <w:color w:val="212121"/>
        </w:rPr>
        <w:t>)</w:t>
      </w:r>
      <w:r w:rsidRPr="00B66802">
        <w:rPr>
          <w:rStyle w:val="FootnoteReference"/>
          <w:rFonts w:asciiTheme="minorHAnsi" w:hAnsiTheme="minorHAnsi" w:cstheme="minorHAnsi"/>
          <w:color w:val="212121"/>
        </w:rPr>
        <w:footnoteReference w:id="2"/>
      </w:r>
      <w:r w:rsidRPr="00B66802">
        <w:rPr>
          <w:rFonts w:asciiTheme="minorHAnsi" w:hAnsiTheme="minorHAnsi" w:cstheme="minorHAnsi"/>
          <w:color w:val="212121"/>
        </w:rPr>
        <w:t xml:space="preserve"> which seeks to (i) </w:t>
      </w:r>
      <w:r w:rsidR="009952F4" w:rsidRPr="00B66802">
        <w:rPr>
          <w:rFonts w:asciiTheme="minorHAnsi" w:hAnsiTheme="minorHAnsi" w:cstheme="minorHAnsi"/>
          <w:color w:val="212121"/>
        </w:rPr>
        <w:t>s</w:t>
      </w:r>
      <w:r w:rsidR="00176439" w:rsidRPr="00C145C0">
        <w:rPr>
          <w:rFonts w:asciiTheme="minorHAnsi" w:eastAsia="Times New Roman" w:hAnsiTheme="minorHAnsi" w:cstheme="minorHAnsi"/>
        </w:rPr>
        <w:t>trengthen the fiscal framework by creating fiscal space to support priority expenditures</w:t>
      </w:r>
      <w:r w:rsidRPr="00C145C0">
        <w:rPr>
          <w:rFonts w:asciiTheme="minorHAnsi" w:eastAsia="Times New Roman" w:hAnsiTheme="minorHAnsi" w:cstheme="minorHAnsi"/>
        </w:rPr>
        <w:t>, and</w:t>
      </w:r>
      <w:r w:rsidRPr="00B66802">
        <w:rPr>
          <w:rFonts w:asciiTheme="minorHAnsi" w:hAnsiTheme="minorHAnsi" w:cstheme="minorHAnsi"/>
        </w:rPr>
        <w:t xml:space="preserve"> (ii) improve the environment for investment. </w:t>
      </w:r>
      <w:r w:rsidR="00176439" w:rsidRPr="00B66802">
        <w:rPr>
          <w:rFonts w:asciiTheme="minorHAnsi" w:hAnsiTheme="minorHAnsi" w:cstheme="minorHAnsi"/>
        </w:rPr>
        <w:t>The proposed operation will be in the amount of</w:t>
      </w:r>
      <w:r w:rsidR="00176439" w:rsidRPr="00B66802">
        <w:rPr>
          <w:rFonts w:asciiTheme="minorHAnsi" w:hAnsiTheme="minorHAnsi" w:cstheme="minorHAnsi"/>
          <w:iCs/>
          <w:spacing w:val="1"/>
        </w:rPr>
        <w:t xml:space="preserve"> SDR </w:t>
      </w:r>
      <w:r w:rsidR="00724841" w:rsidRPr="00B66802">
        <w:rPr>
          <w:rFonts w:asciiTheme="minorHAnsi" w:hAnsiTheme="minorHAnsi" w:cstheme="minorHAnsi"/>
          <w:iCs/>
          <w:spacing w:val="1"/>
        </w:rPr>
        <w:t>31.9</w:t>
      </w:r>
      <w:r w:rsidR="00176439" w:rsidRPr="00BD4A16">
        <w:rPr>
          <w:rFonts w:asciiTheme="minorHAnsi" w:hAnsiTheme="minorHAnsi" w:cstheme="minorHAnsi"/>
          <w:iCs/>
          <w:spacing w:val="1"/>
        </w:rPr>
        <w:t xml:space="preserve"> million (US$4</w:t>
      </w:r>
      <w:r w:rsidR="005B5EB4" w:rsidRPr="00DC050B">
        <w:rPr>
          <w:rFonts w:asciiTheme="minorHAnsi" w:hAnsiTheme="minorHAnsi" w:cstheme="minorHAnsi"/>
          <w:iCs/>
          <w:spacing w:val="1"/>
        </w:rPr>
        <w:t>5</w:t>
      </w:r>
      <w:r w:rsidR="00A46F16">
        <w:rPr>
          <w:rFonts w:asciiTheme="minorHAnsi" w:hAnsiTheme="minorHAnsi" w:cstheme="minorHAnsi"/>
          <w:iCs/>
          <w:spacing w:val="1"/>
        </w:rPr>
        <w:t>.0</w:t>
      </w:r>
      <w:r w:rsidR="00176439" w:rsidRPr="00DC050B">
        <w:rPr>
          <w:rFonts w:asciiTheme="minorHAnsi" w:hAnsiTheme="minorHAnsi" w:cstheme="minorHAnsi"/>
          <w:iCs/>
          <w:spacing w:val="1"/>
        </w:rPr>
        <w:t xml:space="preserve"> million equivalent)</w:t>
      </w:r>
      <w:r w:rsidR="00176439" w:rsidRPr="00DC050B">
        <w:rPr>
          <w:rFonts w:asciiTheme="minorHAnsi" w:hAnsiTheme="minorHAnsi" w:cstheme="minorHAnsi"/>
        </w:rPr>
        <w:t xml:space="preserve">. </w:t>
      </w:r>
      <w:r w:rsidR="00597071" w:rsidRPr="00DC050B">
        <w:rPr>
          <w:rFonts w:asciiTheme="minorHAnsi" w:hAnsiTheme="minorHAnsi" w:cstheme="minorHAnsi"/>
        </w:rPr>
        <w:t>Th</w:t>
      </w:r>
      <w:r w:rsidR="00597071" w:rsidRPr="00C145C0">
        <w:rPr>
          <w:rFonts w:asciiTheme="minorHAnsi" w:hAnsiTheme="minorHAnsi" w:cstheme="minorHAnsi"/>
        </w:rPr>
        <w:t xml:space="preserve">is programmatic DPO series </w:t>
      </w:r>
      <w:r w:rsidR="00424299" w:rsidRPr="00C145C0">
        <w:rPr>
          <w:rFonts w:asciiTheme="minorHAnsi" w:hAnsiTheme="minorHAnsi" w:cstheme="minorHAnsi"/>
        </w:rPr>
        <w:t>complements</w:t>
      </w:r>
      <w:r w:rsidR="00597071" w:rsidRPr="00C145C0">
        <w:rPr>
          <w:rFonts w:asciiTheme="minorHAnsi" w:hAnsiTheme="minorHAnsi" w:cstheme="minorHAnsi"/>
        </w:rPr>
        <w:t xml:space="preserve"> </w:t>
      </w:r>
      <w:r w:rsidR="008C60FD">
        <w:rPr>
          <w:rFonts w:asciiTheme="minorHAnsi" w:hAnsiTheme="minorHAnsi" w:cstheme="minorHAnsi"/>
        </w:rPr>
        <w:t>a proposed</w:t>
      </w:r>
      <w:r w:rsidR="008C60FD" w:rsidRPr="00C145C0">
        <w:rPr>
          <w:rFonts w:asciiTheme="minorHAnsi" w:hAnsiTheme="minorHAnsi" w:cstheme="minorHAnsi"/>
        </w:rPr>
        <w:t xml:space="preserve"> </w:t>
      </w:r>
      <w:r w:rsidR="00597071" w:rsidRPr="00C145C0">
        <w:rPr>
          <w:rFonts w:asciiTheme="minorHAnsi" w:hAnsiTheme="minorHAnsi" w:cstheme="minorHAnsi"/>
        </w:rPr>
        <w:t>Inclusive and Resilient Growth DPO (P162279) which supports structural reforms aiming at building the resilience of the rural poor so that they can benefit from the growth momentum promoted by this operation.</w:t>
      </w:r>
    </w:p>
    <w:p w14:paraId="4C7F00F3" w14:textId="77777777" w:rsidR="00176439" w:rsidRPr="00BD4A16" w:rsidRDefault="00176439" w:rsidP="007A7246">
      <w:pPr>
        <w:pStyle w:val="ListParagraph"/>
        <w:autoSpaceDE w:val="0"/>
        <w:autoSpaceDN w:val="0"/>
        <w:adjustRightInd w:val="0"/>
        <w:spacing w:after="240" w:line="240" w:lineRule="auto"/>
        <w:ind w:left="0"/>
        <w:jc w:val="both"/>
        <w:rPr>
          <w:rFonts w:asciiTheme="minorHAnsi" w:hAnsiTheme="minorHAnsi" w:cstheme="minorHAnsi"/>
        </w:rPr>
      </w:pPr>
    </w:p>
    <w:p w14:paraId="26A45A65" w14:textId="7BC09F4A" w:rsidR="00176439" w:rsidRPr="00A20F63" w:rsidRDefault="00176439" w:rsidP="007A7246">
      <w:pPr>
        <w:pStyle w:val="ListParagraph"/>
        <w:numPr>
          <w:ilvl w:val="0"/>
          <w:numId w:val="1"/>
        </w:numPr>
        <w:tabs>
          <w:tab w:val="clear" w:pos="360"/>
        </w:tabs>
        <w:autoSpaceDE w:val="0"/>
        <w:autoSpaceDN w:val="0"/>
        <w:adjustRightInd w:val="0"/>
        <w:spacing w:after="240" w:line="240" w:lineRule="auto"/>
        <w:ind w:left="0" w:firstLine="0"/>
        <w:jc w:val="both"/>
        <w:rPr>
          <w:rFonts w:asciiTheme="minorHAnsi" w:hAnsiTheme="minorHAnsi" w:cstheme="minorHAnsi"/>
          <w:b/>
        </w:rPr>
      </w:pPr>
      <w:r w:rsidRPr="00DC050B">
        <w:rPr>
          <w:rFonts w:asciiTheme="minorHAnsi" w:hAnsiTheme="minorHAnsi" w:cstheme="minorHAnsi"/>
          <w:b/>
        </w:rPr>
        <w:t xml:space="preserve">The prior actions proposed under this DPO2 are consistent with the triggers identified and approved under DPO1. </w:t>
      </w:r>
      <w:r w:rsidRPr="00DC050B">
        <w:rPr>
          <w:rFonts w:asciiTheme="minorHAnsi" w:hAnsiTheme="minorHAnsi" w:cstheme="minorHAnsi"/>
        </w:rPr>
        <w:t>The Government has co</w:t>
      </w:r>
      <w:r w:rsidRPr="006C66C2">
        <w:rPr>
          <w:rFonts w:asciiTheme="minorHAnsi" w:hAnsiTheme="minorHAnsi" w:cstheme="minorHAnsi"/>
        </w:rPr>
        <w:t xml:space="preserve">ntinued to implement the program over the last year, with all prior actions being at least as strong or stronger than envisaged a year </w:t>
      </w:r>
      <w:r w:rsidR="007C3403" w:rsidRPr="006C66C2">
        <w:rPr>
          <w:rFonts w:asciiTheme="minorHAnsi" w:hAnsiTheme="minorHAnsi" w:cstheme="minorHAnsi"/>
        </w:rPr>
        <w:t>ago,</w:t>
      </w:r>
      <w:r w:rsidRPr="006C66C2">
        <w:rPr>
          <w:rFonts w:asciiTheme="minorHAnsi" w:hAnsiTheme="minorHAnsi" w:cstheme="minorHAnsi"/>
        </w:rPr>
        <w:t xml:space="preserve"> (</w:t>
      </w:r>
      <w:r w:rsidR="00A46F16">
        <w:rPr>
          <w:rFonts w:asciiTheme="minorHAnsi" w:hAnsiTheme="minorHAnsi" w:cstheme="minorHAnsi"/>
        </w:rPr>
        <w:t>T</w:t>
      </w:r>
      <w:r w:rsidRPr="006C66C2">
        <w:rPr>
          <w:rFonts w:asciiTheme="minorHAnsi" w:hAnsiTheme="minorHAnsi" w:cstheme="minorHAnsi"/>
        </w:rPr>
        <w:t>able 4)</w:t>
      </w:r>
      <w:r w:rsidR="009952F4" w:rsidRPr="006C66C2">
        <w:rPr>
          <w:rFonts w:asciiTheme="minorHAnsi" w:hAnsiTheme="minorHAnsi" w:cstheme="minorHAnsi"/>
        </w:rPr>
        <w:t xml:space="preserve">. This strong performance has continued </w:t>
      </w:r>
      <w:r w:rsidRPr="00A20F63">
        <w:rPr>
          <w:rFonts w:asciiTheme="minorHAnsi" w:hAnsiTheme="minorHAnsi" w:cstheme="minorHAnsi"/>
        </w:rPr>
        <w:t xml:space="preserve">despite </w:t>
      </w:r>
      <w:r w:rsidR="007C3403" w:rsidRPr="00A20F63">
        <w:rPr>
          <w:rFonts w:asciiTheme="minorHAnsi" w:hAnsiTheme="minorHAnsi" w:cstheme="minorHAnsi"/>
        </w:rPr>
        <w:t>two major natural disaster related shocks</w:t>
      </w:r>
      <w:r w:rsidR="009952F4" w:rsidRPr="00A20F63">
        <w:rPr>
          <w:rFonts w:asciiTheme="minorHAnsi" w:hAnsiTheme="minorHAnsi" w:cstheme="minorHAnsi"/>
        </w:rPr>
        <w:t xml:space="preserve"> in early 2017:</w:t>
      </w:r>
      <w:r w:rsidRPr="00A20F63">
        <w:rPr>
          <w:rFonts w:asciiTheme="minorHAnsi" w:hAnsiTheme="minorHAnsi" w:cstheme="minorHAnsi"/>
        </w:rPr>
        <w:t xml:space="preserve"> a severe drought and </w:t>
      </w:r>
      <w:r w:rsidR="007C3403" w:rsidRPr="00A20F63">
        <w:rPr>
          <w:rFonts w:asciiTheme="minorHAnsi" w:hAnsiTheme="minorHAnsi" w:cstheme="minorHAnsi"/>
        </w:rPr>
        <w:t>a</w:t>
      </w:r>
      <w:r w:rsidR="009952F4" w:rsidRPr="00A20F63">
        <w:rPr>
          <w:rFonts w:asciiTheme="minorHAnsi" w:hAnsiTheme="minorHAnsi" w:cstheme="minorHAnsi"/>
        </w:rPr>
        <w:t xml:space="preserve"> category 4</w:t>
      </w:r>
      <w:r w:rsidR="007C3403" w:rsidRPr="00A20F63">
        <w:rPr>
          <w:rFonts w:asciiTheme="minorHAnsi" w:hAnsiTheme="minorHAnsi" w:cstheme="minorHAnsi"/>
        </w:rPr>
        <w:t xml:space="preserve"> cyclone</w:t>
      </w:r>
      <w:r w:rsidR="009952F4" w:rsidRPr="00A20F63">
        <w:rPr>
          <w:rFonts w:asciiTheme="minorHAnsi" w:hAnsiTheme="minorHAnsi" w:cstheme="minorHAnsi"/>
        </w:rPr>
        <w:t>,</w:t>
      </w:r>
      <w:r w:rsidR="00424299" w:rsidRPr="00A20F63">
        <w:rPr>
          <w:rFonts w:asciiTheme="minorHAnsi" w:hAnsiTheme="minorHAnsi" w:cstheme="minorHAnsi"/>
        </w:rPr>
        <w:t xml:space="preserve"> </w:t>
      </w:r>
      <w:r w:rsidR="009952F4" w:rsidRPr="00A20F63">
        <w:rPr>
          <w:rFonts w:asciiTheme="minorHAnsi" w:hAnsiTheme="minorHAnsi" w:cstheme="minorHAnsi"/>
        </w:rPr>
        <w:t>the strongest of its kind in 13 years</w:t>
      </w:r>
      <w:r w:rsidRPr="00A20F63">
        <w:rPr>
          <w:rFonts w:asciiTheme="minorHAnsi" w:hAnsiTheme="minorHAnsi" w:cstheme="minorHAnsi"/>
        </w:rPr>
        <w:t xml:space="preserve">.  </w:t>
      </w:r>
    </w:p>
    <w:p w14:paraId="6E9A208E" w14:textId="77777777" w:rsidR="00936381" w:rsidRPr="00A20F63" w:rsidRDefault="00936381" w:rsidP="007A7246">
      <w:pPr>
        <w:pStyle w:val="ListParagraph"/>
        <w:autoSpaceDE w:val="0"/>
        <w:autoSpaceDN w:val="0"/>
        <w:adjustRightInd w:val="0"/>
        <w:spacing w:after="240" w:line="240" w:lineRule="auto"/>
        <w:ind w:left="0"/>
        <w:jc w:val="both"/>
        <w:rPr>
          <w:rFonts w:asciiTheme="minorHAnsi" w:hAnsiTheme="minorHAnsi" w:cstheme="minorHAnsi"/>
        </w:rPr>
      </w:pPr>
    </w:p>
    <w:p w14:paraId="188C1473" w14:textId="3F11F81E" w:rsidR="00687691" w:rsidRPr="006C66C2" w:rsidRDefault="00936381" w:rsidP="007A7246">
      <w:pPr>
        <w:pStyle w:val="ListParagraph"/>
        <w:numPr>
          <w:ilvl w:val="0"/>
          <w:numId w:val="1"/>
        </w:numPr>
        <w:tabs>
          <w:tab w:val="clear" w:pos="360"/>
        </w:tabs>
        <w:autoSpaceDE w:val="0"/>
        <w:autoSpaceDN w:val="0"/>
        <w:adjustRightInd w:val="0"/>
        <w:spacing w:after="240" w:line="240" w:lineRule="auto"/>
        <w:ind w:left="0" w:firstLine="0"/>
        <w:jc w:val="both"/>
        <w:rPr>
          <w:rFonts w:asciiTheme="minorHAnsi" w:hAnsiTheme="minorHAnsi" w:cstheme="minorHAnsi"/>
          <w:bCs/>
        </w:rPr>
      </w:pPr>
      <w:r w:rsidRPr="00A20F63">
        <w:rPr>
          <w:rFonts w:asciiTheme="minorHAnsi" w:hAnsiTheme="minorHAnsi" w:cstheme="minorHAnsi"/>
          <w:b/>
        </w:rPr>
        <w:t xml:space="preserve">Strengthening the fiscal framework is critical for ensuring that resources are available for spending on </w:t>
      </w:r>
      <w:r w:rsidR="00C14C93" w:rsidRPr="00406280">
        <w:rPr>
          <w:rFonts w:asciiTheme="minorHAnsi" w:hAnsiTheme="minorHAnsi" w:cstheme="minorHAnsi"/>
          <w:b/>
        </w:rPr>
        <w:t>national development pri</w:t>
      </w:r>
      <w:r w:rsidR="00687691" w:rsidRPr="00406280">
        <w:rPr>
          <w:rFonts w:asciiTheme="minorHAnsi" w:hAnsiTheme="minorHAnsi" w:cstheme="minorHAnsi"/>
          <w:b/>
        </w:rPr>
        <w:t>orities</w:t>
      </w:r>
      <w:r w:rsidRPr="00406280">
        <w:rPr>
          <w:rFonts w:asciiTheme="minorHAnsi" w:hAnsiTheme="minorHAnsi" w:cstheme="minorHAnsi"/>
          <w:b/>
        </w:rPr>
        <w:t xml:space="preserve">. </w:t>
      </w:r>
      <w:r w:rsidRPr="00406280">
        <w:rPr>
          <w:rFonts w:asciiTheme="minorHAnsi" w:hAnsiTheme="minorHAnsi" w:cstheme="minorHAnsi"/>
        </w:rPr>
        <w:t xml:space="preserve">Subdued levels of economic activity, particularly during the </w:t>
      </w:r>
      <w:r w:rsidR="00C14C93" w:rsidRPr="00406280">
        <w:rPr>
          <w:rFonts w:asciiTheme="minorHAnsi" w:hAnsiTheme="minorHAnsi" w:cstheme="minorHAnsi"/>
        </w:rPr>
        <w:t>most recent political crisis period (2009-2013)</w:t>
      </w:r>
      <w:r w:rsidR="00906379" w:rsidRPr="00601B29">
        <w:rPr>
          <w:rStyle w:val="FootnoteReference"/>
          <w:rFonts w:asciiTheme="minorHAnsi" w:hAnsiTheme="minorHAnsi" w:cstheme="minorHAnsi"/>
        </w:rPr>
        <w:t xml:space="preserve"> </w:t>
      </w:r>
      <w:r w:rsidR="00906379" w:rsidRPr="00B66802">
        <w:rPr>
          <w:rStyle w:val="FootnoteReference"/>
          <w:rFonts w:asciiTheme="minorHAnsi" w:hAnsiTheme="minorHAnsi" w:cstheme="minorHAnsi"/>
        </w:rPr>
        <w:footnoteReference w:id="3"/>
      </w:r>
      <w:r w:rsidRPr="00B66802">
        <w:rPr>
          <w:rFonts w:asciiTheme="minorHAnsi" w:hAnsiTheme="minorHAnsi" w:cstheme="minorHAnsi"/>
        </w:rPr>
        <w:t xml:space="preserve">, and poor tax administration procedures have resulted in </w:t>
      </w:r>
      <w:r w:rsidR="006D2C2D" w:rsidRPr="00B66802">
        <w:rPr>
          <w:rFonts w:asciiTheme="minorHAnsi" w:hAnsiTheme="minorHAnsi" w:cstheme="minorHAnsi"/>
        </w:rPr>
        <w:t xml:space="preserve">low levels of domestic </w:t>
      </w:r>
      <w:r w:rsidR="009670B0" w:rsidRPr="00BD4A16">
        <w:rPr>
          <w:rFonts w:asciiTheme="minorHAnsi" w:hAnsiTheme="minorHAnsi" w:cstheme="minorHAnsi"/>
        </w:rPr>
        <w:t>revenues</w:t>
      </w:r>
      <w:r w:rsidR="001B39AB" w:rsidRPr="00DC050B">
        <w:rPr>
          <w:rFonts w:asciiTheme="minorHAnsi" w:hAnsiTheme="minorHAnsi" w:cstheme="minorHAnsi"/>
        </w:rPr>
        <w:t>.</w:t>
      </w:r>
      <w:r w:rsidRPr="00DC050B">
        <w:rPr>
          <w:rFonts w:asciiTheme="minorHAnsi" w:hAnsiTheme="minorHAnsi" w:cstheme="minorHAnsi"/>
        </w:rPr>
        <w:t xml:space="preserve"> </w:t>
      </w:r>
      <w:r w:rsidR="006F4F70" w:rsidRPr="00DC050B">
        <w:rPr>
          <w:rFonts w:asciiTheme="minorHAnsi" w:hAnsiTheme="minorHAnsi" w:cstheme="minorHAnsi"/>
        </w:rPr>
        <w:t xml:space="preserve">High levels of transfers to regressive areas of expenditures </w:t>
      </w:r>
      <w:r w:rsidR="00945184" w:rsidRPr="00DC050B">
        <w:rPr>
          <w:rFonts w:asciiTheme="minorHAnsi" w:hAnsiTheme="minorHAnsi" w:cstheme="minorHAnsi"/>
        </w:rPr>
        <w:t xml:space="preserve">such as fuel subsidies and pensions </w:t>
      </w:r>
      <w:r w:rsidR="007A4345" w:rsidRPr="00DC050B">
        <w:rPr>
          <w:rFonts w:asciiTheme="minorHAnsi" w:hAnsiTheme="minorHAnsi" w:cstheme="minorHAnsi"/>
        </w:rPr>
        <w:t xml:space="preserve">have further constrained fiscal space. Building on the reforms supported in the </w:t>
      </w:r>
      <w:r w:rsidR="007A0CA1" w:rsidRPr="00DC050B">
        <w:rPr>
          <w:rFonts w:asciiTheme="minorHAnsi" w:hAnsiTheme="minorHAnsi" w:cstheme="minorHAnsi"/>
        </w:rPr>
        <w:t>Reengagement DPO (</w:t>
      </w:r>
      <w:r w:rsidR="007A0CA1" w:rsidRPr="006C66C2">
        <w:rPr>
          <w:rFonts w:asciiTheme="minorHAnsi" w:hAnsiTheme="minorHAnsi" w:cstheme="minorHAnsi"/>
          <w:bCs/>
        </w:rPr>
        <w:t xml:space="preserve">P150503) in 2014, the </w:t>
      </w:r>
      <w:r w:rsidR="007A4345" w:rsidRPr="006C66C2">
        <w:rPr>
          <w:rFonts w:asciiTheme="minorHAnsi" w:hAnsiTheme="minorHAnsi" w:cstheme="minorHAnsi"/>
        </w:rPr>
        <w:t>Resilience DPO (P153084</w:t>
      </w:r>
      <w:r w:rsidR="007A4345" w:rsidRPr="006C66C2">
        <w:rPr>
          <w:rFonts w:asciiTheme="minorHAnsi" w:hAnsiTheme="minorHAnsi" w:cstheme="minorHAnsi"/>
          <w:bCs/>
        </w:rPr>
        <w:t xml:space="preserve">) </w:t>
      </w:r>
      <w:r w:rsidR="007A4345" w:rsidRPr="006C66C2">
        <w:rPr>
          <w:rFonts w:asciiTheme="minorHAnsi" w:hAnsiTheme="minorHAnsi" w:cstheme="minorHAnsi"/>
        </w:rPr>
        <w:t xml:space="preserve">in 2015 and PFSI DPO1, the authorities </w:t>
      </w:r>
      <w:r w:rsidR="008A39AA" w:rsidRPr="006C66C2">
        <w:rPr>
          <w:rFonts w:asciiTheme="minorHAnsi" w:hAnsiTheme="minorHAnsi" w:cstheme="minorHAnsi"/>
        </w:rPr>
        <w:t xml:space="preserve">have </w:t>
      </w:r>
      <w:r w:rsidR="007A0CA1" w:rsidRPr="006C66C2">
        <w:rPr>
          <w:rFonts w:asciiTheme="minorHAnsi" w:hAnsiTheme="minorHAnsi" w:cstheme="minorHAnsi"/>
        </w:rPr>
        <w:t>made significant headway in the reform agenda. Fuel subsidies have been eliminat</w:t>
      </w:r>
      <w:r w:rsidR="008A39AA" w:rsidRPr="00A20F63">
        <w:rPr>
          <w:rFonts w:asciiTheme="minorHAnsi" w:hAnsiTheme="minorHAnsi" w:cstheme="minorHAnsi"/>
        </w:rPr>
        <w:t>ed</w:t>
      </w:r>
      <w:r w:rsidR="007A0CA1" w:rsidRPr="00A20F63">
        <w:rPr>
          <w:rFonts w:asciiTheme="minorHAnsi" w:hAnsiTheme="minorHAnsi" w:cstheme="minorHAnsi"/>
        </w:rPr>
        <w:t xml:space="preserve">, the transfer to the </w:t>
      </w:r>
      <w:r w:rsidR="00945184" w:rsidRPr="00A20F63">
        <w:rPr>
          <w:rFonts w:asciiTheme="minorHAnsi" w:hAnsiTheme="minorHAnsi" w:cstheme="minorHAnsi"/>
        </w:rPr>
        <w:t>Pension Fund</w:t>
      </w:r>
      <w:r w:rsidR="007A0CA1" w:rsidRPr="00A20F63">
        <w:rPr>
          <w:rFonts w:asciiTheme="minorHAnsi" w:hAnsiTheme="minorHAnsi" w:cstheme="minorHAnsi"/>
        </w:rPr>
        <w:t xml:space="preserve"> reduced, and revenue collection has been steadily increasing. </w:t>
      </w:r>
      <w:r w:rsidR="00AA3043" w:rsidRPr="00A20F63">
        <w:rPr>
          <w:rFonts w:asciiTheme="minorHAnsi" w:hAnsiTheme="minorHAnsi" w:cstheme="minorHAnsi"/>
        </w:rPr>
        <w:t xml:space="preserve">Reforms supported under the PFSI programmatic DPO series are expected to increase tax revenues by </w:t>
      </w:r>
      <w:r w:rsidR="00DF5813" w:rsidRPr="00A20F63">
        <w:rPr>
          <w:rFonts w:asciiTheme="minorHAnsi" w:hAnsiTheme="minorHAnsi" w:cstheme="minorHAnsi"/>
        </w:rPr>
        <w:t>0.</w:t>
      </w:r>
      <w:r w:rsidR="00C145C0">
        <w:rPr>
          <w:rFonts w:asciiTheme="minorHAnsi" w:hAnsiTheme="minorHAnsi" w:cstheme="minorHAnsi"/>
        </w:rPr>
        <w:t>6</w:t>
      </w:r>
      <w:r w:rsidR="00C145C0" w:rsidRPr="00A20F63">
        <w:rPr>
          <w:rFonts w:asciiTheme="minorHAnsi" w:hAnsiTheme="minorHAnsi" w:cstheme="minorHAnsi"/>
        </w:rPr>
        <w:t xml:space="preserve"> </w:t>
      </w:r>
      <w:r w:rsidR="00DF5813" w:rsidRPr="00A20F63">
        <w:rPr>
          <w:rFonts w:asciiTheme="minorHAnsi" w:hAnsiTheme="minorHAnsi" w:cstheme="minorHAnsi"/>
        </w:rPr>
        <w:t>percent of</w:t>
      </w:r>
      <w:r w:rsidR="006C66C2">
        <w:rPr>
          <w:rFonts w:asciiTheme="minorHAnsi" w:hAnsiTheme="minorHAnsi" w:cstheme="minorHAnsi"/>
        </w:rPr>
        <w:t xml:space="preserve"> gross domestic product</w:t>
      </w:r>
      <w:r w:rsidR="00DF5813" w:rsidRPr="006C66C2">
        <w:rPr>
          <w:rFonts w:asciiTheme="minorHAnsi" w:hAnsiTheme="minorHAnsi" w:cstheme="minorHAnsi"/>
        </w:rPr>
        <w:t xml:space="preserve"> </w:t>
      </w:r>
      <w:r w:rsidR="006C66C2">
        <w:rPr>
          <w:rFonts w:asciiTheme="minorHAnsi" w:hAnsiTheme="minorHAnsi" w:cstheme="minorHAnsi"/>
        </w:rPr>
        <w:t>(</w:t>
      </w:r>
      <w:r w:rsidR="00DF5813" w:rsidRPr="006C66C2">
        <w:rPr>
          <w:rFonts w:asciiTheme="minorHAnsi" w:hAnsiTheme="minorHAnsi" w:cstheme="minorHAnsi"/>
        </w:rPr>
        <w:t>GDP</w:t>
      </w:r>
      <w:r w:rsidR="006C66C2">
        <w:rPr>
          <w:rFonts w:asciiTheme="minorHAnsi" w:hAnsiTheme="minorHAnsi" w:cstheme="minorHAnsi"/>
        </w:rPr>
        <w:t>)</w:t>
      </w:r>
      <w:r w:rsidR="00AA3043" w:rsidRPr="006C66C2">
        <w:rPr>
          <w:rFonts w:asciiTheme="minorHAnsi" w:hAnsiTheme="minorHAnsi" w:cstheme="minorHAnsi"/>
        </w:rPr>
        <w:t xml:space="preserve"> and </w:t>
      </w:r>
      <w:r w:rsidR="00424299" w:rsidRPr="006C66C2">
        <w:rPr>
          <w:rFonts w:asciiTheme="minorHAnsi" w:hAnsiTheme="minorHAnsi" w:cstheme="minorHAnsi"/>
        </w:rPr>
        <w:t>reduce regressive expenditures by</w:t>
      </w:r>
      <w:r w:rsidR="00945184" w:rsidRPr="006C66C2">
        <w:rPr>
          <w:rFonts w:asciiTheme="minorHAnsi" w:hAnsiTheme="minorHAnsi" w:cstheme="minorHAnsi"/>
        </w:rPr>
        <w:t xml:space="preserve"> </w:t>
      </w:r>
      <w:r w:rsidR="00D71C1B" w:rsidRPr="006C66C2">
        <w:rPr>
          <w:rFonts w:asciiTheme="minorHAnsi" w:hAnsiTheme="minorHAnsi" w:cstheme="minorHAnsi"/>
        </w:rPr>
        <w:t>0.8</w:t>
      </w:r>
      <w:r w:rsidR="00945184" w:rsidRPr="006C66C2">
        <w:rPr>
          <w:rFonts w:asciiTheme="minorHAnsi" w:hAnsiTheme="minorHAnsi" w:cstheme="minorHAnsi"/>
        </w:rPr>
        <w:t xml:space="preserve"> percent of GDP</w:t>
      </w:r>
      <w:r w:rsidR="0048137D" w:rsidRPr="006C66C2">
        <w:rPr>
          <w:rFonts w:asciiTheme="minorHAnsi" w:hAnsiTheme="minorHAnsi" w:cstheme="minorHAnsi"/>
        </w:rPr>
        <w:t xml:space="preserve">. </w:t>
      </w:r>
    </w:p>
    <w:p w14:paraId="0D0B7643" w14:textId="77777777" w:rsidR="00936381" w:rsidRPr="006C66C2" w:rsidRDefault="00936381" w:rsidP="007A7246">
      <w:pPr>
        <w:pStyle w:val="ListParagraph"/>
        <w:rPr>
          <w:rFonts w:asciiTheme="minorHAnsi" w:hAnsiTheme="minorHAnsi" w:cstheme="minorHAnsi"/>
          <w:bCs/>
        </w:rPr>
      </w:pPr>
    </w:p>
    <w:p w14:paraId="11834820" w14:textId="57A1521C" w:rsidR="00936381" w:rsidRPr="00DC050B" w:rsidRDefault="00936381" w:rsidP="007A7246">
      <w:pPr>
        <w:pStyle w:val="ListParagraph"/>
        <w:numPr>
          <w:ilvl w:val="0"/>
          <w:numId w:val="1"/>
        </w:numPr>
        <w:tabs>
          <w:tab w:val="num" w:pos="0"/>
        </w:tabs>
        <w:autoSpaceDE w:val="0"/>
        <w:autoSpaceDN w:val="0"/>
        <w:adjustRightInd w:val="0"/>
        <w:spacing w:after="240" w:line="240" w:lineRule="auto"/>
        <w:ind w:left="0" w:firstLine="0"/>
        <w:jc w:val="both"/>
        <w:rPr>
          <w:rFonts w:asciiTheme="minorHAnsi" w:hAnsiTheme="minorHAnsi" w:cstheme="minorHAnsi"/>
        </w:rPr>
      </w:pPr>
      <w:r w:rsidRPr="00A20F63">
        <w:rPr>
          <w:rFonts w:asciiTheme="minorHAnsi" w:hAnsiTheme="minorHAnsi" w:cstheme="minorHAnsi"/>
          <w:b/>
          <w:bCs/>
        </w:rPr>
        <w:t>Improving the investment climate is fundamental for stimulating private sector led growth</w:t>
      </w:r>
      <w:r w:rsidR="00F25277" w:rsidRPr="00A20F63">
        <w:rPr>
          <w:rFonts w:asciiTheme="minorHAnsi" w:hAnsiTheme="minorHAnsi" w:cstheme="minorHAnsi"/>
          <w:b/>
          <w:bCs/>
        </w:rPr>
        <w:t xml:space="preserve">. </w:t>
      </w:r>
      <w:r w:rsidR="00F25277" w:rsidRPr="00A20F63">
        <w:rPr>
          <w:rFonts w:asciiTheme="minorHAnsi" w:hAnsiTheme="minorHAnsi" w:cstheme="minorHAnsi"/>
          <w:bCs/>
        </w:rPr>
        <w:t xml:space="preserve">As discussed in the Country Partnership Framework </w:t>
      </w:r>
      <w:r w:rsidR="00A46F16">
        <w:rPr>
          <w:rFonts w:asciiTheme="minorHAnsi" w:hAnsiTheme="minorHAnsi" w:cstheme="minorHAnsi"/>
          <w:bCs/>
        </w:rPr>
        <w:t>(CPF</w:t>
      </w:r>
      <w:r w:rsidR="00442B64">
        <w:rPr>
          <w:rFonts w:asciiTheme="minorHAnsi" w:hAnsiTheme="minorHAnsi" w:cstheme="minorHAnsi"/>
          <w:bCs/>
        </w:rPr>
        <w:t xml:space="preserve"> - </w:t>
      </w:r>
      <w:r w:rsidR="00442B64" w:rsidRPr="00A20F63">
        <w:rPr>
          <w:rFonts w:asciiTheme="minorHAnsi" w:hAnsiTheme="minorHAnsi" w:cstheme="minorHAnsi"/>
          <w:bCs/>
        </w:rPr>
        <w:t>2017-202</w:t>
      </w:r>
      <w:r w:rsidR="00442B64">
        <w:rPr>
          <w:rFonts w:asciiTheme="minorHAnsi" w:hAnsiTheme="minorHAnsi" w:cstheme="minorHAnsi"/>
          <w:bCs/>
        </w:rPr>
        <w:t>1</w:t>
      </w:r>
      <w:r w:rsidR="00A46F16">
        <w:rPr>
          <w:rFonts w:asciiTheme="minorHAnsi" w:hAnsiTheme="minorHAnsi" w:cstheme="minorHAnsi"/>
          <w:bCs/>
        </w:rPr>
        <w:t>)</w:t>
      </w:r>
      <w:r w:rsidR="00F25277" w:rsidRPr="00A20F63">
        <w:rPr>
          <w:rFonts w:asciiTheme="minorHAnsi" w:hAnsiTheme="minorHAnsi" w:cstheme="minorHAnsi"/>
          <w:bCs/>
        </w:rPr>
        <w:t>,</w:t>
      </w:r>
      <w:r w:rsidR="00892986" w:rsidRPr="00A20F63">
        <w:rPr>
          <w:rFonts w:asciiTheme="minorHAnsi" w:hAnsiTheme="minorHAnsi" w:cstheme="minorHAnsi"/>
          <w:bCs/>
        </w:rPr>
        <w:t xml:space="preserve"> Madagascar is an island nation blessed with many assets. The country has a population of 24 million, of which more than two-thirds are under 25 years and largely literate. A small but reasonably diversified private sector has the potential to thrive, but this has</w:t>
      </w:r>
      <w:r w:rsidR="008952E4" w:rsidRPr="00A20F63">
        <w:rPr>
          <w:rFonts w:asciiTheme="minorHAnsi" w:hAnsiTheme="minorHAnsi" w:cstheme="minorHAnsi"/>
          <w:bCs/>
        </w:rPr>
        <w:t xml:space="preserve"> been limited by poor access to electricity, high costs of credit and weaknesses in enforcing contracts</w:t>
      </w:r>
      <w:r w:rsidR="00F25277" w:rsidRPr="00A20F63">
        <w:rPr>
          <w:rFonts w:asciiTheme="minorHAnsi" w:hAnsiTheme="minorHAnsi" w:cstheme="minorHAnsi"/>
          <w:bCs/>
        </w:rPr>
        <w:t>.</w:t>
      </w:r>
      <w:r w:rsidR="008952E4" w:rsidRPr="00B66802">
        <w:rPr>
          <w:rStyle w:val="FootnoteReference"/>
          <w:rFonts w:asciiTheme="minorHAnsi" w:hAnsiTheme="minorHAnsi" w:cstheme="minorHAnsi"/>
        </w:rPr>
        <w:footnoteReference w:id="4"/>
      </w:r>
      <w:r w:rsidR="00F25277" w:rsidRPr="00B66802">
        <w:rPr>
          <w:rFonts w:asciiTheme="minorHAnsi" w:hAnsiTheme="minorHAnsi" w:cstheme="minorHAnsi"/>
          <w:bCs/>
        </w:rPr>
        <w:t xml:space="preserve"> </w:t>
      </w:r>
      <w:r w:rsidR="002B3FD5" w:rsidRPr="00BD4A16">
        <w:rPr>
          <w:rFonts w:asciiTheme="minorHAnsi" w:hAnsiTheme="minorHAnsi" w:cstheme="minorHAnsi"/>
          <w:bCs/>
        </w:rPr>
        <w:t>As of the last enterprise survey (2013)</w:t>
      </w:r>
      <w:r w:rsidR="008952E4" w:rsidRPr="00DC050B">
        <w:rPr>
          <w:rStyle w:val="FootnoteReference"/>
          <w:rFonts w:asciiTheme="minorHAnsi" w:hAnsiTheme="minorHAnsi" w:cstheme="minorHAnsi"/>
        </w:rPr>
        <w:t xml:space="preserve"> </w:t>
      </w:r>
      <w:r w:rsidR="002B3FD5" w:rsidRPr="00DC050B">
        <w:rPr>
          <w:rFonts w:asciiTheme="minorHAnsi" w:hAnsiTheme="minorHAnsi" w:cstheme="minorHAnsi"/>
          <w:bCs/>
        </w:rPr>
        <w:t xml:space="preserve">firms reported </w:t>
      </w:r>
      <w:r w:rsidR="006F3108">
        <w:rPr>
          <w:rFonts w:asciiTheme="minorHAnsi" w:hAnsiTheme="minorHAnsi" w:cstheme="minorHAnsi"/>
          <w:bCs/>
        </w:rPr>
        <w:t xml:space="preserve">lack of access to </w:t>
      </w:r>
      <w:r w:rsidR="002B3FD5" w:rsidRPr="00DC050B">
        <w:rPr>
          <w:rFonts w:asciiTheme="minorHAnsi" w:hAnsiTheme="minorHAnsi" w:cstheme="minorHAnsi"/>
          <w:bCs/>
        </w:rPr>
        <w:t xml:space="preserve">electricity to be the biggest constraint to their business after political </w:t>
      </w:r>
      <w:r w:rsidR="006F3108">
        <w:rPr>
          <w:rFonts w:asciiTheme="minorHAnsi" w:hAnsiTheme="minorHAnsi" w:cstheme="minorHAnsi"/>
          <w:bCs/>
        </w:rPr>
        <w:t>in</w:t>
      </w:r>
      <w:r w:rsidR="002B3FD5" w:rsidRPr="00DC050B">
        <w:rPr>
          <w:rFonts w:asciiTheme="minorHAnsi" w:hAnsiTheme="minorHAnsi" w:cstheme="minorHAnsi"/>
          <w:bCs/>
        </w:rPr>
        <w:t xml:space="preserve">stability, reflecting unreliable and expensive </w:t>
      </w:r>
      <w:r w:rsidR="002B3FD5" w:rsidRPr="00DC050B">
        <w:rPr>
          <w:rFonts w:asciiTheme="minorHAnsi" w:hAnsiTheme="minorHAnsi" w:cstheme="minorHAnsi"/>
          <w:bCs/>
        </w:rPr>
        <w:lastRenderedPageBreak/>
        <w:t>electricity supply from</w:t>
      </w:r>
      <w:r w:rsidR="00A20F63">
        <w:rPr>
          <w:rFonts w:asciiTheme="minorHAnsi" w:hAnsiTheme="minorHAnsi" w:cstheme="minorHAnsi"/>
          <w:bCs/>
        </w:rPr>
        <w:t xml:space="preserve"> </w:t>
      </w:r>
      <w:r w:rsidR="00A20F63" w:rsidRPr="00CD4D5E">
        <w:rPr>
          <w:rFonts w:asciiTheme="minorHAnsi" w:hAnsiTheme="minorHAnsi" w:cstheme="minorHAnsi"/>
          <w:i/>
        </w:rPr>
        <w:t>Jiro sy Rano Malagasy</w:t>
      </w:r>
      <w:r w:rsidR="00A20F63" w:rsidRPr="00A20F63">
        <w:rPr>
          <w:rFonts w:asciiTheme="minorHAnsi" w:hAnsiTheme="minorHAnsi" w:cstheme="minorHAnsi"/>
        </w:rPr>
        <w:t xml:space="preserve"> </w:t>
      </w:r>
      <w:r w:rsidR="00A20F63">
        <w:rPr>
          <w:rFonts w:asciiTheme="minorHAnsi" w:hAnsiTheme="minorHAnsi" w:cstheme="minorHAnsi"/>
        </w:rPr>
        <w:t>(</w:t>
      </w:r>
      <w:r w:rsidR="00A20F63" w:rsidRPr="00A20F63">
        <w:rPr>
          <w:rFonts w:asciiTheme="minorHAnsi" w:hAnsiTheme="minorHAnsi" w:cstheme="minorHAnsi"/>
        </w:rPr>
        <w:t>State-Owned Electricity and Water Compa</w:t>
      </w:r>
      <w:r w:rsidR="00A20F63">
        <w:rPr>
          <w:rFonts w:asciiTheme="minorHAnsi" w:hAnsiTheme="minorHAnsi" w:cstheme="minorHAnsi"/>
        </w:rPr>
        <w:t>ny (</w:t>
      </w:r>
      <w:r w:rsidR="002B3FD5" w:rsidRPr="00DC050B">
        <w:rPr>
          <w:rFonts w:asciiTheme="minorHAnsi" w:hAnsiTheme="minorHAnsi" w:cstheme="minorHAnsi"/>
          <w:bCs/>
        </w:rPr>
        <w:t>JIRAMA</w:t>
      </w:r>
      <w:r w:rsidR="00A20F63">
        <w:rPr>
          <w:rFonts w:asciiTheme="minorHAnsi" w:hAnsiTheme="minorHAnsi" w:cstheme="minorHAnsi"/>
          <w:bCs/>
        </w:rPr>
        <w:t>)</w:t>
      </w:r>
      <w:r w:rsidR="002B3FD5" w:rsidRPr="00DC050B">
        <w:rPr>
          <w:rFonts w:asciiTheme="minorHAnsi" w:hAnsiTheme="minorHAnsi" w:cstheme="minorHAnsi"/>
          <w:bCs/>
        </w:rPr>
        <w:t>. An unreliable judicial system has compromised the fairness of resolving commercial</w:t>
      </w:r>
      <w:r w:rsidR="00D36F09" w:rsidRPr="00DC050B">
        <w:rPr>
          <w:rFonts w:asciiTheme="minorHAnsi" w:hAnsiTheme="minorHAnsi" w:cstheme="minorHAnsi"/>
          <w:bCs/>
        </w:rPr>
        <w:t xml:space="preserve"> disputes, and increase</w:t>
      </w:r>
      <w:r w:rsidR="00177D49" w:rsidRPr="006C66C2">
        <w:rPr>
          <w:rFonts w:asciiTheme="minorHAnsi" w:hAnsiTheme="minorHAnsi" w:cstheme="minorHAnsi"/>
          <w:bCs/>
        </w:rPr>
        <w:t>d</w:t>
      </w:r>
      <w:r w:rsidR="00D36F09" w:rsidRPr="006C66C2">
        <w:rPr>
          <w:rFonts w:asciiTheme="minorHAnsi" w:hAnsiTheme="minorHAnsi" w:cstheme="minorHAnsi"/>
          <w:bCs/>
        </w:rPr>
        <w:t xml:space="preserve"> the cost of doing business.</w:t>
      </w:r>
      <w:r w:rsidR="004F1037" w:rsidRPr="00B66802">
        <w:rPr>
          <w:rStyle w:val="FootnoteReference"/>
          <w:rFonts w:asciiTheme="minorHAnsi" w:hAnsiTheme="minorHAnsi" w:cstheme="minorHAnsi"/>
          <w:bCs/>
        </w:rPr>
        <w:footnoteReference w:id="5"/>
      </w:r>
      <w:r w:rsidR="00D36F09" w:rsidRPr="00B66802">
        <w:rPr>
          <w:rFonts w:asciiTheme="minorHAnsi" w:hAnsiTheme="minorHAnsi" w:cstheme="minorHAnsi"/>
          <w:bCs/>
        </w:rPr>
        <w:t xml:space="preserve"> </w:t>
      </w:r>
      <w:r w:rsidR="00C2698C" w:rsidRPr="00B66802">
        <w:rPr>
          <w:rFonts w:asciiTheme="minorHAnsi" w:hAnsiTheme="minorHAnsi" w:cstheme="minorHAnsi"/>
          <w:bCs/>
        </w:rPr>
        <w:t xml:space="preserve">And </w:t>
      </w:r>
      <w:r w:rsidR="008952E4" w:rsidRPr="00B66802">
        <w:rPr>
          <w:rFonts w:asciiTheme="minorHAnsi" w:hAnsiTheme="minorHAnsi" w:cstheme="minorHAnsi"/>
          <w:bCs/>
        </w:rPr>
        <w:t>the stability of the financial sector has been compromised by a rapidly growing microfinance sector, which has led to the deterioration of portfolio quality.</w:t>
      </w:r>
      <w:r w:rsidR="008952E4" w:rsidRPr="00BD4A16">
        <w:rPr>
          <w:rFonts w:asciiTheme="minorHAnsi" w:hAnsiTheme="minorHAnsi" w:cstheme="minorHAnsi"/>
        </w:rPr>
        <w:t xml:space="preserve"> </w:t>
      </w:r>
      <w:r w:rsidR="00C02365" w:rsidRPr="00DC050B">
        <w:rPr>
          <w:rFonts w:asciiTheme="minorHAnsi" w:hAnsiTheme="minorHAnsi" w:cstheme="minorHAnsi"/>
        </w:rPr>
        <w:t>Reforms under DPO2 seek to build on the achievements in the first year of this programmatic operation by improving JIRAMA’s procureme</w:t>
      </w:r>
      <w:r w:rsidR="00BC6D62" w:rsidRPr="00DC050B">
        <w:rPr>
          <w:rFonts w:asciiTheme="minorHAnsi" w:hAnsiTheme="minorHAnsi" w:cstheme="minorHAnsi"/>
        </w:rPr>
        <w:t xml:space="preserve">nt practices, reducing the number of days needed to resolve commercial cases, and improving the stability of the microfinance banking sector. </w:t>
      </w:r>
    </w:p>
    <w:p w14:paraId="4F49704F" w14:textId="77777777" w:rsidR="00BC6D62" w:rsidRPr="006C66C2" w:rsidRDefault="00BC6D62" w:rsidP="007A7246">
      <w:pPr>
        <w:pStyle w:val="ListParagraph"/>
        <w:autoSpaceDE w:val="0"/>
        <w:autoSpaceDN w:val="0"/>
        <w:adjustRightInd w:val="0"/>
        <w:spacing w:after="240" w:line="240" w:lineRule="auto"/>
        <w:ind w:left="0"/>
        <w:jc w:val="both"/>
        <w:rPr>
          <w:rFonts w:asciiTheme="minorHAnsi" w:hAnsiTheme="minorHAnsi" w:cstheme="minorHAnsi"/>
        </w:rPr>
      </w:pPr>
    </w:p>
    <w:p w14:paraId="7472B21D" w14:textId="1C501172" w:rsidR="00936381" w:rsidRPr="00B66802" w:rsidRDefault="007969AF" w:rsidP="007A7246">
      <w:pPr>
        <w:pStyle w:val="ListParagraph"/>
        <w:numPr>
          <w:ilvl w:val="0"/>
          <w:numId w:val="1"/>
        </w:numPr>
        <w:tabs>
          <w:tab w:val="clear" w:pos="360"/>
          <w:tab w:val="num" w:pos="0"/>
        </w:tabs>
        <w:autoSpaceDE w:val="0"/>
        <w:autoSpaceDN w:val="0"/>
        <w:adjustRightInd w:val="0"/>
        <w:spacing w:after="240" w:line="240" w:lineRule="auto"/>
        <w:ind w:left="0" w:firstLine="0"/>
        <w:jc w:val="both"/>
        <w:rPr>
          <w:rFonts w:asciiTheme="minorHAnsi" w:hAnsiTheme="minorHAnsi" w:cstheme="minorHAnsi"/>
        </w:rPr>
      </w:pPr>
      <w:r w:rsidRPr="006C66C2">
        <w:rPr>
          <w:rFonts w:asciiTheme="minorHAnsi" w:hAnsiTheme="minorHAnsi" w:cstheme="minorHAnsi"/>
          <w:b/>
        </w:rPr>
        <w:t>R</w:t>
      </w:r>
      <w:r w:rsidR="00936381" w:rsidRPr="006C66C2">
        <w:rPr>
          <w:rFonts w:asciiTheme="minorHAnsi" w:hAnsiTheme="minorHAnsi" w:cstheme="minorHAnsi"/>
          <w:b/>
        </w:rPr>
        <w:t xml:space="preserve">eforms to the fiscal framework and the investment climate </w:t>
      </w:r>
      <w:r w:rsidR="00926EAE" w:rsidRPr="006C66C2">
        <w:rPr>
          <w:rFonts w:asciiTheme="minorHAnsi" w:hAnsiTheme="minorHAnsi" w:cstheme="minorHAnsi"/>
          <w:b/>
        </w:rPr>
        <w:t>are expected</w:t>
      </w:r>
      <w:r w:rsidR="00936381" w:rsidRPr="00A20F63">
        <w:rPr>
          <w:rFonts w:asciiTheme="minorHAnsi" w:hAnsiTheme="minorHAnsi" w:cstheme="minorHAnsi"/>
          <w:b/>
        </w:rPr>
        <w:t xml:space="preserve"> to stimulate the broad-based growth necessary for addressing Madagascar’s deep levels of poverty.</w:t>
      </w:r>
      <w:r w:rsidR="00936381" w:rsidRPr="00A20F63">
        <w:rPr>
          <w:rFonts w:asciiTheme="minorHAnsi" w:hAnsiTheme="minorHAnsi" w:cstheme="minorHAnsi"/>
        </w:rPr>
        <w:t xml:space="preserve"> </w:t>
      </w:r>
      <w:r w:rsidR="00936381" w:rsidRPr="00A20F63">
        <w:rPr>
          <w:rFonts w:asciiTheme="minorHAnsi" w:hAnsiTheme="minorHAnsi" w:cstheme="minorHAnsi"/>
          <w:color w:val="000000"/>
        </w:rPr>
        <w:t xml:space="preserve">Since 2001, there have been two political crises, disruptions in access to markets for textiles and manufacturing exports, severe climatic shocks, and global food price fluctuations. Against this backdrop, the headcount poverty rate declined slightly over the 2001-2012 period, but it remains exceedingly high at 70.7 percent in 2012. </w:t>
      </w:r>
      <w:r w:rsidR="00936381" w:rsidRPr="00A20F63">
        <w:rPr>
          <w:rFonts w:asciiTheme="minorHAnsi" w:hAnsiTheme="minorHAnsi" w:cstheme="minorHAnsi"/>
        </w:rPr>
        <w:t>In 2012</w:t>
      </w:r>
      <w:r w:rsidR="00936381" w:rsidRPr="00B66802">
        <w:rPr>
          <w:rStyle w:val="FootnoteReference"/>
          <w:rFonts w:asciiTheme="minorHAnsi" w:hAnsiTheme="minorHAnsi" w:cstheme="minorHAnsi"/>
        </w:rPr>
        <w:footnoteReference w:id="6"/>
      </w:r>
      <w:r w:rsidR="00936381" w:rsidRPr="00B66802">
        <w:rPr>
          <w:rFonts w:asciiTheme="minorHAnsi" w:hAnsiTheme="minorHAnsi" w:cstheme="minorHAnsi"/>
        </w:rPr>
        <w:t xml:space="preserve">, only 30 percent of Malagasy lived above the national poverty line and only 10 percent above the international poverty line. Inequality is defined not by an excessive concentration of wealth for a few but by deep poverty, where the average Malagasy consumes 46 percent less than a person living right at the national poverty </w:t>
      </w:r>
      <w:r w:rsidR="00936381" w:rsidRPr="00BD4A16">
        <w:rPr>
          <w:rFonts w:asciiTheme="minorHAnsi" w:hAnsiTheme="minorHAnsi" w:cstheme="minorHAnsi"/>
        </w:rPr>
        <w:t>line.</w:t>
      </w:r>
      <w:r w:rsidR="000734FD" w:rsidRPr="00DC050B">
        <w:rPr>
          <w:rFonts w:asciiTheme="minorHAnsi" w:hAnsiTheme="minorHAnsi" w:cstheme="minorHAnsi"/>
        </w:rPr>
        <w:t xml:space="preserve"> Various factors have entrenched poverty in Madagascar. The latest Poverty Assessment of 2016 found that access to electricity is one of the most important predictors of higher consumption levels among the poor.</w:t>
      </w:r>
      <w:r w:rsidR="000734FD" w:rsidRPr="00B66802">
        <w:rPr>
          <w:rStyle w:val="FootnoteReference"/>
          <w:rFonts w:asciiTheme="minorHAnsi" w:hAnsiTheme="minorHAnsi" w:cstheme="minorHAnsi"/>
        </w:rPr>
        <w:footnoteReference w:id="7"/>
      </w:r>
      <w:r w:rsidR="000734FD" w:rsidRPr="00B66802">
        <w:rPr>
          <w:rFonts w:asciiTheme="minorHAnsi" w:hAnsiTheme="minorHAnsi" w:cstheme="minorHAnsi"/>
        </w:rPr>
        <w:t xml:space="preserve"> </w:t>
      </w:r>
    </w:p>
    <w:p w14:paraId="6F27EF1B" w14:textId="7866A403" w:rsidR="00936381" w:rsidRPr="00BD4A16" w:rsidRDefault="00936381" w:rsidP="00936381">
      <w:pPr>
        <w:pStyle w:val="ListParagraph"/>
        <w:rPr>
          <w:rFonts w:asciiTheme="minorHAnsi" w:hAnsiTheme="minorHAnsi" w:cstheme="minorHAnsi"/>
        </w:rPr>
      </w:pPr>
    </w:p>
    <w:p w14:paraId="2A1EC3A9" w14:textId="52695C56" w:rsidR="005313E5" w:rsidRPr="00A20F63" w:rsidRDefault="006E4234" w:rsidP="007A7246">
      <w:pPr>
        <w:pStyle w:val="ListParagraph"/>
        <w:numPr>
          <w:ilvl w:val="0"/>
          <w:numId w:val="1"/>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DC050B">
        <w:rPr>
          <w:rFonts w:asciiTheme="minorHAnsi" w:hAnsiTheme="minorHAnsi" w:cstheme="minorHAnsi"/>
          <w:b/>
        </w:rPr>
        <w:t>Th</w:t>
      </w:r>
      <w:r w:rsidR="007A0CA1" w:rsidRPr="00DC050B">
        <w:rPr>
          <w:rFonts w:asciiTheme="minorHAnsi" w:hAnsiTheme="minorHAnsi" w:cstheme="minorHAnsi"/>
          <w:b/>
        </w:rPr>
        <w:t>is</w:t>
      </w:r>
      <w:r w:rsidRPr="00DC050B">
        <w:rPr>
          <w:rFonts w:asciiTheme="minorHAnsi" w:hAnsiTheme="minorHAnsi" w:cstheme="minorHAnsi"/>
          <w:b/>
        </w:rPr>
        <w:t xml:space="preserve"> DPO </w:t>
      </w:r>
      <w:r w:rsidR="008945C7" w:rsidRPr="006C66C2">
        <w:rPr>
          <w:rFonts w:asciiTheme="minorHAnsi" w:hAnsiTheme="minorHAnsi" w:cstheme="minorHAnsi"/>
          <w:b/>
        </w:rPr>
        <w:t>series</w:t>
      </w:r>
      <w:r w:rsidRPr="006C66C2">
        <w:rPr>
          <w:rFonts w:asciiTheme="minorHAnsi" w:hAnsiTheme="minorHAnsi" w:cstheme="minorHAnsi"/>
          <w:b/>
        </w:rPr>
        <w:t xml:space="preserve"> supports</w:t>
      </w:r>
      <w:r w:rsidR="0038452D" w:rsidRPr="006C66C2">
        <w:rPr>
          <w:rFonts w:asciiTheme="minorHAnsi" w:hAnsiTheme="minorHAnsi" w:cstheme="minorHAnsi"/>
          <w:b/>
        </w:rPr>
        <w:t xml:space="preserve"> a comprehensive program of reform outlined in the </w:t>
      </w:r>
      <w:r w:rsidRPr="006C66C2">
        <w:rPr>
          <w:rFonts w:asciiTheme="minorHAnsi" w:hAnsiTheme="minorHAnsi" w:cstheme="minorHAnsi"/>
          <w:b/>
        </w:rPr>
        <w:t>Government’s</w:t>
      </w:r>
      <w:r w:rsidR="0038452D" w:rsidRPr="006C66C2">
        <w:rPr>
          <w:rFonts w:asciiTheme="minorHAnsi" w:hAnsiTheme="minorHAnsi" w:cstheme="minorHAnsi"/>
          <w:b/>
        </w:rPr>
        <w:t xml:space="preserve"> Economic Development </w:t>
      </w:r>
      <w:r w:rsidR="005313E5" w:rsidRPr="006C66C2">
        <w:rPr>
          <w:rFonts w:asciiTheme="minorHAnsi" w:hAnsiTheme="minorHAnsi" w:cstheme="minorHAnsi"/>
          <w:b/>
        </w:rPr>
        <w:t>Paper</w:t>
      </w:r>
      <w:r w:rsidR="0038452D" w:rsidRPr="006C66C2">
        <w:rPr>
          <w:rFonts w:asciiTheme="minorHAnsi" w:hAnsiTheme="minorHAnsi" w:cstheme="minorHAnsi"/>
          <w:b/>
        </w:rPr>
        <w:t xml:space="preserve"> (2017-2019)</w:t>
      </w:r>
      <w:r w:rsidRPr="00A20F63">
        <w:rPr>
          <w:rFonts w:asciiTheme="minorHAnsi" w:hAnsiTheme="minorHAnsi" w:cstheme="minorHAnsi"/>
          <w:b/>
        </w:rPr>
        <w:t>.</w:t>
      </w:r>
      <w:r w:rsidRPr="00A20F63">
        <w:rPr>
          <w:rFonts w:asciiTheme="minorHAnsi" w:hAnsiTheme="minorHAnsi" w:cstheme="minorHAnsi"/>
        </w:rPr>
        <w:t xml:space="preserve"> The reforms under this programmatic operation </w:t>
      </w:r>
      <w:r w:rsidR="00D107E4" w:rsidRPr="00A20F63">
        <w:rPr>
          <w:rFonts w:asciiTheme="minorHAnsi" w:hAnsiTheme="minorHAnsi" w:cstheme="minorHAnsi"/>
        </w:rPr>
        <w:t>support th</w:t>
      </w:r>
      <w:r w:rsidRPr="00A20F63">
        <w:rPr>
          <w:rFonts w:asciiTheme="minorHAnsi" w:hAnsiTheme="minorHAnsi" w:cstheme="minorHAnsi"/>
        </w:rPr>
        <w:t xml:space="preserve">e implementation of </w:t>
      </w:r>
      <w:r w:rsidR="00D107E4" w:rsidRPr="00A20F63">
        <w:rPr>
          <w:rFonts w:asciiTheme="minorHAnsi" w:hAnsiTheme="minorHAnsi" w:cstheme="minorHAnsi"/>
        </w:rPr>
        <w:t xml:space="preserve">the Economic Development </w:t>
      </w:r>
      <w:r w:rsidR="005313E5" w:rsidRPr="00A20F63">
        <w:rPr>
          <w:rFonts w:asciiTheme="minorHAnsi" w:hAnsiTheme="minorHAnsi" w:cstheme="minorHAnsi"/>
        </w:rPr>
        <w:t>Paper</w:t>
      </w:r>
      <w:r w:rsidR="00D107E4" w:rsidRPr="00A20F63">
        <w:rPr>
          <w:rFonts w:asciiTheme="minorHAnsi" w:hAnsiTheme="minorHAnsi" w:cstheme="minorHAnsi"/>
        </w:rPr>
        <w:t xml:space="preserve">, </w:t>
      </w:r>
      <w:r w:rsidR="008549A2" w:rsidRPr="00A20F63">
        <w:rPr>
          <w:rFonts w:asciiTheme="minorHAnsi" w:hAnsiTheme="minorHAnsi" w:cstheme="minorHAnsi"/>
        </w:rPr>
        <w:t xml:space="preserve">which specifies the priorities for stimulating growth and reducing poverty. Key areas of focus include increased revenue and rationalized spending to support public investment, a resilient and inclusive financial system to promote growth, energy development, and a strong business climate to stimulate the private sector. </w:t>
      </w:r>
    </w:p>
    <w:p w14:paraId="6902FBDA" w14:textId="77777777" w:rsidR="005313E5" w:rsidRPr="00A20F63" w:rsidRDefault="005313E5" w:rsidP="007A7246">
      <w:pPr>
        <w:pStyle w:val="ListParagraph"/>
        <w:rPr>
          <w:rFonts w:asciiTheme="minorHAnsi" w:hAnsiTheme="minorHAnsi" w:cstheme="minorHAnsi"/>
        </w:rPr>
      </w:pPr>
    </w:p>
    <w:p w14:paraId="503B1A18" w14:textId="4D9D5749" w:rsidR="006E4234" w:rsidRPr="006C66C2" w:rsidRDefault="005313E5" w:rsidP="007A7246">
      <w:pPr>
        <w:pStyle w:val="ListParagraph"/>
        <w:numPr>
          <w:ilvl w:val="0"/>
          <w:numId w:val="1"/>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A20F63">
        <w:rPr>
          <w:rFonts w:asciiTheme="minorHAnsi" w:hAnsiTheme="minorHAnsi" w:cstheme="minorHAnsi"/>
          <w:b/>
        </w:rPr>
        <w:t xml:space="preserve">This DPO </w:t>
      </w:r>
      <w:r w:rsidR="008945C7" w:rsidRPr="00A20F63">
        <w:rPr>
          <w:rFonts w:asciiTheme="minorHAnsi" w:hAnsiTheme="minorHAnsi" w:cstheme="minorHAnsi"/>
          <w:b/>
        </w:rPr>
        <w:t>series</w:t>
      </w:r>
      <w:r w:rsidRPr="00A20F63">
        <w:rPr>
          <w:rFonts w:asciiTheme="minorHAnsi" w:hAnsiTheme="minorHAnsi" w:cstheme="minorHAnsi"/>
          <w:b/>
        </w:rPr>
        <w:t xml:space="preserve"> further supports the implementation of specific sectoral strategies approved by the Government.</w:t>
      </w:r>
      <w:r w:rsidRPr="00A20F63">
        <w:rPr>
          <w:rFonts w:asciiTheme="minorHAnsi" w:hAnsiTheme="minorHAnsi" w:cstheme="minorHAnsi"/>
        </w:rPr>
        <w:t xml:space="preserve"> S</w:t>
      </w:r>
      <w:r w:rsidR="00001F61" w:rsidRPr="00A20F63">
        <w:rPr>
          <w:rFonts w:asciiTheme="minorHAnsi" w:hAnsiTheme="minorHAnsi" w:cstheme="minorHAnsi"/>
        </w:rPr>
        <w:t>ectoral strategies</w:t>
      </w:r>
      <w:r w:rsidRPr="00A20F63">
        <w:rPr>
          <w:rFonts w:asciiTheme="minorHAnsi" w:hAnsiTheme="minorHAnsi" w:cstheme="minorHAnsi"/>
        </w:rPr>
        <w:t xml:space="preserve"> include</w:t>
      </w:r>
      <w:r w:rsidR="00001F61" w:rsidRPr="00A20F63">
        <w:rPr>
          <w:rFonts w:asciiTheme="minorHAnsi" w:hAnsiTheme="minorHAnsi" w:cstheme="minorHAnsi"/>
        </w:rPr>
        <w:t xml:space="preserve"> the Public Financial Management </w:t>
      </w:r>
      <w:r w:rsidR="00444D40">
        <w:rPr>
          <w:rFonts w:asciiTheme="minorHAnsi" w:hAnsiTheme="minorHAnsi" w:cstheme="minorHAnsi"/>
        </w:rPr>
        <w:t xml:space="preserve">(PFM) </w:t>
      </w:r>
      <w:r w:rsidR="00001F61" w:rsidRPr="00A20F63">
        <w:rPr>
          <w:rFonts w:asciiTheme="minorHAnsi" w:hAnsiTheme="minorHAnsi" w:cstheme="minorHAnsi"/>
        </w:rPr>
        <w:t>Modernization Strategy</w:t>
      </w:r>
      <w:r w:rsidR="001619CD">
        <w:rPr>
          <w:rFonts w:asciiTheme="minorHAnsi" w:hAnsiTheme="minorHAnsi" w:cstheme="minorHAnsi"/>
        </w:rPr>
        <w:t xml:space="preserve"> (2017-2026)</w:t>
      </w:r>
      <w:r w:rsidR="00001F61" w:rsidRPr="00A20F63">
        <w:rPr>
          <w:rFonts w:asciiTheme="minorHAnsi" w:hAnsiTheme="minorHAnsi" w:cstheme="minorHAnsi"/>
        </w:rPr>
        <w:t xml:space="preserve">, which has measures to increase tax revenues and reduce the transfer to the Pension Fund, a Roadmap for reforming </w:t>
      </w:r>
      <w:r w:rsidR="00001F61" w:rsidRPr="00406280">
        <w:rPr>
          <w:rFonts w:asciiTheme="minorHAnsi" w:hAnsiTheme="minorHAnsi" w:cstheme="minorHAnsi"/>
        </w:rPr>
        <w:t xml:space="preserve">the petroleum sector that outlines the timetable for improving the institutional framework, a Public Investment Management Priority Action Plan </w:t>
      </w:r>
      <w:r w:rsidR="008E04AF">
        <w:rPr>
          <w:rFonts w:asciiTheme="minorHAnsi" w:hAnsiTheme="minorHAnsi" w:cstheme="minorHAnsi"/>
        </w:rPr>
        <w:t xml:space="preserve">(PAP) </w:t>
      </w:r>
      <w:r w:rsidR="00001F61" w:rsidRPr="00406280">
        <w:rPr>
          <w:rFonts w:asciiTheme="minorHAnsi" w:hAnsiTheme="minorHAnsi" w:cstheme="minorHAnsi"/>
        </w:rPr>
        <w:t>that supports the improved selection and appraisal of investment projects, a business plan to improve JIRAMA that includes</w:t>
      </w:r>
      <w:r w:rsidR="00D7296E" w:rsidRPr="00406280">
        <w:rPr>
          <w:rFonts w:asciiTheme="minorHAnsi" w:hAnsiTheme="minorHAnsi" w:cstheme="minorHAnsi"/>
        </w:rPr>
        <w:t xml:space="preserve"> procurement related reforms, and measures to improve the Investment Climate as outlined </w:t>
      </w:r>
      <w:r w:rsidR="0038452D" w:rsidRPr="00601B29">
        <w:rPr>
          <w:rFonts w:asciiTheme="minorHAnsi" w:hAnsiTheme="minorHAnsi" w:cstheme="minorHAnsi"/>
        </w:rPr>
        <w:t>in a strategy to improve commercial justice.</w:t>
      </w:r>
      <w:r w:rsidR="002E352A" w:rsidRPr="00B66802">
        <w:rPr>
          <w:rStyle w:val="FootnoteReference"/>
          <w:rFonts w:asciiTheme="minorHAnsi" w:hAnsiTheme="minorHAnsi" w:cstheme="minorHAnsi"/>
        </w:rPr>
        <w:footnoteReference w:id="8"/>
      </w:r>
      <w:r w:rsidR="004D59BE" w:rsidRPr="00B66802">
        <w:rPr>
          <w:rFonts w:asciiTheme="minorHAnsi" w:hAnsiTheme="minorHAnsi" w:cstheme="minorHAnsi"/>
        </w:rPr>
        <w:t xml:space="preserve"> The reforms supported under this programmatic DPO are well-</w:t>
      </w:r>
      <w:r w:rsidR="004D59BE" w:rsidRPr="00BD4A16">
        <w:rPr>
          <w:rFonts w:asciiTheme="minorHAnsi" w:hAnsiTheme="minorHAnsi" w:cstheme="minorHAnsi"/>
        </w:rPr>
        <w:t>aligned with the World Bank’s investment projects an</w:t>
      </w:r>
      <w:r w:rsidR="004D59BE" w:rsidRPr="00DC050B">
        <w:rPr>
          <w:rFonts w:asciiTheme="minorHAnsi" w:hAnsiTheme="minorHAnsi" w:cstheme="minorHAnsi"/>
        </w:rPr>
        <w:t xml:space="preserve">d supported by ongoing Technical Assistance (TA). Finally, the </w:t>
      </w:r>
      <w:r w:rsidR="0038452D" w:rsidRPr="00DC050B">
        <w:rPr>
          <w:rFonts w:asciiTheme="minorHAnsi" w:hAnsiTheme="minorHAnsi" w:cstheme="minorHAnsi"/>
        </w:rPr>
        <w:t xml:space="preserve">reforms are complementary to the measures included in the </w:t>
      </w:r>
      <w:r w:rsidR="006C66C2">
        <w:rPr>
          <w:rFonts w:asciiTheme="minorHAnsi" w:hAnsiTheme="minorHAnsi" w:cstheme="minorHAnsi"/>
        </w:rPr>
        <w:t>International Monetary Fund (</w:t>
      </w:r>
      <w:r w:rsidR="0038452D" w:rsidRPr="00DC050B">
        <w:rPr>
          <w:rFonts w:asciiTheme="minorHAnsi" w:hAnsiTheme="minorHAnsi" w:cstheme="minorHAnsi"/>
        </w:rPr>
        <w:t>IMF</w:t>
      </w:r>
      <w:r w:rsidR="006C66C2">
        <w:rPr>
          <w:rFonts w:asciiTheme="minorHAnsi" w:hAnsiTheme="minorHAnsi" w:cstheme="minorHAnsi"/>
        </w:rPr>
        <w:t>)</w:t>
      </w:r>
      <w:r w:rsidR="0038452D" w:rsidRPr="00DC050B">
        <w:rPr>
          <w:rFonts w:asciiTheme="minorHAnsi" w:hAnsiTheme="minorHAnsi" w:cstheme="minorHAnsi"/>
        </w:rPr>
        <w:t xml:space="preserve"> Extended </w:t>
      </w:r>
      <w:r w:rsidR="002729F1" w:rsidRPr="00DC050B">
        <w:rPr>
          <w:rFonts w:asciiTheme="minorHAnsi" w:hAnsiTheme="minorHAnsi" w:cstheme="minorHAnsi"/>
        </w:rPr>
        <w:t xml:space="preserve">Credit </w:t>
      </w:r>
      <w:r w:rsidR="0038452D" w:rsidRPr="006C66C2">
        <w:rPr>
          <w:rFonts w:asciiTheme="minorHAnsi" w:hAnsiTheme="minorHAnsi" w:cstheme="minorHAnsi"/>
        </w:rPr>
        <w:t xml:space="preserve">Facility </w:t>
      </w:r>
      <w:r w:rsidR="002729F1" w:rsidRPr="006C66C2">
        <w:rPr>
          <w:rFonts w:asciiTheme="minorHAnsi" w:hAnsiTheme="minorHAnsi" w:cstheme="minorHAnsi"/>
        </w:rPr>
        <w:t xml:space="preserve">(ECF) </w:t>
      </w:r>
      <w:r w:rsidR="0038452D" w:rsidRPr="006C66C2">
        <w:rPr>
          <w:rFonts w:asciiTheme="minorHAnsi" w:hAnsiTheme="minorHAnsi" w:cstheme="minorHAnsi"/>
        </w:rPr>
        <w:t>Program</w:t>
      </w:r>
      <w:r w:rsidR="001619CD">
        <w:rPr>
          <w:rFonts w:asciiTheme="minorHAnsi" w:hAnsiTheme="minorHAnsi" w:cstheme="minorHAnsi"/>
        </w:rPr>
        <w:t xml:space="preserve"> (2016-2019)</w:t>
      </w:r>
      <w:r w:rsidR="0038452D" w:rsidRPr="006C66C2">
        <w:rPr>
          <w:rFonts w:asciiTheme="minorHAnsi" w:hAnsiTheme="minorHAnsi" w:cstheme="minorHAnsi"/>
        </w:rPr>
        <w:t xml:space="preserve">, </w:t>
      </w:r>
      <w:r w:rsidR="004603B9" w:rsidRPr="006C66C2">
        <w:rPr>
          <w:rFonts w:asciiTheme="minorHAnsi" w:hAnsiTheme="minorHAnsi" w:cstheme="minorHAnsi"/>
        </w:rPr>
        <w:t xml:space="preserve">where the first review in </w:t>
      </w:r>
      <w:r w:rsidR="00A311BE" w:rsidRPr="006C66C2">
        <w:rPr>
          <w:rFonts w:asciiTheme="minorHAnsi" w:hAnsiTheme="minorHAnsi" w:cstheme="minorHAnsi"/>
        </w:rPr>
        <w:t xml:space="preserve">June 2017 concluded that satisfactory progress had been made. </w:t>
      </w:r>
    </w:p>
    <w:p w14:paraId="14AEECEC" w14:textId="77777777" w:rsidR="006E4234" w:rsidRPr="006C66C2" w:rsidRDefault="006E4234" w:rsidP="00936381">
      <w:pPr>
        <w:pStyle w:val="ListParagraph"/>
        <w:rPr>
          <w:rFonts w:asciiTheme="minorHAnsi" w:hAnsiTheme="minorHAnsi" w:cstheme="minorHAnsi"/>
        </w:rPr>
      </w:pPr>
    </w:p>
    <w:p w14:paraId="4C67F0CC" w14:textId="44C23A74" w:rsidR="003917CA" w:rsidRPr="00DC050B" w:rsidRDefault="007969AF" w:rsidP="007A7246">
      <w:pPr>
        <w:pStyle w:val="ListParagraph"/>
        <w:numPr>
          <w:ilvl w:val="0"/>
          <w:numId w:val="1"/>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A20F63">
        <w:rPr>
          <w:rFonts w:asciiTheme="minorHAnsi" w:hAnsiTheme="minorHAnsi" w:cstheme="minorHAnsi"/>
          <w:b/>
        </w:rPr>
        <w:t>T</w:t>
      </w:r>
      <w:r w:rsidR="00936381" w:rsidRPr="00A20F63">
        <w:rPr>
          <w:rFonts w:asciiTheme="minorHAnsi" w:hAnsiTheme="minorHAnsi" w:cstheme="minorHAnsi"/>
          <w:b/>
        </w:rPr>
        <w:t xml:space="preserve">he authorities </w:t>
      </w:r>
      <w:r w:rsidR="00227A71" w:rsidRPr="00A20F63">
        <w:rPr>
          <w:rFonts w:asciiTheme="minorHAnsi" w:hAnsiTheme="minorHAnsi" w:cstheme="minorHAnsi"/>
          <w:b/>
        </w:rPr>
        <w:t xml:space="preserve">intend to </w:t>
      </w:r>
      <w:r w:rsidR="00F57E0F" w:rsidRPr="00A20F63">
        <w:rPr>
          <w:rFonts w:asciiTheme="minorHAnsi" w:hAnsiTheme="minorHAnsi" w:cstheme="minorHAnsi"/>
          <w:b/>
        </w:rPr>
        <w:t>scale-up public investments to implement the National Development Plan</w:t>
      </w:r>
      <w:r w:rsidR="00A20F63">
        <w:rPr>
          <w:rFonts w:asciiTheme="minorHAnsi" w:hAnsiTheme="minorHAnsi" w:cstheme="minorHAnsi"/>
          <w:b/>
        </w:rPr>
        <w:t xml:space="preserve"> (NDP)</w:t>
      </w:r>
      <w:r w:rsidR="00936381" w:rsidRPr="00A20F63">
        <w:rPr>
          <w:rFonts w:asciiTheme="minorHAnsi" w:hAnsiTheme="minorHAnsi" w:cstheme="minorHAnsi"/>
          <w:b/>
        </w:rPr>
        <w:t>.</w:t>
      </w:r>
      <w:r w:rsidR="00936381" w:rsidRPr="00A20F63">
        <w:rPr>
          <w:rFonts w:asciiTheme="minorHAnsi" w:hAnsiTheme="minorHAnsi" w:cstheme="minorHAnsi"/>
        </w:rPr>
        <w:t xml:space="preserve"> </w:t>
      </w:r>
      <w:r w:rsidR="00926EAE" w:rsidRPr="00A20F63">
        <w:rPr>
          <w:rFonts w:asciiTheme="minorHAnsi" w:hAnsiTheme="minorHAnsi" w:cstheme="minorHAnsi"/>
        </w:rPr>
        <w:t>Public i</w:t>
      </w:r>
      <w:r w:rsidR="00936381" w:rsidRPr="00A20F63">
        <w:rPr>
          <w:rFonts w:asciiTheme="minorHAnsi" w:hAnsiTheme="minorHAnsi" w:cstheme="minorHAnsi"/>
        </w:rPr>
        <w:t>nvestment</w:t>
      </w:r>
      <w:r w:rsidR="004849FC" w:rsidRPr="00A20F63">
        <w:rPr>
          <w:rFonts w:asciiTheme="minorHAnsi" w:hAnsiTheme="minorHAnsi" w:cstheme="minorHAnsi"/>
        </w:rPr>
        <w:t xml:space="preserve"> </w:t>
      </w:r>
      <w:r w:rsidR="00936381" w:rsidRPr="00A20F63">
        <w:rPr>
          <w:rFonts w:asciiTheme="minorHAnsi" w:hAnsiTheme="minorHAnsi" w:cstheme="minorHAnsi"/>
        </w:rPr>
        <w:t>s</w:t>
      </w:r>
      <w:r w:rsidR="004849FC" w:rsidRPr="00A20F63">
        <w:rPr>
          <w:rFonts w:asciiTheme="minorHAnsi" w:hAnsiTheme="minorHAnsi" w:cstheme="minorHAnsi"/>
        </w:rPr>
        <w:t>pending is</w:t>
      </w:r>
      <w:r w:rsidR="00936381" w:rsidRPr="00A20F63">
        <w:rPr>
          <w:rFonts w:asciiTheme="minorHAnsi" w:hAnsiTheme="minorHAnsi" w:cstheme="minorHAnsi"/>
        </w:rPr>
        <w:t xml:space="preserve"> expected to increase from </w:t>
      </w:r>
      <w:r w:rsidR="004849FC" w:rsidRPr="00A20F63">
        <w:rPr>
          <w:rFonts w:asciiTheme="minorHAnsi" w:hAnsiTheme="minorHAnsi" w:cstheme="minorHAnsi"/>
        </w:rPr>
        <w:t xml:space="preserve">3.5 percent of </w:t>
      </w:r>
      <w:r w:rsidR="00936381" w:rsidRPr="00A20F63">
        <w:rPr>
          <w:rFonts w:asciiTheme="minorHAnsi" w:hAnsiTheme="minorHAnsi" w:cstheme="minorHAnsi"/>
        </w:rPr>
        <w:t xml:space="preserve">GDP in 2015 to </w:t>
      </w:r>
      <w:r w:rsidR="00BA6D45" w:rsidRPr="00A20F63">
        <w:rPr>
          <w:rFonts w:asciiTheme="minorHAnsi" w:hAnsiTheme="minorHAnsi" w:cstheme="minorHAnsi"/>
        </w:rPr>
        <w:t>10.</w:t>
      </w:r>
      <w:r w:rsidR="009D2791" w:rsidRPr="00A20F63">
        <w:rPr>
          <w:rFonts w:asciiTheme="minorHAnsi" w:hAnsiTheme="minorHAnsi" w:cstheme="minorHAnsi"/>
        </w:rPr>
        <w:t>2</w:t>
      </w:r>
      <w:r w:rsidR="004849FC" w:rsidRPr="00A20F63">
        <w:rPr>
          <w:rFonts w:asciiTheme="minorHAnsi" w:hAnsiTheme="minorHAnsi" w:cstheme="minorHAnsi"/>
        </w:rPr>
        <w:t xml:space="preserve"> percent of GDP in 2020</w:t>
      </w:r>
      <w:r w:rsidR="00BF2ABD" w:rsidRPr="00A20F63">
        <w:rPr>
          <w:rFonts w:asciiTheme="minorHAnsi" w:hAnsiTheme="minorHAnsi" w:cstheme="minorHAnsi"/>
        </w:rPr>
        <w:t>.</w:t>
      </w:r>
      <w:r w:rsidR="004849FC" w:rsidRPr="00A20F63">
        <w:rPr>
          <w:rFonts w:asciiTheme="minorHAnsi" w:hAnsiTheme="minorHAnsi" w:cstheme="minorHAnsi"/>
        </w:rPr>
        <w:t xml:space="preserve"> The external financing landscape is also expected to change following a </w:t>
      </w:r>
      <w:r w:rsidR="00936381" w:rsidRPr="00A20F63">
        <w:rPr>
          <w:rFonts w:asciiTheme="minorHAnsi" w:hAnsiTheme="minorHAnsi" w:cstheme="minorHAnsi"/>
        </w:rPr>
        <w:t xml:space="preserve">successful </w:t>
      </w:r>
      <w:r w:rsidR="00936381" w:rsidRPr="00A20F63">
        <w:rPr>
          <w:rFonts w:asciiTheme="minorHAnsi" w:hAnsiTheme="minorHAnsi" w:cstheme="minorHAnsi"/>
        </w:rPr>
        <w:lastRenderedPageBreak/>
        <w:t>Donors and Investors Conference in December 2016, where US$</w:t>
      </w:r>
      <w:r w:rsidR="00932303" w:rsidRPr="00A20F63">
        <w:rPr>
          <w:rFonts w:asciiTheme="minorHAnsi" w:hAnsiTheme="minorHAnsi" w:cstheme="minorHAnsi"/>
        </w:rPr>
        <w:t>6.4</w:t>
      </w:r>
      <w:r w:rsidR="00936381" w:rsidRPr="00A20F63">
        <w:rPr>
          <w:rFonts w:asciiTheme="minorHAnsi" w:hAnsiTheme="minorHAnsi" w:cstheme="minorHAnsi"/>
        </w:rPr>
        <w:t xml:space="preserve"> billion was pledged </w:t>
      </w:r>
      <w:r w:rsidR="00932303" w:rsidRPr="00A20F63">
        <w:rPr>
          <w:rFonts w:asciiTheme="minorHAnsi" w:hAnsiTheme="minorHAnsi" w:cstheme="minorHAnsi"/>
        </w:rPr>
        <w:t xml:space="preserve">by development partners for the 2017-2020 period, including </w:t>
      </w:r>
      <w:r w:rsidR="00932303" w:rsidRPr="00E83C9E">
        <w:rPr>
          <w:rFonts w:asciiTheme="minorHAnsi" w:hAnsiTheme="minorHAnsi" w:cstheme="minorHAnsi"/>
        </w:rPr>
        <w:t>US$2.1 billion of undisbursed commitments and US$4.3 billion of new commitments. In addition, private sector operators announced US$3.</w:t>
      </w:r>
      <w:r w:rsidR="001619CD">
        <w:rPr>
          <w:rFonts w:asciiTheme="minorHAnsi" w:hAnsiTheme="minorHAnsi" w:cstheme="minorHAnsi"/>
        </w:rPr>
        <w:t>3</w:t>
      </w:r>
      <w:r w:rsidR="001619CD" w:rsidRPr="00E83C9E">
        <w:rPr>
          <w:rFonts w:asciiTheme="minorHAnsi" w:hAnsiTheme="minorHAnsi" w:cstheme="minorHAnsi"/>
        </w:rPr>
        <w:t xml:space="preserve"> </w:t>
      </w:r>
      <w:r w:rsidR="00932303" w:rsidRPr="00E83C9E">
        <w:rPr>
          <w:rFonts w:asciiTheme="minorHAnsi" w:hAnsiTheme="minorHAnsi" w:cstheme="minorHAnsi"/>
        </w:rPr>
        <w:t xml:space="preserve">billion worth of investment projects. </w:t>
      </w:r>
      <w:r w:rsidR="00A97011" w:rsidRPr="00B66802">
        <w:rPr>
          <w:rFonts w:asciiTheme="minorHAnsi" w:hAnsiTheme="minorHAnsi" w:cstheme="minorHAnsi"/>
        </w:rPr>
        <w:t xml:space="preserve">The authorities are developing the institutional framework necessary to follow up on this financing and strengthen </w:t>
      </w:r>
      <w:r w:rsidR="009156F1" w:rsidRPr="00BD4A16">
        <w:rPr>
          <w:rFonts w:asciiTheme="minorHAnsi" w:hAnsiTheme="minorHAnsi" w:cstheme="minorHAnsi"/>
        </w:rPr>
        <w:t>public investment management</w:t>
      </w:r>
      <w:r w:rsidR="004849FC" w:rsidRPr="00DC050B">
        <w:rPr>
          <w:rFonts w:asciiTheme="minorHAnsi" w:hAnsiTheme="minorHAnsi" w:cstheme="minorHAnsi"/>
        </w:rPr>
        <w:t xml:space="preserve"> (PIM)</w:t>
      </w:r>
      <w:r w:rsidR="009156F1" w:rsidRPr="00DC050B">
        <w:rPr>
          <w:rFonts w:asciiTheme="minorHAnsi" w:hAnsiTheme="minorHAnsi" w:cstheme="minorHAnsi"/>
        </w:rPr>
        <w:t xml:space="preserve"> </w:t>
      </w:r>
      <w:r w:rsidR="00A97011" w:rsidRPr="00DC050B">
        <w:rPr>
          <w:rFonts w:asciiTheme="minorHAnsi" w:hAnsiTheme="minorHAnsi" w:cstheme="minorHAnsi"/>
        </w:rPr>
        <w:t xml:space="preserve">capacity. </w:t>
      </w:r>
      <w:r w:rsidR="009156F1" w:rsidRPr="00DC050B">
        <w:rPr>
          <w:rFonts w:asciiTheme="minorHAnsi" w:hAnsiTheme="minorHAnsi" w:cstheme="minorHAnsi"/>
        </w:rPr>
        <w:t xml:space="preserve">The </w:t>
      </w:r>
      <w:r w:rsidR="0085470E">
        <w:rPr>
          <w:rFonts w:asciiTheme="minorHAnsi" w:hAnsiTheme="minorHAnsi" w:cstheme="minorHAnsi"/>
        </w:rPr>
        <w:t>G</w:t>
      </w:r>
      <w:r w:rsidR="009156F1" w:rsidRPr="00DC050B">
        <w:rPr>
          <w:rFonts w:asciiTheme="minorHAnsi" w:hAnsiTheme="minorHAnsi" w:cstheme="minorHAnsi"/>
        </w:rPr>
        <w:t>overnment is actively seeking to attract private investment</w:t>
      </w:r>
      <w:r w:rsidR="004849FC" w:rsidRPr="00DC050B">
        <w:rPr>
          <w:rFonts w:asciiTheme="minorHAnsi" w:hAnsiTheme="minorHAnsi" w:cstheme="minorHAnsi"/>
        </w:rPr>
        <w:t xml:space="preserve"> (particularly for energy projects)</w:t>
      </w:r>
      <w:r w:rsidR="009156F1" w:rsidRPr="00DC050B">
        <w:rPr>
          <w:rFonts w:asciiTheme="minorHAnsi" w:hAnsiTheme="minorHAnsi" w:cstheme="minorHAnsi"/>
        </w:rPr>
        <w:t xml:space="preserve">, and is also strengthening the framework for </w:t>
      </w:r>
      <w:r w:rsidR="00044579">
        <w:rPr>
          <w:rFonts w:asciiTheme="minorHAnsi" w:hAnsiTheme="minorHAnsi" w:cstheme="minorHAnsi"/>
        </w:rPr>
        <w:t>P</w:t>
      </w:r>
      <w:r w:rsidR="000C16B4" w:rsidRPr="00DC050B">
        <w:rPr>
          <w:rFonts w:asciiTheme="minorHAnsi" w:hAnsiTheme="minorHAnsi" w:cstheme="minorHAnsi"/>
        </w:rPr>
        <w:t>ublic</w:t>
      </w:r>
      <w:r w:rsidR="00044579">
        <w:rPr>
          <w:rFonts w:asciiTheme="minorHAnsi" w:hAnsiTheme="minorHAnsi" w:cstheme="minorHAnsi"/>
        </w:rPr>
        <w:t xml:space="preserve"> P</w:t>
      </w:r>
      <w:r w:rsidR="000C16B4" w:rsidRPr="00DC050B">
        <w:rPr>
          <w:rFonts w:asciiTheme="minorHAnsi" w:hAnsiTheme="minorHAnsi" w:cstheme="minorHAnsi"/>
        </w:rPr>
        <w:t xml:space="preserve">rivate </w:t>
      </w:r>
      <w:r w:rsidR="00044579">
        <w:rPr>
          <w:rFonts w:asciiTheme="minorHAnsi" w:hAnsiTheme="minorHAnsi" w:cstheme="minorHAnsi"/>
        </w:rPr>
        <w:t>P</w:t>
      </w:r>
      <w:r w:rsidR="000C16B4" w:rsidRPr="00DC050B">
        <w:rPr>
          <w:rFonts w:asciiTheme="minorHAnsi" w:hAnsiTheme="minorHAnsi" w:cstheme="minorHAnsi"/>
        </w:rPr>
        <w:t xml:space="preserve">artnerships (PPPs), which is well-aligned with the </w:t>
      </w:r>
      <w:r w:rsidR="00406280">
        <w:rPr>
          <w:rFonts w:asciiTheme="minorHAnsi" w:hAnsiTheme="minorHAnsi" w:cstheme="minorHAnsi"/>
        </w:rPr>
        <w:t xml:space="preserve">World </w:t>
      </w:r>
      <w:r w:rsidR="000C16B4" w:rsidRPr="00DC050B">
        <w:rPr>
          <w:rFonts w:asciiTheme="minorHAnsi" w:hAnsiTheme="minorHAnsi" w:cstheme="minorHAnsi"/>
        </w:rPr>
        <w:t xml:space="preserve">Bank’s </w:t>
      </w:r>
      <w:r w:rsidR="004849FC" w:rsidRPr="006C66C2">
        <w:rPr>
          <w:rFonts w:asciiTheme="minorHAnsi" w:hAnsiTheme="minorHAnsi" w:cstheme="minorHAnsi"/>
        </w:rPr>
        <w:t>‘</w:t>
      </w:r>
      <w:r w:rsidR="000C16B4" w:rsidRPr="006C66C2">
        <w:rPr>
          <w:rFonts w:asciiTheme="minorHAnsi" w:hAnsiTheme="minorHAnsi" w:cstheme="minorHAnsi"/>
        </w:rPr>
        <w:t>c</w:t>
      </w:r>
      <w:r w:rsidR="00936381" w:rsidRPr="006C66C2">
        <w:rPr>
          <w:rFonts w:asciiTheme="minorHAnsi" w:hAnsiTheme="minorHAnsi" w:cstheme="minorHAnsi"/>
        </w:rPr>
        <w:t>ascade</w:t>
      </w:r>
      <w:r w:rsidR="004849FC" w:rsidRPr="006C66C2">
        <w:rPr>
          <w:rFonts w:asciiTheme="minorHAnsi" w:hAnsiTheme="minorHAnsi" w:cstheme="minorHAnsi"/>
        </w:rPr>
        <w:t xml:space="preserve">’ </w:t>
      </w:r>
      <w:r w:rsidR="00936381" w:rsidRPr="006C66C2">
        <w:rPr>
          <w:rFonts w:asciiTheme="minorHAnsi" w:hAnsiTheme="minorHAnsi" w:cstheme="minorHAnsi"/>
        </w:rPr>
        <w:t>approach.</w:t>
      </w:r>
      <w:r w:rsidR="004849FC" w:rsidRPr="00B66802">
        <w:rPr>
          <w:rStyle w:val="FootnoteReference"/>
          <w:rFonts w:asciiTheme="minorHAnsi" w:hAnsiTheme="minorHAnsi" w:cstheme="minorHAnsi"/>
        </w:rPr>
        <w:footnoteReference w:id="9"/>
      </w:r>
      <w:r w:rsidR="00936381" w:rsidRPr="00B66802">
        <w:rPr>
          <w:rFonts w:asciiTheme="minorHAnsi" w:hAnsiTheme="minorHAnsi" w:cstheme="minorHAnsi"/>
        </w:rPr>
        <w:t xml:space="preserve"> </w:t>
      </w:r>
      <w:r w:rsidR="008A5738" w:rsidRPr="00B66802">
        <w:rPr>
          <w:rFonts w:asciiTheme="minorHAnsi" w:hAnsiTheme="minorHAnsi" w:cstheme="minorHAnsi"/>
        </w:rPr>
        <w:t xml:space="preserve">Continuing the reforms to debt management supported under the Re-engagement DPO in 2014, the scale-up in public investments is not compromising debt sustainability, </w:t>
      </w:r>
      <w:r w:rsidR="00733A04" w:rsidRPr="00BD4A16">
        <w:rPr>
          <w:rFonts w:asciiTheme="minorHAnsi" w:hAnsiTheme="minorHAnsi" w:cstheme="minorHAnsi"/>
        </w:rPr>
        <w:t>as financing is largely on a concessional basis</w:t>
      </w:r>
      <w:r w:rsidR="005506B3" w:rsidRPr="00DC050B">
        <w:rPr>
          <w:rFonts w:asciiTheme="minorHAnsi" w:hAnsiTheme="minorHAnsi" w:cstheme="minorHAnsi"/>
        </w:rPr>
        <w:t>, and the G</w:t>
      </w:r>
      <w:r w:rsidR="008A5738" w:rsidRPr="00DC050B">
        <w:rPr>
          <w:rFonts w:asciiTheme="minorHAnsi" w:hAnsiTheme="minorHAnsi" w:cstheme="minorHAnsi"/>
        </w:rPr>
        <w:t xml:space="preserve">overnment is taking a proactive approach to managing potential fiscal risks. </w:t>
      </w:r>
      <w:r w:rsidR="003917CA" w:rsidRPr="00DC050B">
        <w:rPr>
          <w:rFonts w:asciiTheme="minorHAnsi" w:hAnsiTheme="minorHAnsi" w:cstheme="minorHAnsi"/>
        </w:rPr>
        <w:t>This increase in investment spending follows years of under-investment during the political crisis, resulting in a decline in the stock of capital both as a percentage of GDP and on a per capita basis since 2009.</w:t>
      </w:r>
    </w:p>
    <w:p w14:paraId="0639BCDD" w14:textId="77777777" w:rsidR="00936381" w:rsidRPr="006C66C2" w:rsidRDefault="00936381" w:rsidP="00936381">
      <w:pPr>
        <w:pStyle w:val="ListParagraph"/>
        <w:rPr>
          <w:rFonts w:asciiTheme="minorHAnsi" w:hAnsiTheme="minorHAnsi" w:cstheme="minorHAnsi"/>
        </w:rPr>
      </w:pPr>
    </w:p>
    <w:p w14:paraId="0F031710" w14:textId="39D5D9B7" w:rsidR="00C75F64" w:rsidRPr="00A20F63" w:rsidRDefault="00936381" w:rsidP="007A7246">
      <w:pPr>
        <w:pStyle w:val="ListParagraph"/>
        <w:numPr>
          <w:ilvl w:val="0"/>
          <w:numId w:val="1"/>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6C66C2">
        <w:rPr>
          <w:rFonts w:asciiTheme="minorHAnsi" w:hAnsiTheme="minorHAnsi" w:cstheme="minorHAnsi"/>
          <w:b/>
        </w:rPr>
        <w:t>Madagascar’s relative</w:t>
      </w:r>
      <w:r w:rsidR="00C75F64" w:rsidRPr="006C66C2">
        <w:rPr>
          <w:rFonts w:asciiTheme="minorHAnsi" w:hAnsiTheme="minorHAnsi" w:cstheme="minorHAnsi"/>
          <w:b/>
        </w:rPr>
        <w:t xml:space="preserve"> political stability provides an</w:t>
      </w:r>
      <w:r w:rsidR="00662490" w:rsidRPr="00A20F63">
        <w:rPr>
          <w:rFonts w:asciiTheme="minorHAnsi" w:hAnsiTheme="minorHAnsi" w:cstheme="minorHAnsi"/>
          <w:b/>
        </w:rPr>
        <w:t xml:space="preserve"> </w:t>
      </w:r>
      <w:r w:rsidRPr="00A20F63">
        <w:rPr>
          <w:rFonts w:asciiTheme="minorHAnsi" w:hAnsiTheme="minorHAnsi" w:cstheme="minorHAnsi"/>
          <w:b/>
        </w:rPr>
        <w:t>opportunity to continue the reform momentum.</w:t>
      </w:r>
      <w:r w:rsidRPr="00A20F63">
        <w:rPr>
          <w:rFonts w:asciiTheme="minorHAnsi" w:hAnsiTheme="minorHAnsi" w:cstheme="minorHAnsi"/>
        </w:rPr>
        <w:t xml:space="preserve"> </w:t>
      </w:r>
      <w:r w:rsidR="00556CB0" w:rsidRPr="00A20F63">
        <w:rPr>
          <w:rFonts w:asciiTheme="minorHAnsi" w:hAnsiTheme="minorHAnsi" w:cstheme="minorHAnsi"/>
        </w:rPr>
        <w:t xml:space="preserve">Madagascar’s return to constitutional order in 2014 has seen a much-anticipated pick-up in growth. Nevertheless, as discussed in the </w:t>
      </w:r>
      <w:r w:rsidR="00896429" w:rsidRPr="00A20F63">
        <w:rPr>
          <w:rFonts w:asciiTheme="minorHAnsi" w:hAnsiTheme="minorHAnsi" w:cstheme="minorHAnsi"/>
        </w:rPr>
        <w:t>World Bank</w:t>
      </w:r>
      <w:r w:rsidR="00932303" w:rsidRPr="00A20F63">
        <w:rPr>
          <w:rFonts w:asciiTheme="minorHAnsi" w:hAnsiTheme="minorHAnsi" w:cstheme="minorHAnsi"/>
        </w:rPr>
        <w:t xml:space="preserve">’s </w:t>
      </w:r>
      <w:r w:rsidR="00932303" w:rsidRPr="006C66C2">
        <w:rPr>
          <w:rFonts w:asciiTheme="minorHAnsi" w:hAnsiTheme="minorHAnsi" w:cstheme="minorHAnsi"/>
        </w:rPr>
        <w:t>CPF</w:t>
      </w:r>
      <w:r w:rsidR="00556CB0" w:rsidRPr="006C66C2">
        <w:rPr>
          <w:rFonts w:asciiTheme="minorHAnsi" w:hAnsiTheme="minorHAnsi" w:cstheme="minorHAnsi"/>
        </w:rPr>
        <w:t xml:space="preserve"> </w:t>
      </w:r>
      <w:r w:rsidR="00896429" w:rsidRPr="006C66C2">
        <w:rPr>
          <w:rFonts w:asciiTheme="minorHAnsi" w:hAnsiTheme="minorHAnsi" w:cstheme="minorHAnsi"/>
        </w:rPr>
        <w:t>2017-</w:t>
      </w:r>
      <w:r w:rsidR="00E83C9E" w:rsidRPr="006C66C2">
        <w:rPr>
          <w:rFonts w:asciiTheme="minorHAnsi" w:hAnsiTheme="minorHAnsi" w:cstheme="minorHAnsi"/>
        </w:rPr>
        <w:t>202</w:t>
      </w:r>
      <w:r w:rsidR="00E83C9E">
        <w:rPr>
          <w:rFonts w:asciiTheme="minorHAnsi" w:hAnsiTheme="minorHAnsi" w:cstheme="minorHAnsi"/>
        </w:rPr>
        <w:t>1</w:t>
      </w:r>
      <w:r w:rsidR="00896429" w:rsidRPr="006C66C2">
        <w:rPr>
          <w:rFonts w:asciiTheme="minorHAnsi" w:hAnsiTheme="minorHAnsi" w:cstheme="minorHAnsi"/>
        </w:rPr>
        <w:t>, strengthening governance remains key to addressing the country’s deep-rooted fragility, and is therefore central to the reform</w:t>
      </w:r>
      <w:r w:rsidR="00230014" w:rsidRPr="006C66C2">
        <w:rPr>
          <w:rFonts w:asciiTheme="minorHAnsi" w:hAnsiTheme="minorHAnsi" w:cstheme="minorHAnsi"/>
        </w:rPr>
        <w:t>s being supported</w:t>
      </w:r>
      <w:r w:rsidR="00D320F6" w:rsidRPr="006C66C2">
        <w:rPr>
          <w:rFonts w:asciiTheme="minorHAnsi" w:hAnsiTheme="minorHAnsi" w:cstheme="minorHAnsi"/>
        </w:rPr>
        <w:t xml:space="preserve"> in this programmatic DPO series</w:t>
      </w:r>
      <w:r w:rsidR="00C86157" w:rsidRPr="006C66C2">
        <w:rPr>
          <w:rFonts w:asciiTheme="minorHAnsi" w:hAnsiTheme="minorHAnsi" w:cstheme="minorHAnsi"/>
        </w:rPr>
        <w:t>. The reforms supported under this operation complement</w:t>
      </w:r>
      <w:r w:rsidR="00C75F64" w:rsidRPr="006C66C2">
        <w:rPr>
          <w:rFonts w:asciiTheme="minorHAnsi" w:hAnsiTheme="minorHAnsi" w:cstheme="minorHAnsi"/>
        </w:rPr>
        <w:t xml:space="preserve"> those under</w:t>
      </w:r>
      <w:r w:rsidR="00C86157" w:rsidRPr="006C66C2">
        <w:rPr>
          <w:rFonts w:asciiTheme="minorHAnsi" w:hAnsiTheme="minorHAnsi" w:cstheme="minorHAnsi"/>
        </w:rPr>
        <w:t xml:space="preserve"> the proposed Inclusive and Resilient Growth DPO (P162279) which </w:t>
      </w:r>
      <w:r w:rsidR="00C75F64" w:rsidRPr="006C66C2">
        <w:rPr>
          <w:rFonts w:asciiTheme="minorHAnsi" w:hAnsiTheme="minorHAnsi" w:cstheme="minorHAnsi"/>
        </w:rPr>
        <w:t>seek to</w:t>
      </w:r>
      <w:r w:rsidR="00C86157" w:rsidRPr="006C66C2">
        <w:rPr>
          <w:rFonts w:asciiTheme="minorHAnsi" w:hAnsiTheme="minorHAnsi" w:cstheme="minorHAnsi"/>
        </w:rPr>
        <w:t xml:space="preserve"> promote access of the po</w:t>
      </w:r>
      <w:r w:rsidR="00C75F64" w:rsidRPr="006C66C2">
        <w:rPr>
          <w:rFonts w:asciiTheme="minorHAnsi" w:hAnsiTheme="minorHAnsi" w:cstheme="minorHAnsi"/>
        </w:rPr>
        <w:t>orest to the benefits of growth and</w:t>
      </w:r>
      <w:r w:rsidR="00C86157" w:rsidRPr="00A20F63">
        <w:rPr>
          <w:rFonts w:asciiTheme="minorHAnsi" w:hAnsiTheme="minorHAnsi" w:cstheme="minorHAnsi"/>
        </w:rPr>
        <w:t xml:space="preserve"> to promote resilience.</w:t>
      </w:r>
      <w:r w:rsidR="006E4234" w:rsidRPr="00A20F63">
        <w:rPr>
          <w:rFonts w:asciiTheme="minorHAnsi" w:hAnsiTheme="minorHAnsi" w:cstheme="minorHAnsi"/>
        </w:rPr>
        <w:t xml:space="preserve"> </w:t>
      </w:r>
    </w:p>
    <w:p w14:paraId="77D47260" w14:textId="77777777" w:rsidR="00C75F64" w:rsidRPr="00A20F63" w:rsidRDefault="00C75F64" w:rsidP="007A7246">
      <w:pPr>
        <w:pStyle w:val="ListParagraph"/>
        <w:rPr>
          <w:rFonts w:asciiTheme="minorHAnsi" w:hAnsiTheme="minorHAnsi" w:cstheme="minorHAnsi"/>
        </w:rPr>
      </w:pPr>
    </w:p>
    <w:p w14:paraId="3B0617B1" w14:textId="519E5DB5" w:rsidR="006E4234" w:rsidRPr="00BD4A16" w:rsidRDefault="00C75F64" w:rsidP="007A7246">
      <w:pPr>
        <w:pStyle w:val="ListParagraph"/>
        <w:numPr>
          <w:ilvl w:val="0"/>
          <w:numId w:val="1"/>
        </w:numPr>
        <w:tabs>
          <w:tab w:val="clear" w:pos="360"/>
        </w:tabs>
        <w:autoSpaceDE w:val="0"/>
        <w:autoSpaceDN w:val="0"/>
        <w:adjustRightInd w:val="0"/>
        <w:spacing w:after="0" w:line="240" w:lineRule="auto"/>
        <w:ind w:left="0" w:firstLine="0"/>
        <w:jc w:val="both"/>
        <w:rPr>
          <w:rFonts w:asciiTheme="minorHAnsi" w:hAnsiTheme="minorHAnsi" w:cstheme="minorHAnsi"/>
          <w:b/>
        </w:rPr>
      </w:pPr>
      <w:r w:rsidRPr="00A20F63">
        <w:rPr>
          <w:rFonts w:asciiTheme="minorHAnsi" w:hAnsiTheme="minorHAnsi" w:cstheme="minorHAnsi"/>
          <w:b/>
        </w:rPr>
        <w:t>While t</w:t>
      </w:r>
      <w:r w:rsidR="006E4234" w:rsidRPr="00A20F63">
        <w:rPr>
          <w:rFonts w:asciiTheme="minorHAnsi" w:hAnsiTheme="minorHAnsi" w:cstheme="minorHAnsi"/>
          <w:b/>
        </w:rPr>
        <w:t xml:space="preserve">he Government has implemented the DPO program and managed the macroeconomic shocks from the two natural disasters (keeping the IMF </w:t>
      </w:r>
      <w:r w:rsidR="00932303" w:rsidRPr="00A20F63">
        <w:rPr>
          <w:rFonts w:asciiTheme="minorHAnsi" w:hAnsiTheme="minorHAnsi" w:cstheme="minorHAnsi"/>
          <w:b/>
        </w:rPr>
        <w:t>ECF program on track)</w:t>
      </w:r>
      <w:r w:rsidRPr="00A20F63">
        <w:rPr>
          <w:rFonts w:asciiTheme="minorHAnsi" w:hAnsiTheme="minorHAnsi" w:cstheme="minorHAnsi"/>
          <w:b/>
        </w:rPr>
        <w:t xml:space="preserve">, </w:t>
      </w:r>
      <w:r w:rsidR="006E4234" w:rsidRPr="00A20F63">
        <w:rPr>
          <w:rFonts w:asciiTheme="minorHAnsi" w:hAnsiTheme="minorHAnsi" w:cstheme="minorHAnsi"/>
          <w:b/>
        </w:rPr>
        <w:t xml:space="preserve">the risks to implementation remain high. </w:t>
      </w:r>
      <w:r w:rsidR="006E4234" w:rsidRPr="00A20F63">
        <w:rPr>
          <w:rFonts w:asciiTheme="minorHAnsi" w:hAnsiTheme="minorHAnsi" w:cstheme="minorHAnsi"/>
        </w:rPr>
        <w:t xml:space="preserve">As preparations are underway for elections scheduled at the end of 2018 / early 2019, it will be important to maintain the reform momentum. To address this risk, the design of this programmatic DPO considers the </w:t>
      </w:r>
      <w:r w:rsidR="006E4234" w:rsidRPr="00A20F63">
        <w:rPr>
          <w:rFonts w:asciiTheme="minorHAnsi" w:hAnsiTheme="minorHAnsi" w:cstheme="minorHAnsi"/>
          <w:i/>
        </w:rPr>
        <w:t>criticality</w:t>
      </w:r>
      <w:r w:rsidR="006E4234" w:rsidRPr="00B66802">
        <w:rPr>
          <w:rStyle w:val="FootnoteReference"/>
          <w:rFonts w:asciiTheme="minorHAnsi" w:hAnsiTheme="minorHAnsi" w:cstheme="minorHAnsi"/>
          <w:i/>
        </w:rPr>
        <w:footnoteReference w:id="10"/>
      </w:r>
      <w:r w:rsidR="006E4234" w:rsidRPr="00B66802">
        <w:rPr>
          <w:rFonts w:asciiTheme="minorHAnsi" w:hAnsiTheme="minorHAnsi" w:cstheme="minorHAnsi"/>
          <w:i/>
        </w:rPr>
        <w:t xml:space="preserve"> </w:t>
      </w:r>
      <w:r w:rsidR="006E4234" w:rsidRPr="00B66802">
        <w:rPr>
          <w:rFonts w:asciiTheme="minorHAnsi" w:hAnsiTheme="minorHAnsi" w:cstheme="minorHAnsi"/>
        </w:rPr>
        <w:t xml:space="preserve">of key reforms needed to strengthen fiscal space and promote the investment climate. </w:t>
      </w:r>
    </w:p>
    <w:p w14:paraId="5C47844E" w14:textId="77777777" w:rsidR="00D35BC4" w:rsidRPr="006C66C2" w:rsidRDefault="00D35BC4" w:rsidP="00395B9E">
      <w:pPr>
        <w:pStyle w:val="Heading1"/>
        <w:rPr>
          <w:rFonts w:asciiTheme="minorHAnsi" w:hAnsiTheme="minorHAnsi" w:cstheme="minorHAnsi"/>
          <w:szCs w:val="22"/>
        </w:rPr>
      </w:pPr>
      <w:bookmarkStart w:id="3" w:name="_Toc496204242"/>
      <w:r w:rsidRPr="00DC050B">
        <w:rPr>
          <w:rFonts w:asciiTheme="minorHAnsi" w:hAnsiTheme="minorHAnsi" w:cstheme="minorHAnsi"/>
          <w:spacing w:val="-1"/>
          <w:szCs w:val="22"/>
        </w:rPr>
        <w:t>M</w:t>
      </w:r>
      <w:r w:rsidRPr="00DC050B">
        <w:rPr>
          <w:rFonts w:asciiTheme="minorHAnsi" w:hAnsiTheme="minorHAnsi" w:cstheme="minorHAnsi"/>
          <w:szCs w:val="22"/>
        </w:rPr>
        <w:t>ACRO</w:t>
      </w:r>
      <w:r w:rsidRPr="00DC050B">
        <w:rPr>
          <w:rFonts w:asciiTheme="minorHAnsi" w:hAnsiTheme="minorHAnsi" w:cstheme="minorHAnsi"/>
          <w:spacing w:val="1"/>
          <w:szCs w:val="22"/>
        </w:rPr>
        <w:t>E</w:t>
      </w:r>
      <w:r w:rsidRPr="00DC050B">
        <w:rPr>
          <w:rFonts w:asciiTheme="minorHAnsi" w:hAnsiTheme="minorHAnsi" w:cstheme="minorHAnsi"/>
          <w:szCs w:val="22"/>
        </w:rPr>
        <w:t>CONO</w:t>
      </w:r>
      <w:r w:rsidRPr="00DC050B">
        <w:rPr>
          <w:rFonts w:asciiTheme="minorHAnsi" w:hAnsiTheme="minorHAnsi" w:cstheme="minorHAnsi"/>
          <w:spacing w:val="-1"/>
          <w:szCs w:val="22"/>
        </w:rPr>
        <w:t>M</w:t>
      </w:r>
      <w:r w:rsidRPr="006C66C2">
        <w:rPr>
          <w:rFonts w:asciiTheme="minorHAnsi" w:hAnsiTheme="minorHAnsi" w:cstheme="minorHAnsi"/>
          <w:spacing w:val="3"/>
          <w:szCs w:val="22"/>
        </w:rPr>
        <w:t>I</w:t>
      </w:r>
      <w:r w:rsidRPr="006C66C2">
        <w:rPr>
          <w:rFonts w:asciiTheme="minorHAnsi" w:hAnsiTheme="minorHAnsi" w:cstheme="minorHAnsi"/>
          <w:szCs w:val="22"/>
        </w:rPr>
        <w:t xml:space="preserve">C </w:t>
      </w:r>
      <w:r w:rsidRPr="006C66C2">
        <w:rPr>
          <w:rFonts w:asciiTheme="minorHAnsi" w:hAnsiTheme="minorHAnsi" w:cstheme="minorHAnsi"/>
          <w:spacing w:val="-3"/>
          <w:szCs w:val="22"/>
        </w:rPr>
        <w:t>P</w:t>
      </w:r>
      <w:r w:rsidRPr="006C66C2">
        <w:rPr>
          <w:rFonts w:asciiTheme="minorHAnsi" w:hAnsiTheme="minorHAnsi" w:cstheme="minorHAnsi"/>
          <w:szCs w:val="22"/>
        </w:rPr>
        <w:t>O</w:t>
      </w:r>
      <w:r w:rsidRPr="006C66C2">
        <w:rPr>
          <w:rFonts w:asciiTheme="minorHAnsi" w:hAnsiTheme="minorHAnsi" w:cstheme="minorHAnsi"/>
          <w:spacing w:val="1"/>
          <w:szCs w:val="22"/>
        </w:rPr>
        <w:t>L</w:t>
      </w:r>
      <w:r w:rsidRPr="006C66C2">
        <w:rPr>
          <w:rFonts w:asciiTheme="minorHAnsi" w:hAnsiTheme="minorHAnsi" w:cstheme="minorHAnsi"/>
          <w:szCs w:val="22"/>
        </w:rPr>
        <w:t>ICY</w:t>
      </w:r>
      <w:r w:rsidRPr="006C66C2">
        <w:rPr>
          <w:rFonts w:asciiTheme="minorHAnsi" w:hAnsiTheme="minorHAnsi" w:cstheme="minorHAnsi"/>
          <w:spacing w:val="2"/>
          <w:szCs w:val="22"/>
        </w:rPr>
        <w:t xml:space="preserve"> </w:t>
      </w:r>
      <w:r w:rsidRPr="006C66C2">
        <w:rPr>
          <w:rFonts w:asciiTheme="minorHAnsi" w:hAnsiTheme="minorHAnsi" w:cstheme="minorHAnsi"/>
          <w:spacing w:val="-3"/>
          <w:szCs w:val="22"/>
        </w:rPr>
        <w:t>F</w:t>
      </w:r>
      <w:r w:rsidRPr="006C66C2">
        <w:rPr>
          <w:rFonts w:asciiTheme="minorHAnsi" w:hAnsiTheme="minorHAnsi" w:cstheme="minorHAnsi"/>
          <w:spacing w:val="2"/>
          <w:szCs w:val="22"/>
        </w:rPr>
        <w:t>R</w:t>
      </w:r>
      <w:r w:rsidRPr="006C66C2">
        <w:rPr>
          <w:rFonts w:asciiTheme="minorHAnsi" w:hAnsiTheme="minorHAnsi" w:cstheme="minorHAnsi"/>
          <w:szCs w:val="22"/>
        </w:rPr>
        <w:t>A</w:t>
      </w:r>
      <w:r w:rsidRPr="006C66C2">
        <w:rPr>
          <w:rFonts w:asciiTheme="minorHAnsi" w:hAnsiTheme="minorHAnsi" w:cstheme="minorHAnsi"/>
          <w:spacing w:val="-1"/>
          <w:szCs w:val="22"/>
        </w:rPr>
        <w:t>M</w:t>
      </w:r>
      <w:r w:rsidRPr="006C66C2">
        <w:rPr>
          <w:rFonts w:asciiTheme="minorHAnsi" w:hAnsiTheme="minorHAnsi" w:cstheme="minorHAnsi"/>
          <w:spacing w:val="1"/>
          <w:szCs w:val="22"/>
        </w:rPr>
        <w:t>E</w:t>
      </w:r>
      <w:r w:rsidRPr="006C66C2">
        <w:rPr>
          <w:rFonts w:asciiTheme="minorHAnsi" w:hAnsiTheme="minorHAnsi" w:cstheme="minorHAnsi"/>
          <w:spacing w:val="2"/>
          <w:szCs w:val="22"/>
        </w:rPr>
        <w:t>W</w:t>
      </w:r>
      <w:r w:rsidRPr="006C66C2">
        <w:rPr>
          <w:rFonts w:asciiTheme="minorHAnsi" w:hAnsiTheme="minorHAnsi" w:cstheme="minorHAnsi"/>
          <w:szCs w:val="22"/>
        </w:rPr>
        <w:t>ORK</w:t>
      </w:r>
      <w:bookmarkEnd w:id="3"/>
    </w:p>
    <w:p w14:paraId="3EAB7D80" w14:textId="768E7D29" w:rsidR="004559C1" w:rsidRPr="00B66802" w:rsidRDefault="00B5710F" w:rsidP="004559C1">
      <w:pPr>
        <w:pStyle w:val="Heading3"/>
        <w:spacing w:line="240" w:lineRule="auto"/>
        <w:jc w:val="both"/>
        <w:rPr>
          <w:rFonts w:asciiTheme="minorHAnsi" w:hAnsiTheme="minorHAnsi" w:cstheme="minorHAnsi"/>
          <w:i/>
        </w:rPr>
      </w:pPr>
      <w:bookmarkStart w:id="4" w:name="_Toc496204243"/>
      <w:r w:rsidRPr="00E83C9E">
        <w:rPr>
          <w:rFonts w:asciiTheme="minorHAnsi" w:hAnsiTheme="minorHAnsi" w:cstheme="minorHAnsi"/>
        </w:rPr>
        <w:t xml:space="preserve">2.1. </w:t>
      </w:r>
      <w:r w:rsidR="006F4D33">
        <w:rPr>
          <w:rFonts w:asciiTheme="minorHAnsi" w:hAnsiTheme="minorHAnsi" w:cstheme="minorHAnsi"/>
        </w:rPr>
        <w:tab/>
      </w:r>
      <w:r w:rsidR="004559C1" w:rsidRPr="00E83C9E">
        <w:rPr>
          <w:rFonts w:asciiTheme="minorHAnsi" w:hAnsiTheme="minorHAnsi" w:cstheme="minorHAnsi"/>
          <w:caps/>
        </w:rPr>
        <w:t>Recent Economic Developments</w:t>
      </w:r>
      <w:r w:rsidR="00A56A7D" w:rsidRPr="00B66802">
        <w:rPr>
          <w:rStyle w:val="FootnoteReference"/>
          <w:rFonts w:asciiTheme="minorHAnsi" w:hAnsiTheme="minorHAnsi" w:cstheme="minorHAnsi"/>
          <w:i/>
        </w:rPr>
        <w:footnoteReference w:id="11"/>
      </w:r>
      <w:bookmarkEnd w:id="4"/>
    </w:p>
    <w:p w14:paraId="12C2CD3B" w14:textId="77777777" w:rsidR="0017684B" w:rsidRPr="00BD4A16" w:rsidRDefault="0017684B" w:rsidP="0017684B">
      <w:pPr>
        <w:tabs>
          <w:tab w:val="left" w:pos="450"/>
        </w:tabs>
        <w:autoSpaceDE w:val="0"/>
        <w:autoSpaceDN w:val="0"/>
        <w:adjustRightInd w:val="0"/>
        <w:spacing w:after="0" w:line="240" w:lineRule="auto"/>
        <w:jc w:val="both"/>
        <w:rPr>
          <w:rFonts w:asciiTheme="minorHAnsi" w:hAnsiTheme="minorHAnsi" w:cstheme="minorHAnsi"/>
          <w:color w:val="000000"/>
        </w:rPr>
      </w:pPr>
    </w:p>
    <w:p w14:paraId="04330399" w14:textId="31610D76" w:rsidR="0074167E" w:rsidRPr="00E83C9E" w:rsidRDefault="0074167E" w:rsidP="007A7246">
      <w:pPr>
        <w:numPr>
          <w:ilvl w:val="0"/>
          <w:numId w:val="1"/>
        </w:numPr>
        <w:tabs>
          <w:tab w:val="clear" w:pos="360"/>
        </w:tabs>
        <w:autoSpaceDE w:val="0"/>
        <w:autoSpaceDN w:val="0"/>
        <w:adjustRightInd w:val="0"/>
        <w:spacing w:after="0" w:line="240" w:lineRule="auto"/>
        <w:ind w:left="0" w:firstLine="0"/>
        <w:jc w:val="both"/>
        <w:rPr>
          <w:rFonts w:asciiTheme="minorHAnsi" w:hAnsiTheme="minorHAnsi" w:cstheme="minorHAnsi"/>
          <w:color w:val="000000"/>
        </w:rPr>
      </w:pPr>
      <w:r w:rsidRPr="00DC050B">
        <w:rPr>
          <w:rFonts w:asciiTheme="minorHAnsi" w:hAnsiTheme="minorHAnsi" w:cstheme="minorHAnsi"/>
          <w:b/>
        </w:rPr>
        <w:t>Since independence in 1960, Madagascar has not experienced sustained economic growth, as periods of prosperity have been punctured by political crises.</w:t>
      </w:r>
      <w:r w:rsidRPr="00DC050B">
        <w:rPr>
          <w:rFonts w:asciiTheme="minorHAnsi" w:hAnsiTheme="minorHAnsi" w:cstheme="minorHAnsi"/>
        </w:rPr>
        <w:t xml:space="preserve"> The post-independence period has seen four major political crisis periods, in 1972, 1991, 2001-2002, and 2008-2009. In each case, the political crisis followed a period of economic growth, and resulted in a contraction of the economy.</w:t>
      </w:r>
      <w:r w:rsidRPr="006C66C2">
        <w:rPr>
          <w:rFonts w:asciiTheme="minorHAnsi" w:hAnsiTheme="minorHAnsi" w:cstheme="minorHAnsi"/>
          <w:color w:val="000000"/>
        </w:rPr>
        <w:t xml:space="preserve"> During times of political stability, </w:t>
      </w:r>
      <w:r w:rsidRPr="006C66C2">
        <w:rPr>
          <w:rFonts w:asciiTheme="minorHAnsi" w:hAnsiTheme="minorHAnsi" w:cstheme="minorHAnsi"/>
        </w:rPr>
        <w:t>growth has been driven by the secondary and tertiary sectors. The agricultural sector is characterized by low productivity, an</w:t>
      </w:r>
      <w:r w:rsidRPr="00A20F63">
        <w:rPr>
          <w:rFonts w:asciiTheme="minorHAnsi" w:hAnsiTheme="minorHAnsi" w:cstheme="minorHAnsi"/>
        </w:rPr>
        <w:t xml:space="preserve">d is highly vulnerable to climatic variations. Before the </w:t>
      </w:r>
      <w:r w:rsidR="00D40568">
        <w:rPr>
          <w:rFonts w:asciiTheme="minorHAnsi" w:hAnsiTheme="minorHAnsi" w:cstheme="minorHAnsi"/>
        </w:rPr>
        <w:t>2001-</w:t>
      </w:r>
      <w:r w:rsidRPr="00A20F63">
        <w:rPr>
          <w:rFonts w:asciiTheme="minorHAnsi" w:hAnsiTheme="minorHAnsi" w:cstheme="minorHAnsi"/>
        </w:rPr>
        <w:t xml:space="preserve">2002 political crisis, average real growth was 3.8 percent, led by activities in the </w:t>
      </w:r>
      <w:r w:rsidRPr="00E83C9E">
        <w:rPr>
          <w:rFonts w:asciiTheme="minorHAnsi" w:hAnsiTheme="minorHAnsi" w:cstheme="minorHAnsi"/>
        </w:rPr>
        <w:t>transport, public works,</w:t>
      </w:r>
      <w:r w:rsidR="00E83C9E">
        <w:rPr>
          <w:rFonts w:asciiTheme="minorHAnsi" w:hAnsiTheme="minorHAnsi" w:cstheme="minorHAnsi"/>
        </w:rPr>
        <w:t xml:space="preserve"> information and communications technology</w:t>
      </w:r>
      <w:r w:rsidRPr="00E83C9E">
        <w:rPr>
          <w:rFonts w:asciiTheme="minorHAnsi" w:hAnsiTheme="minorHAnsi" w:cstheme="minorHAnsi"/>
        </w:rPr>
        <w:t xml:space="preserve"> and banking sectors. Between 2003 and 2008, a period of political stability saw growth rates improve to </w:t>
      </w:r>
      <w:r w:rsidR="0023240B" w:rsidRPr="00E83C9E">
        <w:rPr>
          <w:rFonts w:asciiTheme="minorHAnsi" w:hAnsiTheme="minorHAnsi" w:cstheme="minorHAnsi"/>
        </w:rPr>
        <w:t>an annual average of 6.3</w:t>
      </w:r>
      <w:r w:rsidRPr="00E83C9E">
        <w:rPr>
          <w:rFonts w:asciiTheme="minorHAnsi" w:hAnsiTheme="minorHAnsi" w:cstheme="minorHAnsi"/>
        </w:rPr>
        <w:t xml:space="preserve"> percent, driven by private sector </w:t>
      </w:r>
      <w:r w:rsidRPr="00E83C9E">
        <w:rPr>
          <w:rFonts w:asciiTheme="minorHAnsi" w:hAnsiTheme="minorHAnsi" w:cstheme="minorHAnsi"/>
        </w:rPr>
        <w:lastRenderedPageBreak/>
        <w:t xml:space="preserve">led activity and two large mining investments for nickel and other minerals. Following the return to constitutional order in 2014, economic growth is again rebounding, and is estimated to have averaged 3.7 percent between 2014 and 2017. </w:t>
      </w:r>
      <w:r w:rsidRPr="00B66802">
        <w:rPr>
          <w:rFonts w:asciiTheme="minorHAnsi" w:hAnsiTheme="minorHAnsi" w:cstheme="minorHAnsi"/>
        </w:rPr>
        <w:t xml:space="preserve"> </w:t>
      </w:r>
    </w:p>
    <w:p w14:paraId="3FA61926" w14:textId="77777777" w:rsidR="00DF001A" w:rsidRPr="00B66802" w:rsidRDefault="00DF001A" w:rsidP="00E83C9E">
      <w:pPr>
        <w:tabs>
          <w:tab w:val="left" w:pos="450"/>
          <w:tab w:val="num" w:pos="540"/>
        </w:tabs>
        <w:autoSpaceDE w:val="0"/>
        <w:autoSpaceDN w:val="0"/>
        <w:adjustRightInd w:val="0"/>
        <w:spacing w:after="0" w:line="240" w:lineRule="auto"/>
        <w:jc w:val="both"/>
        <w:rPr>
          <w:rFonts w:asciiTheme="minorHAnsi" w:hAnsiTheme="minorHAnsi" w:cstheme="minorHAnsi"/>
          <w:color w:val="000000"/>
        </w:rPr>
      </w:pPr>
    </w:p>
    <w:p w14:paraId="341DA88C" w14:textId="3B9BBEC5" w:rsidR="0074167E" w:rsidRPr="00DC050B" w:rsidRDefault="0074167E" w:rsidP="007A7246">
      <w:pPr>
        <w:numPr>
          <w:ilvl w:val="0"/>
          <w:numId w:val="1"/>
        </w:numPr>
        <w:tabs>
          <w:tab w:val="clear" w:pos="360"/>
        </w:tabs>
        <w:autoSpaceDE w:val="0"/>
        <w:autoSpaceDN w:val="0"/>
        <w:adjustRightInd w:val="0"/>
        <w:spacing w:after="0" w:line="240" w:lineRule="auto"/>
        <w:ind w:left="0" w:firstLine="0"/>
        <w:jc w:val="both"/>
        <w:rPr>
          <w:rFonts w:asciiTheme="minorHAnsi" w:hAnsiTheme="minorHAnsi" w:cstheme="minorHAnsi"/>
          <w:color w:val="000000"/>
        </w:rPr>
      </w:pPr>
      <w:r w:rsidRPr="00DC050B">
        <w:rPr>
          <w:rFonts w:asciiTheme="minorHAnsi" w:hAnsiTheme="minorHAnsi" w:cstheme="minorHAnsi"/>
          <w:b/>
        </w:rPr>
        <w:t>In 2017, the estimated growth rate is 4.1 percent, largely driven by activities in the tertiary sector.</w:t>
      </w:r>
      <w:r w:rsidRPr="00DC050B">
        <w:rPr>
          <w:rFonts w:asciiTheme="minorHAnsi" w:hAnsiTheme="minorHAnsi" w:cstheme="minorHAnsi"/>
        </w:rPr>
        <w:t xml:space="preserve"> This trend follows performance in 2016, where the economy is estimated to have grown by 4.2 percent, also underpinned by tertiary sector led growth. Strong performance has been recorded in trade, services and transport. The increase in services-related activities is likely to reflect a pick-up in tourism, as the number of foreign visitors to Madagascar increased by over 4 percent in the first half of 2017, compared with the same period last year. Public works related activities, in support of the planned scale-up in public investments, as well as emergency reconstruction works in response to the recent natural disaster shocks, are also contributing to growth. Activities from industrial processing zones have been increasing, reflecting stronger textiles exports following the reinstatement of eligibility to the African Growth and Opportunities Act (AGOA).</w:t>
      </w:r>
      <w:r w:rsidRPr="00B66802">
        <w:rPr>
          <w:rStyle w:val="FootnoteReference"/>
          <w:rFonts w:asciiTheme="minorHAnsi" w:hAnsiTheme="minorHAnsi" w:cstheme="minorHAnsi"/>
        </w:rPr>
        <w:footnoteReference w:id="12"/>
      </w:r>
      <w:r w:rsidRPr="00B66802">
        <w:rPr>
          <w:rFonts w:asciiTheme="minorHAnsi" w:hAnsiTheme="minorHAnsi" w:cstheme="minorHAnsi"/>
        </w:rPr>
        <w:t xml:space="preserve"> </w:t>
      </w:r>
      <w:r w:rsidR="00770F3E">
        <w:rPr>
          <w:rFonts w:asciiTheme="minorHAnsi" w:hAnsiTheme="minorHAnsi" w:cstheme="minorHAnsi"/>
        </w:rPr>
        <w:t xml:space="preserve">The process of certain agricultural products such as sugar has been increasing, which is captured under the secondary sector. </w:t>
      </w:r>
      <w:r w:rsidRPr="00BD4A16">
        <w:rPr>
          <w:rFonts w:asciiTheme="minorHAnsi" w:hAnsiTheme="minorHAnsi" w:cstheme="minorHAnsi"/>
          <w:color w:val="000000"/>
        </w:rPr>
        <w:t>Growth in the extractive industries remains modest, as global nickel prices remain low in comparison with other metals. Agricultural activities have contracted following the climatic shock</w:t>
      </w:r>
      <w:r w:rsidRPr="00DC050B">
        <w:rPr>
          <w:rFonts w:asciiTheme="minorHAnsi" w:hAnsiTheme="minorHAnsi" w:cstheme="minorHAnsi"/>
          <w:color w:val="000000"/>
        </w:rPr>
        <w:t xml:space="preserve">s, as local production has declined.  </w:t>
      </w:r>
    </w:p>
    <w:p w14:paraId="70D7E3E4" w14:textId="77777777" w:rsidR="0074167E" w:rsidRPr="00DC050B" w:rsidRDefault="0074167E" w:rsidP="0074167E">
      <w:pPr>
        <w:tabs>
          <w:tab w:val="left" w:pos="450"/>
        </w:tabs>
        <w:autoSpaceDE w:val="0"/>
        <w:autoSpaceDN w:val="0"/>
        <w:adjustRightInd w:val="0"/>
        <w:spacing w:after="0" w:line="240" w:lineRule="auto"/>
        <w:jc w:val="both"/>
        <w:rPr>
          <w:rFonts w:asciiTheme="minorHAnsi" w:hAnsiTheme="minorHAnsi" w:cstheme="minorHAnsi"/>
          <w:color w:val="000000"/>
        </w:rPr>
      </w:pP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4707"/>
      </w:tblGrid>
      <w:tr w:rsidR="0074167E" w:rsidRPr="00B66802" w14:paraId="36FD364E" w14:textId="77777777" w:rsidTr="00B644BB">
        <w:trPr>
          <w:trHeight w:val="566"/>
        </w:trPr>
        <w:tc>
          <w:tcPr>
            <w:tcW w:w="4675" w:type="dxa"/>
            <w:shd w:val="clear" w:color="auto" w:fill="auto"/>
          </w:tcPr>
          <w:p w14:paraId="254E8449" w14:textId="77777777" w:rsidR="0074167E" w:rsidRPr="00DC050B" w:rsidRDefault="0074167E" w:rsidP="00B644BB">
            <w:pPr>
              <w:tabs>
                <w:tab w:val="left" w:pos="450"/>
                <w:tab w:val="left" w:pos="3870"/>
              </w:tabs>
              <w:autoSpaceDE w:val="0"/>
              <w:autoSpaceDN w:val="0"/>
              <w:adjustRightInd w:val="0"/>
              <w:spacing w:after="0" w:line="240" w:lineRule="auto"/>
              <w:ind w:right="361"/>
              <w:jc w:val="both"/>
              <w:rPr>
                <w:rFonts w:asciiTheme="minorHAnsi" w:hAnsiTheme="minorHAnsi" w:cstheme="minorHAnsi"/>
                <w:bCs/>
                <w:i/>
              </w:rPr>
            </w:pPr>
            <w:r w:rsidRPr="00DC050B">
              <w:rPr>
                <w:rFonts w:asciiTheme="minorHAnsi" w:hAnsiTheme="minorHAnsi" w:cstheme="minorHAnsi"/>
                <w:bCs/>
                <w:i/>
              </w:rPr>
              <w:t xml:space="preserve">Figure 1: Sectoral contributions to growth (%), 2013 – 2017 </w:t>
            </w:r>
          </w:p>
        </w:tc>
        <w:tc>
          <w:tcPr>
            <w:tcW w:w="4707" w:type="dxa"/>
            <w:shd w:val="clear" w:color="auto" w:fill="auto"/>
          </w:tcPr>
          <w:p w14:paraId="5035B212" w14:textId="77777777" w:rsidR="0074167E" w:rsidRPr="00DC050B" w:rsidRDefault="0074167E" w:rsidP="00B644BB">
            <w:pPr>
              <w:tabs>
                <w:tab w:val="left" w:pos="450"/>
              </w:tabs>
              <w:autoSpaceDE w:val="0"/>
              <w:autoSpaceDN w:val="0"/>
              <w:adjustRightInd w:val="0"/>
              <w:spacing w:after="0" w:line="240" w:lineRule="auto"/>
              <w:jc w:val="both"/>
              <w:rPr>
                <w:rFonts w:asciiTheme="minorHAnsi" w:hAnsiTheme="minorHAnsi" w:cstheme="minorHAnsi"/>
                <w:bCs/>
                <w:i/>
              </w:rPr>
            </w:pPr>
            <w:r w:rsidRPr="00DC050B">
              <w:rPr>
                <w:rFonts w:asciiTheme="minorHAnsi" w:hAnsiTheme="minorHAnsi" w:cstheme="minorHAnsi"/>
                <w:bCs/>
                <w:i/>
              </w:rPr>
              <w:t xml:space="preserve">Figure 2: Contributions to growth by expenditure category (%), 2013 – 2017 </w:t>
            </w:r>
          </w:p>
        </w:tc>
      </w:tr>
      <w:tr w:rsidR="0074167E" w:rsidRPr="00B66802" w14:paraId="1641C34B" w14:textId="77777777" w:rsidTr="00C9649D">
        <w:trPr>
          <w:trHeight w:val="3923"/>
        </w:trPr>
        <w:tc>
          <w:tcPr>
            <w:tcW w:w="4675" w:type="dxa"/>
            <w:shd w:val="clear" w:color="auto" w:fill="auto"/>
          </w:tcPr>
          <w:p w14:paraId="2B19190B" w14:textId="5165932C" w:rsidR="0074167E" w:rsidRPr="00B66802" w:rsidRDefault="00E728AB" w:rsidP="00B644BB">
            <w:pPr>
              <w:tabs>
                <w:tab w:val="left" w:pos="450"/>
              </w:tabs>
              <w:autoSpaceDE w:val="0"/>
              <w:autoSpaceDN w:val="0"/>
              <w:adjustRightInd w:val="0"/>
              <w:spacing w:after="0" w:line="240" w:lineRule="auto"/>
              <w:jc w:val="center"/>
              <w:rPr>
                <w:rFonts w:asciiTheme="minorHAnsi" w:hAnsiTheme="minorHAnsi" w:cstheme="minorHAnsi"/>
                <w:b/>
                <w:iCs/>
              </w:rPr>
            </w:pPr>
            <w:r w:rsidRPr="00BF1A16">
              <w:rPr>
                <w:rFonts w:asciiTheme="minorHAnsi" w:hAnsiTheme="minorHAnsi" w:cstheme="minorHAnsi"/>
                <w:noProof/>
              </w:rPr>
              <w:drawing>
                <wp:inline distT="0" distB="0" distL="0" distR="0" wp14:anchorId="40CBD693" wp14:editId="7B3BD005">
                  <wp:extent cx="2831465" cy="2321560"/>
                  <wp:effectExtent l="0" t="0" r="6985" b="2540"/>
                  <wp:docPr id="1" name="Chart 1">
                    <a:extLst xmlns:a="http://schemas.openxmlformats.org/drawingml/2006/main">
                      <a:ext uri="{FF2B5EF4-FFF2-40B4-BE49-F238E27FC236}">
                        <a16:creationId xmlns:a16="http://schemas.microsoft.com/office/drawing/2014/main" id="{7A31FFE7-D360-482D-9B6D-D54D33AFDE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707" w:type="dxa"/>
            <w:shd w:val="clear" w:color="auto" w:fill="auto"/>
          </w:tcPr>
          <w:p w14:paraId="7CE27224" w14:textId="03612711" w:rsidR="0074167E" w:rsidRPr="00B66802" w:rsidRDefault="00E728AB" w:rsidP="00B644BB">
            <w:pPr>
              <w:tabs>
                <w:tab w:val="left" w:pos="450"/>
              </w:tabs>
              <w:autoSpaceDE w:val="0"/>
              <w:autoSpaceDN w:val="0"/>
              <w:adjustRightInd w:val="0"/>
              <w:spacing w:after="0" w:line="240" w:lineRule="auto"/>
              <w:jc w:val="center"/>
              <w:rPr>
                <w:rFonts w:asciiTheme="minorHAnsi" w:hAnsiTheme="minorHAnsi" w:cstheme="minorHAnsi"/>
                <w:b/>
                <w:iCs/>
              </w:rPr>
            </w:pPr>
            <w:r w:rsidRPr="00BF1A16">
              <w:rPr>
                <w:rFonts w:asciiTheme="minorHAnsi" w:hAnsiTheme="minorHAnsi" w:cstheme="minorHAnsi"/>
                <w:noProof/>
              </w:rPr>
              <w:drawing>
                <wp:inline distT="0" distB="0" distL="0" distR="0" wp14:anchorId="412474D8" wp14:editId="479BE11A">
                  <wp:extent cx="2832100" cy="2497540"/>
                  <wp:effectExtent l="0" t="0" r="6350" b="17145"/>
                  <wp:docPr id="3" name="Chart 3">
                    <a:extLst xmlns:a="http://schemas.openxmlformats.org/drawingml/2006/main">
                      <a:ext uri="{FF2B5EF4-FFF2-40B4-BE49-F238E27FC236}">
                        <a16:creationId xmlns:a16="http://schemas.microsoft.com/office/drawing/2014/main" id="{B112DEEB-E3A4-49DC-AA01-D3AA0DF4A7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74167E" w:rsidRPr="00B66802" w14:paraId="084125C6" w14:textId="77777777" w:rsidTr="00B644BB">
        <w:trPr>
          <w:trHeight w:val="251"/>
        </w:trPr>
        <w:tc>
          <w:tcPr>
            <w:tcW w:w="9382" w:type="dxa"/>
            <w:gridSpan w:val="2"/>
            <w:shd w:val="clear" w:color="auto" w:fill="auto"/>
          </w:tcPr>
          <w:p w14:paraId="73EDE398" w14:textId="62A0F272" w:rsidR="0074167E" w:rsidRPr="00B66802" w:rsidRDefault="0074167E" w:rsidP="00B644BB">
            <w:pPr>
              <w:tabs>
                <w:tab w:val="left" w:pos="450"/>
              </w:tabs>
              <w:autoSpaceDE w:val="0"/>
              <w:autoSpaceDN w:val="0"/>
              <w:adjustRightInd w:val="0"/>
              <w:spacing w:after="0" w:line="240" w:lineRule="auto"/>
              <w:rPr>
                <w:rFonts w:asciiTheme="minorHAnsi" w:hAnsiTheme="minorHAnsi" w:cstheme="minorHAnsi"/>
                <w:noProof/>
              </w:rPr>
            </w:pPr>
            <w:r w:rsidRPr="00B66802">
              <w:rPr>
                <w:rFonts w:asciiTheme="minorHAnsi" w:hAnsiTheme="minorHAnsi" w:cstheme="minorHAnsi"/>
                <w:noProof/>
              </w:rPr>
              <w:t xml:space="preserve">Source: National Institute of Statistics and World Bank staff calculations, </w:t>
            </w:r>
            <w:r w:rsidR="00B82E46" w:rsidRPr="00B66802">
              <w:rPr>
                <w:rFonts w:asciiTheme="minorHAnsi" w:hAnsiTheme="minorHAnsi" w:cstheme="minorHAnsi"/>
                <w:noProof/>
              </w:rPr>
              <w:t>October</w:t>
            </w:r>
            <w:r w:rsidRPr="00B66802">
              <w:rPr>
                <w:rFonts w:asciiTheme="minorHAnsi" w:hAnsiTheme="minorHAnsi" w:cstheme="minorHAnsi"/>
                <w:noProof/>
              </w:rPr>
              <w:t xml:space="preserve"> 2017 </w:t>
            </w:r>
          </w:p>
        </w:tc>
      </w:tr>
    </w:tbl>
    <w:p w14:paraId="4652D19B" w14:textId="77777777" w:rsidR="0074167E" w:rsidRPr="00B66802" w:rsidRDefault="0074167E" w:rsidP="0074167E">
      <w:pPr>
        <w:pStyle w:val="ListParagraph"/>
        <w:tabs>
          <w:tab w:val="left" w:pos="540"/>
        </w:tabs>
        <w:spacing w:after="0" w:line="240" w:lineRule="auto"/>
        <w:ind w:left="0"/>
        <w:contextualSpacing w:val="0"/>
        <w:jc w:val="both"/>
        <w:rPr>
          <w:rFonts w:asciiTheme="minorHAnsi" w:hAnsiTheme="minorHAnsi" w:cstheme="minorHAnsi"/>
        </w:rPr>
      </w:pPr>
    </w:p>
    <w:p w14:paraId="723FF562" w14:textId="77777777" w:rsidR="0074167E" w:rsidRPr="00DC050B" w:rsidRDefault="0074167E" w:rsidP="007A7246">
      <w:pPr>
        <w:pStyle w:val="ListParagraph"/>
        <w:numPr>
          <w:ilvl w:val="0"/>
          <w:numId w:val="1"/>
        </w:numPr>
        <w:tabs>
          <w:tab w:val="clear" w:pos="360"/>
        </w:tabs>
        <w:spacing w:after="240" w:line="240" w:lineRule="auto"/>
        <w:ind w:left="0" w:firstLine="0"/>
        <w:contextualSpacing w:val="0"/>
        <w:jc w:val="both"/>
        <w:rPr>
          <w:rFonts w:asciiTheme="minorHAnsi" w:hAnsiTheme="minorHAnsi" w:cstheme="minorHAnsi"/>
        </w:rPr>
      </w:pPr>
      <w:r w:rsidRPr="00BD4A16">
        <w:rPr>
          <w:rFonts w:asciiTheme="minorHAnsi" w:hAnsiTheme="minorHAnsi" w:cstheme="minorHAnsi"/>
          <w:b/>
        </w:rPr>
        <w:t>The economy has been affected by a number of shocks in 2017.</w:t>
      </w:r>
      <w:r w:rsidRPr="00DC050B">
        <w:rPr>
          <w:rFonts w:asciiTheme="minorHAnsi" w:hAnsiTheme="minorHAnsi" w:cstheme="minorHAnsi"/>
        </w:rPr>
        <w:t xml:space="preserve"> Madagascar suffered from a serious drought in late 2016 and early 2017, which depressed agricultural activities. Rice output, the country’s main staple, is estimated to have fallen by 20 percent. Hydroelectric power supply was also affected and the electricity utility JIRAMA needed higher subsidies. The worst cyclone in 13 years hit Madagascar in March 2017, imposing costs estimated at US$400 million (4 percent of GDP), of which approximately one-third fell on the public sector and two-thirds on households and the private sector. </w:t>
      </w:r>
    </w:p>
    <w:p w14:paraId="1AB594C9" w14:textId="77777777" w:rsidR="0074167E" w:rsidRPr="00BF1A16" w:rsidRDefault="0074167E" w:rsidP="007A7246">
      <w:pPr>
        <w:pStyle w:val="ListParagraph"/>
        <w:numPr>
          <w:ilvl w:val="0"/>
          <w:numId w:val="1"/>
        </w:numPr>
        <w:tabs>
          <w:tab w:val="clear" w:pos="360"/>
        </w:tabs>
        <w:spacing w:after="240" w:line="240" w:lineRule="auto"/>
        <w:ind w:left="0" w:firstLine="0"/>
        <w:contextualSpacing w:val="0"/>
        <w:jc w:val="both"/>
        <w:rPr>
          <w:rFonts w:asciiTheme="minorHAnsi" w:hAnsiTheme="minorHAnsi" w:cstheme="minorHAnsi"/>
        </w:rPr>
      </w:pPr>
      <w:r w:rsidRPr="00DC050B">
        <w:rPr>
          <w:rFonts w:asciiTheme="minorHAnsi" w:hAnsiTheme="minorHAnsi" w:cstheme="minorHAnsi"/>
          <w:b/>
        </w:rPr>
        <w:lastRenderedPageBreak/>
        <w:t>Inflation has increased but remains under control.</w:t>
      </w:r>
      <w:r w:rsidRPr="006C66C2">
        <w:rPr>
          <w:rFonts w:asciiTheme="minorHAnsi" w:hAnsiTheme="minorHAnsi" w:cstheme="minorHAnsi"/>
        </w:rPr>
        <w:t xml:space="preserve"> Inflation accelerated from 7.0 percent at end-2016 to a peak of 8.6 percent in May 2017, with food (especially rice) and housing (rents) as main drivers, and then started to decelerate reaching 8.2 percent in July 2017</w:t>
      </w:r>
      <w:r w:rsidRPr="00BF1A16">
        <w:rPr>
          <w:rFonts w:asciiTheme="minorHAnsi" w:hAnsiTheme="minorHAnsi" w:cstheme="minorHAnsi"/>
        </w:rPr>
        <w:t xml:space="preserve">. The Central Bank reacted by tightening monetary policy and by raising the policy rate from 8.3 to 9 percent in May 2017, the highest level since October 2015. </w:t>
      </w:r>
    </w:p>
    <w:p w14:paraId="431990F3" w14:textId="7D3A7099" w:rsidR="0074167E" w:rsidRPr="00A20F63" w:rsidRDefault="0074167E" w:rsidP="007A7246">
      <w:pPr>
        <w:pStyle w:val="ListParagraph"/>
        <w:numPr>
          <w:ilvl w:val="0"/>
          <w:numId w:val="1"/>
        </w:numPr>
        <w:tabs>
          <w:tab w:val="clear" w:pos="360"/>
        </w:tabs>
        <w:spacing w:after="240" w:line="240" w:lineRule="auto"/>
        <w:ind w:left="0" w:firstLine="0"/>
        <w:contextualSpacing w:val="0"/>
        <w:jc w:val="both"/>
        <w:rPr>
          <w:rFonts w:asciiTheme="minorHAnsi" w:hAnsiTheme="minorHAnsi" w:cstheme="minorHAnsi"/>
        </w:rPr>
      </w:pPr>
      <w:r w:rsidRPr="00B66802">
        <w:rPr>
          <w:rFonts w:asciiTheme="minorHAnsi" w:hAnsiTheme="minorHAnsi" w:cstheme="minorHAnsi"/>
          <w:b/>
        </w:rPr>
        <w:t>The projected scaling-up of investment is expected to weaken the c</w:t>
      </w:r>
      <w:r w:rsidRPr="00B66802">
        <w:rPr>
          <w:rFonts w:asciiTheme="minorHAnsi" w:hAnsiTheme="minorHAnsi" w:cstheme="minorHAnsi"/>
          <w:b/>
          <w:bCs/>
        </w:rPr>
        <w:t xml:space="preserve">urrent account balance. </w:t>
      </w:r>
      <w:r w:rsidRPr="00BD4A16">
        <w:rPr>
          <w:rFonts w:asciiTheme="minorHAnsi" w:hAnsiTheme="minorHAnsi" w:cstheme="minorHAnsi"/>
        </w:rPr>
        <w:t>Madagascar runs a structural current account deficit, but 2016 was an exception, with the current account recording a small surplus of 0.</w:t>
      </w:r>
      <w:r w:rsidR="00BF1A16">
        <w:rPr>
          <w:rFonts w:asciiTheme="minorHAnsi" w:hAnsiTheme="minorHAnsi" w:cstheme="minorHAnsi"/>
        </w:rPr>
        <w:t>6</w:t>
      </w:r>
      <w:r w:rsidR="00BF1A16" w:rsidRPr="00BD4A16">
        <w:rPr>
          <w:rFonts w:asciiTheme="minorHAnsi" w:hAnsiTheme="minorHAnsi" w:cstheme="minorHAnsi"/>
        </w:rPr>
        <w:t xml:space="preserve"> </w:t>
      </w:r>
      <w:r w:rsidRPr="00BD4A16">
        <w:rPr>
          <w:rFonts w:asciiTheme="minorHAnsi" w:hAnsiTheme="minorHAnsi" w:cstheme="minorHAnsi"/>
        </w:rPr>
        <w:t>per</w:t>
      </w:r>
      <w:r w:rsidRPr="00DC050B">
        <w:rPr>
          <w:rFonts w:asciiTheme="minorHAnsi" w:hAnsiTheme="minorHAnsi" w:cstheme="minorHAnsi"/>
        </w:rPr>
        <w:t xml:space="preserve">cent of GDP, </w:t>
      </w:r>
      <w:r w:rsidRPr="00DC050B">
        <w:rPr>
          <w:rFonts w:asciiTheme="minorHAnsi" w:hAnsiTheme="minorHAnsi" w:cstheme="minorHAnsi"/>
          <w:bCs/>
        </w:rPr>
        <w:t xml:space="preserve">reflecting an increase in vanilla export prices, </w:t>
      </w:r>
      <w:r w:rsidRPr="00DC050B">
        <w:rPr>
          <w:rFonts w:asciiTheme="minorHAnsi" w:hAnsiTheme="minorHAnsi" w:cstheme="minorHAnsi"/>
          <w:color w:val="000000"/>
        </w:rPr>
        <w:t xml:space="preserve">higher textile exports, and </w:t>
      </w:r>
      <w:r w:rsidRPr="00DC050B">
        <w:rPr>
          <w:rFonts w:asciiTheme="minorHAnsi" w:hAnsiTheme="minorHAnsi" w:cstheme="minorHAnsi"/>
          <w:bCs/>
        </w:rPr>
        <w:t>a decline in imports to support the development of two large mining operations.</w:t>
      </w:r>
      <w:r w:rsidRPr="00DC050B">
        <w:rPr>
          <w:rFonts w:asciiTheme="minorHAnsi" w:hAnsiTheme="minorHAnsi" w:cstheme="minorHAnsi"/>
        </w:rPr>
        <w:t xml:space="preserve"> </w:t>
      </w:r>
      <w:r w:rsidRPr="00DC050B">
        <w:rPr>
          <w:rFonts w:asciiTheme="minorHAnsi" w:hAnsiTheme="minorHAnsi" w:cstheme="minorHAnsi"/>
          <w:bCs/>
        </w:rPr>
        <w:t>Going forward, the current account balance is expected to fall back into deficit</w:t>
      </w:r>
      <w:r w:rsidRPr="00DC050B">
        <w:rPr>
          <w:rFonts w:asciiTheme="minorHAnsi" w:hAnsiTheme="minorHAnsi" w:cstheme="minorHAnsi"/>
        </w:rPr>
        <w:t>, at a</w:t>
      </w:r>
      <w:r w:rsidRPr="006C66C2">
        <w:rPr>
          <w:rFonts w:asciiTheme="minorHAnsi" w:hAnsiTheme="minorHAnsi" w:cstheme="minorHAnsi"/>
        </w:rPr>
        <w:t xml:space="preserve">round </w:t>
      </w:r>
      <w:r w:rsidR="00407286" w:rsidRPr="006C66C2">
        <w:rPr>
          <w:rFonts w:asciiTheme="minorHAnsi" w:hAnsiTheme="minorHAnsi" w:cstheme="minorHAnsi"/>
        </w:rPr>
        <w:t>3.</w:t>
      </w:r>
      <w:r w:rsidRPr="006C66C2">
        <w:rPr>
          <w:rFonts w:asciiTheme="minorHAnsi" w:hAnsiTheme="minorHAnsi" w:cstheme="minorHAnsi"/>
        </w:rPr>
        <w:t>4 percent of GDP in 2017</w:t>
      </w:r>
      <w:r w:rsidRPr="006C66C2">
        <w:rPr>
          <w:rFonts w:asciiTheme="minorHAnsi" w:hAnsiTheme="minorHAnsi" w:cstheme="minorHAnsi"/>
          <w:bCs/>
        </w:rPr>
        <w:t xml:space="preserve">. </w:t>
      </w:r>
      <w:r w:rsidRPr="006C66C2">
        <w:rPr>
          <w:rFonts w:asciiTheme="minorHAnsi" w:hAnsiTheme="minorHAnsi" w:cstheme="minorHAnsi"/>
          <w:color w:val="000000"/>
        </w:rPr>
        <w:t>The current account deficit is expected to be primarily financed by external financing of public sector investment and foreign direct investment</w:t>
      </w:r>
      <w:r w:rsidRPr="00A20F63">
        <w:rPr>
          <w:rFonts w:asciiTheme="minorHAnsi" w:hAnsiTheme="minorHAnsi" w:cstheme="minorHAnsi"/>
          <w:bCs/>
        </w:rPr>
        <w:t xml:space="preserve">. </w:t>
      </w:r>
    </w:p>
    <w:p w14:paraId="46DAA161" w14:textId="2813485E" w:rsidR="0074167E" w:rsidRPr="00BF0F8E" w:rsidRDefault="0074167E" w:rsidP="007A7246">
      <w:pPr>
        <w:numPr>
          <w:ilvl w:val="0"/>
          <w:numId w:val="1"/>
        </w:numPr>
        <w:tabs>
          <w:tab w:val="clear" w:pos="360"/>
          <w:tab w:val="num" w:pos="0"/>
        </w:tabs>
        <w:autoSpaceDE w:val="0"/>
        <w:autoSpaceDN w:val="0"/>
        <w:adjustRightInd w:val="0"/>
        <w:spacing w:after="240" w:line="240" w:lineRule="auto"/>
        <w:ind w:left="0" w:firstLine="0"/>
        <w:jc w:val="both"/>
        <w:rPr>
          <w:rFonts w:asciiTheme="minorHAnsi" w:hAnsiTheme="minorHAnsi" w:cstheme="minorHAnsi"/>
          <w:iCs/>
        </w:rPr>
      </w:pPr>
      <w:r w:rsidRPr="00A20F63">
        <w:rPr>
          <w:rFonts w:asciiTheme="minorHAnsi" w:hAnsiTheme="minorHAnsi" w:cstheme="minorHAnsi"/>
          <w:b/>
          <w:iCs/>
        </w:rPr>
        <w:t>Madagascar officially maintains a flexible exchange rate.</w:t>
      </w:r>
      <w:r w:rsidRPr="00A20F63">
        <w:rPr>
          <w:rFonts w:asciiTheme="minorHAnsi" w:hAnsiTheme="minorHAnsi" w:cstheme="minorHAnsi"/>
          <w:iCs/>
        </w:rPr>
        <w:t xml:space="preserve"> Central </w:t>
      </w:r>
      <w:r w:rsidR="00406280">
        <w:rPr>
          <w:rFonts w:asciiTheme="minorHAnsi" w:hAnsiTheme="minorHAnsi" w:cstheme="minorHAnsi"/>
          <w:iCs/>
        </w:rPr>
        <w:t>B</w:t>
      </w:r>
      <w:r w:rsidRPr="00A20F63">
        <w:rPr>
          <w:rFonts w:asciiTheme="minorHAnsi" w:hAnsiTheme="minorHAnsi" w:cstheme="minorHAnsi"/>
          <w:iCs/>
        </w:rPr>
        <w:t xml:space="preserve">ank interventions have typically sought to smooth large exchange rate fluctuations and meet foreign reserve targets. Between January and August 2017, the </w:t>
      </w:r>
      <w:r w:rsidR="006C4C8E">
        <w:rPr>
          <w:rFonts w:asciiTheme="minorHAnsi" w:hAnsiTheme="minorHAnsi" w:cstheme="minorHAnsi"/>
          <w:iCs/>
        </w:rPr>
        <w:t>MGA</w:t>
      </w:r>
      <w:r w:rsidRPr="00A20F63">
        <w:rPr>
          <w:rFonts w:asciiTheme="minorHAnsi" w:hAnsiTheme="minorHAnsi" w:cstheme="minorHAnsi"/>
          <w:iCs/>
        </w:rPr>
        <w:t xml:space="preserve"> has appreciated against the US dollar by an estimated 10.8 percent in nominal terms, and depreciated against the Euro by 0.4 percent. Nevertheless, trade data indicates that demand for Malagasy exports such as vanilla and garments remains strong. The appreciation of the </w:t>
      </w:r>
      <w:r w:rsidR="006C4C8E">
        <w:rPr>
          <w:rFonts w:asciiTheme="minorHAnsi" w:hAnsiTheme="minorHAnsi" w:cstheme="minorHAnsi"/>
          <w:iCs/>
        </w:rPr>
        <w:t>MGA</w:t>
      </w:r>
      <w:r w:rsidRPr="00A20F63">
        <w:rPr>
          <w:rFonts w:asciiTheme="minorHAnsi" w:hAnsiTheme="minorHAnsi" w:cstheme="minorHAnsi"/>
          <w:iCs/>
        </w:rPr>
        <w:t xml:space="preserve"> against the US dollar was most pronounced in June and July 2017, which coincides with the opening of the vanilla season and a rise in foreign exchange earnings.</w:t>
      </w:r>
      <w:r w:rsidRPr="00BF0F8E">
        <w:rPr>
          <w:rFonts w:asciiTheme="minorHAnsi" w:hAnsiTheme="minorHAnsi" w:cstheme="minorHAnsi"/>
          <w:iCs/>
        </w:rPr>
        <w:t xml:space="preserve">   </w:t>
      </w:r>
    </w:p>
    <w:p w14:paraId="4C6DDDAE" w14:textId="77777777" w:rsidR="0074167E" w:rsidRPr="00DC050B" w:rsidRDefault="0074167E" w:rsidP="007A7246">
      <w:pPr>
        <w:pStyle w:val="ListParagraph"/>
        <w:numPr>
          <w:ilvl w:val="0"/>
          <w:numId w:val="1"/>
        </w:numPr>
        <w:tabs>
          <w:tab w:val="clear" w:pos="360"/>
        </w:tabs>
        <w:spacing w:after="240" w:line="240" w:lineRule="auto"/>
        <w:ind w:left="0" w:firstLine="0"/>
        <w:contextualSpacing w:val="0"/>
        <w:jc w:val="both"/>
        <w:rPr>
          <w:rFonts w:asciiTheme="minorHAnsi" w:hAnsiTheme="minorHAnsi" w:cstheme="minorHAnsi"/>
        </w:rPr>
      </w:pPr>
      <w:r w:rsidRPr="00B66802">
        <w:rPr>
          <w:rFonts w:asciiTheme="minorHAnsi" w:hAnsiTheme="minorHAnsi" w:cstheme="minorHAnsi"/>
          <w:b/>
          <w:color w:val="000000"/>
        </w:rPr>
        <w:t xml:space="preserve">While the financial sector should be robust against normal economic fluctuations, risks arising from financial deepening underscore the need to enhance </w:t>
      </w:r>
      <w:r w:rsidRPr="00BD4A16">
        <w:rPr>
          <w:rFonts w:asciiTheme="minorHAnsi" w:hAnsiTheme="minorHAnsi" w:cstheme="minorHAnsi"/>
          <w:b/>
          <w:color w:val="000000"/>
        </w:rPr>
        <w:t xml:space="preserve">supervision. </w:t>
      </w:r>
      <w:r w:rsidRPr="00DC050B">
        <w:rPr>
          <w:rFonts w:asciiTheme="minorHAnsi" w:hAnsiTheme="minorHAnsi" w:cstheme="minorHAnsi"/>
          <w:color w:val="000000"/>
        </w:rPr>
        <w:t>Financial soundness indicators signal that:</w:t>
      </w:r>
    </w:p>
    <w:p w14:paraId="2DDE3514" w14:textId="77777777" w:rsidR="0074167E" w:rsidRPr="00BF0F8E" w:rsidRDefault="0074167E" w:rsidP="0074167E">
      <w:pPr>
        <w:pStyle w:val="ListBullet"/>
        <w:jc w:val="both"/>
        <w:rPr>
          <w:rFonts w:asciiTheme="minorHAnsi" w:hAnsiTheme="minorHAnsi" w:cstheme="minorHAnsi"/>
        </w:rPr>
      </w:pPr>
      <w:r w:rsidRPr="00BF0F8E">
        <w:rPr>
          <w:rFonts w:asciiTheme="minorHAnsi" w:hAnsiTheme="minorHAnsi" w:cstheme="minorHAnsi"/>
        </w:rPr>
        <w:t>All banks fulfill the capital adequacy requirements, although banks are operating with a relatively limited amount of capital;</w:t>
      </w:r>
    </w:p>
    <w:p w14:paraId="40A70413" w14:textId="77777777" w:rsidR="0074167E" w:rsidRPr="00BF0F8E" w:rsidRDefault="0074167E" w:rsidP="0074167E">
      <w:pPr>
        <w:pStyle w:val="ListBullet"/>
        <w:jc w:val="both"/>
        <w:rPr>
          <w:rFonts w:asciiTheme="minorHAnsi" w:hAnsiTheme="minorHAnsi" w:cstheme="minorHAnsi"/>
        </w:rPr>
      </w:pPr>
      <w:r w:rsidRPr="00BF0F8E">
        <w:rPr>
          <w:rFonts w:asciiTheme="minorHAnsi" w:hAnsiTheme="minorHAnsi" w:cstheme="minorHAnsi"/>
        </w:rPr>
        <w:t>Banks are on average highly profitable, mostly due to high spreads between loan and deposit rates and a comfortable fee income, but there are large differences among the banks;</w:t>
      </w:r>
      <w:r w:rsidRPr="00B66802">
        <w:rPr>
          <w:rStyle w:val="FootnoteReference"/>
          <w:rFonts w:asciiTheme="minorHAnsi" w:hAnsiTheme="minorHAnsi" w:cstheme="minorHAnsi"/>
          <w:color w:val="000000"/>
        </w:rPr>
        <w:footnoteReference w:id="13"/>
      </w:r>
    </w:p>
    <w:p w14:paraId="62543580" w14:textId="77777777" w:rsidR="0074167E" w:rsidRPr="00BF0F8E" w:rsidRDefault="0074167E" w:rsidP="0074167E">
      <w:pPr>
        <w:pStyle w:val="ListBullet"/>
        <w:jc w:val="both"/>
        <w:rPr>
          <w:rFonts w:asciiTheme="minorHAnsi" w:hAnsiTheme="minorHAnsi" w:cstheme="minorHAnsi"/>
        </w:rPr>
      </w:pPr>
      <w:r w:rsidRPr="00BF0F8E">
        <w:rPr>
          <w:rFonts w:asciiTheme="minorHAnsi" w:hAnsiTheme="minorHAnsi" w:cstheme="minorHAnsi"/>
        </w:rPr>
        <w:t>Liquidity is ample in aggregate, with banks’ deposits exceeding loans, although liquidity management is hindered by the lack of an effective secondary market in Government securities and a segmented interbank market;</w:t>
      </w:r>
    </w:p>
    <w:p w14:paraId="53955F38" w14:textId="77777777" w:rsidR="0074167E" w:rsidRPr="00BF0F8E" w:rsidRDefault="0074167E" w:rsidP="0074167E">
      <w:pPr>
        <w:pStyle w:val="ListBullet"/>
        <w:jc w:val="both"/>
        <w:rPr>
          <w:rFonts w:asciiTheme="minorHAnsi" w:hAnsiTheme="minorHAnsi" w:cstheme="minorHAnsi"/>
        </w:rPr>
      </w:pPr>
      <w:r w:rsidRPr="00BF0F8E">
        <w:rPr>
          <w:rFonts w:asciiTheme="minorHAnsi" w:hAnsiTheme="minorHAnsi" w:cstheme="minorHAnsi"/>
        </w:rPr>
        <w:t xml:space="preserve">Dollarization of deposits and credits is not pronounced and banks’ foreign assets exceed foreign liabilities; and </w:t>
      </w:r>
    </w:p>
    <w:p w14:paraId="2472BA84" w14:textId="77777777" w:rsidR="0074167E" w:rsidRPr="00BF0F8E" w:rsidRDefault="0074167E" w:rsidP="0074167E">
      <w:pPr>
        <w:pStyle w:val="ListBullet"/>
        <w:jc w:val="both"/>
        <w:rPr>
          <w:rFonts w:asciiTheme="minorHAnsi" w:hAnsiTheme="minorHAnsi" w:cstheme="minorHAnsi"/>
        </w:rPr>
      </w:pPr>
      <w:r w:rsidRPr="00BF0F8E">
        <w:rPr>
          <w:rFonts w:asciiTheme="minorHAnsi" w:hAnsiTheme="minorHAnsi" w:cstheme="minorHAnsi"/>
        </w:rPr>
        <w:t xml:space="preserve">The non-performing loan (NPL) ratio remains elevated at around 9.8 percent (as of June 2017,) but is on a declining trend; </w:t>
      </w:r>
    </w:p>
    <w:p w14:paraId="606A2541" w14:textId="77777777" w:rsidR="0074167E" w:rsidRPr="00BF0F8E" w:rsidRDefault="0074167E" w:rsidP="0074167E">
      <w:pPr>
        <w:pStyle w:val="ListBullet"/>
        <w:jc w:val="both"/>
        <w:rPr>
          <w:rFonts w:asciiTheme="minorHAnsi" w:hAnsiTheme="minorHAnsi" w:cstheme="minorHAnsi"/>
        </w:rPr>
      </w:pPr>
      <w:r w:rsidRPr="00BF0F8E">
        <w:rPr>
          <w:rFonts w:asciiTheme="minorHAnsi" w:hAnsiTheme="minorHAnsi" w:cstheme="minorHAnsi"/>
        </w:rPr>
        <w:t xml:space="preserve">However, risks to the financial sector (as demonstrated by the failure of a bank and a microfinance network in 2015) highlight the need to enhance supervision. </w:t>
      </w:r>
    </w:p>
    <w:p w14:paraId="63241D81" w14:textId="1445E788" w:rsidR="0074167E" w:rsidRPr="00B66802" w:rsidRDefault="0074167E" w:rsidP="007A7246">
      <w:pPr>
        <w:pStyle w:val="ListParagraph"/>
        <w:numPr>
          <w:ilvl w:val="0"/>
          <w:numId w:val="1"/>
        </w:numPr>
        <w:tabs>
          <w:tab w:val="clear" w:pos="360"/>
        </w:tabs>
        <w:spacing w:after="240" w:line="240" w:lineRule="auto"/>
        <w:ind w:left="0" w:firstLine="0"/>
        <w:contextualSpacing w:val="0"/>
        <w:jc w:val="both"/>
        <w:rPr>
          <w:rFonts w:asciiTheme="minorHAnsi" w:hAnsiTheme="minorHAnsi" w:cstheme="minorHAnsi"/>
          <w:color w:val="000000"/>
        </w:rPr>
      </w:pPr>
      <w:r w:rsidRPr="00B66802">
        <w:rPr>
          <w:rFonts w:asciiTheme="minorHAnsi" w:hAnsiTheme="minorHAnsi" w:cstheme="minorHAnsi"/>
          <w:b/>
          <w:color w:val="000000"/>
        </w:rPr>
        <w:t>The authorities have recast the 2017 budget to offset damage caused by the recent shocks.</w:t>
      </w:r>
      <w:r w:rsidRPr="00BD4A16">
        <w:rPr>
          <w:rFonts w:asciiTheme="minorHAnsi" w:hAnsiTheme="minorHAnsi" w:cstheme="minorHAnsi"/>
          <w:color w:val="000000"/>
        </w:rPr>
        <w:t xml:space="preserve"> The revised budget law, adopted in June 2017, reflects the authorities’ efforts to maintain macroeconomic stability, while reprioritizing expenditures given the shocks to the economy. The adjustments to the budget law are consisten</w:t>
      </w:r>
      <w:r w:rsidRPr="00DC050B">
        <w:rPr>
          <w:rFonts w:asciiTheme="minorHAnsi" w:hAnsiTheme="minorHAnsi" w:cstheme="minorHAnsi"/>
          <w:color w:val="000000"/>
        </w:rPr>
        <w:t xml:space="preserve">t with the first review of the IMF’s ECF arrangement. Total revenues and grants </w:t>
      </w:r>
      <w:r w:rsidRPr="00DC050B">
        <w:rPr>
          <w:rFonts w:asciiTheme="minorHAnsi" w:hAnsiTheme="minorHAnsi" w:cstheme="minorHAnsi"/>
          <w:color w:val="000000"/>
        </w:rPr>
        <w:lastRenderedPageBreak/>
        <w:t>are now projected at 15.</w:t>
      </w:r>
      <w:r w:rsidR="009D2791" w:rsidRPr="00DC050B">
        <w:rPr>
          <w:rFonts w:asciiTheme="minorHAnsi" w:hAnsiTheme="minorHAnsi" w:cstheme="minorHAnsi"/>
          <w:color w:val="000000"/>
        </w:rPr>
        <w:t>0</w:t>
      </w:r>
      <w:r w:rsidRPr="00DC050B">
        <w:rPr>
          <w:rFonts w:asciiTheme="minorHAnsi" w:hAnsiTheme="minorHAnsi" w:cstheme="minorHAnsi"/>
          <w:color w:val="000000"/>
        </w:rPr>
        <w:t xml:space="preserve"> percent of GDP</w:t>
      </w:r>
      <w:r w:rsidR="00407286" w:rsidRPr="00DC050B">
        <w:rPr>
          <w:rFonts w:asciiTheme="minorHAnsi" w:hAnsiTheme="minorHAnsi" w:cstheme="minorHAnsi"/>
          <w:color w:val="000000"/>
        </w:rPr>
        <w:t xml:space="preserve"> </w:t>
      </w:r>
      <w:r w:rsidR="00051ABB">
        <w:rPr>
          <w:rFonts w:asciiTheme="minorHAnsi" w:hAnsiTheme="minorHAnsi" w:cstheme="minorHAnsi"/>
          <w:color w:val="000000"/>
        </w:rPr>
        <w:t xml:space="preserve">for 2017 </w:t>
      </w:r>
      <w:r w:rsidR="00407286" w:rsidRPr="00DC050B">
        <w:rPr>
          <w:rFonts w:asciiTheme="minorHAnsi" w:hAnsiTheme="minorHAnsi" w:cstheme="minorHAnsi"/>
          <w:color w:val="000000"/>
        </w:rPr>
        <w:t xml:space="preserve">compared with </w:t>
      </w:r>
      <w:r w:rsidRPr="00DC050B">
        <w:rPr>
          <w:rFonts w:asciiTheme="minorHAnsi" w:hAnsiTheme="minorHAnsi" w:cstheme="minorHAnsi"/>
          <w:color w:val="000000"/>
        </w:rPr>
        <w:t>13.9 percent of GDP in the original budget law</w:t>
      </w:r>
      <w:r w:rsidR="00407286" w:rsidRPr="00DC050B">
        <w:rPr>
          <w:rFonts w:asciiTheme="minorHAnsi" w:hAnsiTheme="minorHAnsi" w:cstheme="minorHAnsi"/>
          <w:color w:val="000000"/>
        </w:rPr>
        <w:t>. E</w:t>
      </w:r>
      <w:r w:rsidRPr="006C66C2">
        <w:rPr>
          <w:rFonts w:asciiTheme="minorHAnsi" w:hAnsiTheme="minorHAnsi" w:cstheme="minorHAnsi"/>
          <w:color w:val="000000"/>
        </w:rPr>
        <w:t xml:space="preserve">xpenditures are projected at </w:t>
      </w:r>
      <w:r w:rsidR="000D4DE6" w:rsidRPr="006C66C2">
        <w:rPr>
          <w:rFonts w:asciiTheme="minorHAnsi" w:hAnsiTheme="minorHAnsi" w:cstheme="minorHAnsi"/>
          <w:color w:val="000000"/>
        </w:rPr>
        <w:t>18.</w:t>
      </w:r>
      <w:r w:rsidR="009D2791" w:rsidRPr="006C66C2">
        <w:rPr>
          <w:rFonts w:asciiTheme="minorHAnsi" w:hAnsiTheme="minorHAnsi" w:cstheme="minorHAnsi"/>
          <w:color w:val="000000"/>
        </w:rPr>
        <w:t>4</w:t>
      </w:r>
      <w:r w:rsidR="000D4DE6" w:rsidRPr="006C66C2">
        <w:rPr>
          <w:rFonts w:asciiTheme="minorHAnsi" w:hAnsiTheme="minorHAnsi" w:cstheme="minorHAnsi"/>
          <w:color w:val="000000"/>
        </w:rPr>
        <w:t xml:space="preserve"> percent of GDP</w:t>
      </w:r>
      <w:r w:rsidRPr="006C66C2">
        <w:rPr>
          <w:rFonts w:asciiTheme="minorHAnsi" w:hAnsiTheme="minorHAnsi" w:cstheme="minorHAnsi"/>
          <w:color w:val="000000"/>
        </w:rPr>
        <w:t>.</w:t>
      </w:r>
      <w:r w:rsidRPr="00B66802">
        <w:rPr>
          <w:rStyle w:val="FootnoteReference"/>
          <w:rFonts w:asciiTheme="minorHAnsi" w:hAnsiTheme="minorHAnsi" w:cstheme="minorHAnsi"/>
          <w:color w:val="000000"/>
        </w:rPr>
        <w:footnoteReference w:id="14"/>
      </w:r>
      <w:r w:rsidRPr="00B66802">
        <w:rPr>
          <w:rFonts w:asciiTheme="minorHAnsi" w:hAnsiTheme="minorHAnsi" w:cstheme="minorHAnsi"/>
          <w:color w:val="000000"/>
        </w:rPr>
        <w:t xml:space="preserve"> </w:t>
      </w:r>
    </w:p>
    <w:p w14:paraId="7B8CD778" w14:textId="45324173" w:rsidR="0074167E" w:rsidRPr="00BD4A16" w:rsidRDefault="0074167E" w:rsidP="007A7246">
      <w:pPr>
        <w:pStyle w:val="ListParagraph"/>
        <w:numPr>
          <w:ilvl w:val="0"/>
          <w:numId w:val="1"/>
        </w:numPr>
        <w:tabs>
          <w:tab w:val="clear" w:pos="360"/>
        </w:tabs>
        <w:spacing w:after="240" w:line="240" w:lineRule="auto"/>
        <w:ind w:left="0" w:firstLine="0"/>
        <w:contextualSpacing w:val="0"/>
        <w:jc w:val="both"/>
        <w:rPr>
          <w:rFonts w:asciiTheme="minorHAnsi" w:hAnsiTheme="minorHAnsi" w:cstheme="minorHAnsi"/>
        </w:rPr>
      </w:pPr>
      <w:r w:rsidRPr="00BD4A16">
        <w:rPr>
          <w:rFonts w:asciiTheme="minorHAnsi" w:hAnsiTheme="minorHAnsi" w:cstheme="minorHAnsi"/>
          <w:b/>
          <w:color w:val="000000"/>
        </w:rPr>
        <w:t xml:space="preserve">Current </w:t>
      </w:r>
      <w:r w:rsidRPr="00DC050B">
        <w:rPr>
          <w:rFonts w:asciiTheme="minorHAnsi" w:hAnsiTheme="minorHAnsi" w:cstheme="minorHAnsi"/>
          <w:b/>
        </w:rPr>
        <w:t xml:space="preserve">expenditures in the revised budget are expected to increase </w:t>
      </w:r>
      <w:r w:rsidR="00CC5AD4" w:rsidRPr="00DC050B">
        <w:rPr>
          <w:rFonts w:asciiTheme="minorHAnsi" w:hAnsiTheme="minorHAnsi" w:cstheme="minorHAnsi"/>
          <w:b/>
        </w:rPr>
        <w:t xml:space="preserve">compared to </w:t>
      </w:r>
      <w:r w:rsidR="007F30F8" w:rsidRPr="00DC050B">
        <w:rPr>
          <w:rFonts w:asciiTheme="minorHAnsi" w:hAnsiTheme="minorHAnsi" w:cstheme="minorHAnsi"/>
          <w:b/>
        </w:rPr>
        <w:t>2016</w:t>
      </w:r>
      <w:r w:rsidR="00CC5AD4" w:rsidRPr="00DC050B">
        <w:rPr>
          <w:rFonts w:asciiTheme="minorHAnsi" w:hAnsiTheme="minorHAnsi" w:cstheme="minorHAnsi"/>
          <w:b/>
        </w:rPr>
        <w:t xml:space="preserve"> </w:t>
      </w:r>
      <w:r w:rsidRPr="00DC050B">
        <w:rPr>
          <w:rFonts w:asciiTheme="minorHAnsi" w:hAnsiTheme="minorHAnsi" w:cstheme="minorHAnsi"/>
          <w:b/>
        </w:rPr>
        <w:t>to address the shocks.</w:t>
      </w:r>
      <w:r w:rsidRPr="00DC050B">
        <w:rPr>
          <w:rFonts w:asciiTheme="minorHAnsi" w:hAnsiTheme="minorHAnsi" w:cstheme="minorHAnsi"/>
        </w:rPr>
        <w:t xml:space="preserve"> </w:t>
      </w:r>
      <w:r w:rsidRPr="00DC050B">
        <w:rPr>
          <w:rFonts w:asciiTheme="minorHAnsi" w:hAnsiTheme="minorHAnsi" w:cstheme="minorHAnsi"/>
          <w:bCs/>
        </w:rPr>
        <w:t>Current expenditures are forecast to increase from 10.8 percent of GDP in 2016 to 12.2 percent of GDP in 2017. This increase is driven by higher transfers, which include: larger subsidies to JIRAMA (from US$74 million to US$133 million),</w:t>
      </w:r>
      <w:r w:rsidRPr="00B66802">
        <w:rPr>
          <w:rStyle w:val="FootnoteReference"/>
          <w:rFonts w:asciiTheme="minorHAnsi" w:hAnsiTheme="minorHAnsi" w:cstheme="minorHAnsi"/>
          <w:bCs/>
        </w:rPr>
        <w:footnoteReference w:id="15"/>
      </w:r>
      <w:r w:rsidRPr="00B66802">
        <w:rPr>
          <w:rFonts w:asciiTheme="minorHAnsi" w:hAnsiTheme="minorHAnsi" w:cstheme="minorHAnsi"/>
          <w:bCs/>
        </w:rPr>
        <w:t xml:space="preserve"> emergency-relief related expenditures of US</w:t>
      </w:r>
      <w:r w:rsidRPr="00BD4A16">
        <w:rPr>
          <w:rFonts w:asciiTheme="minorHAnsi" w:hAnsiTheme="minorHAnsi" w:cstheme="minorHAnsi"/>
          <w:bCs/>
        </w:rPr>
        <w:t>$35 million to be channeled through line ministries, and a one-off transfer to Air Madagascar of US$89 million to cover debt obligations.</w:t>
      </w:r>
      <w:r w:rsidRPr="00B66802">
        <w:rPr>
          <w:rStyle w:val="FootnoteReference"/>
          <w:rFonts w:asciiTheme="minorHAnsi" w:hAnsiTheme="minorHAnsi" w:cstheme="minorHAnsi"/>
          <w:bCs/>
        </w:rPr>
        <w:footnoteReference w:id="16"/>
      </w:r>
      <w:r w:rsidRPr="00B66802">
        <w:rPr>
          <w:rFonts w:asciiTheme="minorHAnsi" w:hAnsiTheme="minorHAnsi" w:cstheme="minorHAnsi"/>
          <w:bCs/>
        </w:rPr>
        <w:t xml:space="preserve"> T</w:t>
      </w:r>
      <w:r w:rsidRPr="00B66802">
        <w:rPr>
          <w:rFonts w:asciiTheme="minorHAnsi" w:hAnsiTheme="minorHAnsi" w:cstheme="minorHAnsi"/>
        </w:rPr>
        <w:t>o safeguard planned spending on social priority sectors, the</w:t>
      </w:r>
      <w:r w:rsidRPr="00BD4A16">
        <w:rPr>
          <w:rFonts w:asciiTheme="minorHAnsi" w:hAnsiTheme="minorHAnsi" w:cstheme="minorHAnsi"/>
        </w:rPr>
        <w:t xml:space="preserve"> </w:t>
      </w:r>
      <w:r w:rsidR="0085470E">
        <w:rPr>
          <w:rFonts w:asciiTheme="minorHAnsi" w:hAnsiTheme="minorHAnsi" w:cstheme="minorHAnsi"/>
        </w:rPr>
        <w:t>G</w:t>
      </w:r>
      <w:r w:rsidRPr="00BD4A16">
        <w:rPr>
          <w:rFonts w:asciiTheme="minorHAnsi" w:hAnsiTheme="minorHAnsi" w:cstheme="minorHAnsi"/>
        </w:rPr>
        <w:t xml:space="preserve">overnment is making efforts to reduce selected transfers, notably to the Pension Fund, and has eliminated the fuel subsidy. </w:t>
      </w:r>
    </w:p>
    <w:p w14:paraId="65330F3A" w14:textId="6B2F4E1E" w:rsidR="0074167E" w:rsidRPr="006C66C2" w:rsidRDefault="0074167E" w:rsidP="007A7246">
      <w:pPr>
        <w:pStyle w:val="ListParagraph"/>
        <w:numPr>
          <w:ilvl w:val="0"/>
          <w:numId w:val="1"/>
        </w:numPr>
        <w:tabs>
          <w:tab w:val="clear" w:pos="360"/>
        </w:tabs>
        <w:spacing w:after="240" w:line="240" w:lineRule="auto"/>
        <w:ind w:left="0" w:firstLine="0"/>
        <w:contextualSpacing w:val="0"/>
        <w:jc w:val="both"/>
        <w:rPr>
          <w:rFonts w:asciiTheme="minorHAnsi" w:hAnsiTheme="minorHAnsi" w:cstheme="minorHAnsi"/>
        </w:rPr>
      </w:pPr>
      <w:r w:rsidRPr="00DC050B">
        <w:rPr>
          <w:rFonts w:asciiTheme="minorHAnsi" w:hAnsiTheme="minorHAnsi" w:cstheme="minorHAnsi"/>
          <w:b/>
          <w:color w:val="000000"/>
        </w:rPr>
        <w:t>Capital expenditures are also increasing in 2017</w:t>
      </w:r>
      <w:r w:rsidRPr="00DC050B">
        <w:rPr>
          <w:rFonts w:asciiTheme="minorHAnsi" w:hAnsiTheme="minorHAnsi" w:cstheme="minorHAnsi"/>
          <w:b/>
        </w:rPr>
        <w:t>.</w:t>
      </w:r>
      <w:r w:rsidRPr="00DC050B">
        <w:rPr>
          <w:rFonts w:asciiTheme="minorHAnsi" w:hAnsiTheme="minorHAnsi" w:cstheme="minorHAnsi"/>
        </w:rPr>
        <w:t xml:space="preserve"> </w:t>
      </w:r>
      <w:r w:rsidRPr="00DC050B">
        <w:rPr>
          <w:rFonts w:asciiTheme="minorHAnsi" w:hAnsiTheme="minorHAnsi" w:cstheme="minorHAnsi"/>
          <w:bCs/>
        </w:rPr>
        <w:t>Capital expenditures are now forecast at 6.3 percent of GDP in 2017 (compared to 5.2 percent of GDP in 2016). Higher capital spending is intended for projects planned to support the implementation of the NDP and new projects for emergency related expenditures in sectors such a</w:t>
      </w:r>
      <w:r w:rsidRPr="006C66C2">
        <w:rPr>
          <w:rFonts w:asciiTheme="minorHAnsi" w:hAnsiTheme="minorHAnsi" w:cstheme="minorHAnsi"/>
          <w:bCs/>
        </w:rPr>
        <w:t xml:space="preserve">s water, roads, transport, agriculture, social protection, health and education. As plans materialize to scale up public investment spending, reforms supported under this programmatic DPO seek to strengthen the PIM capacity so that the available resources are well utilized. </w:t>
      </w:r>
    </w:p>
    <w:p w14:paraId="72DC0EFD" w14:textId="77777777" w:rsidR="0074167E" w:rsidRPr="00A20F63" w:rsidRDefault="0074167E" w:rsidP="007A7246">
      <w:pPr>
        <w:pStyle w:val="ListParagraph"/>
        <w:numPr>
          <w:ilvl w:val="0"/>
          <w:numId w:val="1"/>
        </w:numPr>
        <w:tabs>
          <w:tab w:val="clear" w:pos="360"/>
        </w:tabs>
        <w:spacing w:after="240" w:line="240" w:lineRule="auto"/>
        <w:ind w:left="0" w:firstLine="0"/>
        <w:contextualSpacing w:val="0"/>
        <w:jc w:val="both"/>
        <w:rPr>
          <w:rFonts w:asciiTheme="minorHAnsi" w:hAnsiTheme="minorHAnsi" w:cstheme="minorHAnsi"/>
          <w:color w:val="000000"/>
        </w:rPr>
      </w:pPr>
      <w:r w:rsidRPr="00A20F63">
        <w:rPr>
          <w:rFonts w:asciiTheme="minorHAnsi" w:hAnsiTheme="minorHAnsi" w:cstheme="minorHAnsi"/>
          <w:b/>
          <w:color w:val="000000"/>
        </w:rPr>
        <w:t>The</w:t>
      </w:r>
      <w:r w:rsidRPr="00A20F63">
        <w:rPr>
          <w:rFonts w:asciiTheme="minorHAnsi" w:hAnsiTheme="minorHAnsi" w:cstheme="minorHAnsi"/>
          <w:b/>
          <w:bCs/>
        </w:rPr>
        <w:t xml:space="preserve"> upward revision of revenues in the revised budget partly reflects progress in implementing tax administration reforms, including those supported through this programmatic DPO. </w:t>
      </w:r>
      <w:r w:rsidRPr="00A20F63">
        <w:rPr>
          <w:rFonts w:asciiTheme="minorHAnsi" w:hAnsiTheme="minorHAnsi" w:cstheme="minorHAnsi"/>
          <w:bCs/>
        </w:rPr>
        <w:t>Different measures to strengthen tax administration have been implemented, such as reinforced risk-</w:t>
      </w:r>
      <w:r w:rsidRPr="00A20F63">
        <w:rPr>
          <w:rFonts w:asciiTheme="minorHAnsi" w:hAnsiTheme="minorHAnsi" w:cstheme="minorHAnsi"/>
          <w:color w:val="000000"/>
        </w:rPr>
        <w:t xml:space="preserve">based controls, </w:t>
      </w:r>
      <w:r w:rsidRPr="00A20F63">
        <w:rPr>
          <w:rFonts w:asciiTheme="minorHAnsi" w:hAnsiTheme="minorHAnsi" w:cstheme="minorHAnsi"/>
          <w:bCs/>
        </w:rPr>
        <w:t xml:space="preserve">and closer collaboration between tax and customs directorates. As a result, tax revenues are forecast to reach 11.4 percent of GDP in 2017 compared with 10.9 percent in 2016. </w:t>
      </w:r>
    </w:p>
    <w:p w14:paraId="7F3807D4" w14:textId="2796BBBE" w:rsidR="0074167E" w:rsidRPr="00B66802" w:rsidRDefault="0074167E" w:rsidP="007A7246">
      <w:pPr>
        <w:pStyle w:val="ListParagraph"/>
        <w:numPr>
          <w:ilvl w:val="0"/>
          <w:numId w:val="1"/>
        </w:numPr>
        <w:tabs>
          <w:tab w:val="clear" w:pos="360"/>
        </w:tabs>
        <w:spacing w:after="240" w:line="240" w:lineRule="auto"/>
        <w:ind w:left="0" w:firstLine="0"/>
        <w:jc w:val="both"/>
        <w:rPr>
          <w:rFonts w:asciiTheme="minorHAnsi" w:hAnsiTheme="minorHAnsi" w:cstheme="minorHAnsi"/>
          <w:bCs/>
        </w:rPr>
      </w:pPr>
      <w:r w:rsidRPr="00A20F63">
        <w:rPr>
          <w:rFonts w:asciiTheme="minorHAnsi" w:hAnsiTheme="minorHAnsi" w:cstheme="minorHAnsi"/>
          <w:b/>
        </w:rPr>
        <w:t xml:space="preserve">The fiscal deficit is expected to be slightly higher in 2017 compared with 2016. </w:t>
      </w:r>
      <w:r w:rsidRPr="00A20F63">
        <w:rPr>
          <w:rFonts w:asciiTheme="minorHAnsi" w:hAnsiTheme="minorHAnsi" w:cstheme="minorHAnsi"/>
        </w:rPr>
        <w:t>The (cash) deficit in the revised budget law is 4.3 percent of GDP, compared with 2.0 percent in 2016.</w:t>
      </w:r>
      <w:r w:rsidRPr="00B66802">
        <w:rPr>
          <w:rStyle w:val="FootnoteReference"/>
          <w:rFonts w:asciiTheme="minorHAnsi" w:hAnsiTheme="minorHAnsi" w:cstheme="minorHAnsi"/>
          <w:bCs/>
        </w:rPr>
        <w:footnoteReference w:id="17"/>
      </w:r>
      <w:r w:rsidRPr="00B66802">
        <w:rPr>
          <w:rFonts w:asciiTheme="minorHAnsi" w:hAnsiTheme="minorHAnsi" w:cstheme="minorHAnsi"/>
        </w:rPr>
        <w:t xml:space="preserve"> Of the total financing requiremen</w:t>
      </w:r>
      <w:r w:rsidRPr="00BD4A16">
        <w:rPr>
          <w:rFonts w:asciiTheme="minorHAnsi" w:hAnsiTheme="minorHAnsi" w:cstheme="minorHAnsi"/>
        </w:rPr>
        <w:t>ts, it is expected that 2.3 percent of GDP will be financed</w:t>
      </w:r>
      <w:r w:rsidRPr="00DC050B">
        <w:rPr>
          <w:rFonts w:asciiTheme="minorHAnsi" w:hAnsiTheme="minorHAnsi" w:cstheme="minorHAnsi"/>
        </w:rPr>
        <w:t xml:space="preserve"> through foreign borrowing and the remainder from domestic borrowing. To meet the exceptional financing needs following the cyclone, the IMF </w:t>
      </w:r>
      <w:r w:rsidRPr="00DC050B">
        <w:rPr>
          <w:rFonts w:asciiTheme="minorHAnsi" w:hAnsiTheme="minorHAnsi" w:cstheme="minorHAnsi"/>
          <w:bCs/>
        </w:rPr>
        <w:t>increased its financing by SDR 30.6 million (</w:t>
      </w:r>
      <w:r w:rsidR="003E6F5F">
        <w:rPr>
          <w:rFonts w:asciiTheme="minorHAnsi" w:hAnsiTheme="minorHAnsi" w:cstheme="minorHAnsi"/>
          <w:bCs/>
        </w:rPr>
        <w:t xml:space="preserve">equivalent to </w:t>
      </w:r>
      <w:r w:rsidRPr="00DC050B">
        <w:rPr>
          <w:rFonts w:asciiTheme="minorHAnsi" w:hAnsiTheme="minorHAnsi" w:cstheme="minorHAnsi"/>
          <w:bCs/>
        </w:rPr>
        <w:t>about US$4</w:t>
      </w:r>
      <w:r w:rsidR="003E6F5F">
        <w:rPr>
          <w:rFonts w:asciiTheme="minorHAnsi" w:hAnsiTheme="minorHAnsi" w:cstheme="minorHAnsi"/>
          <w:bCs/>
        </w:rPr>
        <w:t>2.</w:t>
      </w:r>
      <w:r w:rsidRPr="00DC050B">
        <w:rPr>
          <w:rFonts w:asciiTheme="minorHAnsi" w:hAnsiTheme="minorHAnsi" w:cstheme="minorHAnsi"/>
          <w:bCs/>
        </w:rPr>
        <w:t xml:space="preserve">3 million) to help offset pressures on the balance of payments </w:t>
      </w:r>
      <w:r w:rsidR="00DC050B">
        <w:rPr>
          <w:rFonts w:asciiTheme="minorHAnsi" w:hAnsiTheme="minorHAnsi" w:cstheme="minorHAnsi"/>
          <w:bCs/>
        </w:rPr>
        <w:t xml:space="preserve">(BoP) </w:t>
      </w:r>
      <w:r w:rsidRPr="00DC050B">
        <w:rPr>
          <w:rFonts w:asciiTheme="minorHAnsi" w:hAnsiTheme="minorHAnsi" w:cstheme="minorHAnsi"/>
          <w:bCs/>
        </w:rPr>
        <w:t xml:space="preserve">from the shocks, while also supporting the authorities' plans for the </w:t>
      </w:r>
      <w:r w:rsidR="00044579">
        <w:rPr>
          <w:rFonts w:asciiTheme="minorHAnsi" w:hAnsiTheme="minorHAnsi" w:cstheme="minorHAnsi"/>
          <w:bCs/>
        </w:rPr>
        <w:t>C</w:t>
      </w:r>
      <w:r w:rsidRPr="00DC050B">
        <w:rPr>
          <w:rFonts w:asciiTheme="minorHAnsi" w:hAnsiTheme="minorHAnsi" w:cstheme="minorHAnsi"/>
          <w:bCs/>
        </w:rPr>
        <w:t xml:space="preserve">entral </w:t>
      </w:r>
      <w:r w:rsidR="00044579">
        <w:rPr>
          <w:rFonts w:asciiTheme="minorHAnsi" w:hAnsiTheme="minorHAnsi" w:cstheme="minorHAnsi"/>
          <w:bCs/>
        </w:rPr>
        <w:t>B</w:t>
      </w:r>
      <w:r w:rsidRPr="00DC050B">
        <w:rPr>
          <w:rFonts w:asciiTheme="minorHAnsi" w:hAnsiTheme="minorHAnsi" w:cstheme="minorHAnsi"/>
          <w:bCs/>
        </w:rPr>
        <w:t>ank to on-lend about US$50 million of the IMF disbursements in 2017.</w:t>
      </w:r>
      <w:r w:rsidRPr="00B66802">
        <w:rPr>
          <w:rStyle w:val="FootnoteReference"/>
          <w:rFonts w:asciiTheme="minorHAnsi" w:hAnsiTheme="minorHAnsi" w:cstheme="minorHAnsi"/>
          <w:bCs/>
        </w:rPr>
        <w:footnoteReference w:id="18"/>
      </w:r>
    </w:p>
    <w:p w14:paraId="1EF6DB6D" w14:textId="36D7D9B7" w:rsidR="00D83A0C" w:rsidRPr="000E3248" w:rsidRDefault="0074167E" w:rsidP="00D83A0C">
      <w:pPr>
        <w:pStyle w:val="Heading3"/>
        <w:jc w:val="left"/>
        <w:rPr>
          <w:rFonts w:asciiTheme="minorHAnsi" w:hAnsiTheme="minorHAnsi" w:cstheme="minorHAnsi"/>
        </w:rPr>
      </w:pPr>
      <w:bookmarkStart w:id="5" w:name="_Toc496204244"/>
      <w:r w:rsidRPr="000E3248">
        <w:rPr>
          <w:rFonts w:asciiTheme="minorHAnsi" w:hAnsiTheme="minorHAnsi" w:cstheme="minorHAnsi"/>
        </w:rPr>
        <w:t xml:space="preserve">2.2. </w:t>
      </w:r>
      <w:r w:rsidR="006F4D33">
        <w:rPr>
          <w:rFonts w:asciiTheme="minorHAnsi" w:hAnsiTheme="minorHAnsi" w:cstheme="minorHAnsi"/>
        </w:rPr>
        <w:tab/>
      </w:r>
      <w:r w:rsidRPr="000E3248">
        <w:rPr>
          <w:rFonts w:asciiTheme="minorHAnsi" w:hAnsiTheme="minorHAnsi" w:cstheme="minorHAnsi"/>
          <w:caps/>
        </w:rPr>
        <w:t>Macroeconomic Outlook</w:t>
      </w:r>
      <w:bookmarkEnd w:id="5"/>
    </w:p>
    <w:p w14:paraId="15DF6733" w14:textId="721DE9E8" w:rsidR="0074167E" w:rsidRDefault="0074167E" w:rsidP="007A7246">
      <w:pPr>
        <w:pStyle w:val="ListParagraph"/>
        <w:numPr>
          <w:ilvl w:val="0"/>
          <w:numId w:val="1"/>
        </w:numPr>
        <w:tabs>
          <w:tab w:val="clear" w:pos="360"/>
        </w:tabs>
        <w:spacing w:after="240" w:line="240" w:lineRule="auto"/>
        <w:ind w:left="0" w:firstLine="0"/>
        <w:jc w:val="both"/>
        <w:rPr>
          <w:rFonts w:asciiTheme="minorHAnsi" w:hAnsiTheme="minorHAnsi" w:cstheme="minorHAnsi"/>
          <w:color w:val="000000"/>
        </w:rPr>
      </w:pPr>
      <w:r w:rsidRPr="00DC050B">
        <w:rPr>
          <w:rFonts w:asciiTheme="minorHAnsi" w:hAnsiTheme="minorHAnsi" w:cstheme="minorHAnsi"/>
          <w:b/>
        </w:rPr>
        <w:t>The</w:t>
      </w:r>
      <w:r w:rsidRPr="00DC050B">
        <w:rPr>
          <w:rFonts w:asciiTheme="minorHAnsi" w:hAnsiTheme="minorHAnsi" w:cstheme="minorHAnsi"/>
          <w:b/>
          <w:bCs/>
          <w:color w:val="000000"/>
        </w:rPr>
        <w:t xml:space="preserve"> medium-term economic growth outlook is positive, largely reflecting the scaling-up in investments. </w:t>
      </w:r>
      <w:r w:rsidRPr="00DC050B">
        <w:rPr>
          <w:rFonts w:asciiTheme="minorHAnsi" w:hAnsiTheme="minorHAnsi" w:cstheme="minorHAnsi"/>
          <w:color w:val="000000"/>
        </w:rPr>
        <w:t>Based on current projections, economic growth is estimated to reach 5.1 percent of GDP in 2018, and then average 5.3 percent over the 2019 to 2022 period. The tertiary sector is expected to remain a ke</w:t>
      </w:r>
      <w:r w:rsidRPr="006C66C2">
        <w:rPr>
          <w:rFonts w:asciiTheme="minorHAnsi" w:hAnsiTheme="minorHAnsi" w:cstheme="minorHAnsi"/>
          <w:color w:val="000000"/>
        </w:rPr>
        <w:t xml:space="preserve">y growth driver, supported by activities in public works, transport and services. Foreseen improvements to the country’s national airline, Air Madagascar, could result in increased tourism-related activities. Activities in special economic zones are expected to continue to remain strong, underpinned by strong demand for Malagasy garments from major importing countries, France and the United States. A projected increase in demand for nickel, largely from China, could contribute to increased mining related </w:t>
      </w:r>
      <w:r w:rsidRPr="006C66C2">
        <w:rPr>
          <w:rFonts w:asciiTheme="minorHAnsi" w:hAnsiTheme="minorHAnsi" w:cstheme="minorHAnsi"/>
          <w:color w:val="000000"/>
        </w:rPr>
        <w:lastRenderedPageBreak/>
        <w:t>ac</w:t>
      </w:r>
      <w:r w:rsidRPr="00A20F63">
        <w:rPr>
          <w:rFonts w:asciiTheme="minorHAnsi" w:hAnsiTheme="minorHAnsi" w:cstheme="minorHAnsi"/>
          <w:color w:val="000000"/>
        </w:rPr>
        <w:t>tivities over the medium-term.</w:t>
      </w:r>
      <w:r w:rsidRPr="00B66802">
        <w:rPr>
          <w:rStyle w:val="FootnoteReference"/>
          <w:rFonts w:asciiTheme="minorHAnsi" w:hAnsiTheme="minorHAnsi" w:cstheme="minorHAnsi"/>
          <w:color w:val="000000"/>
        </w:rPr>
        <w:footnoteReference w:id="19"/>
      </w:r>
      <w:r w:rsidRPr="00B66802">
        <w:rPr>
          <w:rFonts w:asciiTheme="minorHAnsi" w:hAnsiTheme="minorHAnsi" w:cstheme="minorHAnsi"/>
          <w:color w:val="000000"/>
        </w:rPr>
        <w:t xml:space="preserve"> The energy sub-sector is projected to grow at an average of 10.4 percent over the 2018-2022 period, as private production expands</w:t>
      </w:r>
      <w:r w:rsidR="002D1BCE">
        <w:rPr>
          <w:rFonts w:asciiTheme="minorHAnsi" w:hAnsiTheme="minorHAnsi" w:cstheme="minorHAnsi"/>
          <w:color w:val="000000"/>
        </w:rPr>
        <w:t>,</w:t>
      </w:r>
      <w:r w:rsidR="00550534">
        <w:rPr>
          <w:rFonts w:asciiTheme="minorHAnsi" w:hAnsiTheme="minorHAnsi" w:cstheme="minorHAnsi"/>
          <w:color w:val="000000"/>
        </w:rPr>
        <w:t xml:space="preserve"> </w:t>
      </w:r>
      <w:r w:rsidRPr="00B66802">
        <w:rPr>
          <w:rFonts w:asciiTheme="minorHAnsi" w:hAnsiTheme="minorHAnsi" w:cstheme="minorHAnsi"/>
          <w:color w:val="000000"/>
        </w:rPr>
        <w:t>pr</w:t>
      </w:r>
      <w:r w:rsidRPr="00BD4A16">
        <w:rPr>
          <w:rFonts w:asciiTheme="minorHAnsi" w:hAnsiTheme="minorHAnsi" w:cstheme="minorHAnsi"/>
          <w:color w:val="000000"/>
        </w:rPr>
        <w:t>ovided JIRAMA’s governance reforms start to bear fruit. Improved electricity supply is e</w:t>
      </w:r>
      <w:r w:rsidRPr="00DC050B">
        <w:rPr>
          <w:rFonts w:asciiTheme="minorHAnsi" w:hAnsiTheme="minorHAnsi" w:cstheme="minorHAnsi"/>
          <w:color w:val="000000"/>
        </w:rPr>
        <w:t>xpected to have positive spillover effects in other sectors.</w:t>
      </w:r>
    </w:p>
    <w:p w14:paraId="00955360" w14:textId="77777777" w:rsidR="007A7246" w:rsidRPr="00DC050B" w:rsidRDefault="007A7246" w:rsidP="00550534">
      <w:pPr>
        <w:pStyle w:val="ListParagraph"/>
        <w:spacing w:after="240" w:line="240" w:lineRule="auto"/>
        <w:ind w:left="0"/>
        <w:jc w:val="both"/>
        <w:rPr>
          <w:rFonts w:asciiTheme="minorHAnsi" w:hAnsiTheme="minorHAnsi" w:cstheme="minorHAnsi"/>
          <w:color w:val="000000"/>
        </w:rPr>
      </w:pPr>
    </w:p>
    <w:p w14:paraId="6ECDC2AC" w14:textId="2B2195AE" w:rsidR="0074167E" w:rsidRPr="006C66C2" w:rsidRDefault="0074167E" w:rsidP="007A7246">
      <w:pPr>
        <w:pStyle w:val="ListParagraph"/>
        <w:numPr>
          <w:ilvl w:val="0"/>
          <w:numId w:val="1"/>
        </w:numPr>
        <w:tabs>
          <w:tab w:val="clear" w:pos="360"/>
        </w:tabs>
        <w:spacing w:after="240" w:line="240" w:lineRule="auto"/>
        <w:ind w:left="0" w:firstLine="0"/>
        <w:jc w:val="both"/>
        <w:rPr>
          <w:rFonts w:asciiTheme="minorHAnsi" w:hAnsiTheme="minorHAnsi" w:cstheme="minorHAnsi"/>
          <w:color w:val="000000"/>
        </w:rPr>
      </w:pPr>
      <w:r w:rsidRPr="00DC050B">
        <w:rPr>
          <w:rFonts w:asciiTheme="minorHAnsi" w:hAnsiTheme="minorHAnsi" w:cstheme="minorHAnsi"/>
          <w:b/>
        </w:rPr>
        <w:t xml:space="preserve">Reflecting the country’s significant external financing needs, the current account deficit is expected to widen further in 2018. </w:t>
      </w:r>
      <w:r w:rsidRPr="00DC050B">
        <w:rPr>
          <w:rFonts w:asciiTheme="minorHAnsi" w:hAnsiTheme="minorHAnsi" w:cstheme="minorHAnsi"/>
        </w:rPr>
        <w:t xml:space="preserve">The deficit is expected to </w:t>
      </w:r>
      <w:r w:rsidRPr="00DC050B">
        <w:rPr>
          <w:rFonts w:asciiTheme="minorHAnsi" w:hAnsiTheme="minorHAnsi" w:cstheme="minorHAnsi"/>
          <w:color w:val="000000"/>
        </w:rPr>
        <w:t>average 4.</w:t>
      </w:r>
      <w:r w:rsidR="00391D66" w:rsidRPr="00DC050B">
        <w:rPr>
          <w:rFonts w:asciiTheme="minorHAnsi" w:hAnsiTheme="minorHAnsi" w:cstheme="minorHAnsi"/>
          <w:color w:val="000000"/>
        </w:rPr>
        <w:t>2</w:t>
      </w:r>
      <w:r w:rsidRPr="006C66C2">
        <w:rPr>
          <w:rFonts w:asciiTheme="minorHAnsi" w:hAnsiTheme="minorHAnsi" w:cstheme="minorHAnsi"/>
          <w:color w:val="000000"/>
        </w:rPr>
        <w:t xml:space="preserve"> percent of GDP over the 2018 to 2022 period, as scaled-up public and private investments should increase the demand for imports. The current account deficit will be offset by related surpluses in the capital and financial accounts from public sector grants and loans and foreign direct investment. </w:t>
      </w:r>
    </w:p>
    <w:p w14:paraId="66B24628" w14:textId="77777777" w:rsidR="0074167E" w:rsidRPr="00A20F63" w:rsidRDefault="0074167E" w:rsidP="007A7246">
      <w:pPr>
        <w:pStyle w:val="ListParagraph"/>
        <w:rPr>
          <w:rFonts w:asciiTheme="minorHAnsi" w:hAnsiTheme="minorHAnsi" w:cstheme="minorHAnsi"/>
          <w:color w:val="000000"/>
        </w:rPr>
      </w:pPr>
    </w:p>
    <w:p w14:paraId="603A482B" w14:textId="77777777" w:rsidR="0074167E" w:rsidRPr="00A20F63" w:rsidRDefault="0074167E" w:rsidP="007A7246">
      <w:pPr>
        <w:pStyle w:val="ListParagraph"/>
        <w:numPr>
          <w:ilvl w:val="0"/>
          <w:numId w:val="1"/>
        </w:numPr>
        <w:tabs>
          <w:tab w:val="clear" w:pos="360"/>
        </w:tabs>
        <w:spacing w:after="240" w:line="240" w:lineRule="auto"/>
        <w:ind w:left="0" w:firstLine="0"/>
        <w:jc w:val="both"/>
        <w:rPr>
          <w:rFonts w:asciiTheme="minorHAnsi" w:hAnsiTheme="minorHAnsi" w:cstheme="minorHAnsi"/>
          <w:color w:val="000000"/>
        </w:rPr>
      </w:pPr>
      <w:r w:rsidRPr="00A20F63">
        <w:rPr>
          <w:rFonts w:asciiTheme="minorHAnsi" w:hAnsiTheme="minorHAnsi" w:cstheme="minorHAnsi"/>
          <w:b/>
        </w:rPr>
        <w:t>Monetary policy is expected to maintain its focus on controlling inflation</w:t>
      </w:r>
      <w:r w:rsidRPr="00A20F63">
        <w:rPr>
          <w:rFonts w:asciiTheme="minorHAnsi" w:hAnsiTheme="minorHAnsi" w:cstheme="minorHAnsi"/>
          <w:b/>
          <w:color w:val="000000"/>
        </w:rPr>
        <w:t>.</w:t>
      </w:r>
      <w:r w:rsidRPr="00A20F63">
        <w:rPr>
          <w:rFonts w:asciiTheme="minorHAnsi" w:hAnsiTheme="minorHAnsi" w:cstheme="minorHAnsi"/>
          <w:color w:val="000000"/>
        </w:rPr>
        <w:t xml:space="preserve"> Over the medium-term, inflation is expected to stabilize around 5 percent. Monetary policy will need to be vigilant to address unexpected upside pressures. For example, unfavorable climatic conditions may depress agricultural productivity, reducing the supply of key consumer goods such as rice, contributing to upward pressures on prices.  </w:t>
      </w:r>
    </w:p>
    <w:p w14:paraId="36EF7915" w14:textId="77777777" w:rsidR="0074167E" w:rsidRPr="00A20F63" w:rsidRDefault="0074167E" w:rsidP="007A7246">
      <w:pPr>
        <w:pStyle w:val="ListParagraph"/>
        <w:rPr>
          <w:rFonts w:asciiTheme="minorHAnsi" w:hAnsiTheme="minorHAnsi" w:cstheme="minorHAnsi"/>
          <w:b/>
          <w:color w:val="000000"/>
        </w:rPr>
      </w:pPr>
    </w:p>
    <w:p w14:paraId="1C04DDD8" w14:textId="77777777" w:rsidR="0074167E" w:rsidRPr="00601B29" w:rsidRDefault="0074167E" w:rsidP="007A7246">
      <w:pPr>
        <w:pStyle w:val="ListParagraph"/>
        <w:numPr>
          <w:ilvl w:val="0"/>
          <w:numId w:val="1"/>
        </w:numPr>
        <w:tabs>
          <w:tab w:val="clear" w:pos="360"/>
        </w:tabs>
        <w:spacing w:after="240" w:line="240" w:lineRule="auto"/>
        <w:ind w:left="0" w:firstLine="0"/>
        <w:jc w:val="both"/>
        <w:rPr>
          <w:rFonts w:asciiTheme="minorHAnsi" w:hAnsiTheme="minorHAnsi" w:cstheme="minorHAnsi"/>
          <w:bCs/>
        </w:rPr>
      </w:pPr>
      <w:r w:rsidRPr="00A20F63">
        <w:rPr>
          <w:rFonts w:asciiTheme="minorHAnsi" w:hAnsiTheme="minorHAnsi" w:cstheme="minorHAnsi"/>
          <w:b/>
          <w:color w:val="000000"/>
        </w:rPr>
        <w:t>The Government is readjusting fiscal policy over the medium-term to support the implementation of the NDP.</w:t>
      </w:r>
      <w:r w:rsidRPr="00A20F63">
        <w:rPr>
          <w:rFonts w:asciiTheme="minorHAnsi" w:hAnsiTheme="minorHAnsi" w:cstheme="minorHAnsi"/>
          <w:color w:val="000000"/>
        </w:rPr>
        <w:t xml:space="preserve"> Provided the momentum for reforms continues, tax revenues are expected to rise to 13.1 percent of GDP by 2022, underpinned by higher domestic taxation. Over the medium-term, expenditures are expected to reach an average of 1</w:t>
      </w:r>
      <w:r w:rsidRPr="00406280">
        <w:rPr>
          <w:rFonts w:asciiTheme="minorHAnsi" w:hAnsiTheme="minorHAnsi" w:cstheme="minorHAnsi"/>
          <w:color w:val="000000"/>
        </w:rPr>
        <w:t>9.5 percent of GDP.</w:t>
      </w:r>
      <w:r w:rsidRPr="00406280">
        <w:rPr>
          <w:rFonts w:asciiTheme="minorHAnsi" w:hAnsiTheme="minorHAnsi" w:cstheme="minorHAnsi"/>
        </w:rPr>
        <w:t xml:space="preserve"> Current expenditures are expected to be contained, with a stable wage bill and declining transfers and subsidies. The added fiscal space from higher revenues and reduced subsidies and transfers is expected to be channeled to social spending and public investment expenditures, which is projected to average 9.5 percent of GDP over the period 2018 to 2022 in support of the growth outlook. </w:t>
      </w:r>
      <w:r w:rsidRPr="00601B29">
        <w:rPr>
          <w:rFonts w:asciiTheme="minorHAnsi" w:hAnsiTheme="minorHAnsi" w:cstheme="minorHAnsi"/>
          <w:color w:val="000000"/>
        </w:rPr>
        <w:t xml:space="preserve"> </w:t>
      </w:r>
    </w:p>
    <w:p w14:paraId="7C2524B5" w14:textId="77777777" w:rsidR="0074167E" w:rsidRPr="0085470E" w:rsidRDefault="0074167E" w:rsidP="0074167E">
      <w:pPr>
        <w:pStyle w:val="ListParagraph"/>
        <w:rPr>
          <w:rFonts w:asciiTheme="minorHAnsi" w:hAnsiTheme="minorHAnsi" w:cstheme="minorHAnsi"/>
          <w:bCs/>
        </w:rPr>
      </w:pPr>
    </w:p>
    <w:p w14:paraId="76E07D13" w14:textId="31303039" w:rsidR="00816F98" w:rsidRDefault="0074167E" w:rsidP="007A7246">
      <w:pPr>
        <w:pStyle w:val="ListParagraph"/>
        <w:numPr>
          <w:ilvl w:val="0"/>
          <w:numId w:val="1"/>
        </w:numPr>
        <w:tabs>
          <w:tab w:val="clear" w:pos="360"/>
        </w:tabs>
        <w:spacing w:before="240" w:after="240" w:line="240" w:lineRule="auto"/>
        <w:ind w:left="0" w:firstLine="0"/>
        <w:jc w:val="both"/>
        <w:rPr>
          <w:rFonts w:asciiTheme="minorHAnsi" w:hAnsiTheme="minorHAnsi" w:cstheme="minorHAnsi"/>
        </w:rPr>
      </w:pPr>
      <w:r w:rsidRPr="00A46F16">
        <w:rPr>
          <w:rFonts w:asciiTheme="minorHAnsi" w:hAnsiTheme="minorHAnsi" w:cstheme="minorHAnsi"/>
          <w:b/>
          <w:bCs/>
        </w:rPr>
        <w:t xml:space="preserve">The level of external debt distress risk remains moderate. </w:t>
      </w:r>
      <w:r w:rsidRPr="00A46F16">
        <w:rPr>
          <w:rFonts w:asciiTheme="minorHAnsi" w:hAnsiTheme="minorHAnsi" w:cstheme="minorHAnsi"/>
          <w:bCs/>
        </w:rPr>
        <w:t xml:space="preserve">According to the joint IMF-WB Debt Sustainability Analysis </w:t>
      </w:r>
      <w:r w:rsidR="006C66C2">
        <w:rPr>
          <w:rFonts w:asciiTheme="minorHAnsi" w:hAnsiTheme="minorHAnsi" w:cstheme="minorHAnsi"/>
          <w:bCs/>
        </w:rPr>
        <w:t xml:space="preserve">(DSA) </w:t>
      </w:r>
      <w:r w:rsidRPr="006C66C2">
        <w:rPr>
          <w:rFonts w:asciiTheme="minorHAnsi" w:hAnsiTheme="minorHAnsi" w:cstheme="minorHAnsi"/>
          <w:bCs/>
        </w:rPr>
        <w:t xml:space="preserve">undertaken in June 2017, the present value </w:t>
      </w:r>
      <w:r w:rsidR="00442B64">
        <w:rPr>
          <w:rFonts w:asciiTheme="minorHAnsi" w:hAnsiTheme="minorHAnsi" w:cstheme="minorHAnsi"/>
          <w:bCs/>
        </w:rPr>
        <w:t xml:space="preserve">(PV) </w:t>
      </w:r>
      <w:r w:rsidRPr="006C66C2">
        <w:rPr>
          <w:rFonts w:asciiTheme="minorHAnsi" w:hAnsiTheme="minorHAnsi" w:cstheme="minorHAnsi"/>
          <w:bCs/>
        </w:rPr>
        <w:t>of debt-to-GDP ratio stood at 29.</w:t>
      </w:r>
      <w:r w:rsidRPr="006C66C2">
        <w:rPr>
          <w:rFonts w:asciiTheme="minorHAnsi" w:hAnsiTheme="minorHAnsi" w:cstheme="minorHAnsi"/>
        </w:rPr>
        <w:t>1 percent in 2017</w:t>
      </w:r>
      <w:r w:rsidRPr="006C66C2">
        <w:rPr>
          <w:rFonts w:asciiTheme="minorHAnsi" w:hAnsiTheme="minorHAnsi" w:cstheme="minorHAnsi"/>
          <w:bCs/>
        </w:rPr>
        <w:t xml:space="preserve">. Debt dynamics are assessed to have improved since the previous DSA undertaken in July 2016 due to more favorable financing assumptions following the Donors and Investors Conference in December 2016. The </w:t>
      </w:r>
      <w:r w:rsidR="00442B64">
        <w:rPr>
          <w:rFonts w:asciiTheme="minorHAnsi" w:hAnsiTheme="minorHAnsi" w:cstheme="minorHAnsi"/>
          <w:bCs/>
        </w:rPr>
        <w:t>PV</w:t>
      </w:r>
      <w:r w:rsidRPr="006C66C2">
        <w:rPr>
          <w:rFonts w:asciiTheme="minorHAnsi" w:hAnsiTheme="minorHAnsi" w:cstheme="minorHAnsi"/>
          <w:bCs/>
        </w:rPr>
        <w:t xml:space="preserve"> of debt-to-GDP ratio is expected to stay steady at around 29 percent over the medium-term. Under the baseline scenario all indicators remain below debt burden thresholds. Stress test</w:t>
      </w:r>
      <w:r w:rsidRPr="00A20F63">
        <w:rPr>
          <w:rFonts w:asciiTheme="minorHAnsi" w:hAnsiTheme="minorHAnsi" w:cstheme="minorHAnsi"/>
          <w:bCs/>
        </w:rPr>
        <w:t>s indicate that debt sustainability is vulnerable to shocks, poor revenue collection, and contingent liabilities associated with state-owned enterprises (SOEs).</w:t>
      </w:r>
      <w:r w:rsidRPr="00B66802">
        <w:rPr>
          <w:rStyle w:val="FootnoteReference"/>
          <w:rFonts w:asciiTheme="minorHAnsi" w:hAnsiTheme="minorHAnsi" w:cstheme="minorHAnsi"/>
          <w:bCs/>
        </w:rPr>
        <w:footnoteReference w:id="20"/>
      </w:r>
      <w:r w:rsidRPr="00B66802">
        <w:rPr>
          <w:rFonts w:asciiTheme="minorHAnsi" w:hAnsiTheme="minorHAnsi" w:cstheme="minorHAnsi"/>
          <w:bCs/>
        </w:rPr>
        <w:t xml:space="preserve"> </w:t>
      </w:r>
      <w:r w:rsidRPr="00B66802">
        <w:rPr>
          <w:rFonts w:asciiTheme="minorHAnsi" w:hAnsiTheme="minorHAnsi" w:cstheme="minorHAnsi"/>
        </w:rPr>
        <w:t xml:space="preserve">The most extreme shock—a one standard deviation reduction in GDP growth in 2018-2019—would lead to a rapid and persistent breach of the threshold starting in 2022. </w:t>
      </w:r>
      <w:r w:rsidR="00F062BB">
        <w:rPr>
          <w:rFonts w:asciiTheme="minorHAnsi" w:hAnsiTheme="minorHAnsi" w:cstheme="minorHAnsi"/>
        </w:rPr>
        <w:t>An alternative scenario where</w:t>
      </w:r>
      <w:r w:rsidRPr="00BD4A16">
        <w:rPr>
          <w:rFonts w:asciiTheme="minorHAnsi" w:hAnsiTheme="minorHAnsi" w:cstheme="minorHAnsi"/>
        </w:rPr>
        <w:t xml:space="preserve"> the primary deficit remains unchanged as a proportion to GDP throughout the forecast horizon also results in a breach in the PV of debt-to-GDP ratio in the outer years.</w:t>
      </w:r>
    </w:p>
    <w:p w14:paraId="5AFF4B74" w14:textId="276060F5" w:rsidR="000C77CE" w:rsidRDefault="000C77CE" w:rsidP="00F062BB">
      <w:pPr>
        <w:spacing w:before="240" w:after="240" w:line="240" w:lineRule="auto"/>
        <w:jc w:val="both"/>
        <w:rPr>
          <w:rFonts w:asciiTheme="minorHAnsi" w:hAnsiTheme="minorHAnsi" w:cstheme="minorHAnsi"/>
        </w:rPr>
      </w:pPr>
    </w:p>
    <w:p w14:paraId="37746E85" w14:textId="1A3EF480" w:rsidR="000C77CE" w:rsidRDefault="000C77CE" w:rsidP="00F062BB">
      <w:pPr>
        <w:spacing w:before="240" w:after="240" w:line="240" w:lineRule="auto"/>
        <w:jc w:val="both"/>
        <w:rPr>
          <w:rFonts w:asciiTheme="minorHAnsi" w:hAnsiTheme="minorHAnsi" w:cstheme="minorHAnsi"/>
        </w:rPr>
      </w:pPr>
    </w:p>
    <w:p w14:paraId="7C369EB3" w14:textId="54DDC4A1" w:rsidR="000C77CE" w:rsidRDefault="000C77CE" w:rsidP="00F062BB">
      <w:pPr>
        <w:spacing w:before="240" w:after="240" w:line="240" w:lineRule="auto"/>
        <w:jc w:val="both"/>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816F98" w:rsidRPr="00B66802" w14:paraId="4A4BFB4F" w14:textId="77777777" w:rsidTr="00816F98">
        <w:tc>
          <w:tcPr>
            <w:tcW w:w="9350" w:type="dxa"/>
          </w:tcPr>
          <w:p w14:paraId="059F45F8" w14:textId="77777777" w:rsidR="00816F98" w:rsidRPr="00DC050B" w:rsidRDefault="00816F98" w:rsidP="00816F98">
            <w:pPr>
              <w:spacing w:after="0" w:line="240" w:lineRule="auto"/>
              <w:jc w:val="both"/>
              <w:rPr>
                <w:rFonts w:asciiTheme="minorHAnsi" w:hAnsiTheme="minorHAnsi" w:cstheme="minorHAnsi"/>
                <w:b/>
              </w:rPr>
            </w:pPr>
            <w:r w:rsidRPr="00DC050B">
              <w:rPr>
                <w:rFonts w:asciiTheme="minorHAnsi" w:hAnsiTheme="minorHAnsi" w:cstheme="minorHAnsi"/>
                <w:b/>
              </w:rPr>
              <w:lastRenderedPageBreak/>
              <w:t>Figure 3: Present Value of Debt-to-GDP Ratio</w:t>
            </w:r>
          </w:p>
        </w:tc>
      </w:tr>
      <w:tr w:rsidR="00816F98" w:rsidRPr="00B66802" w14:paraId="4E44F8EB" w14:textId="77777777" w:rsidTr="00816F98">
        <w:trPr>
          <w:trHeight w:val="2591"/>
        </w:trPr>
        <w:tc>
          <w:tcPr>
            <w:tcW w:w="9350" w:type="dxa"/>
          </w:tcPr>
          <w:p w14:paraId="5FF4D2B9" w14:textId="77777777" w:rsidR="00816F98" w:rsidRPr="00B66802" w:rsidRDefault="00816F98" w:rsidP="00816F98">
            <w:pPr>
              <w:spacing w:after="0" w:line="240" w:lineRule="auto"/>
              <w:jc w:val="both"/>
              <w:rPr>
                <w:rFonts w:asciiTheme="minorHAnsi" w:hAnsiTheme="minorHAnsi" w:cstheme="minorHAnsi"/>
              </w:rPr>
            </w:pPr>
            <w:r w:rsidRPr="00B66802">
              <w:rPr>
                <w:rFonts w:asciiTheme="minorHAnsi" w:hAnsiTheme="minorHAnsi" w:cstheme="minorHAnsi"/>
                <w:noProof/>
              </w:rPr>
              <w:drawing>
                <wp:inline distT="0" distB="0" distL="0" distR="0" wp14:anchorId="08FBB27D" wp14:editId="7DA6FD0F">
                  <wp:extent cx="5867400" cy="1751162"/>
                  <wp:effectExtent l="0" t="0" r="0" b="0"/>
                  <wp:docPr id="4" name="Chart 4">
                    <a:extLst xmlns:a="http://schemas.openxmlformats.org/drawingml/2006/main">
                      <a:ext uri="{FF2B5EF4-FFF2-40B4-BE49-F238E27FC236}">
                        <a16:creationId xmlns:a16="http://schemas.microsoft.com/office/drawing/2014/main" id="{00000000-0008-0000-1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816F98" w:rsidRPr="00B66802" w14:paraId="075DD6A0" w14:textId="77777777" w:rsidTr="00816F98">
        <w:trPr>
          <w:trHeight w:val="701"/>
        </w:trPr>
        <w:tc>
          <w:tcPr>
            <w:tcW w:w="9350" w:type="dxa"/>
          </w:tcPr>
          <w:p w14:paraId="470E36EC" w14:textId="77777777" w:rsidR="00816F98" w:rsidRPr="00B66802" w:rsidRDefault="00816F98" w:rsidP="00816F98">
            <w:pPr>
              <w:spacing w:after="0" w:line="240" w:lineRule="auto"/>
              <w:jc w:val="center"/>
              <w:rPr>
                <w:rFonts w:asciiTheme="minorHAnsi" w:hAnsiTheme="minorHAnsi" w:cstheme="minorHAnsi"/>
              </w:rPr>
            </w:pPr>
            <w:r w:rsidRPr="00B66802">
              <w:rPr>
                <w:rFonts w:asciiTheme="minorHAnsi" w:hAnsiTheme="minorHAnsi" w:cstheme="minorHAnsi"/>
                <w:noProof/>
              </w:rPr>
              <w:drawing>
                <wp:inline distT="0" distB="0" distL="0" distR="0" wp14:anchorId="4D9D7225" wp14:editId="2C30DB7F">
                  <wp:extent cx="5400135" cy="379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8319" cy="381074"/>
                          </a:xfrm>
                          <a:prstGeom prst="rect">
                            <a:avLst/>
                          </a:prstGeom>
                          <a:noFill/>
                          <a:ln>
                            <a:noFill/>
                          </a:ln>
                        </pic:spPr>
                      </pic:pic>
                    </a:graphicData>
                  </a:graphic>
                </wp:inline>
              </w:drawing>
            </w:r>
          </w:p>
        </w:tc>
      </w:tr>
      <w:tr w:rsidR="00816F98" w:rsidRPr="008B4E47" w14:paraId="24B58EC3" w14:textId="77777777" w:rsidTr="00816F98">
        <w:trPr>
          <w:trHeight w:val="64"/>
        </w:trPr>
        <w:tc>
          <w:tcPr>
            <w:tcW w:w="9350" w:type="dxa"/>
          </w:tcPr>
          <w:p w14:paraId="35FF7844" w14:textId="06A1FC9C" w:rsidR="00816F98" w:rsidRPr="00B66802" w:rsidRDefault="00CC0435" w:rsidP="00816F98">
            <w:pPr>
              <w:spacing w:after="0" w:line="240" w:lineRule="auto"/>
              <w:jc w:val="both"/>
              <w:rPr>
                <w:rFonts w:asciiTheme="minorHAnsi" w:hAnsiTheme="minorHAnsi" w:cstheme="minorHAnsi"/>
                <w:noProof/>
                <w:lang w:val="fr-FR"/>
              </w:rPr>
            </w:pPr>
            <w:r w:rsidRPr="00B66802">
              <w:rPr>
                <w:rFonts w:asciiTheme="minorHAnsi" w:hAnsiTheme="minorHAnsi" w:cstheme="minorHAnsi"/>
                <w:lang w:val="fr-FR"/>
              </w:rPr>
              <w:t>Source :</w:t>
            </w:r>
            <w:r w:rsidR="00816F98" w:rsidRPr="00B66802">
              <w:rPr>
                <w:rFonts w:asciiTheme="minorHAnsi" w:hAnsiTheme="minorHAnsi" w:cstheme="minorHAnsi"/>
                <w:lang w:val="fr-FR"/>
              </w:rPr>
              <w:t xml:space="preserve"> Joint IMF-WB DSA, June 2017</w:t>
            </w:r>
          </w:p>
        </w:tc>
      </w:tr>
    </w:tbl>
    <w:p w14:paraId="6432A24F" w14:textId="799F8885" w:rsidR="00816F98" w:rsidRPr="006C66C2" w:rsidRDefault="00816F98" w:rsidP="007A7246">
      <w:pPr>
        <w:pStyle w:val="ListParagraph"/>
        <w:numPr>
          <w:ilvl w:val="0"/>
          <w:numId w:val="1"/>
        </w:numPr>
        <w:tabs>
          <w:tab w:val="clear" w:pos="360"/>
        </w:tabs>
        <w:spacing w:before="240" w:after="240" w:line="240" w:lineRule="auto"/>
        <w:ind w:left="0" w:firstLine="0"/>
        <w:jc w:val="both"/>
        <w:rPr>
          <w:rFonts w:asciiTheme="minorHAnsi" w:hAnsiTheme="minorHAnsi" w:cstheme="minorHAnsi"/>
          <w:color w:val="000000"/>
        </w:rPr>
      </w:pPr>
      <w:r w:rsidRPr="00B66802">
        <w:rPr>
          <w:rFonts w:asciiTheme="minorHAnsi" w:hAnsiTheme="minorHAnsi" w:cstheme="minorHAnsi"/>
          <w:b/>
          <w:bCs/>
        </w:rPr>
        <w:t>The</w:t>
      </w:r>
      <w:r w:rsidRPr="00B66802">
        <w:rPr>
          <w:rFonts w:asciiTheme="minorHAnsi" w:hAnsiTheme="minorHAnsi" w:cstheme="minorHAnsi"/>
          <w:b/>
          <w:color w:val="000000"/>
        </w:rPr>
        <w:t xml:space="preserve"> macroeconomic policy framework is considered adequate. </w:t>
      </w:r>
      <w:r w:rsidRPr="00B66802">
        <w:rPr>
          <w:rFonts w:asciiTheme="minorHAnsi" w:hAnsiTheme="minorHAnsi" w:cstheme="minorHAnsi"/>
          <w:color w:val="000000"/>
        </w:rPr>
        <w:t xml:space="preserve">Madagascar has a </w:t>
      </w:r>
      <w:r w:rsidRPr="00BD4A16">
        <w:rPr>
          <w:rFonts w:asciiTheme="minorHAnsi" w:hAnsiTheme="minorHAnsi" w:cstheme="minorHAnsi"/>
          <w:color w:val="000000"/>
        </w:rPr>
        <w:t xml:space="preserve">good track record in managing inflation and controlling spending. During the political crisis </w:t>
      </w:r>
      <w:r w:rsidRPr="00DC050B">
        <w:rPr>
          <w:rFonts w:asciiTheme="minorHAnsi" w:hAnsiTheme="minorHAnsi" w:cstheme="minorHAnsi"/>
          <w:color w:val="000000"/>
        </w:rPr>
        <w:t xml:space="preserve">period the authorities cut back fiscal spending as tax revenues dwindled and support in the form of external grants and loans fell dramatically. Since reengagement with the international community, the authorities have successfully implemented a series of reforms that have been supported by two standalone DPOs, the first year of this operation, and IMF facilities. Progress is evident in a number of areas such as higher revenue collections and </w:t>
      </w:r>
      <w:r w:rsidR="00427E40" w:rsidRPr="00DC050B">
        <w:rPr>
          <w:rFonts w:asciiTheme="minorHAnsi" w:hAnsiTheme="minorHAnsi" w:cstheme="minorHAnsi"/>
          <w:color w:val="000000"/>
        </w:rPr>
        <w:t>eliminated</w:t>
      </w:r>
      <w:r w:rsidRPr="00DC050B">
        <w:rPr>
          <w:rFonts w:asciiTheme="minorHAnsi" w:hAnsiTheme="minorHAnsi" w:cstheme="minorHAnsi"/>
          <w:color w:val="000000"/>
        </w:rPr>
        <w:t xml:space="preserve"> fuel subsidies. The policy response to the shocks early this year has contributed to </w:t>
      </w:r>
      <w:r w:rsidR="007F073E" w:rsidRPr="006C66C2">
        <w:rPr>
          <w:rFonts w:asciiTheme="minorHAnsi" w:hAnsiTheme="minorHAnsi" w:cstheme="minorHAnsi"/>
          <w:color w:val="000000"/>
        </w:rPr>
        <w:t>maintaining</w:t>
      </w:r>
      <w:r w:rsidRPr="006C66C2">
        <w:rPr>
          <w:rFonts w:asciiTheme="minorHAnsi" w:hAnsiTheme="minorHAnsi" w:cstheme="minorHAnsi"/>
          <w:color w:val="000000"/>
        </w:rPr>
        <w:t xml:space="preserve"> </w:t>
      </w:r>
      <w:r w:rsidR="00A46B98" w:rsidRPr="006C66C2">
        <w:rPr>
          <w:rFonts w:asciiTheme="minorHAnsi" w:hAnsiTheme="minorHAnsi" w:cstheme="minorHAnsi"/>
          <w:color w:val="000000"/>
        </w:rPr>
        <w:t>an adequate</w:t>
      </w:r>
      <w:r w:rsidRPr="006C66C2">
        <w:rPr>
          <w:rFonts w:asciiTheme="minorHAnsi" w:hAnsiTheme="minorHAnsi" w:cstheme="minorHAnsi"/>
          <w:color w:val="000000"/>
        </w:rPr>
        <w:t xml:space="preserve"> macroeconomic framework.</w:t>
      </w:r>
    </w:p>
    <w:p w14:paraId="058997E1" w14:textId="77777777" w:rsidR="00816F98" w:rsidRPr="006C66C2" w:rsidRDefault="00816F98" w:rsidP="00816F98">
      <w:pPr>
        <w:pStyle w:val="ListParagraph"/>
        <w:tabs>
          <w:tab w:val="left" w:pos="540"/>
        </w:tabs>
        <w:spacing w:before="240" w:after="240" w:line="240" w:lineRule="auto"/>
        <w:ind w:left="0"/>
        <w:jc w:val="both"/>
        <w:rPr>
          <w:rFonts w:asciiTheme="minorHAnsi" w:hAnsiTheme="minorHAnsi" w:cstheme="minorHAnsi"/>
          <w:color w:val="000000"/>
        </w:rPr>
      </w:pPr>
    </w:p>
    <w:p w14:paraId="0A944ACA" w14:textId="401A9DA5" w:rsidR="00816F98" w:rsidRPr="00F062BB" w:rsidRDefault="00816F98" w:rsidP="007A7246">
      <w:pPr>
        <w:pStyle w:val="ListParagraph"/>
        <w:numPr>
          <w:ilvl w:val="0"/>
          <w:numId w:val="1"/>
        </w:numPr>
        <w:tabs>
          <w:tab w:val="clear" w:pos="360"/>
        </w:tabs>
        <w:spacing w:before="240" w:after="160" w:line="259" w:lineRule="auto"/>
        <w:ind w:left="0" w:firstLine="0"/>
        <w:jc w:val="both"/>
        <w:rPr>
          <w:rFonts w:asciiTheme="minorHAnsi" w:hAnsiTheme="minorHAnsi" w:cstheme="minorHAnsi"/>
          <w:b/>
        </w:rPr>
      </w:pPr>
      <w:r w:rsidRPr="00A20F63">
        <w:rPr>
          <w:rFonts w:asciiTheme="minorHAnsi" w:hAnsiTheme="minorHAnsi" w:cstheme="minorHAnsi"/>
          <w:b/>
          <w:bCs/>
        </w:rPr>
        <w:t>However</w:t>
      </w:r>
      <w:r w:rsidRPr="00A20F63">
        <w:rPr>
          <w:rFonts w:asciiTheme="minorHAnsi" w:hAnsiTheme="minorHAnsi" w:cstheme="minorHAnsi"/>
          <w:b/>
          <w:color w:val="000000"/>
        </w:rPr>
        <w:t>, there are downside risks.</w:t>
      </w:r>
      <w:r w:rsidRPr="00A20F63">
        <w:rPr>
          <w:rFonts w:asciiTheme="minorHAnsi" w:hAnsiTheme="minorHAnsi" w:cstheme="minorHAnsi"/>
          <w:color w:val="000000"/>
        </w:rPr>
        <w:t xml:space="preserve"> Madagascar’s vulnerability to natural disasters could give rise to further unforeseen shocks, which would require appropriate adjustments to monetary and fiscal policy. If planned improvements to SOEs </w:t>
      </w:r>
      <w:r w:rsidR="0062378E" w:rsidRPr="00A20F63">
        <w:rPr>
          <w:rFonts w:asciiTheme="minorHAnsi" w:hAnsiTheme="minorHAnsi" w:cstheme="minorHAnsi"/>
          <w:color w:val="000000"/>
        </w:rPr>
        <w:t xml:space="preserve">(in particular, JIRAMA and Air Madagascar) </w:t>
      </w:r>
      <w:r w:rsidRPr="00A20F63">
        <w:rPr>
          <w:rFonts w:asciiTheme="minorHAnsi" w:hAnsiTheme="minorHAnsi" w:cstheme="minorHAnsi"/>
          <w:color w:val="000000"/>
        </w:rPr>
        <w:t xml:space="preserve">were to progress at a slower pace than expected, public finances could be further strained. </w:t>
      </w:r>
      <w:bookmarkStart w:id="6" w:name="_Toc483318017"/>
      <w:r w:rsidR="00286DD5" w:rsidRPr="00A20F63">
        <w:rPr>
          <w:rFonts w:asciiTheme="minorHAnsi" w:hAnsiTheme="minorHAnsi" w:cstheme="minorHAnsi"/>
          <w:color w:val="000000"/>
        </w:rPr>
        <w:t xml:space="preserve">Slower than expected disbursements of </w:t>
      </w:r>
      <w:r w:rsidR="00B13085" w:rsidRPr="00A20F63">
        <w:rPr>
          <w:rFonts w:asciiTheme="minorHAnsi" w:hAnsiTheme="minorHAnsi" w:cstheme="minorHAnsi"/>
          <w:color w:val="000000"/>
        </w:rPr>
        <w:t>external financing</w:t>
      </w:r>
      <w:r w:rsidR="00286DD5" w:rsidRPr="00A20F63">
        <w:rPr>
          <w:rFonts w:asciiTheme="minorHAnsi" w:hAnsiTheme="minorHAnsi" w:cstheme="minorHAnsi"/>
          <w:color w:val="000000"/>
        </w:rPr>
        <w:t xml:space="preserve"> could slow growth. </w:t>
      </w:r>
      <w:r w:rsidR="00427E40" w:rsidRPr="00A20F63">
        <w:rPr>
          <w:rFonts w:asciiTheme="minorHAnsi" w:hAnsiTheme="minorHAnsi" w:cstheme="minorHAnsi"/>
          <w:color w:val="000000"/>
        </w:rPr>
        <w:t>The authorities’ intention to scale-up investments partly through PPP risks generating contingent liabilities that need to be carefully managed. To address these potential pressures, the authorities are strengthening their capacity to manage fiscal risk, including through TA support being provided by the World Bank and the IMF.</w:t>
      </w:r>
    </w:p>
    <w:p w14:paraId="2C331428" w14:textId="77777777" w:rsidR="000C77CE" w:rsidRPr="00F062BB" w:rsidRDefault="000C77CE" w:rsidP="00F062BB">
      <w:pPr>
        <w:pStyle w:val="ListParagraph"/>
        <w:rPr>
          <w:rFonts w:asciiTheme="minorHAnsi" w:hAnsiTheme="minorHAnsi" w:cstheme="minorHAnsi"/>
          <w:b/>
        </w:rPr>
      </w:pPr>
    </w:p>
    <w:p w14:paraId="3C21FF89" w14:textId="5F0EE050" w:rsidR="000C77CE" w:rsidRDefault="000C77CE" w:rsidP="00F062BB">
      <w:pPr>
        <w:spacing w:before="240" w:after="160" w:line="259" w:lineRule="auto"/>
        <w:jc w:val="both"/>
        <w:rPr>
          <w:rFonts w:asciiTheme="minorHAnsi" w:hAnsiTheme="minorHAnsi" w:cstheme="minorHAnsi"/>
          <w:b/>
        </w:rPr>
      </w:pPr>
    </w:p>
    <w:p w14:paraId="58C056F8" w14:textId="7007377E" w:rsidR="000C77CE" w:rsidRDefault="000C77CE" w:rsidP="00F062BB">
      <w:pPr>
        <w:spacing w:before="240" w:after="160" w:line="259" w:lineRule="auto"/>
        <w:jc w:val="both"/>
        <w:rPr>
          <w:rFonts w:asciiTheme="minorHAnsi" w:hAnsiTheme="minorHAnsi" w:cstheme="minorHAnsi"/>
          <w:b/>
        </w:rPr>
      </w:pPr>
    </w:p>
    <w:p w14:paraId="5FE8D628" w14:textId="16467AE4" w:rsidR="000C77CE" w:rsidRDefault="000C77CE">
      <w:pPr>
        <w:spacing w:after="0" w:line="240" w:lineRule="auto"/>
        <w:rPr>
          <w:rFonts w:asciiTheme="minorHAnsi" w:hAnsiTheme="minorHAnsi" w:cstheme="minorHAnsi"/>
          <w:b/>
        </w:rPr>
      </w:pPr>
      <w:r>
        <w:rPr>
          <w:rFonts w:asciiTheme="minorHAnsi" w:hAnsiTheme="minorHAnsi" w:cstheme="minorHAnsi"/>
          <w:b/>
        </w:rPr>
        <w:br w:type="page"/>
      </w:r>
    </w:p>
    <w:tbl>
      <w:tblPr>
        <w:tblW w:w="5096" w:type="pct"/>
        <w:tblLayout w:type="fixed"/>
        <w:tblLook w:val="04A0" w:firstRow="1" w:lastRow="0" w:firstColumn="1" w:lastColumn="0" w:noHBand="0" w:noVBand="1"/>
      </w:tblPr>
      <w:tblGrid>
        <w:gridCol w:w="9540"/>
      </w:tblGrid>
      <w:tr w:rsidR="00AE3C77" w:rsidRPr="00B66802" w14:paraId="163B8320" w14:textId="77777777" w:rsidTr="00F204F6">
        <w:trPr>
          <w:trHeight w:val="255"/>
        </w:trPr>
        <w:tc>
          <w:tcPr>
            <w:tcW w:w="5000" w:type="pct"/>
            <w:tcBorders>
              <w:top w:val="nil"/>
              <w:left w:val="nil"/>
              <w:bottom w:val="nil"/>
              <w:right w:val="nil"/>
            </w:tcBorders>
            <w:shd w:val="clear" w:color="auto" w:fill="auto"/>
            <w:vAlign w:val="bottom"/>
            <w:hideMark/>
          </w:tcPr>
          <w:bookmarkEnd w:id="6"/>
          <w:p w14:paraId="32C3A270" w14:textId="0475AA02" w:rsidR="00AE3C77" w:rsidRPr="008B4E47" w:rsidRDefault="00AE3C77" w:rsidP="00AE3C77">
            <w:pPr>
              <w:spacing w:after="0" w:line="240" w:lineRule="auto"/>
              <w:jc w:val="center"/>
              <w:rPr>
                <w:rFonts w:asciiTheme="minorHAnsi" w:eastAsia="Times New Roman" w:hAnsiTheme="minorHAnsi" w:cstheme="minorHAnsi"/>
              </w:rPr>
            </w:pPr>
            <w:r w:rsidRPr="008B4E47">
              <w:rPr>
                <w:rFonts w:asciiTheme="minorHAnsi" w:eastAsia="Times New Roman" w:hAnsiTheme="minorHAnsi" w:cstheme="minorHAnsi"/>
                <w:b/>
                <w:bCs/>
              </w:rPr>
              <w:lastRenderedPageBreak/>
              <w:t>Table 1: Selected Macroeconomic Data</w:t>
            </w:r>
          </w:p>
        </w:tc>
      </w:tr>
      <w:tr w:rsidR="00F2639C" w:rsidRPr="00B66802" w14:paraId="786C6AB4" w14:textId="77777777" w:rsidTr="00F204F6">
        <w:trPr>
          <w:trHeight w:val="240"/>
        </w:trPr>
        <w:tc>
          <w:tcPr>
            <w:tcW w:w="5000" w:type="pct"/>
            <w:tcBorders>
              <w:top w:val="single" w:sz="4" w:space="0" w:color="auto"/>
              <w:left w:val="nil"/>
              <w:bottom w:val="nil"/>
              <w:right w:val="nil"/>
            </w:tcBorders>
            <w:shd w:val="clear" w:color="auto" w:fill="auto"/>
            <w:noWrap/>
            <w:vAlign w:val="center"/>
            <w:hideMark/>
          </w:tcPr>
          <w:tbl>
            <w:tblPr>
              <w:tblW w:w="4976" w:type="pct"/>
              <w:tblLayout w:type="fixed"/>
              <w:tblLook w:val="04A0" w:firstRow="1" w:lastRow="0" w:firstColumn="1" w:lastColumn="0" w:noHBand="0" w:noVBand="1"/>
            </w:tblPr>
            <w:tblGrid>
              <w:gridCol w:w="2543"/>
              <w:gridCol w:w="671"/>
              <w:gridCol w:w="673"/>
              <w:gridCol w:w="673"/>
              <w:gridCol w:w="671"/>
              <w:gridCol w:w="673"/>
              <w:gridCol w:w="673"/>
              <w:gridCol w:w="671"/>
              <w:gridCol w:w="673"/>
              <w:gridCol w:w="673"/>
              <w:gridCol w:w="675"/>
            </w:tblGrid>
            <w:tr w:rsidR="000B17FB" w:rsidRPr="00B66802" w14:paraId="639179D8" w14:textId="77777777" w:rsidTr="000B17FB">
              <w:trPr>
                <w:trHeight w:val="286"/>
              </w:trPr>
              <w:tc>
                <w:tcPr>
                  <w:tcW w:w="1372" w:type="pct"/>
                  <w:tcBorders>
                    <w:top w:val="single" w:sz="4" w:space="0" w:color="auto"/>
                    <w:left w:val="single" w:sz="4" w:space="0" w:color="auto"/>
                    <w:bottom w:val="nil"/>
                    <w:right w:val="nil"/>
                  </w:tcBorders>
                  <w:shd w:val="clear" w:color="auto" w:fill="auto"/>
                  <w:noWrap/>
                  <w:vAlign w:val="bottom"/>
                  <w:hideMark/>
                </w:tcPr>
                <w:p w14:paraId="5DA0794C"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c>
                <w:tcPr>
                  <w:tcW w:w="362" w:type="pct"/>
                  <w:tcBorders>
                    <w:top w:val="single" w:sz="4" w:space="0" w:color="auto"/>
                    <w:left w:val="single" w:sz="4" w:space="0" w:color="auto"/>
                    <w:bottom w:val="nil"/>
                    <w:right w:val="nil"/>
                  </w:tcBorders>
                  <w:shd w:val="clear" w:color="auto" w:fill="auto"/>
                  <w:noWrap/>
                  <w:vAlign w:val="bottom"/>
                  <w:hideMark/>
                </w:tcPr>
                <w:p w14:paraId="705A32F8" w14:textId="77777777" w:rsidR="000B17FB" w:rsidRPr="00F062BB" w:rsidRDefault="000B17FB" w:rsidP="000B17FB">
                  <w:pPr>
                    <w:spacing w:after="0" w:line="240" w:lineRule="auto"/>
                    <w:jc w:val="center"/>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2013</w:t>
                  </w:r>
                </w:p>
              </w:tc>
              <w:tc>
                <w:tcPr>
                  <w:tcW w:w="363" w:type="pct"/>
                  <w:tcBorders>
                    <w:top w:val="single" w:sz="4" w:space="0" w:color="auto"/>
                    <w:left w:val="nil"/>
                    <w:bottom w:val="nil"/>
                    <w:right w:val="nil"/>
                  </w:tcBorders>
                  <w:shd w:val="clear" w:color="auto" w:fill="auto"/>
                  <w:noWrap/>
                  <w:vAlign w:val="bottom"/>
                  <w:hideMark/>
                </w:tcPr>
                <w:p w14:paraId="4F62568B"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2014</w:t>
                  </w:r>
                </w:p>
              </w:tc>
              <w:tc>
                <w:tcPr>
                  <w:tcW w:w="363" w:type="pct"/>
                  <w:tcBorders>
                    <w:top w:val="single" w:sz="4" w:space="0" w:color="auto"/>
                    <w:left w:val="nil"/>
                    <w:bottom w:val="nil"/>
                    <w:right w:val="single" w:sz="4" w:space="0" w:color="auto"/>
                  </w:tcBorders>
                  <w:shd w:val="clear" w:color="auto" w:fill="auto"/>
                  <w:noWrap/>
                  <w:vAlign w:val="bottom"/>
                  <w:hideMark/>
                </w:tcPr>
                <w:p w14:paraId="0A9EF57B"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2015</w:t>
                  </w:r>
                </w:p>
              </w:tc>
              <w:tc>
                <w:tcPr>
                  <w:tcW w:w="362" w:type="pct"/>
                  <w:tcBorders>
                    <w:top w:val="single" w:sz="4" w:space="0" w:color="auto"/>
                    <w:left w:val="nil"/>
                    <w:bottom w:val="nil"/>
                    <w:right w:val="single" w:sz="4" w:space="0" w:color="auto"/>
                  </w:tcBorders>
                  <w:shd w:val="clear" w:color="auto" w:fill="auto"/>
                  <w:noWrap/>
                  <w:vAlign w:val="bottom"/>
                  <w:hideMark/>
                </w:tcPr>
                <w:p w14:paraId="0F3C2124"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2016</w:t>
                  </w:r>
                </w:p>
              </w:tc>
              <w:tc>
                <w:tcPr>
                  <w:tcW w:w="363" w:type="pct"/>
                  <w:tcBorders>
                    <w:top w:val="single" w:sz="4" w:space="0" w:color="auto"/>
                    <w:left w:val="nil"/>
                    <w:bottom w:val="nil"/>
                    <w:right w:val="nil"/>
                  </w:tcBorders>
                  <w:shd w:val="clear" w:color="auto" w:fill="auto"/>
                  <w:noWrap/>
                  <w:vAlign w:val="bottom"/>
                  <w:hideMark/>
                </w:tcPr>
                <w:p w14:paraId="10D01110"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2017</w:t>
                  </w:r>
                </w:p>
              </w:tc>
              <w:tc>
                <w:tcPr>
                  <w:tcW w:w="363" w:type="pct"/>
                  <w:tcBorders>
                    <w:top w:val="single" w:sz="4" w:space="0" w:color="auto"/>
                    <w:left w:val="nil"/>
                    <w:bottom w:val="nil"/>
                    <w:right w:val="nil"/>
                  </w:tcBorders>
                  <w:shd w:val="clear" w:color="auto" w:fill="auto"/>
                  <w:noWrap/>
                  <w:vAlign w:val="bottom"/>
                  <w:hideMark/>
                </w:tcPr>
                <w:p w14:paraId="192B4205"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2018</w:t>
                  </w:r>
                </w:p>
              </w:tc>
              <w:tc>
                <w:tcPr>
                  <w:tcW w:w="362" w:type="pct"/>
                  <w:tcBorders>
                    <w:top w:val="single" w:sz="4" w:space="0" w:color="auto"/>
                    <w:left w:val="nil"/>
                    <w:bottom w:val="nil"/>
                    <w:right w:val="nil"/>
                  </w:tcBorders>
                  <w:shd w:val="clear" w:color="auto" w:fill="auto"/>
                  <w:noWrap/>
                  <w:vAlign w:val="bottom"/>
                  <w:hideMark/>
                </w:tcPr>
                <w:p w14:paraId="2B907DEE"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2019</w:t>
                  </w:r>
                </w:p>
              </w:tc>
              <w:tc>
                <w:tcPr>
                  <w:tcW w:w="363" w:type="pct"/>
                  <w:tcBorders>
                    <w:top w:val="single" w:sz="4" w:space="0" w:color="auto"/>
                    <w:left w:val="nil"/>
                    <w:bottom w:val="nil"/>
                    <w:right w:val="nil"/>
                  </w:tcBorders>
                  <w:shd w:val="clear" w:color="auto" w:fill="auto"/>
                  <w:noWrap/>
                  <w:vAlign w:val="bottom"/>
                  <w:hideMark/>
                </w:tcPr>
                <w:p w14:paraId="613BCB35"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2020</w:t>
                  </w:r>
                </w:p>
              </w:tc>
              <w:tc>
                <w:tcPr>
                  <w:tcW w:w="363" w:type="pct"/>
                  <w:tcBorders>
                    <w:top w:val="single" w:sz="4" w:space="0" w:color="auto"/>
                    <w:left w:val="nil"/>
                    <w:bottom w:val="nil"/>
                    <w:right w:val="nil"/>
                  </w:tcBorders>
                  <w:shd w:val="clear" w:color="auto" w:fill="auto"/>
                  <w:noWrap/>
                  <w:vAlign w:val="bottom"/>
                  <w:hideMark/>
                </w:tcPr>
                <w:p w14:paraId="4DEF8F7D"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2021</w:t>
                  </w:r>
                </w:p>
              </w:tc>
              <w:tc>
                <w:tcPr>
                  <w:tcW w:w="364" w:type="pct"/>
                  <w:tcBorders>
                    <w:top w:val="single" w:sz="4" w:space="0" w:color="auto"/>
                    <w:left w:val="nil"/>
                    <w:bottom w:val="nil"/>
                    <w:right w:val="single" w:sz="4" w:space="0" w:color="auto"/>
                  </w:tcBorders>
                  <w:shd w:val="clear" w:color="auto" w:fill="auto"/>
                  <w:noWrap/>
                  <w:vAlign w:val="bottom"/>
                  <w:hideMark/>
                </w:tcPr>
                <w:p w14:paraId="7A608313"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2022</w:t>
                  </w:r>
                </w:p>
              </w:tc>
            </w:tr>
            <w:tr w:rsidR="000B17FB" w:rsidRPr="00B66802" w14:paraId="313D6335" w14:textId="77777777" w:rsidTr="000B17FB">
              <w:trPr>
                <w:trHeight w:val="286"/>
              </w:trPr>
              <w:tc>
                <w:tcPr>
                  <w:tcW w:w="1372" w:type="pct"/>
                  <w:tcBorders>
                    <w:top w:val="single" w:sz="4" w:space="0" w:color="auto"/>
                    <w:left w:val="single" w:sz="4" w:space="0" w:color="auto"/>
                    <w:bottom w:val="nil"/>
                    <w:right w:val="nil"/>
                  </w:tcBorders>
                  <w:shd w:val="clear" w:color="auto" w:fill="auto"/>
                  <w:noWrap/>
                  <w:vAlign w:val="bottom"/>
                </w:tcPr>
                <w:p w14:paraId="5EFC3CBE"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1088" w:type="pct"/>
                  <w:gridSpan w:val="3"/>
                  <w:tcBorders>
                    <w:top w:val="single" w:sz="4" w:space="0" w:color="auto"/>
                    <w:left w:val="single" w:sz="4" w:space="0" w:color="auto"/>
                    <w:bottom w:val="nil"/>
                    <w:right w:val="single" w:sz="4" w:space="0" w:color="auto"/>
                  </w:tcBorders>
                  <w:shd w:val="clear" w:color="auto" w:fill="auto"/>
                  <w:noWrap/>
                  <w:vAlign w:val="bottom"/>
                </w:tcPr>
                <w:p w14:paraId="0DB326BC" w14:textId="77777777" w:rsidR="000B17FB" w:rsidRPr="00F062BB" w:rsidRDefault="000B17FB" w:rsidP="000B17FB">
                  <w:pPr>
                    <w:spacing w:after="0" w:line="240" w:lineRule="auto"/>
                    <w:jc w:val="center"/>
                    <w:rPr>
                      <w:rFonts w:asciiTheme="minorHAnsi" w:eastAsia="Times New Roman" w:hAnsiTheme="minorHAnsi" w:cstheme="minorHAnsi"/>
                      <w:color w:val="000000"/>
                      <w:sz w:val="16"/>
                      <w:szCs w:val="16"/>
                    </w:rPr>
                  </w:pPr>
                  <w:r w:rsidRPr="00F062BB">
                    <w:rPr>
                      <w:rFonts w:asciiTheme="minorHAnsi" w:eastAsia="Times New Roman" w:hAnsiTheme="minorHAnsi" w:cstheme="minorHAnsi"/>
                      <w:b/>
                      <w:bCs/>
                      <w:color w:val="000000"/>
                      <w:sz w:val="16"/>
                      <w:szCs w:val="16"/>
                    </w:rPr>
                    <w:t>Actuals</w:t>
                  </w:r>
                </w:p>
              </w:tc>
              <w:tc>
                <w:tcPr>
                  <w:tcW w:w="362" w:type="pct"/>
                  <w:tcBorders>
                    <w:top w:val="single" w:sz="4" w:space="0" w:color="auto"/>
                    <w:left w:val="nil"/>
                    <w:bottom w:val="nil"/>
                    <w:right w:val="single" w:sz="4" w:space="0" w:color="auto"/>
                  </w:tcBorders>
                  <w:shd w:val="clear" w:color="auto" w:fill="auto"/>
                  <w:noWrap/>
                  <w:vAlign w:val="bottom"/>
                </w:tcPr>
                <w:p w14:paraId="2CE1A861" w14:textId="77777777" w:rsidR="000B17FB" w:rsidRPr="00F062BB" w:rsidRDefault="000B17FB" w:rsidP="000B17FB">
                  <w:pPr>
                    <w:spacing w:after="0" w:line="240" w:lineRule="auto"/>
                    <w:jc w:val="center"/>
                    <w:rPr>
                      <w:rFonts w:asciiTheme="minorHAnsi" w:eastAsia="Times New Roman" w:hAnsiTheme="minorHAnsi" w:cstheme="minorHAnsi"/>
                      <w:color w:val="000000"/>
                      <w:sz w:val="16"/>
                      <w:szCs w:val="16"/>
                    </w:rPr>
                  </w:pPr>
                  <w:r w:rsidRPr="00F062BB">
                    <w:rPr>
                      <w:rFonts w:asciiTheme="minorHAnsi" w:eastAsia="Times New Roman" w:hAnsiTheme="minorHAnsi" w:cstheme="minorHAnsi"/>
                      <w:b/>
                      <w:bCs/>
                      <w:color w:val="000000"/>
                      <w:sz w:val="16"/>
                      <w:szCs w:val="16"/>
                    </w:rPr>
                    <w:t>Est</w:t>
                  </w:r>
                </w:p>
              </w:tc>
              <w:tc>
                <w:tcPr>
                  <w:tcW w:w="2178" w:type="pct"/>
                  <w:gridSpan w:val="6"/>
                  <w:tcBorders>
                    <w:top w:val="single" w:sz="4" w:space="0" w:color="auto"/>
                    <w:left w:val="nil"/>
                    <w:bottom w:val="nil"/>
                    <w:right w:val="single" w:sz="4" w:space="0" w:color="auto"/>
                  </w:tcBorders>
                  <w:shd w:val="clear" w:color="auto" w:fill="auto"/>
                  <w:noWrap/>
                  <w:vAlign w:val="bottom"/>
                </w:tcPr>
                <w:p w14:paraId="68055FE9" w14:textId="77777777" w:rsidR="000B17FB" w:rsidRPr="00F062BB" w:rsidRDefault="000B17FB" w:rsidP="000B17FB">
                  <w:pPr>
                    <w:spacing w:after="0" w:line="240" w:lineRule="auto"/>
                    <w:jc w:val="center"/>
                    <w:rPr>
                      <w:rFonts w:asciiTheme="minorHAnsi" w:eastAsia="Times New Roman" w:hAnsiTheme="minorHAnsi" w:cstheme="minorHAnsi"/>
                      <w:color w:val="000000"/>
                      <w:sz w:val="16"/>
                      <w:szCs w:val="16"/>
                    </w:rPr>
                  </w:pPr>
                  <w:r w:rsidRPr="00F062BB">
                    <w:rPr>
                      <w:rFonts w:asciiTheme="minorHAnsi" w:eastAsia="Times New Roman" w:hAnsiTheme="minorHAnsi" w:cstheme="minorHAnsi"/>
                      <w:b/>
                      <w:bCs/>
                      <w:color w:val="000000"/>
                      <w:sz w:val="16"/>
                      <w:szCs w:val="16"/>
                    </w:rPr>
                    <w:t>Projections</w:t>
                  </w:r>
                </w:p>
              </w:tc>
            </w:tr>
            <w:tr w:rsidR="000B17FB" w:rsidRPr="00B66802" w14:paraId="12B37505" w14:textId="77777777" w:rsidTr="000B17FB">
              <w:trPr>
                <w:trHeight w:val="286"/>
              </w:trPr>
              <w:tc>
                <w:tcPr>
                  <w:tcW w:w="1372" w:type="pct"/>
                  <w:tcBorders>
                    <w:top w:val="single" w:sz="4" w:space="0" w:color="auto"/>
                    <w:left w:val="single" w:sz="4" w:space="0" w:color="auto"/>
                    <w:bottom w:val="nil"/>
                    <w:right w:val="nil"/>
                  </w:tcBorders>
                  <w:shd w:val="clear" w:color="auto" w:fill="auto"/>
                  <w:noWrap/>
                  <w:vAlign w:val="bottom"/>
                  <w:hideMark/>
                </w:tcPr>
                <w:p w14:paraId="1B13C1DF" w14:textId="77777777" w:rsidR="000B17FB" w:rsidRPr="00F062BB" w:rsidRDefault="000B17FB" w:rsidP="000B17FB">
                  <w:pPr>
                    <w:spacing w:after="0" w:line="240" w:lineRule="auto"/>
                    <w:rPr>
                      <w:rFonts w:asciiTheme="minorHAnsi" w:eastAsia="Times New Roman" w:hAnsiTheme="minorHAnsi" w:cstheme="minorHAnsi"/>
                      <w:b/>
                      <w:bCs/>
                      <w:i/>
                      <w:iCs/>
                      <w:sz w:val="16"/>
                      <w:szCs w:val="16"/>
                    </w:rPr>
                  </w:pPr>
                  <w:r w:rsidRPr="00F062BB">
                    <w:rPr>
                      <w:rFonts w:asciiTheme="minorHAnsi" w:eastAsia="Times New Roman" w:hAnsiTheme="minorHAnsi" w:cstheme="minorHAnsi"/>
                      <w:b/>
                      <w:bCs/>
                      <w:i/>
                      <w:iCs/>
                      <w:sz w:val="16"/>
                      <w:szCs w:val="16"/>
                    </w:rPr>
                    <w:t>Real sector</w:t>
                  </w:r>
                </w:p>
              </w:tc>
              <w:tc>
                <w:tcPr>
                  <w:tcW w:w="362" w:type="pct"/>
                  <w:tcBorders>
                    <w:top w:val="single" w:sz="4" w:space="0" w:color="auto"/>
                    <w:left w:val="single" w:sz="4" w:space="0" w:color="auto"/>
                    <w:bottom w:val="nil"/>
                    <w:right w:val="nil"/>
                  </w:tcBorders>
                  <w:shd w:val="clear" w:color="auto" w:fill="auto"/>
                  <w:noWrap/>
                  <w:vAlign w:val="bottom"/>
                  <w:hideMark/>
                </w:tcPr>
                <w:p w14:paraId="600144C7" w14:textId="77777777" w:rsidR="000B17FB" w:rsidRPr="00F062BB" w:rsidRDefault="000B17FB" w:rsidP="000B17FB">
                  <w:pPr>
                    <w:spacing w:after="0" w:line="240" w:lineRule="auto"/>
                    <w:jc w:val="center"/>
                    <w:rPr>
                      <w:rFonts w:asciiTheme="minorHAnsi" w:eastAsia="Times New Roman" w:hAnsiTheme="minorHAnsi" w:cstheme="minorHAnsi"/>
                      <w:b/>
                      <w:bCs/>
                      <w:i/>
                      <w:iCs/>
                      <w:sz w:val="16"/>
                      <w:szCs w:val="16"/>
                    </w:rPr>
                  </w:pPr>
                  <w:r w:rsidRPr="00F062BB">
                    <w:rPr>
                      <w:rFonts w:asciiTheme="minorHAnsi" w:eastAsia="Times New Roman" w:hAnsiTheme="minorHAnsi" w:cstheme="minorHAnsi"/>
                      <w:b/>
                      <w:bCs/>
                      <w:i/>
                      <w:iCs/>
                      <w:sz w:val="16"/>
                      <w:szCs w:val="16"/>
                    </w:rPr>
                    <w:t> </w:t>
                  </w:r>
                </w:p>
              </w:tc>
              <w:tc>
                <w:tcPr>
                  <w:tcW w:w="363" w:type="pct"/>
                  <w:tcBorders>
                    <w:top w:val="single" w:sz="4" w:space="0" w:color="auto"/>
                    <w:left w:val="nil"/>
                    <w:bottom w:val="nil"/>
                    <w:right w:val="nil"/>
                  </w:tcBorders>
                  <w:shd w:val="clear" w:color="auto" w:fill="auto"/>
                  <w:noWrap/>
                  <w:vAlign w:val="bottom"/>
                  <w:hideMark/>
                </w:tcPr>
                <w:p w14:paraId="2BB86C0C" w14:textId="77777777" w:rsidR="000B17FB" w:rsidRPr="00F062BB" w:rsidRDefault="000B17FB" w:rsidP="000B17FB">
                  <w:pPr>
                    <w:spacing w:after="0" w:line="240" w:lineRule="auto"/>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 </w:t>
                  </w:r>
                </w:p>
              </w:tc>
              <w:tc>
                <w:tcPr>
                  <w:tcW w:w="363" w:type="pct"/>
                  <w:tcBorders>
                    <w:top w:val="single" w:sz="4" w:space="0" w:color="auto"/>
                    <w:left w:val="nil"/>
                    <w:bottom w:val="nil"/>
                    <w:right w:val="nil"/>
                  </w:tcBorders>
                  <w:shd w:val="clear" w:color="auto" w:fill="auto"/>
                  <w:noWrap/>
                  <w:vAlign w:val="bottom"/>
                  <w:hideMark/>
                </w:tcPr>
                <w:p w14:paraId="5D15D576" w14:textId="77777777" w:rsidR="000B17FB" w:rsidRPr="00F062BB" w:rsidRDefault="000B17FB" w:rsidP="000B17FB">
                  <w:pPr>
                    <w:spacing w:after="0" w:line="240" w:lineRule="auto"/>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 </w:t>
                  </w:r>
                </w:p>
              </w:tc>
              <w:tc>
                <w:tcPr>
                  <w:tcW w:w="362" w:type="pct"/>
                  <w:tcBorders>
                    <w:top w:val="single" w:sz="4" w:space="0" w:color="auto"/>
                    <w:left w:val="nil"/>
                    <w:bottom w:val="nil"/>
                    <w:right w:val="nil"/>
                  </w:tcBorders>
                  <w:shd w:val="clear" w:color="auto" w:fill="auto"/>
                  <w:noWrap/>
                  <w:vAlign w:val="bottom"/>
                  <w:hideMark/>
                </w:tcPr>
                <w:p w14:paraId="29AAE630" w14:textId="77777777" w:rsidR="000B17FB" w:rsidRPr="00F062BB" w:rsidRDefault="000B17FB" w:rsidP="000B17FB">
                  <w:pPr>
                    <w:spacing w:after="0" w:line="240" w:lineRule="auto"/>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 </w:t>
                  </w:r>
                </w:p>
              </w:tc>
              <w:tc>
                <w:tcPr>
                  <w:tcW w:w="363" w:type="pct"/>
                  <w:tcBorders>
                    <w:top w:val="single" w:sz="4" w:space="0" w:color="auto"/>
                    <w:left w:val="nil"/>
                    <w:bottom w:val="nil"/>
                    <w:right w:val="nil"/>
                  </w:tcBorders>
                  <w:shd w:val="clear" w:color="auto" w:fill="auto"/>
                  <w:noWrap/>
                  <w:vAlign w:val="bottom"/>
                  <w:hideMark/>
                </w:tcPr>
                <w:p w14:paraId="1C4D7C82" w14:textId="77777777" w:rsidR="000B17FB" w:rsidRPr="00F062BB" w:rsidRDefault="000B17FB" w:rsidP="000B17FB">
                  <w:pPr>
                    <w:spacing w:after="0" w:line="240" w:lineRule="auto"/>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 </w:t>
                  </w:r>
                </w:p>
              </w:tc>
              <w:tc>
                <w:tcPr>
                  <w:tcW w:w="363" w:type="pct"/>
                  <w:tcBorders>
                    <w:top w:val="single" w:sz="4" w:space="0" w:color="auto"/>
                    <w:left w:val="nil"/>
                    <w:bottom w:val="nil"/>
                    <w:right w:val="nil"/>
                  </w:tcBorders>
                  <w:shd w:val="clear" w:color="auto" w:fill="auto"/>
                  <w:noWrap/>
                  <w:vAlign w:val="bottom"/>
                  <w:hideMark/>
                </w:tcPr>
                <w:p w14:paraId="63AE3C20"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c>
                <w:tcPr>
                  <w:tcW w:w="362" w:type="pct"/>
                  <w:tcBorders>
                    <w:top w:val="single" w:sz="4" w:space="0" w:color="auto"/>
                    <w:left w:val="nil"/>
                    <w:bottom w:val="nil"/>
                    <w:right w:val="nil"/>
                  </w:tcBorders>
                  <w:shd w:val="clear" w:color="auto" w:fill="auto"/>
                  <w:noWrap/>
                  <w:vAlign w:val="bottom"/>
                  <w:hideMark/>
                </w:tcPr>
                <w:p w14:paraId="2E457A9B" w14:textId="77777777" w:rsidR="000B17FB" w:rsidRPr="00F062BB" w:rsidRDefault="000B17FB" w:rsidP="000B17FB">
                  <w:pPr>
                    <w:spacing w:after="0" w:line="240" w:lineRule="auto"/>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 </w:t>
                  </w:r>
                </w:p>
              </w:tc>
              <w:tc>
                <w:tcPr>
                  <w:tcW w:w="363" w:type="pct"/>
                  <w:tcBorders>
                    <w:top w:val="single" w:sz="4" w:space="0" w:color="auto"/>
                    <w:left w:val="nil"/>
                    <w:bottom w:val="nil"/>
                    <w:right w:val="nil"/>
                  </w:tcBorders>
                  <w:shd w:val="clear" w:color="auto" w:fill="auto"/>
                  <w:noWrap/>
                  <w:vAlign w:val="bottom"/>
                  <w:hideMark/>
                </w:tcPr>
                <w:p w14:paraId="3A7D6420" w14:textId="77777777" w:rsidR="000B17FB" w:rsidRPr="00F062BB" w:rsidRDefault="000B17FB" w:rsidP="000B17FB">
                  <w:pPr>
                    <w:spacing w:after="0" w:line="240" w:lineRule="auto"/>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 </w:t>
                  </w:r>
                </w:p>
              </w:tc>
              <w:tc>
                <w:tcPr>
                  <w:tcW w:w="363" w:type="pct"/>
                  <w:tcBorders>
                    <w:top w:val="single" w:sz="4" w:space="0" w:color="auto"/>
                    <w:left w:val="nil"/>
                    <w:bottom w:val="nil"/>
                    <w:right w:val="nil"/>
                  </w:tcBorders>
                  <w:shd w:val="clear" w:color="auto" w:fill="auto"/>
                  <w:noWrap/>
                  <w:vAlign w:val="bottom"/>
                  <w:hideMark/>
                </w:tcPr>
                <w:p w14:paraId="7776F4F7" w14:textId="77777777" w:rsidR="000B17FB" w:rsidRPr="00F062BB" w:rsidRDefault="000B17FB" w:rsidP="000B17FB">
                  <w:pPr>
                    <w:spacing w:after="0" w:line="240" w:lineRule="auto"/>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 </w:t>
                  </w:r>
                </w:p>
              </w:tc>
              <w:tc>
                <w:tcPr>
                  <w:tcW w:w="364" w:type="pct"/>
                  <w:tcBorders>
                    <w:top w:val="single" w:sz="4" w:space="0" w:color="auto"/>
                    <w:left w:val="nil"/>
                    <w:bottom w:val="nil"/>
                    <w:right w:val="single" w:sz="4" w:space="0" w:color="auto"/>
                  </w:tcBorders>
                  <w:shd w:val="clear" w:color="auto" w:fill="auto"/>
                  <w:noWrap/>
                  <w:vAlign w:val="bottom"/>
                  <w:hideMark/>
                </w:tcPr>
                <w:p w14:paraId="29A0A3AA" w14:textId="77777777" w:rsidR="000B17FB" w:rsidRPr="00F062BB" w:rsidRDefault="000B17FB" w:rsidP="000B17FB">
                  <w:pPr>
                    <w:spacing w:after="0" w:line="240" w:lineRule="auto"/>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 </w:t>
                  </w:r>
                </w:p>
              </w:tc>
            </w:tr>
            <w:tr w:rsidR="000B17FB" w:rsidRPr="00B66802" w14:paraId="7B0AC711"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099D0681" w14:textId="2C34B88A" w:rsidR="000B17FB" w:rsidRPr="00F062BB" w:rsidRDefault="000B17FB" w:rsidP="000B17FB">
                  <w:pPr>
                    <w:spacing w:after="0" w:line="240" w:lineRule="auto"/>
                    <w:rPr>
                      <w:rFonts w:asciiTheme="minorHAnsi" w:eastAsia="Times New Roman" w:hAnsiTheme="minorHAnsi" w:cstheme="minorHAnsi"/>
                      <w:b/>
                      <w:bCs/>
                      <w:i/>
                      <w:iCs/>
                      <w:sz w:val="16"/>
                      <w:szCs w:val="16"/>
                    </w:rPr>
                  </w:pPr>
                  <w:r w:rsidRPr="00F062BB">
                    <w:rPr>
                      <w:rFonts w:asciiTheme="minorHAnsi" w:eastAsia="Times New Roman" w:hAnsiTheme="minorHAnsi" w:cstheme="minorHAnsi"/>
                      <w:b/>
                      <w:bCs/>
                      <w:i/>
                      <w:iCs/>
                      <w:sz w:val="16"/>
                      <w:szCs w:val="16"/>
                    </w:rPr>
                    <w:t xml:space="preserve">  </w:t>
                  </w:r>
                  <w:r w:rsidRPr="00F062BB">
                    <w:rPr>
                      <w:rFonts w:asciiTheme="minorHAnsi" w:eastAsia="Times New Roman" w:hAnsiTheme="minorHAnsi" w:cstheme="minorHAnsi"/>
                      <w:sz w:val="16"/>
                      <w:szCs w:val="16"/>
                    </w:rPr>
                    <w:t xml:space="preserve">GDP (billions of </w:t>
                  </w:r>
                  <w:r w:rsidR="006C4C8E">
                    <w:rPr>
                      <w:rFonts w:asciiTheme="minorHAnsi" w:eastAsia="Times New Roman" w:hAnsiTheme="minorHAnsi" w:cstheme="minorHAnsi"/>
                      <w:sz w:val="16"/>
                      <w:szCs w:val="16"/>
                    </w:rPr>
                    <w:t>MGA</w:t>
                  </w:r>
                  <w:r w:rsidRPr="00F062BB">
                    <w:rPr>
                      <w:rFonts w:asciiTheme="minorHAnsi" w:eastAsia="Times New Roman" w:hAnsiTheme="minorHAnsi" w:cstheme="minorHAnsi"/>
                      <w:sz w:val="16"/>
                      <w:szCs w:val="16"/>
                    </w:rPr>
                    <w:t>)</w:t>
                  </w:r>
                </w:p>
              </w:tc>
              <w:tc>
                <w:tcPr>
                  <w:tcW w:w="362" w:type="pct"/>
                  <w:tcBorders>
                    <w:top w:val="nil"/>
                    <w:left w:val="nil"/>
                    <w:bottom w:val="nil"/>
                    <w:right w:val="nil"/>
                  </w:tcBorders>
                  <w:shd w:val="clear" w:color="auto" w:fill="auto"/>
                  <w:noWrap/>
                  <w:vAlign w:val="bottom"/>
                  <w:hideMark/>
                </w:tcPr>
                <w:p w14:paraId="680F337D" w14:textId="360B0EA0"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23397</w:t>
                  </w:r>
                </w:p>
              </w:tc>
              <w:tc>
                <w:tcPr>
                  <w:tcW w:w="363" w:type="pct"/>
                  <w:tcBorders>
                    <w:top w:val="nil"/>
                    <w:left w:val="nil"/>
                    <w:bottom w:val="nil"/>
                    <w:right w:val="nil"/>
                  </w:tcBorders>
                  <w:shd w:val="clear" w:color="auto" w:fill="auto"/>
                  <w:noWrap/>
                  <w:vAlign w:val="bottom"/>
                  <w:hideMark/>
                </w:tcPr>
                <w:p w14:paraId="2A373E31" w14:textId="2FA16F10"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25775</w:t>
                  </w:r>
                </w:p>
              </w:tc>
              <w:tc>
                <w:tcPr>
                  <w:tcW w:w="363" w:type="pct"/>
                  <w:tcBorders>
                    <w:top w:val="nil"/>
                    <w:left w:val="nil"/>
                    <w:bottom w:val="nil"/>
                    <w:right w:val="nil"/>
                  </w:tcBorders>
                  <w:shd w:val="clear" w:color="auto" w:fill="auto"/>
                  <w:noWrap/>
                  <w:vAlign w:val="bottom"/>
                  <w:hideMark/>
                </w:tcPr>
                <w:p w14:paraId="2459BA57" w14:textId="1CE3F6B0" w:rsidR="000B17FB" w:rsidRPr="00F062BB" w:rsidRDefault="00E02F65" w:rsidP="000B17FB">
                  <w:pPr>
                    <w:spacing w:after="0" w:line="240" w:lineRule="auto"/>
                    <w:jc w:val="right"/>
                    <w:rPr>
                      <w:rFonts w:asciiTheme="minorHAnsi" w:eastAsia="Times New Roman" w:hAnsiTheme="minorHAnsi" w:cstheme="minorHAnsi"/>
                      <w:sz w:val="16"/>
                      <w:szCs w:val="16"/>
                    </w:rPr>
                  </w:pPr>
                  <w:r>
                    <w:rPr>
                      <w:rFonts w:asciiTheme="minorHAnsi" w:eastAsia="Times New Roman" w:hAnsiTheme="minorHAnsi" w:cstheme="minorHAnsi"/>
                      <w:sz w:val="16"/>
                      <w:szCs w:val="16"/>
                    </w:rPr>
                    <w:t>28</w:t>
                  </w:r>
                  <w:r w:rsidR="000B17FB" w:rsidRPr="00F062BB">
                    <w:rPr>
                      <w:rFonts w:asciiTheme="minorHAnsi" w:eastAsia="Times New Roman" w:hAnsiTheme="minorHAnsi" w:cstheme="minorHAnsi"/>
                      <w:sz w:val="16"/>
                      <w:szCs w:val="16"/>
                    </w:rPr>
                    <w:t>585</w:t>
                  </w:r>
                </w:p>
              </w:tc>
              <w:tc>
                <w:tcPr>
                  <w:tcW w:w="362" w:type="pct"/>
                  <w:tcBorders>
                    <w:top w:val="nil"/>
                    <w:left w:val="nil"/>
                    <w:bottom w:val="nil"/>
                    <w:right w:val="nil"/>
                  </w:tcBorders>
                  <w:shd w:val="clear" w:color="auto" w:fill="auto"/>
                  <w:noWrap/>
                  <w:vAlign w:val="bottom"/>
                  <w:hideMark/>
                </w:tcPr>
                <w:p w14:paraId="214E5B99" w14:textId="48ED96E9"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31769</w:t>
                  </w:r>
                </w:p>
              </w:tc>
              <w:tc>
                <w:tcPr>
                  <w:tcW w:w="363" w:type="pct"/>
                  <w:tcBorders>
                    <w:top w:val="nil"/>
                    <w:left w:val="nil"/>
                    <w:bottom w:val="nil"/>
                    <w:right w:val="nil"/>
                  </w:tcBorders>
                  <w:shd w:val="clear" w:color="auto" w:fill="auto"/>
                  <w:noWrap/>
                  <w:vAlign w:val="bottom"/>
                  <w:hideMark/>
                </w:tcPr>
                <w:p w14:paraId="561CB4B4" w14:textId="7CFE6A6B"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35751</w:t>
                  </w:r>
                </w:p>
              </w:tc>
              <w:tc>
                <w:tcPr>
                  <w:tcW w:w="363" w:type="pct"/>
                  <w:tcBorders>
                    <w:top w:val="nil"/>
                    <w:left w:val="nil"/>
                    <w:bottom w:val="nil"/>
                    <w:right w:val="nil"/>
                  </w:tcBorders>
                  <w:shd w:val="clear" w:color="auto" w:fill="auto"/>
                  <w:noWrap/>
                  <w:vAlign w:val="bottom"/>
                  <w:hideMark/>
                </w:tcPr>
                <w:p w14:paraId="264D391B" w14:textId="3C32D5BF" w:rsidR="000B17FB" w:rsidRPr="00F062BB" w:rsidRDefault="00E02F65" w:rsidP="000B17FB">
                  <w:pPr>
                    <w:spacing w:after="0" w:line="240" w:lineRule="auto"/>
                    <w:jc w:val="right"/>
                    <w:rPr>
                      <w:rFonts w:asciiTheme="minorHAnsi" w:eastAsia="Times New Roman" w:hAnsiTheme="minorHAnsi" w:cstheme="minorHAnsi"/>
                      <w:sz w:val="16"/>
                      <w:szCs w:val="16"/>
                    </w:rPr>
                  </w:pPr>
                  <w:r>
                    <w:rPr>
                      <w:rFonts w:asciiTheme="minorHAnsi" w:eastAsia="Times New Roman" w:hAnsiTheme="minorHAnsi" w:cstheme="minorHAnsi"/>
                      <w:sz w:val="16"/>
                      <w:szCs w:val="16"/>
                    </w:rPr>
                    <w:t>40</w:t>
                  </w:r>
                  <w:r w:rsidR="000B17FB" w:rsidRPr="00F062BB">
                    <w:rPr>
                      <w:rFonts w:asciiTheme="minorHAnsi" w:eastAsia="Times New Roman" w:hAnsiTheme="minorHAnsi" w:cstheme="minorHAnsi"/>
                      <w:sz w:val="16"/>
                      <w:szCs w:val="16"/>
                    </w:rPr>
                    <w:t>493</w:t>
                  </w:r>
                </w:p>
              </w:tc>
              <w:tc>
                <w:tcPr>
                  <w:tcW w:w="362" w:type="pct"/>
                  <w:tcBorders>
                    <w:top w:val="nil"/>
                    <w:left w:val="nil"/>
                    <w:bottom w:val="nil"/>
                    <w:right w:val="nil"/>
                  </w:tcBorders>
                  <w:shd w:val="clear" w:color="auto" w:fill="auto"/>
                  <w:noWrap/>
                  <w:vAlign w:val="bottom"/>
                  <w:hideMark/>
                </w:tcPr>
                <w:p w14:paraId="7B9480DE" w14:textId="6C0A89DE"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45653</w:t>
                  </w:r>
                </w:p>
              </w:tc>
              <w:tc>
                <w:tcPr>
                  <w:tcW w:w="363" w:type="pct"/>
                  <w:tcBorders>
                    <w:top w:val="nil"/>
                    <w:left w:val="nil"/>
                    <w:bottom w:val="nil"/>
                    <w:right w:val="nil"/>
                  </w:tcBorders>
                  <w:shd w:val="clear" w:color="auto" w:fill="auto"/>
                  <w:noWrap/>
                  <w:vAlign w:val="bottom"/>
                  <w:hideMark/>
                </w:tcPr>
                <w:p w14:paraId="0B20D078" w14:textId="113338A3"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51042</w:t>
                  </w:r>
                </w:p>
              </w:tc>
              <w:tc>
                <w:tcPr>
                  <w:tcW w:w="363" w:type="pct"/>
                  <w:tcBorders>
                    <w:top w:val="nil"/>
                    <w:left w:val="nil"/>
                    <w:bottom w:val="nil"/>
                    <w:right w:val="nil"/>
                  </w:tcBorders>
                  <w:shd w:val="clear" w:color="auto" w:fill="auto"/>
                  <w:noWrap/>
                  <w:vAlign w:val="bottom"/>
                  <w:hideMark/>
                </w:tcPr>
                <w:p w14:paraId="04EA3CFA" w14:textId="18287466"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56633</w:t>
                  </w:r>
                </w:p>
              </w:tc>
              <w:tc>
                <w:tcPr>
                  <w:tcW w:w="364" w:type="pct"/>
                  <w:tcBorders>
                    <w:top w:val="nil"/>
                    <w:left w:val="nil"/>
                    <w:bottom w:val="nil"/>
                    <w:right w:val="single" w:sz="4" w:space="0" w:color="auto"/>
                  </w:tcBorders>
                  <w:shd w:val="clear" w:color="auto" w:fill="auto"/>
                  <w:noWrap/>
                  <w:vAlign w:val="bottom"/>
                  <w:hideMark/>
                </w:tcPr>
                <w:p w14:paraId="2931EAD5" w14:textId="171AC034" w:rsidR="000B17FB" w:rsidRPr="00F062BB" w:rsidRDefault="00E02F65" w:rsidP="000B17FB">
                  <w:pPr>
                    <w:spacing w:after="0" w:line="240" w:lineRule="auto"/>
                    <w:jc w:val="right"/>
                    <w:rPr>
                      <w:rFonts w:asciiTheme="minorHAnsi" w:eastAsia="Times New Roman" w:hAnsiTheme="minorHAnsi" w:cstheme="minorHAnsi"/>
                      <w:sz w:val="16"/>
                      <w:szCs w:val="16"/>
                    </w:rPr>
                  </w:pPr>
                  <w:r>
                    <w:rPr>
                      <w:rFonts w:asciiTheme="minorHAnsi" w:eastAsia="Times New Roman" w:hAnsiTheme="minorHAnsi" w:cstheme="minorHAnsi"/>
                      <w:sz w:val="16"/>
                      <w:szCs w:val="16"/>
                    </w:rPr>
                    <w:t>62</w:t>
                  </w:r>
                  <w:r w:rsidR="000B17FB" w:rsidRPr="00F062BB">
                    <w:rPr>
                      <w:rFonts w:asciiTheme="minorHAnsi" w:eastAsia="Times New Roman" w:hAnsiTheme="minorHAnsi" w:cstheme="minorHAnsi"/>
                      <w:sz w:val="16"/>
                      <w:szCs w:val="16"/>
                    </w:rPr>
                    <w:t>571</w:t>
                  </w:r>
                </w:p>
              </w:tc>
            </w:tr>
            <w:tr w:rsidR="000B17FB" w:rsidRPr="00B66802" w14:paraId="303E4FB3"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6783C146"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Real GDP growth</w:t>
                  </w:r>
                </w:p>
              </w:tc>
              <w:tc>
                <w:tcPr>
                  <w:tcW w:w="362" w:type="pct"/>
                  <w:tcBorders>
                    <w:top w:val="nil"/>
                    <w:left w:val="nil"/>
                    <w:bottom w:val="nil"/>
                    <w:right w:val="nil"/>
                  </w:tcBorders>
                  <w:shd w:val="clear" w:color="auto" w:fill="auto"/>
                  <w:noWrap/>
                  <w:vAlign w:val="bottom"/>
                  <w:hideMark/>
                </w:tcPr>
                <w:p w14:paraId="449A7C1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2.3</w:t>
                  </w:r>
                </w:p>
              </w:tc>
              <w:tc>
                <w:tcPr>
                  <w:tcW w:w="363" w:type="pct"/>
                  <w:tcBorders>
                    <w:top w:val="nil"/>
                    <w:left w:val="nil"/>
                    <w:bottom w:val="nil"/>
                    <w:right w:val="nil"/>
                  </w:tcBorders>
                  <w:shd w:val="clear" w:color="auto" w:fill="auto"/>
                  <w:noWrap/>
                  <w:vAlign w:val="bottom"/>
                  <w:hideMark/>
                </w:tcPr>
                <w:p w14:paraId="75963F49"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3.3</w:t>
                  </w:r>
                </w:p>
              </w:tc>
              <w:tc>
                <w:tcPr>
                  <w:tcW w:w="363" w:type="pct"/>
                  <w:tcBorders>
                    <w:top w:val="nil"/>
                    <w:left w:val="nil"/>
                    <w:bottom w:val="nil"/>
                    <w:right w:val="nil"/>
                  </w:tcBorders>
                  <w:shd w:val="clear" w:color="auto" w:fill="auto"/>
                  <w:noWrap/>
                  <w:vAlign w:val="bottom"/>
                  <w:hideMark/>
                </w:tcPr>
                <w:p w14:paraId="2006CCA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3.1</w:t>
                  </w:r>
                </w:p>
              </w:tc>
              <w:tc>
                <w:tcPr>
                  <w:tcW w:w="362" w:type="pct"/>
                  <w:tcBorders>
                    <w:top w:val="nil"/>
                    <w:left w:val="nil"/>
                    <w:bottom w:val="nil"/>
                    <w:right w:val="nil"/>
                  </w:tcBorders>
                  <w:shd w:val="clear" w:color="auto" w:fill="auto"/>
                  <w:noWrap/>
                  <w:vAlign w:val="bottom"/>
                  <w:hideMark/>
                </w:tcPr>
                <w:p w14:paraId="3FE6FE1C"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4.2</w:t>
                  </w:r>
                </w:p>
              </w:tc>
              <w:tc>
                <w:tcPr>
                  <w:tcW w:w="363" w:type="pct"/>
                  <w:tcBorders>
                    <w:top w:val="nil"/>
                    <w:left w:val="nil"/>
                    <w:bottom w:val="nil"/>
                    <w:right w:val="nil"/>
                  </w:tcBorders>
                  <w:shd w:val="clear" w:color="auto" w:fill="auto"/>
                  <w:noWrap/>
                  <w:vAlign w:val="bottom"/>
                  <w:hideMark/>
                </w:tcPr>
                <w:p w14:paraId="1BAF5C47"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4.1</w:t>
                  </w:r>
                </w:p>
              </w:tc>
              <w:tc>
                <w:tcPr>
                  <w:tcW w:w="363" w:type="pct"/>
                  <w:tcBorders>
                    <w:top w:val="nil"/>
                    <w:left w:val="nil"/>
                    <w:bottom w:val="nil"/>
                    <w:right w:val="nil"/>
                  </w:tcBorders>
                  <w:shd w:val="clear" w:color="auto" w:fill="auto"/>
                  <w:noWrap/>
                  <w:vAlign w:val="bottom"/>
                  <w:hideMark/>
                </w:tcPr>
                <w:p w14:paraId="3173DD0C"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5.1</w:t>
                  </w:r>
                </w:p>
              </w:tc>
              <w:tc>
                <w:tcPr>
                  <w:tcW w:w="362" w:type="pct"/>
                  <w:tcBorders>
                    <w:top w:val="nil"/>
                    <w:left w:val="nil"/>
                    <w:bottom w:val="nil"/>
                    <w:right w:val="nil"/>
                  </w:tcBorders>
                  <w:shd w:val="clear" w:color="auto" w:fill="auto"/>
                  <w:noWrap/>
                  <w:vAlign w:val="bottom"/>
                  <w:hideMark/>
                </w:tcPr>
                <w:p w14:paraId="44F3D34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5.6</w:t>
                  </w:r>
                </w:p>
              </w:tc>
              <w:tc>
                <w:tcPr>
                  <w:tcW w:w="363" w:type="pct"/>
                  <w:tcBorders>
                    <w:top w:val="nil"/>
                    <w:left w:val="nil"/>
                    <w:bottom w:val="nil"/>
                    <w:right w:val="nil"/>
                  </w:tcBorders>
                  <w:shd w:val="clear" w:color="auto" w:fill="auto"/>
                  <w:noWrap/>
                  <w:vAlign w:val="bottom"/>
                  <w:hideMark/>
                </w:tcPr>
                <w:p w14:paraId="58FC197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5.4</w:t>
                  </w:r>
                </w:p>
              </w:tc>
              <w:tc>
                <w:tcPr>
                  <w:tcW w:w="363" w:type="pct"/>
                  <w:tcBorders>
                    <w:top w:val="nil"/>
                    <w:left w:val="nil"/>
                    <w:bottom w:val="nil"/>
                    <w:right w:val="nil"/>
                  </w:tcBorders>
                  <w:shd w:val="clear" w:color="auto" w:fill="auto"/>
                  <w:noWrap/>
                  <w:vAlign w:val="bottom"/>
                  <w:hideMark/>
                </w:tcPr>
                <w:p w14:paraId="5A68B9B3"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5.2</w:t>
                  </w:r>
                </w:p>
              </w:tc>
              <w:tc>
                <w:tcPr>
                  <w:tcW w:w="364" w:type="pct"/>
                  <w:tcBorders>
                    <w:top w:val="nil"/>
                    <w:left w:val="nil"/>
                    <w:bottom w:val="nil"/>
                    <w:right w:val="single" w:sz="4" w:space="0" w:color="auto"/>
                  </w:tcBorders>
                  <w:shd w:val="clear" w:color="auto" w:fill="auto"/>
                  <w:noWrap/>
                  <w:vAlign w:val="bottom"/>
                  <w:hideMark/>
                </w:tcPr>
                <w:p w14:paraId="7EA8E3F6"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5.0</w:t>
                  </w:r>
                </w:p>
              </w:tc>
            </w:tr>
            <w:tr w:rsidR="000B17FB" w:rsidRPr="00B66802" w14:paraId="55407E0D"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61845F44" w14:textId="17ED5548"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GDP per capita (</w:t>
                  </w:r>
                  <w:r w:rsidR="00BF0F8E">
                    <w:rPr>
                      <w:rFonts w:asciiTheme="minorHAnsi" w:eastAsia="Times New Roman" w:hAnsiTheme="minorHAnsi" w:cstheme="minorHAnsi"/>
                      <w:sz w:val="16"/>
                      <w:szCs w:val="16"/>
                    </w:rPr>
                    <w:t>US$</w:t>
                  </w:r>
                  <w:r w:rsidRPr="00F062BB">
                    <w:rPr>
                      <w:rFonts w:asciiTheme="minorHAnsi" w:eastAsia="Times New Roman" w:hAnsiTheme="minorHAnsi" w:cstheme="minorHAnsi"/>
                      <w:sz w:val="16"/>
                      <w:szCs w:val="16"/>
                    </w:rPr>
                    <w:t>)</w:t>
                  </w:r>
                </w:p>
              </w:tc>
              <w:tc>
                <w:tcPr>
                  <w:tcW w:w="362" w:type="pct"/>
                  <w:tcBorders>
                    <w:top w:val="nil"/>
                    <w:left w:val="nil"/>
                    <w:bottom w:val="nil"/>
                    <w:right w:val="nil"/>
                  </w:tcBorders>
                  <w:shd w:val="clear" w:color="auto" w:fill="auto"/>
                  <w:noWrap/>
                  <w:vAlign w:val="bottom"/>
                  <w:hideMark/>
                </w:tcPr>
                <w:p w14:paraId="2E479A5B"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462.5</w:t>
                  </w:r>
                </w:p>
              </w:tc>
              <w:tc>
                <w:tcPr>
                  <w:tcW w:w="363" w:type="pct"/>
                  <w:tcBorders>
                    <w:top w:val="nil"/>
                    <w:left w:val="nil"/>
                    <w:bottom w:val="nil"/>
                    <w:right w:val="nil"/>
                  </w:tcBorders>
                  <w:shd w:val="clear" w:color="auto" w:fill="auto"/>
                  <w:noWrap/>
                  <w:vAlign w:val="bottom"/>
                  <w:hideMark/>
                </w:tcPr>
                <w:p w14:paraId="0BF9690F"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452.8</w:t>
                  </w:r>
                </w:p>
              </w:tc>
              <w:tc>
                <w:tcPr>
                  <w:tcW w:w="363" w:type="pct"/>
                  <w:tcBorders>
                    <w:top w:val="nil"/>
                    <w:left w:val="nil"/>
                    <w:bottom w:val="nil"/>
                    <w:right w:val="nil"/>
                  </w:tcBorders>
                  <w:shd w:val="clear" w:color="auto" w:fill="auto"/>
                  <w:noWrap/>
                  <w:vAlign w:val="bottom"/>
                  <w:hideMark/>
                </w:tcPr>
                <w:p w14:paraId="7A40095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402.1</w:t>
                  </w:r>
                </w:p>
              </w:tc>
              <w:tc>
                <w:tcPr>
                  <w:tcW w:w="362" w:type="pct"/>
                  <w:tcBorders>
                    <w:top w:val="nil"/>
                    <w:left w:val="nil"/>
                    <w:bottom w:val="nil"/>
                    <w:right w:val="nil"/>
                  </w:tcBorders>
                  <w:shd w:val="clear" w:color="auto" w:fill="auto"/>
                  <w:noWrap/>
                  <w:vAlign w:val="bottom"/>
                  <w:hideMark/>
                </w:tcPr>
                <w:p w14:paraId="05B229F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401.4</w:t>
                  </w:r>
                </w:p>
              </w:tc>
              <w:tc>
                <w:tcPr>
                  <w:tcW w:w="363" w:type="pct"/>
                  <w:tcBorders>
                    <w:top w:val="nil"/>
                    <w:left w:val="nil"/>
                    <w:bottom w:val="nil"/>
                    <w:right w:val="nil"/>
                  </w:tcBorders>
                  <w:shd w:val="clear" w:color="auto" w:fill="auto"/>
                  <w:noWrap/>
                  <w:vAlign w:val="bottom"/>
                  <w:hideMark/>
                </w:tcPr>
                <w:p w14:paraId="1F01A65B"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447.6</w:t>
                  </w:r>
                </w:p>
              </w:tc>
              <w:tc>
                <w:tcPr>
                  <w:tcW w:w="363" w:type="pct"/>
                  <w:tcBorders>
                    <w:top w:val="nil"/>
                    <w:left w:val="nil"/>
                    <w:bottom w:val="nil"/>
                    <w:right w:val="nil"/>
                  </w:tcBorders>
                  <w:shd w:val="clear" w:color="auto" w:fill="auto"/>
                  <w:noWrap/>
                  <w:vAlign w:val="bottom"/>
                  <w:hideMark/>
                </w:tcPr>
                <w:p w14:paraId="1D57A39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479.0</w:t>
                  </w:r>
                </w:p>
              </w:tc>
              <w:tc>
                <w:tcPr>
                  <w:tcW w:w="362" w:type="pct"/>
                  <w:tcBorders>
                    <w:top w:val="nil"/>
                    <w:left w:val="nil"/>
                    <w:bottom w:val="nil"/>
                    <w:right w:val="nil"/>
                  </w:tcBorders>
                  <w:shd w:val="clear" w:color="auto" w:fill="auto"/>
                  <w:noWrap/>
                  <w:vAlign w:val="bottom"/>
                  <w:hideMark/>
                </w:tcPr>
                <w:p w14:paraId="462A8F1F"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501.2</w:t>
                  </w:r>
                </w:p>
              </w:tc>
              <w:tc>
                <w:tcPr>
                  <w:tcW w:w="363" w:type="pct"/>
                  <w:tcBorders>
                    <w:top w:val="nil"/>
                    <w:left w:val="nil"/>
                    <w:bottom w:val="nil"/>
                    <w:right w:val="nil"/>
                  </w:tcBorders>
                  <w:shd w:val="clear" w:color="auto" w:fill="auto"/>
                  <w:noWrap/>
                  <w:vAlign w:val="bottom"/>
                  <w:hideMark/>
                </w:tcPr>
                <w:p w14:paraId="69C180DC"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525.4</w:t>
                  </w:r>
                </w:p>
              </w:tc>
              <w:tc>
                <w:tcPr>
                  <w:tcW w:w="363" w:type="pct"/>
                  <w:tcBorders>
                    <w:top w:val="nil"/>
                    <w:left w:val="nil"/>
                    <w:bottom w:val="nil"/>
                    <w:right w:val="nil"/>
                  </w:tcBorders>
                  <w:shd w:val="clear" w:color="auto" w:fill="auto"/>
                  <w:noWrap/>
                  <w:vAlign w:val="bottom"/>
                  <w:hideMark/>
                </w:tcPr>
                <w:p w14:paraId="3F7967A4"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548.1</w:t>
                  </w:r>
                </w:p>
              </w:tc>
              <w:tc>
                <w:tcPr>
                  <w:tcW w:w="364" w:type="pct"/>
                  <w:tcBorders>
                    <w:top w:val="nil"/>
                    <w:left w:val="nil"/>
                    <w:bottom w:val="nil"/>
                    <w:right w:val="single" w:sz="4" w:space="0" w:color="auto"/>
                  </w:tcBorders>
                  <w:shd w:val="clear" w:color="auto" w:fill="auto"/>
                  <w:noWrap/>
                  <w:vAlign w:val="bottom"/>
                  <w:hideMark/>
                </w:tcPr>
                <w:p w14:paraId="2F89D1C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569.0</w:t>
                  </w:r>
                </w:p>
              </w:tc>
            </w:tr>
            <w:tr w:rsidR="000B17FB" w:rsidRPr="00B66802" w14:paraId="4D8C3451"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2630A79E"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GDP per capita growth</w:t>
                  </w:r>
                </w:p>
              </w:tc>
              <w:tc>
                <w:tcPr>
                  <w:tcW w:w="362" w:type="pct"/>
                  <w:tcBorders>
                    <w:top w:val="nil"/>
                    <w:left w:val="nil"/>
                    <w:bottom w:val="nil"/>
                    <w:right w:val="nil"/>
                  </w:tcBorders>
                  <w:shd w:val="clear" w:color="auto" w:fill="auto"/>
                  <w:noWrap/>
                  <w:vAlign w:val="bottom"/>
                  <w:hideMark/>
                </w:tcPr>
                <w:p w14:paraId="339B2BA5"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-0.5</w:t>
                  </w:r>
                </w:p>
              </w:tc>
              <w:tc>
                <w:tcPr>
                  <w:tcW w:w="363" w:type="pct"/>
                  <w:tcBorders>
                    <w:top w:val="nil"/>
                    <w:left w:val="nil"/>
                    <w:bottom w:val="nil"/>
                    <w:right w:val="nil"/>
                  </w:tcBorders>
                  <w:shd w:val="clear" w:color="auto" w:fill="auto"/>
                  <w:noWrap/>
                  <w:vAlign w:val="bottom"/>
                  <w:hideMark/>
                </w:tcPr>
                <w:p w14:paraId="62E62B36"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0.5</w:t>
                  </w:r>
                </w:p>
              </w:tc>
              <w:tc>
                <w:tcPr>
                  <w:tcW w:w="363" w:type="pct"/>
                  <w:tcBorders>
                    <w:top w:val="nil"/>
                    <w:left w:val="nil"/>
                    <w:bottom w:val="nil"/>
                    <w:right w:val="nil"/>
                  </w:tcBorders>
                  <w:shd w:val="clear" w:color="auto" w:fill="auto"/>
                  <w:noWrap/>
                  <w:vAlign w:val="bottom"/>
                  <w:hideMark/>
                </w:tcPr>
                <w:p w14:paraId="3314A164"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0.3</w:t>
                  </w:r>
                </w:p>
              </w:tc>
              <w:tc>
                <w:tcPr>
                  <w:tcW w:w="362" w:type="pct"/>
                  <w:tcBorders>
                    <w:top w:val="nil"/>
                    <w:left w:val="nil"/>
                    <w:bottom w:val="nil"/>
                    <w:right w:val="nil"/>
                  </w:tcBorders>
                  <w:shd w:val="clear" w:color="auto" w:fill="auto"/>
                  <w:noWrap/>
                  <w:vAlign w:val="bottom"/>
                  <w:hideMark/>
                </w:tcPr>
                <w:p w14:paraId="39804CF3"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1.4</w:t>
                  </w:r>
                </w:p>
              </w:tc>
              <w:tc>
                <w:tcPr>
                  <w:tcW w:w="363" w:type="pct"/>
                  <w:tcBorders>
                    <w:top w:val="nil"/>
                    <w:left w:val="nil"/>
                    <w:bottom w:val="nil"/>
                    <w:right w:val="nil"/>
                  </w:tcBorders>
                  <w:shd w:val="clear" w:color="auto" w:fill="auto"/>
                  <w:noWrap/>
                  <w:vAlign w:val="bottom"/>
                  <w:hideMark/>
                </w:tcPr>
                <w:p w14:paraId="0A14D508"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1.3</w:t>
                  </w:r>
                </w:p>
              </w:tc>
              <w:tc>
                <w:tcPr>
                  <w:tcW w:w="363" w:type="pct"/>
                  <w:tcBorders>
                    <w:top w:val="nil"/>
                    <w:left w:val="nil"/>
                    <w:bottom w:val="nil"/>
                    <w:right w:val="nil"/>
                  </w:tcBorders>
                  <w:shd w:val="clear" w:color="auto" w:fill="auto"/>
                  <w:noWrap/>
                  <w:vAlign w:val="bottom"/>
                  <w:hideMark/>
                </w:tcPr>
                <w:p w14:paraId="5C3D43B6"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2.3</w:t>
                  </w:r>
                </w:p>
              </w:tc>
              <w:tc>
                <w:tcPr>
                  <w:tcW w:w="362" w:type="pct"/>
                  <w:tcBorders>
                    <w:top w:val="nil"/>
                    <w:left w:val="nil"/>
                    <w:bottom w:val="nil"/>
                    <w:right w:val="nil"/>
                  </w:tcBorders>
                  <w:shd w:val="clear" w:color="auto" w:fill="auto"/>
                  <w:noWrap/>
                  <w:vAlign w:val="bottom"/>
                  <w:hideMark/>
                </w:tcPr>
                <w:p w14:paraId="355B729D"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2.8</w:t>
                  </w:r>
                </w:p>
              </w:tc>
              <w:tc>
                <w:tcPr>
                  <w:tcW w:w="363" w:type="pct"/>
                  <w:tcBorders>
                    <w:top w:val="nil"/>
                    <w:left w:val="nil"/>
                    <w:bottom w:val="nil"/>
                    <w:right w:val="nil"/>
                  </w:tcBorders>
                  <w:shd w:val="clear" w:color="auto" w:fill="auto"/>
                  <w:noWrap/>
                  <w:vAlign w:val="bottom"/>
                  <w:hideMark/>
                </w:tcPr>
                <w:p w14:paraId="1048AE2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2.6</w:t>
                  </w:r>
                </w:p>
              </w:tc>
              <w:tc>
                <w:tcPr>
                  <w:tcW w:w="363" w:type="pct"/>
                  <w:tcBorders>
                    <w:top w:val="nil"/>
                    <w:left w:val="nil"/>
                    <w:bottom w:val="nil"/>
                    <w:right w:val="nil"/>
                  </w:tcBorders>
                  <w:shd w:val="clear" w:color="auto" w:fill="auto"/>
                  <w:noWrap/>
                  <w:vAlign w:val="bottom"/>
                  <w:hideMark/>
                </w:tcPr>
                <w:p w14:paraId="4F4ED694"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2.4</w:t>
                  </w:r>
                </w:p>
              </w:tc>
              <w:tc>
                <w:tcPr>
                  <w:tcW w:w="364" w:type="pct"/>
                  <w:tcBorders>
                    <w:top w:val="nil"/>
                    <w:left w:val="nil"/>
                    <w:bottom w:val="nil"/>
                    <w:right w:val="single" w:sz="4" w:space="0" w:color="auto"/>
                  </w:tcBorders>
                  <w:shd w:val="clear" w:color="auto" w:fill="auto"/>
                  <w:noWrap/>
                  <w:vAlign w:val="bottom"/>
                  <w:hideMark/>
                </w:tcPr>
                <w:p w14:paraId="1E8ACAA1"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2.2</w:t>
                  </w:r>
                </w:p>
              </w:tc>
            </w:tr>
            <w:tr w:rsidR="000B17FB" w:rsidRPr="00B66802" w14:paraId="7EC82B6E"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16BFD940" w14:textId="72A8B8DC"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Unemployment rate (ILO definition)</w:t>
                  </w:r>
                </w:p>
              </w:tc>
              <w:tc>
                <w:tcPr>
                  <w:tcW w:w="362" w:type="pct"/>
                  <w:tcBorders>
                    <w:top w:val="nil"/>
                    <w:left w:val="nil"/>
                    <w:bottom w:val="nil"/>
                    <w:right w:val="nil"/>
                  </w:tcBorders>
                  <w:shd w:val="clear" w:color="auto" w:fill="auto"/>
                  <w:noWrap/>
                  <w:vAlign w:val="bottom"/>
                  <w:hideMark/>
                </w:tcPr>
                <w:p w14:paraId="58FE2D36"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1.3</w:t>
                  </w:r>
                </w:p>
              </w:tc>
              <w:tc>
                <w:tcPr>
                  <w:tcW w:w="363" w:type="pct"/>
                  <w:tcBorders>
                    <w:top w:val="nil"/>
                    <w:left w:val="nil"/>
                    <w:bottom w:val="nil"/>
                    <w:right w:val="nil"/>
                  </w:tcBorders>
                  <w:shd w:val="clear" w:color="auto" w:fill="auto"/>
                  <w:noWrap/>
                  <w:vAlign w:val="bottom"/>
                  <w:hideMark/>
                </w:tcPr>
                <w:p w14:paraId="2A195CF7"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1.4</w:t>
                  </w:r>
                </w:p>
              </w:tc>
              <w:tc>
                <w:tcPr>
                  <w:tcW w:w="363" w:type="pct"/>
                  <w:tcBorders>
                    <w:top w:val="nil"/>
                    <w:left w:val="nil"/>
                    <w:bottom w:val="nil"/>
                    <w:right w:val="nil"/>
                  </w:tcBorders>
                  <w:shd w:val="clear" w:color="auto" w:fill="auto"/>
                  <w:noWrap/>
                  <w:vAlign w:val="bottom"/>
                  <w:hideMark/>
                </w:tcPr>
                <w:p w14:paraId="2A103C3C"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1.8</w:t>
                  </w:r>
                </w:p>
              </w:tc>
              <w:tc>
                <w:tcPr>
                  <w:tcW w:w="362" w:type="pct"/>
                  <w:tcBorders>
                    <w:top w:val="nil"/>
                    <w:left w:val="nil"/>
                    <w:bottom w:val="nil"/>
                    <w:right w:val="nil"/>
                  </w:tcBorders>
                  <w:shd w:val="clear" w:color="auto" w:fill="auto"/>
                  <w:noWrap/>
                  <w:vAlign w:val="bottom"/>
                  <w:hideMark/>
                </w:tcPr>
                <w:p w14:paraId="4BE38EBB"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2.1</w:t>
                  </w:r>
                </w:p>
              </w:tc>
              <w:tc>
                <w:tcPr>
                  <w:tcW w:w="363" w:type="pct"/>
                  <w:tcBorders>
                    <w:top w:val="nil"/>
                    <w:left w:val="nil"/>
                    <w:bottom w:val="nil"/>
                    <w:right w:val="nil"/>
                  </w:tcBorders>
                  <w:shd w:val="clear" w:color="auto" w:fill="auto"/>
                  <w:noWrap/>
                  <w:vAlign w:val="bottom"/>
                  <w:hideMark/>
                </w:tcPr>
                <w:p w14:paraId="73E779F7"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w:t>
                  </w:r>
                </w:p>
              </w:tc>
              <w:tc>
                <w:tcPr>
                  <w:tcW w:w="363" w:type="pct"/>
                  <w:tcBorders>
                    <w:top w:val="nil"/>
                    <w:left w:val="nil"/>
                    <w:bottom w:val="nil"/>
                    <w:right w:val="nil"/>
                  </w:tcBorders>
                  <w:shd w:val="clear" w:color="auto" w:fill="auto"/>
                  <w:noWrap/>
                  <w:vAlign w:val="bottom"/>
                  <w:hideMark/>
                </w:tcPr>
                <w:p w14:paraId="123EF75D"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w:t>
                  </w:r>
                </w:p>
              </w:tc>
              <w:tc>
                <w:tcPr>
                  <w:tcW w:w="362" w:type="pct"/>
                  <w:tcBorders>
                    <w:top w:val="nil"/>
                    <w:left w:val="nil"/>
                    <w:bottom w:val="nil"/>
                    <w:right w:val="nil"/>
                  </w:tcBorders>
                  <w:shd w:val="clear" w:color="auto" w:fill="auto"/>
                  <w:noWrap/>
                  <w:vAlign w:val="bottom"/>
                  <w:hideMark/>
                </w:tcPr>
                <w:p w14:paraId="14A45D5D"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w:t>
                  </w:r>
                </w:p>
              </w:tc>
              <w:tc>
                <w:tcPr>
                  <w:tcW w:w="363" w:type="pct"/>
                  <w:tcBorders>
                    <w:top w:val="nil"/>
                    <w:left w:val="nil"/>
                    <w:bottom w:val="nil"/>
                    <w:right w:val="nil"/>
                  </w:tcBorders>
                  <w:shd w:val="clear" w:color="auto" w:fill="auto"/>
                  <w:noWrap/>
                  <w:vAlign w:val="bottom"/>
                  <w:hideMark/>
                </w:tcPr>
                <w:p w14:paraId="009E8391"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w:t>
                  </w:r>
                </w:p>
              </w:tc>
              <w:tc>
                <w:tcPr>
                  <w:tcW w:w="363" w:type="pct"/>
                  <w:tcBorders>
                    <w:top w:val="nil"/>
                    <w:left w:val="nil"/>
                    <w:bottom w:val="nil"/>
                    <w:right w:val="nil"/>
                  </w:tcBorders>
                  <w:shd w:val="clear" w:color="auto" w:fill="auto"/>
                  <w:noWrap/>
                  <w:vAlign w:val="bottom"/>
                  <w:hideMark/>
                </w:tcPr>
                <w:p w14:paraId="5C2A0FCA"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w:t>
                  </w:r>
                </w:p>
              </w:tc>
              <w:tc>
                <w:tcPr>
                  <w:tcW w:w="364" w:type="pct"/>
                  <w:tcBorders>
                    <w:top w:val="nil"/>
                    <w:left w:val="nil"/>
                    <w:bottom w:val="nil"/>
                    <w:right w:val="single" w:sz="4" w:space="0" w:color="auto"/>
                  </w:tcBorders>
                  <w:shd w:val="clear" w:color="auto" w:fill="auto"/>
                  <w:noWrap/>
                  <w:vAlign w:val="bottom"/>
                  <w:hideMark/>
                </w:tcPr>
                <w:p w14:paraId="54ACA87A"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w:t>
                  </w:r>
                </w:p>
              </w:tc>
            </w:tr>
            <w:tr w:rsidR="000B17FB" w:rsidRPr="00B66802" w14:paraId="2C544210"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6037165E"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GDP deflator (annual % change)</w:t>
                  </w:r>
                </w:p>
              </w:tc>
              <w:tc>
                <w:tcPr>
                  <w:tcW w:w="362" w:type="pct"/>
                  <w:tcBorders>
                    <w:top w:val="nil"/>
                    <w:left w:val="nil"/>
                    <w:bottom w:val="nil"/>
                    <w:right w:val="nil"/>
                  </w:tcBorders>
                  <w:shd w:val="clear" w:color="auto" w:fill="auto"/>
                  <w:noWrap/>
                  <w:vAlign w:val="center"/>
                  <w:hideMark/>
                </w:tcPr>
                <w:p w14:paraId="3C61F448"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5.1</w:t>
                  </w:r>
                </w:p>
              </w:tc>
              <w:tc>
                <w:tcPr>
                  <w:tcW w:w="363" w:type="pct"/>
                  <w:tcBorders>
                    <w:top w:val="nil"/>
                    <w:left w:val="nil"/>
                    <w:bottom w:val="nil"/>
                    <w:right w:val="nil"/>
                  </w:tcBorders>
                  <w:shd w:val="clear" w:color="auto" w:fill="auto"/>
                  <w:noWrap/>
                  <w:vAlign w:val="center"/>
                  <w:hideMark/>
                </w:tcPr>
                <w:p w14:paraId="14E549B9"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6.6</w:t>
                  </w:r>
                </w:p>
              </w:tc>
              <w:tc>
                <w:tcPr>
                  <w:tcW w:w="363" w:type="pct"/>
                  <w:tcBorders>
                    <w:top w:val="nil"/>
                    <w:left w:val="nil"/>
                    <w:bottom w:val="nil"/>
                    <w:right w:val="nil"/>
                  </w:tcBorders>
                  <w:shd w:val="clear" w:color="auto" w:fill="auto"/>
                  <w:noWrap/>
                  <w:vAlign w:val="center"/>
                  <w:hideMark/>
                </w:tcPr>
                <w:p w14:paraId="3B49F056"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7.6</w:t>
                  </w:r>
                </w:p>
              </w:tc>
              <w:tc>
                <w:tcPr>
                  <w:tcW w:w="362" w:type="pct"/>
                  <w:tcBorders>
                    <w:top w:val="nil"/>
                    <w:left w:val="nil"/>
                    <w:bottom w:val="nil"/>
                    <w:right w:val="nil"/>
                  </w:tcBorders>
                  <w:shd w:val="clear" w:color="auto" w:fill="auto"/>
                  <w:noWrap/>
                  <w:vAlign w:val="center"/>
                  <w:hideMark/>
                </w:tcPr>
                <w:p w14:paraId="1E95DA94"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6.7</w:t>
                  </w:r>
                </w:p>
              </w:tc>
              <w:tc>
                <w:tcPr>
                  <w:tcW w:w="363" w:type="pct"/>
                  <w:tcBorders>
                    <w:top w:val="nil"/>
                    <w:left w:val="nil"/>
                    <w:bottom w:val="nil"/>
                    <w:right w:val="nil"/>
                  </w:tcBorders>
                  <w:shd w:val="clear" w:color="auto" w:fill="auto"/>
                  <w:noWrap/>
                  <w:vAlign w:val="center"/>
                  <w:hideMark/>
                </w:tcPr>
                <w:p w14:paraId="75EF103E"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8.1</w:t>
                  </w:r>
                </w:p>
              </w:tc>
              <w:tc>
                <w:tcPr>
                  <w:tcW w:w="363" w:type="pct"/>
                  <w:tcBorders>
                    <w:top w:val="nil"/>
                    <w:left w:val="nil"/>
                    <w:bottom w:val="nil"/>
                    <w:right w:val="nil"/>
                  </w:tcBorders>
                  <w:shd w:val="clear" w:color="auto" w:fill="auto"/>
                  <w:noWrap/>
                  <w:vAlign w:val="center"/>
                  <w:hideMark/>
                </w:tcPr>
                <w:p w14:paraId="6F4F085E"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7.8</w:t>
                  </w:r>
                </w:p>
              </w:tc>
              <w:tc>
                <w:tcPr>
                  <w:tcW w:w="362" w:type="pct"/>
                  <w:tcBorders>
                    <w:top w:val="nil"/>
                    <w:left w:val="nil"/>
                    <w:bottom w:val="nil"/>
                    <w:right w:val="nil"/>
                  </w:tcBorders>
                  <w:shd w:val="clear" w:color="auto" w:fill="auto"/>
                  <w:noWrap/>
                  <w:vAlign w:val="center"/>
                  <w:hideMark/>
                </w:tcPr>
                <w:p w14:paraId="4600E314"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6.8</w:t>
                  </w:r>
                </w:p>
              </w:tc>
              <w:tc>
                <w:tcPr>
                  <w:tcW w:w="363" w:type="pct"/>
                  <w:tcBorders>
                    <w:top w:val="nil"/>
                    <w:left w:val="nil"/>
                    <w:bottom w:val="nil"/>
                    <w:right w:val="nil"/>
                  </w:tcBorders>
                  <w:shd w:val="clear" w:color="auto" w:fill="auto"/>
                  <w:noWrap/>
                  <w:vAlign w:val="center"/>
                  <w:hideMark/>
                </w:tcPr>
                <w:p w14:paraId="2B144385"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6.1</w:t>
                  </w:r>
                </w:p>
              </w:tc>
              <w:tc>
                <w:tcPr>
                  <w:tcW w:w="363" w:type="pct"/>
                  <w:tcBorders>
                    <w:top w:val="nil"/>
                    <w:left w:val="nil"/>
                    <w:bottom w:val="nil"/>
                    <w:right w:val="nil"/>
                  </w:tcBorders>
                  <w:shd w:val="clear" w:color="auto" w:fill="auto"/>
                  <w:noWrap/>
                  <w:vAlign w:val="center"/>
                  <w:hideMark/>
                </w:tcPr>
                <w:p w14:paraId="436F0335"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5.5</w:t>
                  </w:r>
                </w:p>
              </w:tc>
              <w:tc>
                <w:tcPr>
                  <w:tcW w:w="364" w:type="pct"/>
                  <w:tcBorders>
                    <w:top w:val="nil"/>
                    <w:left w:val="nil"/>
                    <w:bottom w:val="nil"/>
                    <w:right w:val="single" w:sz="4" w:space="0" w:color="auto"/>
                  </w:tcBorders>
                  <w:shd w:val="clear" w:color="auto" w:fill="auto"/>
                  <w:noWrap/>
                  <w:vAlign w:val="center"/>
                  <w:hideMark/>
                </w:tcPr>
                <w:p w14:paraId="14DAE372" w14:textId="77777777" w:rsidR="000B17FB" w:rsidRPr="00F062BB" w:rsidRDefault="000B17FB" w:rsidP="000B17FB">
                  <w:pPr>
                    <w:spacing w:after="0" w:line="240" w:lineRule="auto"/>
                    <w:jc w:val="right"/>
                    <w:rPr>
                      <w:rFonts w:asciiTheme="minorHAnsi" w:eastAsia="Times New Roman" w:hAnsiTheme="minorHAnsi" w:cstheme="minorHAnsi"/>
                      <w:color w:val="000000"/>
                      <w:sz w:val="16"/>
                      <w:szCs w:val="16"/>
                    </w:rPr>
                  </w:pPr>
                  <w:r w:rsidRPr="00F062BB">
                    <w:rPr>
                      <w:rFonts w:asciiTheme="minorHAnsi" w:eastAsia="Times New Roman" w:hAnsiTheme="minorHAnsi" w:cstheme="minorHAnsi"/>
                      <w:color w:val="000000"/>
                      <w:sz w:val="16"/>
                      <w:szCs w:val="16"/>
                    </w:rPr>
                    <w:t>5.2</w:t>
                  </w:r>
                </w:p>
              </w:tc>
            </w:tr>
            <w:tr w:rsidR="000B17FB" w:rsidRPr="00B66802" w14:paraId="4F8E1F8A"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37773BC0"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Inflation, consumer prices (annual %, end of year)</w:t>
                  </w:r>
                </w:p>
              </w:tc>
              <w:tc>
                <w:tcPr>
                  <w:tcW w:w="362" w:type="pct"/>
                  <w:tcBorders>
                    <w:top w:val="nil"/>
                    <w:left w:val="nil"/>
                    <w:bottom w:val="nil"/>
                    <w:right w:val="nil"/>
                  </w:tcBorders>
                  <w:shd w:val="clear" w:color="auto" w:fill="auto"/>
                  <w:noWrap/>
                  <w:vAlign w:val="bottom"/>
                  <w:hideMark/>
                </w:tcPr>
                <w:p w14:paraId="743C09B7"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6.3</w:t>
                  </w:r>
                </w:p>
              </w:tc>
              <w:tc>
                <w:tcPr>
                  <w:tcW w:w="363" w:type="pct"/>
                  <w:tcBorders>
                    <w:top w:val="nil"/>
                    <w:left w:val="nil"/>
                    <w:bottom w:val="nil"/>
                    <w:right w:val="nil"/>
                  </w:tcBorders>
                  <w:shd w:val="clear" w:color="auto" w:fill="auto"/>
                  <w:noWrap/>
                  <w:vAlign w:val="bottom"/>
                  <w:hideMark/>
                </w:tcPr>
                <w:p w14:paraId="3E4DB0EF"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6.0</w:t>
                  </w:r>
                </w:p>
              </w:tc>
              <w:tc>
                <w:tcPr>
                  <w:tcW w:w="363" w:type="pct"/>
                  <w:tcBorders>
                    <w:top w:val="nil"/>
                    <w:left w:val="nil"/>
                    <w:bottom w:val="nil"/>
                    <w:right w:val="nil"/>
                  </w:tcBorders>
                  <w:shd w:val="clear" w:color="auto" w:fill="auto"/>
                  <w:noWrap/>
                  <w:vAlign w:val="bottom"/>
                  <w:hideMark/>
                </w:tcPr>
                <w:p w14:paraId="4589999D"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7.6</w:t>
                  </w:r>
                </w:p>
              </w:tc>
              <w:tc>
                <w:tcPr>
                  <w:tcW w:w="362" w:type="pct"/>
                  <w:tcBorders>
                    <w:top w:val="nil"/>
                    <w:left w:val="nil"/>
                    <w:bottom w:val="nil"/>
                    <w:right w:val="nil"/>
                  </w:tcBorders>
                  <w:shd w:val="clear" w:color="auto" w:fill="auto"/>
                  <w:noWrap/>
                  <w:vAlign w:val="bottom"/>
                  <w:hideMark/>
                </w:tcPr>
                <w:p w14:paraId="4AD6FF3D"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7.0</w:t>
                  </w:r>
                </w:p>
              </w:tc>
              <w:tc>
                <w:tcPr>
                  <w:tcW w:w="363" w:type="pct"/>
                  <w:tcBorders>
                    <w:top w:val="nil"/>
                    <w:left w:val="nil"/>
                    <w:bottom w:val="nil"/>
                    <w:right w:val="nil"/>
                  </w:tcBorders>
                  <w:shd w:val="clear" w:color="auto" w:fill="auto"/>
                  <w:noWrap/>
                  <w:vAlign w:val="bottom"/>
                  <w:hideMark/>
                </w:tcPr>
                <w:p w14:paraId="350AB3E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8.0</w:t>
                  </w:r>
                </w:p>
              </w:tc>
              <w:tc>
                <w:tcPr>
                  <w:tcW w:w="363" w:type="pct"/>
                  <w:tcBorders>
                    <w:top w:val="nil"/>
                    <w:left w:val="nil"/>
                    <w:bottom w:val="nil"/>
                    <w:right w:val="nil"/>
                  </w:tcBorders>
                  <w:shd w:val="clear" w:color="auto" w:fill="auto"/>
                  <w:noWrap/>
                  <w:vAlign w:val="bottom"/>
                  <w:hideMark/>
                </w:tcPr>
                <w:p w14:paraId="76A3AE14"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7.9</w:t>
                  </w:r>
                </w:p>
              </w:tc>
              <w:tc>
                <w:tcPr>
                  <w:tcW w:w="362" w:type="pct"/>
                  <w:tcBorders>
                    <w:top w:val="nil"/>
                    <w:left w:val="nil"/>
                    <w:bottom w:val="nil"/>
                    <w:right w:val="nil"/>
                  </w:tcBorders>
                  <w:shd w:val="clear" w:color="auto" w:fill="auto"/>
                  <w:noWrap/>
                  <w:vAlign w:val="bottom"/>
                  <w:hideMark/>
                </w:tcPr>
                <w:p w14:paraId="005A3253"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6.2</w:t>
                  </w:r>
                </w:p>
              </w:tc>
              <w:tc>
                <w:tcPr>
                  <w:tcW w:w="363" w:type="pct"/>
                  <w:tcBorders>
                    <w:top w:val="nil"/>
                    <w:left w:val="nil"/>
                    <w:bottom w:val="nil"/>
                    <w:right w:val="nil"/>
                  </w:tcBorders>
                  <w:shd w:val="clear" w:color="auto" w:fill="auto"/>
                  <w:noWrap/>
                  <w:vAlign w:val="bottom"/>
                  <w:hideMark/>
                </w:tcPr>
                <w:p w14:paraId="1F4953C6"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5.7</w:t>
                  </w:r>
                </w:p>
              </w:tc>
              <w:tc>
                <w:tcPr>
                  <w:tcW w:w="363" w:type="pct"/>
                  <w:tcBorders>
                    <w:top w:val="nil"/>
                    <w:left w:val="nil"/>
                    <w:bottom w:val="nil"/>
                    <w:right w:val="nil"/>
                  </w:tcBorders>
                  <w:shd w:val="clear" w:color="auto" w:fill="auto"/>
                  <w:noWrap/>
                  <w:vAlign w:val="bottom"/>
                  <w:hideMark/>
                </w:tcPr>
                <w:p w14:paraId="5B1FA08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5.4</w:t>
                  </w:r>
                </w:p>
              </w:tc>
              <w:tc>
                <w:tcPr>
                  <w:tcW w:w="364" w:type="pct"/>
                  <w:tcBorders>
                    <w:top w:val="nil"/>
                    <w:left w:val="nil"/>
                    <w:bottom w:val="nil"/>
                    <w:right w:val="single" w:sz="4" w:space="0" w:color="auto"/>
                  </w:tcBorders>
                  <w:shd w:val="clear" w:color="auto" w:fill="auto"/>
                  <w:noWrap/>
                  <w:vAlign w:val="bottom"/>
                  <w:hideMark/>
                </w:tcPr>
                <w:p w14:paraId="675F56B4"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5.0</w:t>
                  </w:r>
                </w:p>
              </w:tc>
            </w:tr>
            <w:tr w:rsidR="000B17FB" w:rsidRPr="00B66802" w14:paraId="07D71E7F"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1A5CDD68"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c>
                <w:tcPr>
                  <w:tcW w:w="362" w:type="pct"/>
                  <w:tcBorders>
                    <w:top w:val="nil"/>
                    <w:left w:val="nil"/>
                    <w:bottom w:val="nil"/>
                    <w:right w:val="nil"/>
                  </w:tcBorders>
                  <w:shd w:val="clear" w:color="auto" w:fill="auto"/>
                  <w:noWrap/>
                  <w:vAlign w:val="bottom"/>
                  <w:hideMark/>
                </w:tcPr>
                <w:p w14:paraId="77A6A450"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4EFA807B"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7B1FCC6A"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2" w:type="pct"/>
                  <w:tcBorders>
                    <w:top w:val="nil"/>
                    <w:left w:val="nil"/>
                    <w:bottom w:val="nil"/>
                    <w:right w:val="nil"/>
                  </w:tcBorders>
                  <w:shd w:val="clear" w:color="auto" w:fill="auto"/>
                  <w:noWrap/>
                  <w:vAlign w:val="bottom"/>
                  <w:hideMark/>
                </w:tcPr>
                <w:p w14:paraId="0DF207A1"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191B6E8D"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4C6CE081"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2" w:type="pct"/>
                  <w:tcBorders>
                    <w:top w:val="nil"/>
                    <w:left w:val="nil"/>
                    <w:bottom w:val="nil"/>
                    <w:right w:val="nil"/>
                  </w:tcBorders>
                  <w:shd w:val="clear" w:color="auto" w:fill="auto"/>
                  <w:noWrap/>
                  <w:vAlign w:val="bottom"/>
                  <w:hideMark/>
                </w:tcPr>
                <w:p w14:paraId="07ED8112"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3D7D389A"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07F1341B"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4" w:type="pct"/>
                  <w:tcBorders>
                    <w:top w:val="nil"/>
                    <w:left w:val="nil"/>
                    <w:bottom w:val="nil"/>
                    <w:right w:val="single" w:sz="4" w:space="0" w:color="auto"/>
                  </w:tcBorders>
                  <w:shd w:val="clear" w:color="auto" w:fill="auto"/>
                  <w:noWrap/>
                  <w:vAlign w:val="bottom"/>
                  <w:hideMark/>
                </w:tcPr>
                <w:p w14:paraId="4B68A036"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r>
            <w:tr w:rsidR="000B17FB" w:rsidRPr="00B66802" w14:paraId="4857FEAF"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62B9B0AC" w14:textId="77777777" w:rsidR="000B17FB" w:rsidRPr="00F062BB" w:rsidRDefault="000B17FB" w:rsidP="000B17FB">
                  <w:pPr>
                    <w:spacing w:after="0" w:line="240" w:lineRule="auto"/>
                    <w:rPr>
                      <w:rFonts w:asciiTheme="minorHAnsi" w:eastAsia="Times New Roman" w:hAnsiTheme="minorHAnsi" w:cstheme="minorHAnsi"/>
                      <w:b/>
                      <w:bCs/>
                      <w:i/>
                      <w:iCs/>
                      <w:sz w:val="16"/>
                      <w:szCs w:val="16"/>
                    </w:rPr>
                  </w:pPr>
                  <w:r w:rsidRPr="00F062BB">
                    <w:rPr>
                      <w:rFonts w:asciiTheme="minorHAnsi" w:eastAsia="Times New Roman" w:hAnsiTheme="minorHAnsi" w:cstheme="minorHAnsi"/>
                      <w:b/>
                      <w:bCs/>
                      <w:i/>
                      <w:iCs/>
                      <w:sz w:val="16"/>
                      <w:szCs w:val="16"/>
                    </w:rPr>
                    <w:t>Public Finance (%GDP)</w:t>
                  </w:r>
                </w:p>
              </w:tc>
              <w:tc>
                <w:tcPr>
                  <w:tcW w:w="362" w:type="pct"/>
                  <w:tcBorders>
                    <w:top w:val="nil"/>
                    <w:left w:val="nil"/>
                    <w:bottom w:val="nil"/>
                    <w:right w:val="nil"/>
                  </w:tcBorders>
                  <w:shd w:val="clear" w:color="auto" w:fill="auto"/>
                  <w:noWrap/>
                  <w:vAlign w:val="bottom"/>
                  <w:hideMark/>
                </w:tcPr>
                <w:p w14:paraId="08BB9BB7" w14:textId="77777777" w:rsidR="000B17FB" w:rsidRPr="00F062BB" w:rsidRDefault="000B17FB" w:rsidP="000B17FB">
                  <w:pPr>
                    <w:spacing w:after="0" w:line="240" w:lineRule="auto"/>
                    <w:rPr>
                      <w:rFonts w:asciiTheme="minorHAnsi" w:eastAsia="Times New Roman" w:hAnsiTheme="minorHAnsi" w:cstheme="minorHAnsi"/>
                      <w:b/>
                      <w:bCs/>
                      <w:i/>
                      <w:iCs/>
                      <w:sz w:val="16"/>
                      <w:szCs w:val="16"/>
                    </w:rPr>
                  </w:pPr>
                </w:p>
              </w:tc>
              <w:tc>
                <w:tcPr>
                  <w:tcW w:w="363" w:type="pct"/>
                  <w:tcBorders>
                    <w:top w:val="nil"/>
                    <w:left w:val="nil"/>
                    <w:bottom w:val="nil"/>
                    <w:right w:val="nil"/>
                  </w:tcBorders>
                  <w:shd w:val="clear" w:color="auto" w:fill="auto"/>
                  <w:noWrap/>
                  <w:vAlign w:val="bottom"/>
                  <w:hideMark/>
                </w:tcPr>
                <w:p w14:paraId="20517E2B"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7162046B"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2" w:type="pct"/>
                  <w:tcBorders>
                    <w:top w:val="nil"/>
                    <w:left w:val="nil"/>
                    <w:bottom w:val="nil"/>
                    <w:right w:val="nil"/>
                  </w:tcBorders>
                  <w:shd w:val="clear" w:color="auto" w:fill="auto"/>
                  <w:noWrap/>
                  <w:vAlign w:val="bottom"/>
                  <w:hideMark/>
                </w:tcPr>
                <w:p w14:paraId="5850840A"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23E6678D"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591F3F9F"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2" w:type="pct"/>
                  <w:tcBorders>
                    <w:top w:val="nil"/>
                    <w:left w:val="nil"/>
                    <w:bottom w:val="nil"/>
                    <w:right w:val="nil"/>
                  </w:tcBorders>
                  <w:shd w:val="clear" w:color="auto" w:fill="auto"/>
                  <w:noWrap/>
                  <w:vAlign w:val="bottom"/>
                  <w:hideMark/>
                </w:tcPr>
                <w:p w14:paraId="1ED8A7D5"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78AB4D86"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5ECA01E4"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4" w:type="pct"/>
                  <w:tcBorders>
                    <w:top w:val="nil"/>
                    <w:left w:val="nil"/>
                    <w:bottom w:val="nil"/>
                    <w:right w:val="single" w:sz="4" w:space="0" w:color="auto"/>
                  </w:tcBorders>
                  <w:shd w:val="clear" w:color="auto" w:fill="auto"/>
                  <w:noWrap/>
                  <w:vAlign w:val="bottom"/>
                  <w:hideMark/>
                </w:tcPr>
                <w:p w14:paraId="06B77D8B"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r>
            <w:tr w:rsidR="000B17FB" w:rsidRPr="00B66802" w14:paraId="7F9EFA68"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72D25A76"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Revenues, excluding Grants</w:t>
                  </w:r>
                </w:p>
              </w:tc>
              <w:tc>
                <w:tcPr>
                  <w:tcW w:w="362" w:type="pct"/>
                  <w:tcBorders>
                    <w:top w:val="nil"/>
                    <w:left w:val="nil"/>
                    <w:bottom w:val="nil"/>
                    <w:right w:val="nil"/>
                  </w:tcBorders>
                  <w:shd w:val="clear" w:color="auto" w:fill="auto"/>
                  <w:noWrap/>
                  <w:vAlign w:val="bottom"/>
                  <w:hideMark/>
                </w:tcPr>
                <w:p w14:paraId="0AE5475F"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9.6</w:t>
                  </w:r>
                </w:p>
              </w:tc>
              <w:tc>
                <w:tcPr>
                  <w:tcW w:w="363" w:type="pct"/>
                  <w:tcBorders>
                    <w:top w:val="nil"/>
                    <w:left w:val="nil"/>
                    <w:bottom w:val="nil"/>
                    <w:right w:val="nil"/>
                  </w:tcBorders>
                  <w:shd w:val="clear" w:color="auto" w:fill="auto"/>
                  <w:noWrap/>
                  <w:vAlign w:val="bottom"/>
                  <w:hideMark/>
                </w:tcPr>
                <w:p w14:paraId="18EFCD93"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10.1</w:t>
                  </w:r>
                </w:p>
              </w:tc>
              <w:tc>
                <w:tcPr>
                  <w:tcW w:w="363" w:type="pct"/>
                  <w:tcBorders>
                    <w:top w:val="nil"/>
                    <w:left w:val="nil"/>
                    <w:bottom w:val="nil"/>
                    <w:right w:val="nil"/>
                  </w:tcBorders>
                  <w:shd w:val="clear" w:color="auto" w:fill="auto"/>
                  <w:noWrap/>
                  <w:vAlign w:val="bottom"/>
                  <w:hideMark/>
                </w:tcPr>
                <w:p w14:paraId="42AE2D8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10.4</w:t>
                  </w:r>
                </w:p>
              </w:tc>
              <w:tc>
                <w:tcPr>
                  <w:tcW w:w="362" w:type="pct"/>
                  <w:tcBorders>
                    <w:top w:val="nil"/>
                    <w:left w:val="nil"/>
                    <w:bottom w:val="nil"/>
                    <w:right w:val="nil"/>
                  </w:tcBorders>
                  <w:shd w:val="clear" w:color="auto" w:fill="auto"/>
                  <w:noWrap/>
                  <w:vAlign w:val="bottom"/>
                  <w:hideMark/>
                </w:tcPr>
                <w:p w14:paraId="2F14BB67"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11.2</w:t>
                  </w:r>
                </w:p>
              </w:tc>
              <w:tc>
                <w:tcPr>
                  <w:tcW w:w="363" w:type="pct"/>
                  <w:tcBorders>
                    <w:top w:val="nil"/>
                    <w:left w:val="nil"/>
                    <w:bottom w:val="nil"/>
                    <w:right w:val="nil"/>
                  </w:tcBorders>
                  <w:shd w:val="clear" w:color="auto" w:fill="auto"/>
                  <w:noWrap/>
                  <w:vAlign w:val="bottom"/>
                  <w:hideMark/>
                </w:tcPr>
                <w:p w14:paraId="49663CD4"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11.7</w:t>
                  </w:r>
                </w:p>
              </w:tc>
              <w:tc>
                <w:tcPr>
                  <w:tcW w:w="363" w:type="pct"/>
                  <w:tcBorders>
                    <w:top w:val="nil"/>
                    <w:left w:val="nil"/>
                    <w:bottom w:val="nil"/>
                    <w:right w:val="nil"/>
                  </w:tcBorders>
                  <w:shd w:val="clear" w:color="auto" w:fill="auto"/>
                  <w:noWrap/>
                  <w:vAlign w:val="bottom"/>
                  <w:hideMark/>
                </w:tcPr>
                <w:p w14:paraId="723865C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12.1</w:t>
                  </w:r>
                </w:p>
              </w:tc>
              <w:tc>
                <w:tcPr>
                  <w:tcW w:w="362" w:type="pct"/>
                  <w:tcBorders>
                    <w:top w:val="nil"/>
                    <w:left w:val="nil"/>
                    <w:bottom w:val="nil"/>
                    <w:right w:val="nil"/>
                  </w:tcBorders>
                  <w:shd w:val="clear" w:color="auto" w:fill="auto"/>
                  <w:noWrap/>
                  <w:vAlign w:val="bottom"/>
                  <w:hideMark/>
                </w:tcPr>
                <w:p w14:paraId="78A4AE05"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12.1</w:t>
                  </w:r>
                </w:p>
              </w:tc>
              <w:tc>
                <w:tcPr>
                  <w:tcW w:w="363" w:type="pct"/>
                  <w:tcBorders>
                    <w:top w:val="nil"/>
                    <w:left w:val="nil"/>
                    <w:bottom w:val="nil"/>
                    <w:right w:val="nil"/>
                  </w:tcBorders>
                  <w:shd w:val="clear" w:color="auto" w:fill="auto"/>
                  <w:noWrap/>
                  <w:vAlign w:val="bottom"/>
                  <w:hideMark/>
                </w:tcPr>
                <w:p w14:paraId="60B50168"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12.5</w:t>
                  </w:r>
                </w:p>
              </w:tc>
              <w:tc>
                <w:tcPr>
                  <w:tcW w:w="363" w:type="pct"/>
                  <w:tcBorders>
                    <w:top w:val="nil"/>
                    <w:left w:val="nil"/>
                    <w:bottom w:val="nil"/>
                    <w:right w:val="nil"/>
                  </w:tcBorders>
                  <w:shd w:val="clear" w:color="auto" w:fill="auto"/>
                  <w:noWrap/>
                  <w:vAlign w:val="bottom"/>
                  <w:hideMark/>
                </w:tcPr>
                <w:p w14:paraId="1B03DBE9"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13.0</w:t>
                  </w:r>
                </w:p>
              </w:tc>
              <w:tc>
                <w:tcPr>
                  <w:tcW w:w="364" w:type="pct"/>
                  <w:tcBorders>
                    <w:top w:val="nil"/>
                    <w:left w:val="nil"/>
                    <w:bottom w:val="nil"/>
                    <w:right w:val="single" w:sz="4" w:space="0" w:color="auto"/>
                  </w:tcBorders>
                  <w:shd w:val="clear" w:color="auto" w:fill="auto"/>
                  <w:noWrap/>
                  <w:vAlign w:val="bottom"/>
                  <w:hideMark/>
                </w:tcPr>
                <w:p w14:paraId="7E18270C"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13.3</w:t>
                  </w:r>
                </w:p>
              </w:tc>
            </w:tr>
            <w:tr w:rsidR="000B17FB" w:rsidRPr="00B66802" w14:paraId="6196D7D4"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10F95C26" w14:textId="77777777" w:rsidR="000B17FB" w:rsidRPr="00F062BB" w:rsidRDefault="000B17FB" w:rsidP="000B17FB">
                  <w:pPr>
                    <w:spacing w:after="0" w:line="240" w:lineRule="auto"/>
                    <w:ind w:firstLineChars="200" w:firstLine="162"/>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o/w:Tax Revenues</w:t>
                  </w:r>
                </w:p>
              </w:tc>
              <w:tc>
                <w:tcPr>
                  <w:tcW w:w="362" w:type="pct"/>
                  <w:tcBorders>
                    <w:top w:val="nil"/>
                    <w:left w:val="nil"/>
                    <w:bottom w:val="nil"/>
                    <w:right w:val="nil"/>
                  </w:tcBorders>
                  <w:shd w:val="clear" w:color="auto" w:fill="auto"/>
                  <w:noWrap/>
                  <w:vAlign w:val="bottom"/>
                  <w:hideMark/>
                </w:tcPr>
                <w:p w14:paraId="4950D4BA"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9.3</w:t>
                  </w:r>
                </w:p>
              </w:tc>
              <w:tc>
                <w:tcPr>
                  <w:tcW w:w="363" w:type="pct"/>
                  <w:tcBorders>
                    <w:top w:val="nil"/>
                    <w:left w:val="nil"/>
                    <w:bottom w:val="nil"/>
                    <w:right w:val="nil"/>
                  </w:tcBorders>
                  <w:shd w:val="clear" w:color="auto" w:fill="auto"/>
                  <w:noWrap/>
                  <w:vAlign w:val="bottom"/>
                  <w:hideMark/>
                </w:tcPr>
                <w:p w14:paraId="3CFDC2E1"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9.9</w:t>
                  </w:r>
                </w:p>
              </w:tc>
              <w:tc>
                <w:tcPr>
                  <w:tcW w:w="363" w:type="pct"/>
                  <w:tcBorders>
                    <w:top w:val="nil"/>
                    <w:left w:val="nil"/>
                    <w:bottom w:val="nil"/>
                    <w:right w:val="nil"/>
                  </w:tcBorders>
                  <w:shd w:val="clear" w:color="auto" w:fill="auto"/>
                  <w:noWrap/>
                  <w:vAlign w:val="bottom"/>
                  <w:hideMark/>
                </w:tcPr>
                <w:p w14:paraId="6E2A0D6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10.1</w:t>
                  </w:r>
                </w:p>
              </w:tc>
              <w:tc>
                <w:tcPr>
                  <w:tcW w:w="362" w:type="pct"/>
                  <w:tcBorders>
                    <w:top w:val="nil"/>
                    <w:left w:val="nil"/>
                    <w:bottom w:val="nil"/>
                    <w:right w:val="nil"/>
                  </w:tcBorders>
                  <w:shd w:val="clear" w:color="auto" w:fill="auto"/>
                  <w:noWrap/>
                  <w:vAlign w:val="bottom"/>
                  <w:hideMark/>
                </w:tcPr>
                <w:p w14:paraId="5E4FFB55"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10.9</w:t>
                  </w:r>
                </w:p>
              </w:tc>
              <w:tc>
                <w:tcPr>
                  <w:tcW w:w="363" w:type="pct"/>
                  <w:tcBorders>
                    <w:top w:val="nil"/>
                    <w:left w:val="nil"/>
                    <w:bottom w:val="nil"/>
                    <w:right w:val="nil"/>
                  </w:tcBorders>
                  <w:shd w:val="clear" w:color="auto" w:fill="auto"/>
                  <w:noWrap/>
                  <w:vAlign w:val="bottom"/>
                  <w:hideMark/>
                </w:tcPr>
                <w:p w14:paraId="3D69D59A"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11.4</w:t>
                  </w:r>
                </w:p>
              </w:tc>
              <w:tc>
                <w:tcPr>
                  <w:tcW w:w="363" w:type="pct"/>
                  <w:tcBorders>
                    <w:top w:val="nil"/>
                    <w:left w:val="nil"/>
                    <w:bottom w:val="nil"/>
                    <w:right w:val="nil"/>
                  </w:tcBorders>
                  <w:shd w:val="clear" w:color="auto" w:fill="auto"/>
                  <w:noWrap/>
                  <w:vAlign w:val="bottom"/>
                  <w:hideMark/>
                </w:tcPr>
                <w:p w14:paraId="20345A1A"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11.9</w:t>
                  </w:r>
                </w:p>
              </w:tc>
              <w:tc>
                <w:tcPr>
                  <w:tcW w:w="362" w:type="pct"/>
                  <w:tcBorders>
                    <w:top w:val="nil"/>
                    <w:left w:val="nil"/>
                    <w:bottom w:val="nil"/>
                    <w:right w:val="nil"/>
                  </w:tcBorders>
                  <w:shd w:val="clear" w:color="auto" w:fill="auto"/>
                  <w:noWrap/>
                  <w:vAlign w:val="bottom"/>
                  <w:hideMark/>
                </w:tcPr>
                <w:p w14:paraId="1371532B"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11.9</w:t>
                  </w:r>
                </w:p>
              </w:tc>
              <w:tc>
                <w:tcPr>
                  <w:tcW w:w="363" w:type="pct"/>
                  <w:tcBorders>
                    <w:top w:val="nil"/>
                    <w:left w:val="nil"/>
                    <w:bottom w:val="nil"/>
                    <w:right w:val="nil"/>
                  </w:tcBorders>
                  <w:shd w:val="clear" w:color="auto" w:fill="auto"/>
                  <w:noWrap/>
                  <w:vAlign w:val="bottom"/>
                  <w:hideMark/>
                </w:tcPr>
                <w:p w14:paraId="7D90432D"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12.3</w:t>
                  </w:r>
                </w:p>
              </w:tc>
              <w:tc>
                <w:tcPr>
                  <w:tcW w:w="363" w:type="pct"/>
                  <w:tcBorders>
                    <w:top w:val="nil"/>
                    <w:left w:val="nil"/>
                    <w:bottom w:val="nil"/>
                    <w:right w:val="nil"/>
                  </w:tcBorders>
                  <w:shd w:val="clear" w:color="auto" w:fill="auto"/>
                  <w:noWrap/>
                  <w:vAlign w:val="bottom"/>
                  <w:hideMark/>
                </w:tcPr>
                <w:p w14:paraId="226E1C25"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12.8</w:t>
                  </w:r>
                </w:p>
              </w:tc>
              <w:tc>
                <w:tcPr>
                  <w:tcW w:w="364" w:type="pct"/>
                  <w:tcBorders>
                    <w:top w:val="nil"/>
                    <w:left w:val="nil"/>
                    <w:bottom w:val="nil"/>
                    <w:right w:val="single" w:sz="4" w:space="0" w:color="auto"/>
                  </w:tcBorders>
                  <w:shd w:val="clear" w:color="auto" w:fill="auto"/>
                  <w:noWrap/>
                  <w:vAlign w:val="bottom"/>
                  <w:hideMark/>
                </w:tcPr>
                <w:p w14:paraId="753A8896"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13.1</w:t>
                  </w:r>
                </w:p>
              </w:tc>
            </w:tr>
            <w:tr w:rsidR="000B17FB" w:rsidRPr="00B66802" w14:paraId="0B94E4CC"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72E2CB3C"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Grants</w:t>
                  </w:r>
                </w:p>
              </w:tc>
              <w:tc>
                <w:tcPr>
                  <w:tcW w:w="362" w:type="pct"/>
                  <w:tcBorders>
                    <w:top w:val="nil"/>
                    <w:left w:val="nil"/>
                    <w:bottom w:val="nil"/>
                    <w:right w:val="nil"/>
                  </w:tcBorders>
                  <w:shd w:val="clear" w:color="auto" w:fill="auto"/>
                  <w:noWrap/>
                  <w:vAlign w:val="bottom"/>
                  <w:hideMark/>
                </w:tcPr>
                <w:p w14:paraId="019BBA3B"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1.3</w:t>
                  </w:r>
                </w:p>
              </w:tc>
              <w:tc>
                <w:tcPr>
                  <w:tcW w:w="363" w:type="pct"/>
                  <w:tcBorders>
                    <w:top w:val="nil"/>
                    <w:left w:val="nil"/>
                    <w:bottom w:val="nil"/>
                    <w:right w:val="nil"/>
                  </w:tcBorders>
                  <w:shd w:val="clear" w:color="auto" w:fill="auto"/>
                  <w:noWrap/>
                  <w:vAlign w:val="bottom"/>
                  <w:hideMark/>
                </w:tcPr>
                <w:p w14:paraId="4E441F9B"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2.3</w:t>
                  </w:r>
                </w:p>
              </w:tc>
              <w:tc>
                <w:tcPr>
                  <w:tcW w:w="363" w:type="pct"/>
                  <w:tcBorders>
                    <w:top w:val="nil"/>
                    <w:left w:val="nil"/>
                    <w:bottom w:val="nil"/>
                    <w:right w:val="nil"/>
                  </w:tcBorders>
                  <w:shd w:val="clear" w:color="auto" w:fill="auto"/>
                  <w:noWrap/>
                  <w:vAlign w:val="bottom"/>
                  <w:hideMark/>
                </w:tcPr>
                <w:p w14:paraId="267D63AA"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1.5</w:t>
                  </w:r>
                </w:p>
              </w:tc>
              <w:tc>
                <w:tcPr>
                  <w:tcW w:w="362" w:type="pct"/>
                  <w:tcBorders>
                    <w:top w:val="nil"/>
                    <w:left w:val="nil"/>
                    <w:bottom w:val="nil"/>
                    <w:right w:val="nil"/>
                  </w:tcBorders>
                  <w:shd w:val="clear" w:color="auto" w:fill="auto"/>
                  <w:noWrap/>
                  <w:vAlign w:val="bottom"/>
                  <w:hideMark/>
                </w:tcPr>
                <w:p w14:paraId="33653458"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3.5</w:t>
                  </w:r>
                </w:p>
              </w:tc>
              <w:tc>
                <w:tcPr>
                  <w:tcW w:w="363" w:type="pct"/>
                  <w:tcBorders>
                    <w:top w:val="nil"/>
                    <w:left w:val="nil"/>
                    <w:bottom w:val="nil"/>
                    <w:right w:val="nil"/>
                  </w:tcBorders>
                  <w:shd w:val="clear" w:color="auto" w:fill="auto"/>
                  <w:noWrap/>
                  <w:vAlign w:val="bottom"/>
                  <w:hideMark/>
                </w:tcPr>
                <w:p w14:paraId="4C95E7AA"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3.2</w:t>
                  </w:r>
                </w:p>
              </w:tc>
              <w:tc>
                <w:tcPr>
                  <w:tcW w:w="363" w:type="pct"/>
                  <w:tcBorders>
                    <w:top w:val="nil"/>
                    <w:left w:val="nil"/>
                    <w:bottom w:val="nil"/>
                    <w:right w:val="nil"/>
                  </w:tcBorders>
                  <w:shd w:val="clear" w:color="auto" w:fill="auto"/>
                  <w:noWrap/>
                  <w:vAlign w:val="bottom"/>
                  <w:hideMark/>
                </w:tcPr>
                <w:p w14:paraId="2DE53A7A"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3.0</w:t>
                  </w:r>
                </w:p>
              </w:tc>
              <w:tc>
                <w:tcPr>
                  <w:tcW w:w="362" w:type="pct"/>
                  <w:tcBorders>
                    <w:top w:val="nil"/>
                    <w:left w:val="nil"/>
                    <w:bottom w:val="nil"/>
                    <w:right w:val="nil"/>
                  </w:tcBorders>
                  <w:shd w:val="clear" w:color="auto" w:fill="auto"/>
                  <w:noWrap/>
                  <w:vAlign w:val="bottom"/>
                  <w:hideMark/>
                </w:tcPr>
                <w:p w14:paraId="4E012C5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3.1</w:t>
                  </w:r>
                </w:p>
              </w:tc>
              <w:tc>
                <w:tcPr>
                  <w:tcW w:w="363" w:type="pct"/>
                  <w:tcBorders>
                    <w:top w:val="nil"/>
                    <w:left w:val="nil"/>
                    <w:bottom w:val="nil"/>
                    <w:right w:val="nil"/>
                  </w:tcBorders>
                  <w:shd w:val="clear" w:color="auto" w:fill="auto"/>
                  <w:noWrap/>
                  <w:vAlign w:val="bottom"/>
                  <w:hideMark/>
                </w:tcPr>
                <w:p w14:paraId="1E0FE805"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1.9</w:t>
                  </w:r>
                </w:p>
              </w:tc>
              <w:tc>
                <w:tcPr>
                  <w:tcW w:w="363" w:type="pct"/>
                  <w:tcBorders>
                    <w:top w:val="nil"/>
                    <w:left w:val="nil"/>
                    <w:bottom w:val="nil"/>
                    <w:right w:val="nil"/>
                  </w:tcBorders>
                  <w:shd w:val="clear" w:color="auto" w:fill="auto"/>
                  <w:noWrap/>
                  <w:vAlign w:val="bottom"/>
                  <w:hideMark/>
                </w:tcPr>
                <w:p w14:paraId="6344C16F"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1.8</w:t>
                  </w:r>
                </w:p>
              </w:tc>
              <w:tc>
                <w:tcPr>
                  <w:tcW w:w="364" w:type="pct"/>
                  <w:tcBorders>
                    <w:top w:val="nil"/>
                    <w:left w:val="nil"/>
                    <w:bottom w:val="nil"/>
                    <w:right w:val="single" w:sz="4" w:space="0" w:color="auto"/>
                  </w:tcBorders>
                  <w:shd w:val="clear" w:color="auto" w:fill="auto"/>
                  <w:noWrap/>
                  <w:vAlign w:val="bottom"/>
                  <w:hideMark/>
                </w:tcPr>
                <w:p w14:paraId="5FBDB35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1.6</w:t>
                  </w:r>
                </w:p>
              </w:tc>
            </w:tr>
            <w:tr w:rsidR="000B17FB" w:rsidRPr="00B66802" w14:paraId="328D1EF0"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6A1A2CB1"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Total spending (commitment basis)</w:t>
                  </w:r>
                </w:p>
              </w:tc>
              <w:tc>
                <w:tcPr>
                  <w:tcW w:w="362" w:type="pct"/>
                  <w:tcBorders>
                    <w:top w:val="nil"/>
                    <w:left w:val="nil"/>
                    <w:bottom w:val="nil"/>
                    <w:right w:val="nil"/>
                  </w:tcBorders>
                  <w:shd w:val="clear" w:color="auto" w:fill="auto"/>
                  <w:noWrap/>
                  <w:vAlign w:val="bottom"/>
                  <w:hideMark/>
                </w:tcPr>
                <w:p w14:paraId="09316031"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14.9</w:t>
                  </w:r>
                </w:p>
              </w:tc>
              <w:tc>
                <w:tcPr>
                  <w:tcW w:w="363" w:type="pct"/>
                  <w:tcBorders>
                    <w:top w:val="nil"/>
                    <w:left w:val="nil"/>
                    <w:bottom w:val="nil"/>
                    <w:right w:val="nil"/>
                  </w:tcBorders>
                  <w:shd w:val="clear" w:color="auto" w:fill="auto"/>
                  <w:noWrap/>
                  <w:vAlign w:val="bottom"/>
                  <w:hideMark/>
                </w:tcPr>
                <w:p w14:paraId="4643DBC4"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14.7</w:t>
                  </w:r>
                </w:p>
              </w:tc>
              <w:tc>
                <w:tcPr>
                  <w:tcW w:w="363" w:type="pct"/>
                  <w:tcBorders>
                    <w:top w:val="nil"/>
                    <w:left w:val="nil"/>
                    <w:bottom w:val="nil"/>
                    <w:right w:val="nil"/>
                  </w:tcBorders>
                  <w:shd w:val="clear" w:color="auto" w:fill="auto"/>
                  <w:noWrap/>
                  <w:vAlign w:val="bottom"/>
                  <w:hideMark/>
                </w:tcPr>
                <w:p w14:paraId="3452CF3C"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15.1</w:t>
                  </w:r>
                </w:p>
              </w:tc>
              <w:tc>
                <w:tcPr>
                  <w:tcW w:w="362" w:type="pct"/>
                  <w:tcBorders>
                    <w:top w:val="nil"/>
                    <w:left w:val="nil"/>
                    <w:bottom w:val="nil"/>
                    <w:right w:val="nil"/>
                  </w:tcBorders>
                  <w:shd w:val="clear" w:color="auto" w:fill="auto"/>
                  <w:noWrap/>
                  <w:vAlign w:val="bottom"/>
                  <w:hideMark/>
                </w:tcPr>
                <w:p w14:paraId="67E5134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16.0</w:t>
                  </w:r>
                </w:p>
              </w:tc>
              <w:tc>
                <w:tcPr>
                  <w:tcW w:w="363" w:type="pct"/>
                  <w:tcBorders>
                    <w:top w:val="nil"/>
                    <w:left w:val="nil"/>
                    <w:bottom w:val="nil"/>
                    <w:right w:val="nil"/>
                  </w:tcBorders>
                  <w:shd w:val="clear" w:color="auto" w:fill="auto"/>
                  <w:noWrap/>
                  <w:vAlign w:val="bottom"/>
                  <w:hideMark/>
                </w:tcPr>
                <w:p w14:paraId="5A207203"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18.4</w:t>
                  </w:r>
                </w:p>
              </w:tc>
              <w:tc>
                <w:tcPr>
                  <w:tcW w:w="363" w:type="pct"/>
                  <w:tcBorders>
                    <w:top w:val="nil"/>
                    <w:left w:val="nil"/>
                    <w:bottom w:val="nil"/>
                    <w:right w:val="nil"/>
                  </w:tcBorders>
                  <w:shd w:val="clear" w:color="auto" w:fill="auto"/>
                  <w:noWrap/>
                  <w:vAlign w:val="bottom"/>
                  <w:hideMark/>
                </w:tcPr>
                <w:p w14:paraId="29C2CF48"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18.0</w:t>
                  </w:r>
                </w:p>
              </w:tc>
              <w:tc>
                <w:tcPr>
                  <w:tcW w:w="362" w:type="pct"/>
                  <w:tcBorders>
                    <w:top w:val="nil"/>
                    <w:left w:val="nil"/>
                    <w:bottom w:val="nil"/>
                    <w:right w:val="nil"/>
                  </w:tcBorders>
                  <w:shd w:val="clear" w:color="auto" w:fill="auto"/>
                  <w:noWrap/>
                  <w:vAlign w:val="bottom"/>
                  <w:hideMark/>
                </w:tcPr>
                <w:p w14:paraId="3196D01A"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20.2</w:t>
                  </w:r>
                </w:p>
              </w:tc>
              <w:tc>
                <w:tcPr>
                  <w:tcW w:w="363" w:type="pct"/>
                  <w:tcBorders>
                    <w:top w:val="nil"/>
                    <w:left w:val="nil"/>
                    <w:bottom w:val="nil"/>
                    <w:right w:val="nil"/>
                  </w:tcBorders>
                  <w:shd w:val="clear" w:color="auto" w:fill="auto"/>
                  <w:noWrap/>
                  <w:vAlign w:val="bottom"/>
                  <w:hideMark/>
                </w:tcPr>
                <w:p w14:paraId="01BA5236"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19.6</w:t>
                  </w:r>
                </w:p>
              </w:tc>
              <w:tc>
                <w:tcPr>
                  <w:tcW w:w="363" w:type="pct"/>
                  <w:tcBorders>
                    <w:top w:val="nil"/>
                    <w:left w:val="nil"/>
                    <w:bottom w:val="nil"/>
                    <w:right w:val="nil"/>
                  </w:tcBorders>
                  <w:shd w:val="clear" w:color="auto" w:fill="auto"/>
                  <w:noWrap/>
                  <w:vAlign w:val="bottom"/>
                  <w:hideMark/>
                </w:tcPr>
                <w:p w14:paraId="63F09025"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19.3</w:t>
                  </w:r>
                </w:p>
              </w:tc>
              <w:tc>
                <w:tcPr>
                  <w:tcW w:w="364" w:type="pct"/>
                  <w:tcBorders>
                    <w:top w:val="nil"/>
                    <w:left w:val="nil"/>
                    <w:bottom w:val="nil"/>
                    <w:right w:val="single" w:sz="4" w:space="0" w:color="auto"/>
                  </w:tcBorders>
                  <w:shd w:val="clear" w:color="auto" w:fill="auto"/>
                  <w:noWrap/>
                  <w:vAlign w:val="bottom"/>
                  <w:hideMark/>
                </w:tcPr>
                <w:p w14:paraId="1ED6D3E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19.0</w:t>
                  </w:r>
                </w:p>
              </w:tc>
            </w:tr>
            <w:tr w:rsidR="000B17FB" w:rsidRPr="00B66802" w14:paraId="3921E656"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6AE8AFFB" w14:textId="77777777" w:rsidR="000B17FB" w:rsidRPr="00F062BB" w:rsidRDefault="000B17FB" w:rsidP="000B17FB">
                  <w:pPr>
                    <w:spacing w:after="0" w:line="240" w:lineRule="auto"/>
                    <w:ind w:firstLineChars="200" w:firstLine="162"/>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o/w: Capital spending</w:t>
                  </w:r>
                </w:p>
              </w:tc>
              <w:tc>
                <w:tcPr>
                  <w:tcW w:w="362" w:type="pct"/>
                  <w:tcBorders>
                    <w:top w:val="nil"/>
                    <w:left w:val="nil"/>
                    <w:bottom w:val="nil"/>
                    <w:right w:val="nil"/>
                  </w:tcBorders>
                  <w:shd w:val="clear" w:color="auto" w:fill="auto"/>
                  <w:noWrap/>
                  <w:vAlign w:val="bottom"/>
                  <w:hideMark/>
                </w:tcPr>
                <w:p w14:paraId="7BB4255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3.1</w:t>
                  </w:r>
                </w:p>
              </w:tc>
              <w:tc>
                <w:tcPr>
                  <w:tcW w:w="363" w:type="pct"/>
                  <w:tcBorders>
                    <w:top w:val="nil"/>
                    <w:left w:val="nil"/>
                    <w:bottom w:val="nil"/>
                    <w:right w:val="nil"/>
                  </w:tcBorders>
                  <w:shd w:val="clear" w:color="auto" w:fill="auto"/>
                  <w:noWrap/>
                  <w:vAlign w:val="bottom"/>
                  <w:hideMark/>
                </w:tcPr>
                <w:p w14:paraId="490A8AA6"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3.9</w:t>
                  </w:r>
                </w:p>
              </w:tc>
              <w:tc>
                <w:tcPr>
                  <w:tcW w:w="363" w:type="pct"/>
                  <w:tcBorders>
                    <w:top w:val="nil"/>
                    <w:left w:val="nil"/>
                    <w:bottom w:val="nil"/>
                    <w:right w:val="nil"/>
                  </w:tcBorders>
                  <w:shd w:val="clear" w:color="auto" w:fill="auto"/>
                  <w:noWrap/>
                  <w:vAlign w:val="bottom"/>
                  <w:hideMark/>
                </w:tcPr>
                <w:p w14:paraId="3475D3C1"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3.5</w:t>
                  </w:r>
                </w:p>
              </w:tc>
              <w:tc>
                <w:tcPr>
                  <w:tcW w:w="362" w:type="pct"/>
                  <w:tcBorders>
                    <w:top w:val="nil"/>
                    <w:left w:val="nil"/>
                    <w:bottom w:val="nil"/>
                    <w:right w:val="nil"/>
                  </w:tcBorders>
                  <w:shd w:val="clear" w:color="auto" w:fill="auto"/>
                  <w:noWrap/>
                  <w:vAlign w:val="bottom"/>
                  <w:hideMark/>
                </w:tcPr>
                <w:p w14:paraId="27495799"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5.2</w:t>
                  </w:r>
                </w:p>
              </w:tc>
              <w:tc>
                <w:tcPr>
                  <w:tcW w:w="363" w:type="pct"/>
                  <w:tcBorders>
                    <w:top w:val="nil"/>
                    <w:left w:val="nil"/>
                    <w:bottom w:val="nil"/>
                    <w:right w:val="nil"/>
                  </w:tcBorders>
                  <w:shd w:val="clear" w:color="auto" w:fill="auto"/>
                  <w:noWrap/>
                  <w:vAlign w:val="bottom"/>
                  <w:hideMark/>
                </w:tcPr>
                <w:p w14:paraId="43B2632C"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6.3</w:t>
                  </w:r>
                </w:p>
              </w:tc>
              <w:tc>
                <w:tcPr>
                  <w:tcW w:w="363" w:type="pct"/>
                  <w:tcBorders>
                    <w:top w:val="nil"/>
                    <w:left w:val="nil"/>
                    <w:bottom w:val="nil"/>
                    <w:right w:val="nil"/>
                  </w:tcBorders>
                  <w:shd w:val="clear" w:color="auto" w:fill="auto"/>
                  <w:noWrap/>
                  <w:vAlign w:val="bottom"/>
                  <w:hideMark/>
                </w:tcPr>
                <w:p w14:paraId="2D93599D"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8.1</w:t>
                  </w:r>
                </w:p>
              </w:tc>
              <w:tc>
                <w:tcPr>
                  <w:tcW w:w="362" w:type="pct"/>
                  <w:tcBorders>
                    <w:top w:val="nil"/>
                    <w:left w:val="nil"/>
                    <w:bottom w:val="nil"/>
                    <w:right w:val="nil"/>
                  </w:tcBorders>
                  <w:shd w:val="clear" w:color="auto" w:fill="auto"/>
                  <w:noWrap/>
                  <w:vAlign w:val="bottom"/>
                  <w:hideMark/>
                </w:tcPr>
                <w:p w14:paraId="08E1B295"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10.5</w:t>
                  </w:r>
                </w:p>
              </w:tc>
              <w:tc>
                <w:tcPr>
                  <w:tcW w:w="363" w:type="pct"/>
                  <w:tcBorders>
                    <w:top w:val="nil"/>
                    <w:left w:val="nil"/>
                    <w:bottom w:val="nil"/>
                    <w:right w:val="nil"/>
                  </w:tcBorders>
                  <w:shd w:val="clear" w:color="auto" w:fill="auto"/>
                  <w:noWrap/>
                  <w:vAlign w:val="bottom"/>
                  <w:hideMark/>
                </w:tcPr>
                <w:p w14:paraId="558CA9BC"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10.2</w:t>
                  </w:r>
                </w:p>
              </w:tc>
              <w:tc>
                <w:tcPr>
                  <w:tcW w:w="363" w:type="pct"/>
                  <w:tcBorders>
                    <w:top w:val="nil"/>
                    <w:left w:val="nil"/>
                    <w:bottom w:val="nil"/>
                    <w:right w:val="nil"/>
                  </w:tcBorders>
                  <w:shd w:val="clear" w:color="auto" w:fill="auto"/>
                  <w:noWrap/>
                  <w:vAlign w:val="bottom"/>
                  <w:hideMark/>
                </w:tcPr>
                <w:p w14:paraId="1058869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9.8</w:t>
                  </w:r>
                </w:p>
              </w:tc>
              <w:tc>
                <w:tcPr>
                  <w:tcW w:w="364" w:type="pct"/>
                  <w:tcBorders>
                    <w:top w:val="nil"/>
                    <w:left w:val="nil"/>
                    <w:bottom w:val="nil"/>
                    <w:right w:val="single" w:sz="4" w:space="0" w:color="auto"/>
                  </w:tcBorders>
                  <w:shd w:val="clear" w:color="auto" w:fill="auto"/>
                  <w:noWrap/>
                  <w:vAlign w:val="bottom"/>
                  <w:hideMark/>
                </w:tcPr>
                <w:p w14:paraId="2F2F000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9.1</w:t>
                  </w:r>
                </w:p>
              </w:tc>
            </w:tr>
            <w:tr w:rsidR="000B17FB" w:rsidRPr="00B66802" w14:paraId="7A3B1677"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648E557F"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Overall balance (cash basis)</w:t>
                  </w:r>
                </w:p>
              </w:tc>
              <w:tc>
                <w:tcPr>
                  <w:tcW w:w="362" w:type="pct"/>
                  <w:tcBorders>
                    <w:top w:val="nil"/>
                    <w:left w:val="nil"/>
                    <w:bottom w:val="nil"/>
                    <w:right w:val="nil"/>
                  </w:tcBorders>
                  <w:shd w:val="clear" w:color="auto" w:fill="auto"/>
                  <w:noWrap/>
                  <w:vAlign w:val="bottom"/>
                  <w:hideMark/>
                </w:tcPr>
                <w:p w14:paraId="4372C453"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-2.0</w:t>
                  </w:r>
                </w:p>
              </w:tc>
              <w:tc>
                <w:tcPr>
                  <w:tcW w:w="363" w:type="pct"/>
                  <w:tcBorders>
                    <w:top w:val="nil"/>
                    <w:left w:val="nil"/>
                    <w:bottom w:val="nil"/>
                    <w:right w:val="nil"/>
                  </w:tcBorders>
                  <w:shd w:val="clear" w:color="auto" w:fill="auto"/>
                  <w:noWrap/>
                  <w:vAlign w:val="bottom"/>
                  <w:hideMark/>
                </w:tcPr>
                <w:p w14:paraId="24E2802B"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-2.4</w:t>
                  </w:r>
                </w:p>
              </w:tc>
              <w:tc>
                <w:tcPr>
                  <w:tcW w:w="363" w:type="pct"/>
                  <w:tcBorders>
                    <w:top w:val="nil"/>
                    <w:left w:val="nil"/>
                    <w:bottom w:val="nil"/>
                    <w:right w:val="nil"/>
                  </w:tcBorders>
                  <w:shd w:val="clear" w:color="auto" w:fill="auto"/>
                  <w:noWrap/>
                  <w:vAlign w:val="bottom"/>
                  <w:hideMark/>
                </w:tcPr>
                <w:p w14:paraId="205BA73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-3.7</w:t>
                  </w:r>
                </w:p>
              </w:tc>
              <w:tc>
                <w:tcPr>
                  <w:tcW w:w="362" w:type="pct"/>
                  <w:tcBorders>
                    <w:top w:val="nil"/>
                    <w:left w:val="nil"/>
                    <w:bottom w:val="nil"/>
                    <w:right w:val="nil"/>
                  </w:tcBorders>
                  <w:shd w:val="clear" w:color="auto" w:fill="auto"/>
                  <w:noWrap/>
                  <w:vAlign w:val="bottom"/>
                  <w:hideMark/>
                </w:tcPr>
                <w:p w14:paraId="7729FE21"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-2.0</w:t>
                  </w:r>
                </w:p>
              </w:tc>
              <w:tc>
                <w:tcPr>
                  <w:tcW w:w="363" w:type="pct"/>
                  <w:tcBorders>
                    <w:top w:val="nil"/>
                    <w:left w:val="nil"/>
                    <w:bottom w:val="nil"/>
                    <w:right w:val="nil"/>
                  </w:tcBorders>
                  <w:shd w:val="clear" w:color="auto" w:fill="auto"/>
                  <w:noWrap/>
                  <w:vAlign w:val="bottom"/>
                  <w:hideMark/>
                </w:tcPr>
                <w:p w14:paraId="2107377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-4.3</w:t>
                  </w:r>
                </w:p>
              </w:tc>
              <w:tc>
                <w:tcPr>
                  <w:tcW w:w="363" w:type="pct"/>
                  <w:tcBorders>
                    <w:top w:val="nil"/>
                    <w:left w:val="nil"/>
                    <w:bottom w:val="nil"/>
                    <w:right w:val="nil"/>
                  </w:tcBorders>
                  <w:shd w:val="clear" w:color="auto" w:fill="auto"/>
                  <w:noWrap/>
                  <w:vAlign w:val="bottom"/>
                  <w:hideMark/>
                </w:tcPr>
                <w:p w14:paraId="2CE6C2D8"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-3.5</w:t>
                  </w:r>
                </w:p>
              </w:tc>
              <w:tc>
                <w:tcPr>
                  <w:tcW w:w="362" w:type="pct"/>
                  <w:tcBorders>
                    <w:top w:val="nil"/>
                    <w:left w:val="nil"/>
                    <w:bottom w:val="nil"/>
                    <w:right w:val="nil"/>
                  </w:tcBorders>
                  <w:shd w:val="clear" w:color="auto" w:fill="auto"/>
                  <w:noWrap/>
                  <w:vAlign w:val="bottom"/>
                  <w:hideMark/>
                </w:tcPr>
                <w:p w14:paraId="2BCD955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-5.2</w:t>
                  </w:r>
                </w:p>
              </w:tc>
              <w:tc>
                <w:tcPr>
                  <w:tcW w:w="363" w:type="pct"/>
                  <w:tcBorders>
                    <w:top w:val="nil"/>
                    <w:left w:val="nil"/>
                    <w:bottom w:val="nil"/>
                    <w:right w:val="nil"/>
                  </w:tcBorders>
                  <w:shd w:val="clear" w:color="auto" w:fill="auto"/>
                  <w:noWrap/>
                  <w:vAlign w:val="bottom"/>
                  <w:hideMark/>
                </w:tcPr>
                <w:p w14:paraId="08E5E46D"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-5.3</w:t>
                  </w:r>
                </w:p>
              </w:tc>
              <w:tc>
                <w:tcPr>
                  <w:tcW w:w="363" w:type="pct"/>
                  <w:tcBorders>
                    <w:top w:val="nil"/>
                    <w:left w:val="nil"/>
                    <w:bottom w:val="nil"/>
                    <w:right w:val="nil"/>
                  </w:tcBorders>
                  <w:shd w:val="clear" w:color="auto" w:fill="auto"/>
                  <w:noWrap/>
                  <w:vAlign w:val="bottom"/>
                  <w:hideMark/>
                </w:tcPr>
                <w:p w14:paraId="7678CC36"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-4.7</w:t>
                  </w:r>
                </w:p>
              </w:tc>
              <w:tc>
                <w:tcPr>
                  <w:tcW w:w="364" w:type="pct"/>
                  <w:tcBorders>
                    <w:top w:val="nil"/>
                    <w:left w:val="nil"/>
                    <w:bottom w:val="nil"/>
                    <w:right w:val="single" w:sz="4" w:space="0" w:color="auto"/>
                  </w:tcBorders>
                  <w:shd w:val="clear" w:color="auto" w:fill="auto"/>
                  <w:noWrap/>
                  <w:vAlign w:val="bottom"/>
                  <w:hideMark/>
                </w:tcPr>
                <w:p w14:paraId="133F30AD"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-4.1</w:t>
                  </w:r>
                </w:p>
              </w:tc>
            </w:tr>
            <w:tr w:rsidR="000B17FB" w:rsidRPr="00B66802" w14:paraId="0B8B28AF"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47D9C738"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xml:space="preserve">Total public debt </w:t>
                  </w:r>
                </w:p>
              </w:tc>
              <w:tc>
                <w:tcPr>
                  <w:tcW w:w="362" w:type="pct"/>
                  <w:tcBorders>
                    <w:top w:val="nil"/>
                    <w:left w:val="nil"/>
                    <w:bottom w:val="nil"/>
                    <w:right w:val="nil"/>
                  </w:tcBorders>
                  <w:shd w:val="clear" w:color="auto" w:fill="auto"/>
                  <w:noWrap/>
                  <w:vAlign w:val="bottom"/>
                  <w:hideMark/>
                </w:tcPr>
                <w:p w14:paraId="08BC9014"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33.9</w:t>
                  </w:r>
                </w:p>
              </w:tc>
              <w:tc>
                <w:tcPr>
                  <w:tcW w:w="363" w:type="pct"/>
                  <w:tcBorders>
                    <w:top w:val="nil"/>
                    <w:left w:val="nil"/>
                    <w:bottom w:val="nil"/>
                    <w:right w:val="nil"/>
                  </w:tcBorders>
                  <w:shd w:val="clear" w:color="auto" w:fill="auto"/>
                  <w:noWrap/>
                  <w:vAlign w:val="bottom"/>
                  <w:hideMark/>
                </w:tcPr>
                <w:p w14:paraId="44F015D9"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34.7</w:t>
                  </w:r>
                </w:p>
              </w:tc>
              <w:tc>
                <w:tcPr>
                  <w:tcW w:w="363" w:type="pct"/>
                  <w:tcBorders>
                    <w:top w:val="nil"/>
                    <w:left w:val="nil"/>
                    <w:bottom w:val="nil"/>
                    <w:right w:val="nil"/>
                  </w:tcBorders>
                  <w:shd w:val="clear" w:color="auto" w:fill="auto"/>
                  <w:noWrap/>
                  <w:vAlign w:val="bottom"/>
                  <w:hideMark/>
                </w:tcPr>
                <w:p w14:paraId="498303B8"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41.3</w:t>
                  </w:r>
                </w:p>
              </w:tc>
              <w:tc>
                <w:tcPr>
                  <w:tcW w:w="362" w:type="pct"/>
                  <w:tcBorders>
                    <w:top w:val="nil"/>
                    <w:left w:val="nil"/>
                    <w:bottom w:val="nil"/>
                    <w:right w:val="nil"/>
                  </w:tcBorders>
                  <w:shd w:val="clear" w:color="auto" w:fill="auto"/>
                  <w:noWrap/>
                  <w:vAlign w:val="bottom"/>
                  <w:hideMark/>
                </w:tcPr>
                <w:p w14:paraId="4232742C"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38.4</w:t>
                  </w:r>
                </w:p>
              </w:tc>
              <w:tc>
                <w:tcPr>
                  <w:tcW w:w="363" w:type="pct"/>
                  <w:tcBorders>
                    <w:top w:val="nil"/>
                    <w:left w:val="nil"/>
                    <w:bottom w:val="nil"/>
                    <w:right w:val="nil"/>
                  </w:tcBorders>
                  <w:shd w:val="clear" w:color="auto" w:fill="auto"/>
                  <w:noWrap/>
                  <w:vAlign w:val="bottom"/>
                  <w:hideMark/>
                </w:tcPr>
                <w:p w14:paraId="249F9D05"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36.2</w:t>
                  </w:r>
                </w:p>
              </w:tc>
              <w:tc>
                <w:tcPr>
                  <w:tcW w:w="363" w:type="pct"/>
                  <w:tcBorders>
                    <w:top w:val="nil"/>
                    <w:left w:val="nil"/>
                    <w:bottom w:val="nil"/>
                    <w:right w:val="nil"/>
                  </w:tcBorders>
                  <w:shd w:val="clear" w:color="auto" w:fill="auto"/>
                  <w:noWrap/>
                  <w:vAlign w:val="bottom"/>
                  <w:hideMark/>
                </w:tcPr>
                <w:p w14:paraId="1A5784E9"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36.2</w:t>
                  </w:r>
                </w:p>
              </w:tc>
              <w:tc>
                <w:tcPr>
                  <w:tcW w:w="362" w:type="pct"/>
                  <w:tcBorders>
                    <w:top w:val="nil"/>
                    <w:left w:val="nil"/>
                    <w:bottom w:val="nil"/>
                    <w:right w:val="nil"/>
                  </w:tcBorders>
                  <w:shd w:val="clear" w:color="auto" w:fill="auto"/>
                  <w:noWrap/>
                  <w:vAlign w:val="bottom"/>
                  <w:hideMark/>
                </w:tcPr>
                <w:p w14:paraId="2A92AC0C"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37.2</w:t>
                  </w:r>
                </w:p>
              </w:tc>
              <w:tc>
                <w:tcPr>
                  <w:tcW w:w="363" w:type="pct"/>
                  <w:tcBorders>
                    <w:top w:val="nil"/>
                    <w:left w:val="nil"/>
                    <w:bottom w:val="nil"/>
                    <w:right w:val="nil"/>
                  </w:tcBorders>
                  <w:shd w:val="clear" w:color="auto" w:fill="auto"/>
                  <w:noWrap/>
                  <w:vAlign w:val="bottom"/>
                  <w:hideMark/>
                </w:tcPr>
                <w:p w14:paraId="57DF143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39.8</w:t>
                  </w:r>
                </w:p>
              </w:tc>
              <w:tc>
                <w:tcPr>
                  <w:tcW w:w="363" w:type="pct"/>
                  <w:tcBorders>
                    <w:top w:val="nil"/>
                    <w:left w:val="nil"/>
                    <w:bottom w:val="nil"/>
                    <w:right w:val="nil"/>
                  </w:tcBorders>
                  <w:shd w:val="clear" w:color="auto" w:fill="auto"/>
                  <w:noWrap/>
                  <w:vAlign w:val="bottom"/>
                  <w:hideMark/>
                </w:tcPr>
                <w:p w14:paraId="24164863"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41.9</w:t>
                  </w:r>
                </w:p>
              </w:tc>
              <w:tc>
                <w:tcPr>
                  <w:tcW w:w="364" w:type="pct"/>
                  <w:tcBorders>
                    <w:top w:val="nil"/>
                    <w:left w:val="nil"/>
                    <w:bottom w:val="nil"/>
                    <w:right w:val="single" w:sz="4" w:space="0" w:color="auto"/>
                  </w:tcBorders>
                  <w:shd w:val="clear" w:color="auto" w:fill="auto"/>
                  <w:noWrap/>
                  <w:vAlign w:val="bottom"/>
                  <w:hideMark/>
                </w:tcPr>
                <w:p w14:paraId="05E3B45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43.4</w:t>
                  </w:r>
                </w:p>
              </w:tc>
            </w:tr>
            <w:tr w:rsidR="000B17FB" w:rsidRPr="00B66802" w14:paraId="205F3A07"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74A46D54"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c>
                <w:tcPr>
                  <w:tcW w:w="362" w:type="pct"/>
                  <w:tcBorders>
                    <w:top w:val="nil"/>
                    <w:left w:val="nil"/>
                    <w:bottom w:val="nil"/>
                    <w:right w:val="nil"/>
                  </w:tcBorders>
                  <w:shd w:val="clear" w:color="auto" w:fill="auto"/>
                  <w:noWrap/>
                  <w:vAlign w:val="bottom"/>
                  <w:hideMark/>
                </w:tcPr>
                <w:p w14:paraId="630332B7"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0CBD726C"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5ADB47D7"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2" w:type="pct"/>
                  <w:tcBorders>
                    <w:top w:val="nil"/>
                    <w:left w:val="nil"/>
                    <w:bottom w:val="nil"/>
                    <w:right w:val="nil"/>
                  </w:tcBorders>
                  <w:shd w:val="clear" w:color="auto" w:fill="auto"/>
                  <w:noWrap/>
                  <w:vAlign w:val="bottom"/>
                  <w:hideMark/>
                </w:tcPr>
                <w:p w14:paraId="295FDC32"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5D8F42E1"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5C058DF9"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2" w:type="pct"/>
                  <w:tcBorders>
                    <w:top w:val="nil"/>
                    <w:left w:val="nil"/>
                    <w:bottom w:val="nil"/>
                    <w:right w:val="nil"/>
                  </w:tcBorders>
                  <w:shd w:val="clear" w:color="auto" w:fill="auto"/>
                  <w:noWrap/>
                  <w:vAlign w:val="bottom"/>
                  <w:hideMark/>
                </w:tcPr>
                <w:p w14:paraId="5C247A4C"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7E74A493"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5BDA9BFA"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4" w:type="pct"/>
                  <w:tcBorders>
                    <w:top w:val="nil"/>
                    <w:left w:val="nil"/>
                    <w:bottom w:val="nil"/>
                    <w:right w:val="single" w:sz="4" w:space="0" w:color="auto"/>
                  </w:tcBorders>
                  <w:shd w:val="clear" w:color="auto" w:fill="auto"/>
                  <w:noWrap/>
                  <w:vAlign w:val="bottom"/>
                  <w:hideMark/>
                </w:tcPr>
                <w:p w14:paraId="6C9EBA55"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r>
            <w:tr w:rsidR="000B17FB" w:rsidRPr="00B66802" w14:paraId="76F2FCBB"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0041EECC" w14:textId="77777777" w:rsidR="000B17FB" w:rsidRPr="00F062BB" w:rsidRDefault="000B17FB" w:rsidP="000B17FB">
                  <w:pPr>
                    <w:spacing w:after="0" w:line="240" w:lineRule="auto"/>
                    <w:rPr>
                      <w:rFonts w:asciiTheme="minorHAnsi" w:eastAsia="Times New Roman" w:hAnsiTheme="minorHAnsi" w:cstheme="minorHAnsi"/>
                      <w:b/>
                      <w:bCs/>
                      <w:i/>
                      <w:iCs/>
                      <w:sz w:val="16"/>
                      <w:szCs w:val="16"/>
                    </w:rPr>
                  </w:pPr>
                  <w:r w:rsidRPr="00F062BB">
                    <w:rPr>
                      <w:rFonts w:asciiTheme="minorHAnsi" w:eastAsia="Times New Roman" w:hAnsiTheme="minorHAnsi" w:cstheme="minorHAnsi"/>
                      <w:b/>
                      <w:bCs/>
                      <w:i/>
                      <w:iCs/>
                      <w:sz w:val="16"/>
                      <w:szCs w:val="16"/>
                    </w:rPr>
                    <w:t>Monetary accounts (annual % change)</w:t>
                  </w:r>
                </w:p>
              </w:tc>
              <w:tc>
                <w:tcPr>
                  <w:tcW w:w="362" w:type="pct"/>
                  <w:tcBorders>
                    <w:top w:val="nil"/>
                    <w:left w:val="nil"/>
                    <w:bottom w:val="nil"/>
                    <w:right w:val="nil"/>
                  </w:tcBorders>
                  <w:shd w:val="clear" w:color="auto" w:fill="auto"/>
                  <w:noWrap/>
                  <w:vAlign w:val="bottom"/>
                  <w:hideMark/>
                </w:tcPr>
                <w:p w14:paraId="7C72A9D3" w14:textId="77777777" w:rsidR="000B17FB" w:rsidRPr="00F062BB" w:rsidRDefault="000B17FB" w:rsidP="000B17FB">
                  <w:pPr>
                    <w:spacing w:after="0" w:line="240" w:lineRule="auto"/>
                    <w:rPr>
                      <w:rFonts w:asciiTheme="minorHAnsi" w:eastAsia="Times New Roman" w:hAnsiTheme="minorHAnsi" w:cstheme="minorHAnsi"/>
                      <w:b/>
                      <w:bCs/>
                      <w:i/>
                      <w:iCs/>
                      <w:sz w:val="16"/>
                      <w:szCs w:val="16"/>
                    </w:rPr>
                  </w:pPr>
                </w:p>
              </w:tc>
              <w:tc>
                <w:tcPr>
                  <w:tcW w:w="363" w:type="pct"/>
                  <w:tcBorders>
                    <w:top w:val="nil"/>
                    <w:left w:val="nil"/>
                    <w:bottom w:val="nil"/>
                    <w:right w:val="nil"/>
                  </w:tcBorders>
                  <w:shd w:val="clear" w:color="auto" w:fill="auto"/>
                  <w:noWrap/>
                  <w:vAlign w:val="bottom"/>
                  <w:hideMark/>
                </w:tcPr>
                <w:p w14:paraId="55E9F9D1"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0C219A06"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2" w:type="pct"/>
                  <w:tcBorders>
                    <w:top w:val="nil"/>
                    <w:left w:val="nil"/>
                    <w:bottom w:val="nil"/>
                    <w:right w:val="nil"/>
                  </w:tcBorders>
                  <w:shd w:val="clear" w:color="auto" w:fill="auto"/>
                  <w:noWrap/>
                  <w:vAlign w:val="bottom"/>
                  <w:hideMark/>
                </w:tcPr>
                <w:p w14:paraId="001E9C85"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3167409B"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61264D2E"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2" w:type="pct"/>
                  <w:tcBorders>
                    <w:top w:val="nil"/>
                    <w:left w:val="nil"/>
                    <w:bottom w:val="nil"/>
                    <w:right w:val="nil"/>
                  </w:tcBorders>
                  <w:shd w:val="clear" w:color="auto" w:fill="auto"/>
                  <w:noWrap/>
                  <w:vAlign w:val="bottom"/>
                  <w:hideMark/>
                </w:tcPr>
                <w:p w14:paraId="156BC1E5"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61FA1C0C"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5312D87E"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4" w:type="pct"/>
                  <w:tcBorders>
                    <w:top w:val="nil"/>
                    <w:left w:val="nil"/>
                    <w:bottom w:val="nil"/>
                    <w:right w:val="single" w:sz="4" w:space="0" w:color="auto"/>
                  </w:tcBorders>
                  <w:shd w:val="clear" w:color="auto" w:fill="auto"/>
                  <w:noWrap/>
                  <w:vAlign w:val="bottom"/>
                  <w:hideMark/>
                </w:tcPr>
                <w:p w14:paraId="15083557"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r>
            <w:tr w:rsidR="000B17FB" w:rsidRPr="00B66802" w14:paraId="40C32632"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62D67FA0"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Money Supply (M2)</w:t>
                  </w:r>
                </w:p>
              </w:tc>
              <w:tc>
                <w:tcPr>
                  <w:tcW w:w="362" w:type="pct"/>
                  <w:tcBorders>
                    <w:top w:val="nil"/>
                    <w:left w:val="nil"/>
                    <w:bottom w:val="nil"/>
                    <w:right w:val="nil"/>
                  </w:tcBorders>
                  <w:shd w:val="clear" w:color="auto" w:fill="auto"/>
                  <w:noWrap/>
                  <w:vAlign w:val="bottom"/>
                  <w:hideMark/>
                </w:tcPr>
                <w:p w14:paraId="59EB1A54"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9.0</w:t>
                  </w:r>
                </w:p>
              </w:tc>
              <w:tc>
                <w:tcPr>
                  <w:tcW w:w="363" w:type="pct"/>
                  <w:tcBorders>
                    <w:top w:val="nil"/>
                    <w:left w:val="nil"/>
                    <w:bottom w:val="nil"/>
                    <w:right w:val="nil"/>
                  </w:tcBorders>
                  <w:shd w:val="clear" w:color="auto" w:fill="auto"/>
                  <w:noWrap/>
                  <w:vAlign w:val="bottom"/>
                  <w:hideMark/>
                </w:tcPr>
                <w:p w14:paraId="2B5DF65D"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9.8</w:t>
                  </w:r>
                </w:p>
              </w:tc>
              <w:tc>
                <w:tcPr>
                  <w:tcW w:w="363" w:type="pct"/>
                  <w:tcBorders>
                    <w:top w:val="nil"/>
                    <w:left w:val="nil"/>
                    <w:bottom w:val="nil"/>
                    <w:right w:val="nil"/>
                  </w:tcBorders>
                  <w:shd w:val="clear" w:color="auto" w:fill="auto"/>
                  <w:noWrap/>
                  <w:vAlign w:val="bottom"/>
                  <w:hideMark/>
                </w:tcPr>
                <w:p w14:paraId="4EC10C33"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15.8</w:t>
                  </w:r>
                </w:p>
              </w:tc>
              <w:tc>
                <w:tcPr>
                  <w:tcW w:w="362" w:type="pct"/>
                  <w:tcBorders>
                    <w:top w:val="nil"/>
                    <w:left w:val="nil"/>
                    <w:bottom w:val="nil"/>
                    <w:right w:val="nil"/>
                  </w:tcBorders>
                  <w:shd w:val="clear" w:color="auto" w:fill="auto"/>
                  <w:noWrap/>
                  <w:vAlign w:val="bottom"/>
                  <w:hideMark/>
                </w:tcPr>
                <w:p w14:paraId="5EFDE621"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21.4</w:t>
                  </w:r>
                </w:p>
              </w:tc>
              <w:tc>
                <w:tcPr>
                  <w:tcW w:w="363" w:type="pct"/>
                  <w:tcBorders>
                    <w:top w:val="nil"/>
                    <w:left w:val="nil"/>
                    <w:bottom w:val="nil"/>
                    <w:right w:val="nil"/>
                  </w:tcBorders>
                  <w:shd w:val="clear" w:color="auto" w:fill="auto"/>
                  <w:noWrap/>
                  <w:vAlign w:val="bottom"/>
                  <w:hideMark/>
                </w:tcPr>
                <w:p w14:paraId="4D726584"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18.5</w:t>
                  </w:r>
                </w:p>
              </w:tc>
              <w:tc>
                <w:tcPr>
                  <w:tcW w:w="363" w:type="pct"/>
                  <w:tcBorders>
                    <w:top w:val="nil"/>
                    <w:left w:val="nil"/>
                    <w:bottom w:val="nil"/>
                    <w:right w:val="nil"/>
                  </w:tcBorders>
                  <w:shd w:val="clear" w:color="auto" w:fill="auto"/>
                  <w:noWrap/>
                  <w:vAlign w:val="bottom"/>
                  <w:hideMark/>
                </w:tcPr>
                <w:p w14:paraId="38AD5783"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13.1</w:t>
                  </w:r>
                </w:p>
              </w:tc>
              <w:tc>
                <w:tcPr>
                  <w:tcW w:w="362" w:type="pct"/>
                  <w:tcBorders>
                    <w:top w:val="nil"/>
                    <w:left w:val="nil"/>
                    <w:bottom w:val="nil"/>
                    <w:right w:val="nil"/>
                  </w:tcBorders>
                  <w:shd w:val="clear" w:color="auto" w:fill="auto"/>
                  <w:noWrap/>
                  <w:vAlign w:val="bottom"/>
                  <w:hideMark/>
                </w:tcPr>
                <w:p w14:paraId="6D031F45"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15.0</w:t>
                  </w:r>
                </w:p>
              </w:tc>
              <w:tc>
                <w:tcPr>
                  <w:tcW w:w="363" w:type="pct"/>
                  <w:tcBorders>
                    <w:top w:val="nil"/>
                    <w:left w:val="nil"/>
                    <w:bottom w:val="nil"/>
                    <w:right w:val="nil"/>
                  </w:tcBorders>
                  <w:shd w:val="clear" w:color="auto" w:fill="auto"/>
                  <w:noWrap/>
                  <w:vAlign w:val="bottom"/>
                  <w:hideMark/>
                </w:tcPr>
                <w:p w14:paraId="2BD37C6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16.1</w:t>
                  </w:r>
                </w:p>
              </w:tc>
              <w:tc>
                <w:tcPr>
                  <w:tcW w:w="363" w:type="pct"/>
                  <w:tcBorders>
                    <w:top w:val="nil"/>
                    <w:left w:val="nil"/>
                    <w:bottom w:val="nil"/>
                    <w:right w:val="nil"/>
                  </w:tcBorders>
                  <w:shd w:val="clear" w:color="auto" w:fill="auto"/>
                  <w:noWrap/>
                  <w:vAlign w:val="bottom"/>
                  <w:hideMark/>
                </w:tcPr>
                <w:p w14:paraId="6B572E56"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16.4</w:t>
                  </w:r>
                </w:p>
              </w:tc>
              <w:tc>
                <w:tcPr>
                  <w:tcW w:w="364" w:type="pct"/>
                  <w:tcBorders>
                    <w:top w:val="nil"/>
                    <w:left w:val="nil"/>
                    <w:bottom w:val="nil"/>
                    <w:right w:val="single" w:sz="4" w:space="0" w:color="auto"/>
                  </w:tcBorders>
                  <w:shd w:val="clear" w:color="auto" w:fill="auto"/>
                  <w:noWrap/>
                  <w:vAlign w:val="bottom"/>
                  <w:hideMark/>
                </w:tcPr>
                <w:p w14:paraId="0A9993A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14.7</w:t>
                  </w:r>
                </w:p>
              </w:tc>
            </w:tr>
            <w:tr w:rsidR="000B17FB" w:rsidRPr="00B66802" w14:paraId="5DB5F54F"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199D178B"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Net Foreign Assets</w:t>
                  </w:r>
                </w:p>
              </w:tc>
              <w:tc>
                <w:tcPr>
                  <w:tcW w:w="362" w:type="pct"/>
                  <w:tcBorders>
                    <w:top w:val="nil"/>
                    <w:left w:val="nil"/>
                    <w:bottom w:val="nil"/>
                    <w:right w:val="nil"/>
                  </w:tcBorders>
                  <w:shd w:val="clear" w:color="auto" w:fill="auto"/>
                  <w:noWrap/>
                  <w:vAlign w:val="bottom"/>
                  <w:hideMark/>
                </w:tcPr>
                <w:p w14:paraId="3A9CFEFF"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-12.7</w:t>
                  </w:r>
                </w:p>
              </w:tc>
              <w:tc>
                <w:tcPr>
                  <w:tcW w:w="363" w:type="pct"/>
                  <w:tcBorders>
                    <w:top w:val="nil"/>
                    <w:left w:val="nil"/>
                    <w:bottom w:val="nil"/>
                    <w:right w:val="nil"/>
                  </w:tcBorders>
                  <w:shd w:val="clear" w:color="auto" w:fill="auto"/>
                  <w:noWrap/>
                  <w:vAlign w:val="bottom"/>
                  <w:hideMark/>
                </w:tcPr>
                <w:p w14:paraId="33EF4BC3"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17.3</w:t>
                  </w:r>
                </w:p>
              </w:tc>
              <w:tc>
                <w:tcPr>
                  <w:tcW w:w="363" w:type="pct"/>
                  <w:tcBorders>
                    <w:top w:val="nil"/>
                    <w:left w:val="nil"/>
                    <w:bottom w:val="nil"/>
                    <w:right w:val="nil"/>
                  </w:tcBorders>
                  <w:shd w:val="clear" w:color="auto" w:fill="auto"/>
                  <w:noWrap/>
                  <w:vAlign w:val="bottom"/>
                  <w:hideMark/>
                </w:tcPr>
                <w:p w14:paraId="7E3A4A7B"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20.9</w:t>
                  </w:r>
                </w:p>
              </w:tc>
              <w:tc>
                <w:tcPr>
                  <w:tcW w:w="362" w:type="pct"/>
                  <w:tcBorders>
                    <w:top w:val="nil"/>
                    <w:left w:val="nil"/>
                    <w:bottom w:val="nil"/>
                    <w:right w:val="nil"/>
                  </w:tcBorders>
                  <w:shd w:val="clear" w:color="auto" w:fill="auto"/>
                  <w:noWrap/>
                  <w:vAlign w:val="bottom"/>
                  <w:hideMark/>
                </w:tcPr>
                <w:p w14:paraId="1D485E4D"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37.4</w:t>
                  </w:r>
                </w:p>
              </w:tc>
              <w:tc>
                <w:tcPr>
                  <w:tcW w:w="363" w:type="pct"/>
                  <w:tcBorders>
                    <w:top w:val="nil"/>
                    <w:left w:val="nil"/>
                    <w:bottom w:val="nil"/>
                    <w:right w:val="nil"/>
                  </w:tcBorders>
                  <w:shd w:val="clear" w:color="auto" w:fill="auto"/>
                  <w:noWrap/>
                  <w:vAlign w:val="bottom"/>
                  <w:hideMark/>
                </w:tcPr>
                <w:p w14:paraId="7C566F2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10.9</w:t>
                  </w:r>
                </w:p>
              </w:tc>
              <w:tc>
                <w:tcPr>
                  <w:tcW w:w="363" w:type="pct"/>
                  <w:tcBorders>
                    <w:top w:val="nil"/>
                    <w:left w:val="nil"/>
                    <w:bottom w:val="nil"/>
                    <w:right w:val="nil"/>
                  </w:tcBorders>
                  <w:shd w:val="clear" w:color="auto" w:fill="auto"/>
                  <w:noWrap/>
                  <w:vAlign w:val="bottom"/>
                  <w:hideMark/>
                </w:tcPr>
                <w:p w14:paraId="1AF27047"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12.9</w:t>
                  </w:r>
                </w:p>
              </w:tc>
              <w:tc>
                <w:tcPr>
                  <w:tcW w:w="362" w:type="pct"/>
                  <w:tcBorders>
                    <w:top w:val="nil"/>
                    <w:left w:val="nil"/>
                    <w:bottom w:val="nil"/>
                    <w:right w:val="nil"/>
                  </w:tcBorders>
                  <w:shd w:val="clear" w:color="auto" w:fill="auto"/>
                  <w:noWrap/>
                  <w:vAlign w:val="bottom"/>
                  <w:hideMark/>
                </w:tcPr>
                <w:p w14:paraId="61CA104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14.9</w:t>
                  </w:r>
                </w:p>
              </w:tc>
              <w:tc>
                <w:tcPr>
                  <w:tcW w:w="363" w:type="pct"/>
                  <w:tcBorders>
                    <w:top w:val="nil"/>
                    <w:left w:val="nil"/>
                    <w:bottom w:val="nil"/>
                    <w:right w:val="nil"/>
                  </w:tcBorders>
                  <w:shd w:val="clear" w:color="auto" w:fill="auto"/>
                  <w:noWrap/>
                  <w:vAlign w:val="bottom"/>
                  <w:hideMark/>
                </w:tcPr>
                <w:p w14:paraId="1FDEA439"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16.2</w:t>
                  </w:r>
                </w:p>
              </w:tc>
              <w:tc>
                <w:tcPr>
                  <w:tcW w:w="363" w:type="pct"/>
                  <w:tcBorders>
                    <w:top w:val="nil"/>
                    <w:left w:val="nil"/>
                    <w:bottom w:val="nil"/>
                    <w:right w:val="nil"/>
                  </w:tcBorders>
                  <w:shd w:val="clear" w:color="auto" w:fill="auto"/>
                  <w:noWrap/>
                  <w:vAlign w:val="bottom"/>
                  <w:hideMark/>
                </w:tcPr>
                <w:p w14:paraId="3B4ED5E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16.7</w:t>
                  </w:r>
                </w:p>
              </w:tc>
              <w:tc>
                <w:tcPr>
                  <w:tcW w:w="364" w:type="pct"/>
                  <w:tcBorders>
                    <w:top w:val="nil"/>
                    <w:left w:val="nil"/>
                    <w:bottom w:val="nil"/>
                    <w:right w:val="single" w:sz="4" w:space="0" w:color="auto"/>
                  </w:tcBorders>
                  <w:shd w:val="clear" w:color="auto" w:fill="auto"/>
                  <w:noWrap/>
                  <w:vAlign w:val="bottom"/>
                  <w:hideMark/>
                </w:tcPr>
                <w:p w14:paraId="5A71E047"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13.0</w:t>
                  </w:r>
                </w:p>
              </w:tc>
            </w:tr>
            <w:tr w:rsidR="000B17FB" w:rsidRPr="00B66802" w14:paraId="72A615D2"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2890B8A8"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Net Domestic Assets</w:t>
                  </w:r>
                </w:p>
              </w:tc>
              <w:tc>
                <w:tcPr>
                  <w:tcW w:w="362" w:type="pct"/>
                  <w:tcBorders>
                    <w:top w:val="nil"/>
                    <w:left w:val="nil"/>
                    <w:bottom w:val="nil"/>
                    <w:right w:val="nil"/>
                  </w:tcBorders>
                  <w:shd w:val="clear" w:color="auto" w:fill="auto"/>
                  <w:noWrap/>
                  <w:vAlign w:val="bottom"/>
                  <w:hideMark/>
                </w:tcPr>
                <w:p w14:paraId="5308E085"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8.0</w:t>
                  </w:r>
                </w:p>
              </w:tc>
              <w:tc>
                <w:tcPr>
                  <w:tcW w:w="363" w:type="pct"/>
                  <w:tcBorders>
                    <w:top w:val="nil"/>
                    <w:left w:val="nil"/>
                    <w:bottom w:val="nil"/>
                    <w:right w:val="nil"/>
                  </w:tcBorders>
                  <w:shd w:val="clear" w:color="auto" w:fill="auto"/>
                  <w:noWrap/>
                  <w:vAlign w:val="bottom"/>
                  <w:hideMark/>
                </w:tcPr>
                <w:p w14:paraId="169A1FD7"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8.3</w:t>
                  </w:r>
                </w:p>
              </w:tc>
              <w:tc>
                <w:tcPr>
                  <w:tcW w:w="363" w:type="pct"/>
                  <w:tcBorders>
                    <w:top w:val="nil"/>
                    <w:left w:val="nil"/>
                    <w:bottom w:val="nil"/>
                    <w:right w:val="nil"/>
                  </w:tcBorders>
                  <w:shd w:val="clear" w:color="auto" w:fill="auto"/>
                  <w:noWrap/>
                  <w:vAlign w:val="bottom"/>
                  <w:hideMark/>
                </w:tcPr>
                <w:p w14:paraId="31C4468F"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11.4</w:t>
                  </w:r>
                </w:p>
              </w:tc>
              <w:tc>
                <w:tcPr>
                  <w:tcW w:w="362" w:type="pct"/>
                  <w:tcBorders>
                    <w:top w:val="nil"/>
                    <w:left w:val="nil"/>
                    <w:bottom w:val="nil"/>
                    <w:right w:val="nil"/>
                  </w:tcBorders>
                  <w:shd w:val="clear" w:color="auto" w:fill="auto"/>
                  <w:noWrap/>
                  <w:vAlign w:val="bottom"/>
                  <w:hideMark/>
                </w:tcPr>
                <w:p w14:paraId="51D3B26A"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10.8</w:t>
                  </w:r>
                </w:p>
              </w:tc>
              <w:tc>
                <w:tcPr>
                  <w:tcW w:w="363" w:type="pct"/>
                  <w:tcBorders>
                    <w:top w:val="nil"/>
                    <w:left w:val="nil"/>
                    <w:bottom w:val="nil"/>
                    <w:right w:val="nil"/>
                  </w:tcBorders>
                  <w:shd w:val="clear" w:color="auto" w:fill="auto"/>
                  <w:noWrap/>
                  <w:vAlign w:val="bottom"/>
                  <w:hideMark/>
                </w:tcPr>
                <w:p w14:paraId="41707DE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22.9</w:t>
                  </w:r>
                </w:p>
              </w:tc>
              <w:tc>
                <w:tcPr>
                  <w:tcW w:w="363" w:type="pct"/>
                  <w:tcBorders>
                    <w:top w:val="nil"/>
                    <w:left w:val="nil"/>
                    <w:bottom w:val="nil"/>
                    <w:right w:val="nil"/>
                  </w:tcBorders>
                  <w:shd w:val="clear" w:color="auto" w:fill="auto"/>
                  <w:noWrap/>
                  <w:vAlign w:val="bottom"/>
                  <w:hideMark/>
                </w:tcPr>
                <w:p w14:paraId="1399CD66"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12.2</w:t>
                  </w:r>
                </w:p>
              </w:tc>
              <w:tc>
                <w:tcPr>
                  <w:tcW w:w="362" w:type="pct"/>
                  <w:tcBorders>
                    <w:top w:val="nil"/>
                    <w:left w:val="nil"/>
                    <w:bottom w:val="nil"/>
                    <w:right w:val="nil"/>
                  </w:tcBorders>
                  <w:shd w:val="clear" w:color="auto" w:fill="auto"/>
                  <w:noWrap/>
                  <w:vAlign w:val="bottom"/>
                  <w:hideMark/>
                </w:tcPr>
                <w:p w14:paraId="0E697F6D"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13.3</w:t>
                  </w:r>
                </w:p>
              </w:tc>
              <w:tc>
                <w:tcPr>
                  <w:tcW w:w="363" w:type="pct"/>
                  <w:tcBorders>
                    <w:top w:val="nil"/>
                    <w:left w:val="nil"/>
                    <w:bottom w:val="nil"/>
                    <w:right w:val="nil"/>
                  </w:tcBorders>
                  <w:shd w:val="clear" w:color="auto" w:fill="auto"/>
                  <w:noWrap/>
                  <w:vAlign w:val="bottom"/>
                  <w:hideMark/>
                </w:tcPr>
                <w:p w14:paraId="004A2303"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14.0</w:t>
                  </w:r>
                </w:p>
              </w:tc>
              <w:tc>
                <w:tcPr>
                  <w:tcW w:w="363" w:type="pct"/>
                  <w:tcBorders>
                    <w:top w:val="nil"/>
                    <w:left w:val="nil"/>
                    <w:bottom w:val="nil"/>
                    <w:right w:val="nil"/>
                  </w:tcBorders>
                  <w:shd w:val="clear" w:color="auto" w:fill="auto"/>
                  <w:noWrap/>
                  <w:vAlign w:val="bottom"/>
                  <w:hideMark/>
                </w:tcPr>
                <w:p w14:paraId="372DD639"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14.4</w:t>
                  </w:r>
                </w:p>
              </w:tc>
              <w:tc>
                <w:tcPr>
                  <w:tcW w:w="364" w:type="pct"/>
                  <w:tcBorders>
                    <w:top w:val="nil"/>
                    <w:left w:val="nil"/>
                    <w:bottom w:val="nil"/>
                    <w:right w:val="single" w:sz="4" w:space="0" w:color="auto"/>
                  </w:tcBorders>
                  <w:shd w:val="clear" w:color="auto" w:fill="auto"/>
                  <w:noWrap/>
                  <w:vAlign w:val="bottom"/>
                  <w:hideMark/>
                </w:tcPr>
                <w:p w14:paraId="74802205"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14.3</w:t>
                  </w:r>
                </w:p>
              </w:tc>
            </w:tr>
            <w:tr w:rsidR="000B17FB" w:rsidRPr="00B66802" w14:paraId="7A171361"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68A00ACE" w14:textId="77777777" w:rsidR="000B17FB" w:rsidRPr="00F062BB" w:rsidRDefault="000B17FB" w:rsidP="000B17FB">
                  <w:pPr>
                    <w:spacing w:after="0" w:line="240" w:lineRule="auto"/>
                    <w:ind w:firstLineChars="200" w:firstLine="162"/>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of which: Credit to the Private Sector</w:t>
                  </w:r>
                </w:p>
              </w:tc>
              <w:tc>
                <w:tcPr>
                  <w:tcW w:w="362" w:type="pct"/>
                  <w:tcBorders>
                    <w:top w:val="nil"/>
                    <w:left w:val="nil"/>
                    <w:bottom w:val="nil"/>
                    <w:right w:val="nil"/>
                  </w:tcBorders>
                  <w:shd w:val="clear" w:color="auto" w:fill="auto"/>
                  <w:noWrap/>
                  <w:vAlign w:val="bottom"/>
                  <w:hideMark/>
                </w:tcPr>
                <w:p w14:paraId="5ECB61D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16.7</w:t>
                  </w:r>
                </w:p>
              </w:tc>
              <w:tc>
                <w:tcPr>
                  <w:tcW w:w="363" w:type="pct"/>
                  <w:tcBorders>
                    <w:top w:val="nil"/>
                    <w:left w:val="nil"/>
                    <w:bottom w:val="nil"/>
                    <w:right w:val="nil"/>
                  </w:tcBorders>
                  <w:shd w:val="clear" w:color="auto" w:fill="auto"/>
                  <w:noWrap/>
                  <w:vAlign w:val="bottom"/>
                  <w:hideMark/>
                </w:tcPr>
                <w:p w14:paraId="3B76641B"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18.4</w:t>
                  </w:r>
                </w:p>
              </w:tc>
              <w:tc>
                <w:tcPr>
                  <w:tcW w:w="363" w:type="pct"/>
                  <w:tcBorders>
                    <w:top w:val="nil"/>
                    <w:left w:val="nil"/>
                    <w:bottom w:val="nil"/>
                    <w:right w:val="nil"/>
                  </w:tcBorders>
                  <w:shd w:val="clear" w:color="auto" w:fill="auto"/>
                  <w:noWrap/>
                  <w:vAlign w:val="bottom"/>
                  <w:hideMark/>
                </w:tcPr>
                <w:p w14:paraId="47EB2D36"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16.5</w:t>
                  </w:r>
                </w:p>
              </w:tc>
              <w:tc>
                <w:tcPr>
                  <w:tcW w:w="362" w:type="pct"/>
                  <w:tcBorders>
                    <w:top w:val="nil"/>
                    <w:left w:val="nil"/>
                    <w:bottom w:val="nil"/>
                    <w:right w:val="nil"/>
                  </w:tcBorders>
                  <w:shd w:val="clear" w:color="auto" w:fill="auto"/>
                  <w:noWrap/>
                  <w:vAlign w:val="bottom"/>
                  <w:hideMark/>
                </w:tcPr>
                <w:p w14:paraId="24323C7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8.2</w:t>
                  </w:r>
                </w:p>
              </w:tc>
              <w:tc>
                <w:tcPr>
                  <w:tcW w:w="363" w:type="pct"/>
                  <w:tcBorders>
                    <w:top w:val="nil"/>
                    <w:left w:val="nil"/>
                    <w:bottom w:val="nil"/>
                    <w:right w:val="nil"/>
                  </w:tcBorders>
                  <w:shd w:val="clear" w:color="auto" w:fill="auto"/>
                  <w:noWrap/>
                  <w:vAlign w:val="bottom"/>
                  <w:hideMark/>
                </w:tcPr>
                <w:p w14:paraId="3645B45C"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12.8</w:t>
                  </w:r>
                </w:p>
              </w:tc>
              <w:tc>
                <w:tcPr>
                  <w:tcW w:w="363" w:type="pct"/>
                  <w:tcBorders>
                    <w:top w:val="nil"/>
                    <w:left w:val="nil"/>
                    <w:bottom w:val="nil"/>
                    <w:right w:val="nil"/>
                  </w:tcBorders>
                  <w:shd w:val="clear" w:color="auto" w:fill="auto"/>
                  <w:noWrap/>
                  <w:vAlign w:val="bottom"/>
                  <w:hideMark/>
                </w:tcPr>
                <w:p w14:paraId="2B250A2F"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16.9</w:t>
                  </w:r>
                </w:p>
              </w:tc>
              <w:tc>
                <w:tcPr>
                  <w:tcW w:w="362" w:type="pct"/>
                  <w:tcBorders>
                    <w:top w:val="nil"/>
                    <w:left w:val="nil"/>
                    <w:bottom w:val="nil"/>
                    <w:right w:val="nil"/>
                  </w:tcBorders>
                  <w:shd w:val="clear" w:color="auto" w:fill="auto"/>
                  <w:noWrap/>
                  <w:vAlign w:val="bottom"/>
                  <w:hideMark/>
                </w:tcPr>
                <w:p w14:paraId="470481F8"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15.1</w:t>
                  </w:r>
                </w:p>
              </w:tc>
              <w:tc>
                <w:tcPr>
                  <w:tcW w:w="363" w:type="pct"/>
                  <w:tcBorders>
                    <w:top w:val="nil"/>
                    <w:left w:val="nil"/>
                    <w:bottom w:val="nil"/>
                    <w:right w:val="nil"/>
                  </w:tcBorders>
                  <w:shd w:val="clear" w:color="auto" w:fill="auto"/>
                  <w:noWrap/>
                  <w:vAlign w:val="bottom"/>
                  <w:hideMark/>
                </w:tcPr>
                <w:p w14:paraId="12FAD938"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14.7</w:t>
                  </w:r>
                </w:p>
              </w:tc>
              <w:tc>
                <w:tcPr>
                  <w:tcW w:w="363" w:type="pct"/>
                  <w:tcBorders>
                    <w:top w:val="nil"/>
                    <w:left w:val="nil"/>
                    <w:bottom w:val="nil"/>
                    <w:right w:val="nil"/>
                  </w:tcBorders>
                  <w:shd w:val="clear" w:color="auto" w:fill="auto"/>
                  <w:noWrap/>
                  <w:vAlign w:val="bottom"/>
                  <w:hideMark/>
                </w:tcPr>
                <w:p w14:paraId="3C6BEFD1"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14.4</w:t>
                  </w:r>
                </w:p>
              </w:tc>
              <w:tc>
                <w:tcPr>
                  <w:tcW w:w="364" w:type="pct"/>
                  <w:tcBorders>
                    <w:top w:val="nil"/>
                    <w:left w:val="nil"/>
                    <w:bottom w:val="nil"/>
                    <w:right w:val="single" w:sz="4" w:space="0" w:color="auto"/>
                  </w:tcBorders>
                  <w:shd w:val="clear" w:color="auto" w:fill="auto"/>
                  <w:noWrap/>
                  <w:vAlign w:val="bottom"/>
                  <w:hideMark/>
                </w:tcPr>
                <w:p w14:paraId="13DC00CA"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14.0</w:t>
                  </w:r>
                </w:p>
              </w:tc>
            </w:tr>
            <w:tr w:rsidR="000B17FB" w:rsidRPr="00B66802" w14:paraId="2ACBF21C"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624F73D0"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c>
                <w:tcPr>
                  <w:tcW w:w="362" w:type="pct"/>
                  <w:tcBorders>
                    <w:top w:val="nil"/>
                    <w:left w:val="nil"/>
                    <w:bottom w:val="nil"/>
                    <w:right w:val="nil"/>
                  </w:tcBorders>
                  <w:shd w:val="clear" w:color="auto" w:fill="auto"/>
                  <w:noWrap/>
                  <w:vAlign w:val="bottom"/>
                  <w:hideMark/>
                </w:tcPr>
                <w:p w14:paraId="1D1ACAE8"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27E6DFAE"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5F1FCEEE"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2" w:type="pct"/>
                  <w:tcBorders>
                    <w:top w:val="nil"/>
                    <w:left w:val="nil"/>
                    <w:bottom w:val="nil"/>
                    <w:right w:val="nil"/>
                  </w:tcBorders>
                  <w:shd w:val="clear" w:color="auto" w:fill="auto"/>
                  <w:noWrap/>
                  <w:vAlign w:val="bottom"/>
                  <w:hideMark/>
                </w:tcPr>
                <w:p w14:paraId="62526D8E"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0F41CC69"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6A4B9A3B"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2" w:type="pct"/>
                  <w:tcBorders>
                    <w:top w:val="nil"/>
                    <w:left w:val="nil"/>
                    <w:bottom w:val="nil"/>
                    <w:right w:val="nil"/>
                  </w:tcBorders>
                  <w:shd w:val="clear" w:color="auto" w:fill="auto"/>
                  <w:noWrap/>
                  <w:vAlign w:val="bottom"/>
                  <w:hideMark/>
                </w:tcPr>
                <w:p w14:paraId="7168AB36"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577D3864"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79E9453E"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4" w:type="pct"/>
                  <w:tcBorders>
                    <w:top w:val="nil"/>
                    <w:left w:val="nil"/>
                    <w:bottom w:val="nil"/>
                    <w:right w:val="single" w:sz="4" w:space="0" w:color="auto"/>
                  </w:tcBorders>
                  <w:shd w:val="clear" w:color="auto" w:fill="auto"/>
                  <w:noWrap/>
                  <w:vAlign w:val="bottom"/>
                  <w:hideMark/>
                </w:tcPr>
                <w:p w14:paraId="05125177"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r>
            <w:tr w:rsidR="000B17FB" w:rsidRPr="00B66802" w14:paraId="1090D586"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6D13F8A2" w14:textId="77777777" w:rsidR="000B17FB" w:rsidRPr="00F062BB" w:rsidRDefault="000B17FB" w:rsidP="000B17FB">
                  <w:pPr>
                    <w:spacing w:after="0" w:line="240" w:lineRule="auto"/>
                    <w:rPr>
                      <w:rFonts w:asciiTheme="minorHAnsi" w:eastAsia="Times New Roman" w:hAnsiTheme="minorHAnsi" w:cstheme="minorHAnsi"/>
                      <w:b/>
                      <w:bCs/>
                      <w:i/>
                      <w:iCs/>
                      <w:sz w:val="16"/>
                      <w:szCs w:val="16"/>
                    </w:rPr>
                  </w:pPr>
                  <w:r w:rsidRPr="00F062BB">
                    <w:rPr>
                      <w:rFonts w:asciiTheme="minorHAnsi" w:eastAsia="Times New Roman" w:hAnsiTheme="minorHAnsi" w:cstheme="minorHAnsi"/>
                      <w:b/>
                      <w:bCs/>
                      <w:i/>
                      <w:iCs/>
                      <w:sz w:val="16"/>
                      <w:szCs w:val="16"/>
                    </w:rPr>
                    <w:t>External sector (%GDP)</w:t>
                  </w:r>
                </w:p>
              </w:tc>
              <w:tc>
                <w:tcPr>
                  <w:tcW w:w="362" w:type="pct"/>
                  <w:tcBorders>
                    <w:top w:val="nil"/>
                    <w:left w:val="nil"/>
                    <w:bottom w:val="nil"/>
                    <w:right w:val="nil"/>
                  </w:tcBorders>
                  <w:shd w:val="clear" w:color="auto" w:fill="auto"/>
                  <w:noWrap/>
                  <w:vAlign w:val="bottom"/>
                  <w:hideMark/>
                </w:tcPr>
                <w:p w14:paraId="32363E3D" w14:textId="77777777" w:rsidR="000B17FB" w:rsidRPr="00F062BB" w:rsidRDefault="000B17FB" w:rsidP="000B17FB">
                  <w:pPr>
                    <w:spacing w:after="0" w:line="240" w:lineRule="auto"/>
                    <w:rPr>
                      <w:rFonts w:asciiTheme="minorHAnsi" w:eastAsia="Times New Roman" w:hAnsiTheme="minorHAnsi" w:cstheme="minorHAnsi"/>
                      <w:b/>
                      <w:bCs/>
                      <w:i/>
                      <w:iCs/>
                      <w:sz w:val="16"/>
                      <w:szCs w:val="16"/>
                    </w:rPr>
                  </w:pPr>
                </w:p>
              </w:tc>
              <w:tc>
                <w:tcPr>
                  <w:tcW w:w="363" w:type="pct"/>
                  <w:tcBorders>
                    <w:top w:val="nil"/>
                    <w:left w:val="nil"/>
                    <w:bottom w:val="nil"/>
                    <w:right w:val="nil"/>
                  </w:tcBorders>
                  <w:shd w:val="clear" w:color="auto" w:fill="auto"/>
                  <w:noWrap/>
                  <w:vAlign w:val="bottom"/>
                  <w:hideMark/>
                </w:tcPr>
                <w:p w14:paraId="65FE667A"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6BAE38A0"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2" w:type="pct"/>
                  <w:tcBorders>
                    <w:top w:val="nil"/>
                    <w:left w:val="nil"/>
                    <w:bottom w:val="nil"/>
                    <w:right w:val="nil"/>
                  </w:tcBorders>
                  <w:shd w:val="clear" w:color="auto" w:fill="auto"/>
                  <w:noWrap/>
                  <w:vAlign w:val="bottom"/>
                  <w:hideMark/>
                </w:tcPr>
                <w:p w14:paraId="15BF37F5"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63D25FC9"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18B17B30"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2" w:type="pct"/>
                  <w:tcBorders>
                    <w:top w:val="nil"/>
                    <w:left w:val="nil"/>
                    <w:bottom w:val="nil"/>
                    <w:right w:val="nil"/>
                  </w:tcBorders>
                  <w:shd w:val="clear" w:color="auto" w:fill="auto"/>
                  <w:noWrap/>
                  <w:vAlign w:val="bottom"/>
                  <w:hideMark/>
                </w:tcPr>
                <w:p w14:paraId="6BCF99C1"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164A7F98"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3" w:type="pct"/>
                  <w:tcBorders>
                    <w:top w:val="nil"/>
                    <w:left w:val="nil"/>
                    <w:bottom w:val="nil"/>
                    <w:right w:val="nil"/>
                  </w:tcBorders>
                  <w:shd w:val="clear" w:color="auto" w:fill="auto"/>
                  <w:noWrap/>
                  <w:vAlign w:val="bottom"/>
                  <w:hideMark/>
                </w:tcPr>
                <w:p w14:paraId="430DB512" w14:textId="77777777" w:rsidR="000B17FB" w:rsidRPr="00F062BB" w:rsidRDefault="000B17FB" w:rsidP="000B17FB">
                  <w:pPr>
                    <w:spacing w:after="0" w:line="240" w:lineRule="auto"/>
                    <w:rPr>
                      <w:rFonts w:asciiTheme="minorHAnsi" w:eastAsia="Times New Roman" w:hAnsiTheme="minorHAnsi" w:cstheme="minorHAnsi"/>
                      <w:sz w:val="16"/>
                      <w:szCs w:val="16"/>
                    </w:rPr>
                  </w:pPr>
                </w:p>
              </w:tc>
              <w:tc>
                <w:tcPr>
                  <w:tcW w:w="364" w:type="pct"/>
                  <w:tcBorders>
                    <w:top w:val="nil"/>
                    <w:left w:val="nil"/>
                    <w:bottom w:val="nil"/>
                    <w:right w:val="single" w:sz="4" w:space="0" w:color="auto"/>
                  </w:tcBorders>
                  <w:shd w:val="clear" w:color="auto" w:fill="auto"/>
                  <w:noWrap/>
                  <w:vAlign w:val="bottom"/>
                  <w:hideMark/>
                </w:tcPr>
                <w:p w14:paraId="7FE85EFC"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r>
            <w:tr w:rsidR="000B17FB" w:rsidRPr="00B66802" w14:paraId="1E54A41B"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1F5C1F6B"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Exports of goods</w:t>
                  </w:r>
                </w:p>
              </w:tc>
              <w:tc>
                <w:tcPr>
                  <w:tcW w:w="362" w:type="pct"/>
                  <w:tcBorders>
                    <w:top w:val="nil"/>
                    <w:left w:val="nil"/>
                    <w:bottom w:val="nil"/>
                    <w:right w:val="nil"/>
                  </w:tcBorders>
                  <w:shd w:val="clear" w:color="auto" w:fill="auto"/>
                  <w:noWrap/>
                  <w:vAlign w:val="bottom"/>
                  <w:hideMark/>
                </w:tcPr>
                <w:p w14:paraId="2C2E0604"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18.1</w:t>
                  </w:r>
                </w:p>
              </w:tc>
              <w:tc>
                <w:tcPr>
                  <w:tcW w:w="363" w:type="pct"/>
                  <w:tcBorders>
                    <w:top w:val="nil"/>
                    <w:left w:val="nil"/>
                    <w:bottom w:val="nil"/>
                    <w:right w:val="nil"/>
                  </w:tcBorders>
                  <w:shd w:val="clear" w:color="auto" w:fill="auto"/>
                  <w:noWrap/>
                  <w:vAlign w:val="bottom"/>
                  <w:hideMark/>
                </w:tcPr>
                <w:p w14:paraId="7CA99F7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20.6</w:t>
                  </w:r>
                </w:p>
              </w:tc>
              <w:tc>
                <w:tcPr>
                  <w:tcW w:w="363" w:type="pct"/>
                  <w:tcBorders>
                    <w:top w:val="nil"/>
                    <w:left w:val="nil"/>
                    <w:bottom w:val="nil"/>
                    <w:right w:val="nil"/>
                  </w:tcBorders>
                  <w:shd w:val="clear" w:color="auto" w:fill="auto"/>
                  <w:noWrap/>
                  <w:vAlign w:val="bottom"/>
                  <w:hideMark/>
                </w:tcPr>
                <w:p w14:paraId="12588F06"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21.0</w:t>
                  </w:r>
                </w:p>
              </w:tc>
              <w:tc>
                <w:tcPr>
                  <w:tcW w:w="362" w:type="pct"/>
                  <w:tcBorders>
                    <w:top w:val="nil"/>
                    <w:left w:val="nil"/>
                    <w:bottom w:val="nil"/>
                    <w:right w:val="nil"/>
                  </w:tcBorders>
                  <w:shd w:val="clear" w:color="auto" w:fill="auto"/>
                  <w:noWrap/>
                  <w:vAlign w:val="bottom"/>
                  <w:hideMark/>
                </w:tcPr>
                <w:p w14:paraId="6A73A288"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21.6</w:t>
                  </w:r>
                </w:p>
              </w:tc>
              <w:tc>
                <w:tcPr>
                  <w:tcW w:w="363" w:type="pct"/>
                  <w:tcBorders>
                    <w:top w:val="nil"/>
                    <w:left w:val="nil"/>
                    <w:bottom w:val="nil"/>
                    <w:right w:val="nil"/>
                  </w:tcBorders>
                  <w:shd w:val="clear" w:color="auto" w:fill="auto"/>
                  <w:noWrap/>
                  <w:vAlign w:val="bottom"/>
                  <w:hideMark/>
                </w:tcPr>
                <w:p w14:paraId="712F34F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20.8</w:t>
                  </w:r>
                </w:p>
              </w:tc>
              <w:tc>
                <w:tcPr>
                  <w:tcW w:w="363" w:type="pct"/>
                  <w:tcBorders>
                    <w:top w:val="nil"/>
                    <w:left w:val="nil"/>
                    <w:bottom w:val="nil"/>
                    <w:right w:val="nil"/>
                  </w:tcBorders>
                  <w:shd w:val="clear" w:color="auto" w:fill="auto"/>
                  <w:noWrap/>
                  <w:vAlign w:val="bottom"/>
                  <w:hideMark/>
                </w:tcPr>
                <w:p w14:paraId="3B0ECCDB"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20.2</w:t>
                  </w:r>
                </w:p>
              </w:tc>
              <w:tc>
                <w:tcPr>
                  <w:tcW w:w="362" w:type="pct"/>
                  <w:tcBorders>
                    <w:top w:val="nil"/>
                    <w:left w:val="nil"/>
                    <w:bottom w:val="nil"/>
                    <w:right w:val="nil"/>
                  </w:tcBorders>
                  <w:shd w:val="clear" w:color="auto" w:fill="auto"/>
                  <w:noWrap/>
                  <w:vAlign w:val="bottom"/>
                  <w:hideMark/>
                </w:tcPr>
                <w:p w14:paraId="41D5B62A"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20.7</w:t>
                  </w:r>
                </w:p>
              </w:tc>
              <w:tc>
                <w:tcPr>
                  <w:tcW w:w="363" w:type="pct"/>
                  <w:tcBorders>
                    <w:top w:val="nil"/>
                    <w:left w:val="nil"/>
                    <w:bottom w:val="nil"/>
                    <w:right w:val="nil"/>
                  </w:tcBorders>
                  <w:shd w:val="clear" w:color="auto" w:fill="auto"/>
                  <w:noWrap/>
                  <w:vAlign w:val="bottom"/>
                  <w:hideMark/>
                </w:tcPr>
                <w:p w14:paraId="3EBA4379"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21.5</w:t>
                  </w:r>
                </w:p>
              </w:tc>
              <w:tc>
                <w:tcPr>
                  <w:tcW w:w="363" w:type="pct"/>
                  <w:tcBorders>
                    <w:top w:val="nil"/>
                    <w:left w:val="nil"/>
                    <w:bottom w:val="nil"/>
                    <w:right w:val="nil"/>
                  </w:tcBorders>
                  <w:shd w:val="clear" w:color="auto" w:fill="auto"/>
                  <w:noWrap/>
                  <w:vAlign w:val="bottom"/>
                  <w:hideMark/>
                </w:tcPr>
                <w:p w14:paraId="0ABB471C"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22.2</w:t>
                  </w:r>
                </w:p>
              </w:tc>
              <w:tc>
                <w:tcPr>
                  <w:tcW w:w="364" w:type="pct"/>
                  <w:tcBorders>
                    <w:top w:val="nil"/>
                    <w:left w:val="nil"/>
                    <w:bottom w:val="nil"/>
                    <w:right w:val="single" w:sz="4" w:space="0" w:color="auto"/>
                  </w:tcBorders>
                  <w:shd w:val="clear" w:color="auto" w:fill="auto"/>
                  <w:noWrap/>
                  <w:vAlign w:val="bottom"/>
                  <w:hideMark/>
                </w:tcPr>
                <w:p w14:paraId="4DA3C1F5"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22.6</w:t>
                  </w:r>
                </w:p>
              </w:tc>
            </w:tr>
            <w:tr w:rsidR="000B17FB" w:rsidRPr="00B66802" w14:paraId="3612489A"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302859F4"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Imports of goods</w:t>
                  </w:r>
                </w:p>
              </w:tc>
              <w:tc>
                <w:tcPr>
                  <w:tcW w:w="362" w:type="pct"/>
                  <w:tcBorders>
                    <w:top w:val="nil"/>
                    <w:left w:val="nil"/>
                    <w:bottom w:val="nil"/>
                    <w:right w:val="nil"/>
                  </w:tcBorders>
                  <w:shd w:val="clear" w:color="auto" w:fill="auto"/>
                  <w:noWrap/>
                  <w:vAlign w:val="bottom"/>
                  <w:hideMark/>
                </w:tcPr>
                <w:p w14:paraId="170FBDAF"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30.7</w:t>
                  </w:r>
                </w:p>
              </w:tc>
              <w:tc>
                <w:tcPr>
                  <w:tcW w:w="363" w:type="pct"/>
                  <w:tcBorders>
                    <w:top w:val="nil"/>
                    <w:left w:val="nil"/>
                    <w:bottom w:val="nil"/>
                    <w:right w:val="nil"/>
                  </w:tcBorders>
                  <w:shd w:val="clear" w:color="auto" w:fill="auto"/>
                  <w:noWrap/>
                  <w:vAlign w:val="bottom"/>
                  <w:hideMark/>
                </w:tcPr>
                <w:p w14:paraId="51ECA675"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30.2</w:t>
                  </w:r>
                </w:p>
              </w:tc>
              <w:tc>
                <w:tcPr>
                  <w:tcW w:w="363" w:type="pct"/>
                  <w:tcBorders>
                    <w:top w:val="nil"/>
                    <w:left w:val="nil"/>
                    <w:bottom w:val="nil"/>
                    <w:right w:val="nil"/>
                  </w:tcBorders>
                  <w:shd w:val="clear" w:color="auto" w:fill="auto"/>
                  <w:noWrap/>
                  <w:vAlign w:val="bottom"/>
                  <w:hideMark/>
                </w:tcPr>
                <w:p w14:paraId="7EBAC61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28.7</w:t>
                  </w:r>
                </w:p>
              </w:tc>
              <w:tc>
                <w:tcPr>
                  <w:tcW w:w="362" w:type="pct"/>
                  <w:tcBorders>
                    <w:top w:val="nil"/>
                    <w:left w:val="nil"/>
                    <w:bottom w:val="nil"/>
                    <w:right w:val="nil"/>
                  </w:tcBorders>
                  <w:shd w:val="clear" w:color="auto" w:fill="auto"/>
                  <w:noWrap/>
                  <w:vAlign w:val="bottom"/>
                  <w:hideMark/>
                </w:tcPr>
                <w:p w14:paraId="5E4D8C2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28.6</w:t>
                  </w:r>
                </w:p>
              </w:tc>
              <w:tc>
                <w:tcPr>
                  <w:tcW w:w="363" w:type="pct"/>
                  <w:tcBorders>
                    <w:top w:val="nil"/>
                    <w:left w:val="nil"/>
                    <w:bottom w:val="nil"/>
                    <w:right w:val="nil"/>
                  </w:tcBorders>
                  <w:shd w:val="clear" w:color="auto" w:fill="auto"/>
                  <w:noWrap/>
                  <w:vAlign w:val="bottom"/>
                  <w:hideMark/>
                </w:tcPr>
                <w:p w14:paraId="6005EE4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31.0</w:t>
                  </w:r>
                </w:p>
              </w:tc>
              <w:tc>
                <w:tcPr>
                  <w:tcW w:w="363" w:type="pct"/>
                  <w:tcBorders>
                    <w:top w:val="nil"/>
                    <w:left w:val="nil"/>
                    <w:bottom w:val="nil"/>
                    <w:right w:val="nil"/>
                  </w:tcBorders>
                  <w:shd w:val="clear" w:color="auto" w:fill="auto"/>
                  <w:noWrap/>
                  <w:vAlign w:val="bottom"/>
                  <w:hideMark/>
                </w:tcPr>
                <w:p w14:paraId="5E92481F"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30.1</w:t>
                  </w:r>
                </w:p>
              </w:tc>
              <w:tc>
                <w:tcPr>
                  <w:tcW w:w="362" w:type="pct"/>
                  <w:tcBorders>
                    <w:top w:val="nil"/>
                    <w:left w:val="nil"/>
                    <w:bottom w:val="nil"/>
                    <w:right w:val="nil"/>
                  </w:tcBorders>
                  <w:shd w:val="clear" w:color="auto" w:fill="auto"/>
                  <w:noWrap/>
                  <w:vAlign w:val="bottom"/>
                  <w:hideMark/>
                </w:tcPr>
                <w:p w14:paraId="2CE5A78D"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31.3</w:t>
                  </w:r>
                </w:p>
              </w:tc>
              <w:tc>
                <w:tcPr>
                  <w:tcW w:w="363" w:type="pct"/>
                  <w:tcBorders>
                    <w:top w:val="nil"/>
                    <w:left w:val="nil"/>
                    <w:bottom w:val="nil"/>
                    <w:right w:val="nil"/>
                  </w:tcBorders>
                  <w:shd w:val="clear" w:color="auto" w:fill="auto"/>
                  <w:noWrap/>
                  <w:vAlign w:val="bottom"/>
                  <w:hideMark/>
                </w:tcPr>
                <w:p w14:paraId="0159A158"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31.7</w:t>
                  </w:r>
                </w:p>
              </w:tc>
              <w:tc>
                <w:tcPr>
                  <w:tcW w:w="363" w:type="pct"/>
                  <w:tcBorders>
                    <w:top w:val="nil"/>
                    <w:left w:val="nil"/>
                    <w:bottom w:val="nil"/>
                    <w:right w:val="nil"/>
                  </w:tcBorders>
                  <w:shd w:val="clear" w:color="auto" w:fill="auto"/>
                  <w:noWrap/>
                  <w:vAlign w:val="bottom"/>
                  <w:hideMark/>
                </w:tcPr>
                <w:p w14:paraId="668F6DA1"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31.9</w:t>
                  </w:r>
                </w:p>
              </w:tc>
              <w:tc>
                <w:tcPr>
                  <w:tcW w:w="364" w:type="pct"/>
                  <w:tcBorders>
                    <w:top w:val="nil"/>
                    <w:left w:val="nil"/>
                    <w:bottom w:val="nil"/>
                    <w:right w:val="single" w:sz="4" w:space="0" w:color="auto"/>
                  </w:tcBorders>
                  <w:shd w:val="clear" w:color="auto" w:fill="auto"/>
                  <w:noWrap/>
                  <w:vAlign w:val="bottom"/>
                  <w:hideMark/>
                </w:tcPr>
                <w:p w14:paraId="276DB054"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32.2</w:t>
                  </w:r>
                </w:p>
              </w:tc>
            </w:tr>
            <w:tr w:rsidR="000B17FB" w:rsidRPr="00B66802" w14:paraId="4EF465D4"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76781DB9"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Current account balance</w:t>
                  </w:r>
                </w:p>
              </w:tc>
              <w:tc>
                <w:tcPr>
                  <w:tcW w:w="362" w:type="pct"/>
                  <w:tcBorders>
                    <w:top w:val="nil"/>
                    <w:left w:val="nil"/>
                    <w:bottom w:val="nil"/>
                    <w:right w:val="nil"/>
                  </w:tcBorders>
                  <w:shd w:val="clear" w:color="auto" w:fill="auto"/>
                  <w:noWrap/>
                  <w:vAlign w:val="bottom"/>
                  <w:hideMark/>
                </w:tcPr>
                <w:p w14:paraId="791943FB"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-5.9</w:t>
                  </w:r>
                </w:p>
              </w:tc>
              <w:tc>
                <w:tcPr>
                  <w:tcW w:w="363" w:type="pct"/>
                  <w:tcBorders>
                    <w:top w:val="nil"/>
                    <w:left w:val="nil"/>
                    <w:bottom w:val="nil"/>
                    <w:right w:val="nil"/>
                  </w:tcBorders>
                  <w:shd w:val="clear" w:color="auto" w:fill="auto"/>
                  <w:noWrap/>
                  <w:vAlign w:val="bottom"/>
                  <w:hideMark/>
                </w:tcPr>
                <w:p w14:paraId="5951E519"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-0.3</w:t>
                  </w:r>
                </w:p>
              </w:tc>
              <w:tc>
                <w:tcPr>
                  <w:tcW w:w="363" w:type="pct"/>
                  <w:tcBorders>
                    <w:top w:val="nil"/>
                    <w:left w:val="nil"/>
                    <w:bottom w:val="nil"/>
                    <w:right w:val="nil"/>
                  </w:tcBorders>
                  <w:shd w:val="clear" w:color="auto" w:fill="auto"/>
                  <w:noWrap/>
                  <w:vAlign w:val="bottom"/>
                  <w:hideMark/>
                </w:tcPr>
                <w:p w14:paraId="35CEE618"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-1.9</w:t>
                  </w:r>
                </w:p>
              </w:tc>
              <w:tc>
                <w:tcPr>
                  <w:tcW w:w="362" w:type="pct"/>
                  <w:tcBorders>
                    <w:top w:val="nil"/>
                    <w:left w:val="nil"/>
                    <w:bottom w:val="nil"/>
                    <w:right w:val="nil"/>
                  </w:tcBorders>
                  <w:shd w:val="clear" w:color="auto" w:fill="auto"/>
                  <w:noWrap/>
                  <w:vAlign w:val="bottom"/>
                  <w:hideMark/>
                </w:tcPr>
                <w:p w14:paraId="5D5E03C7"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0.6</w:t>
                  </w:r>
                </w:p>
              </w:tc>
              <w:tc>
                <w:tcPr>
                  <w:tcW w:w="363" w:type="pct"/>
                  <w:tcBorders>
                    <w:top w:val="nil"/>
                    <w:left w:val="nil"/>
                    <w:bottom w:val="nil"/>
                    <w:right w:val="nil"/>
                  </w:tcBorders>
                  <w:shd w:val="clear" w:color="auto" w:fill="auto"/>
                  <w:noWrap/>
                  <w:vAlign w:val="bottom"/>
                  <w:hideMark/>
                </w:tcPr>
                <w:p w14:paraId="7AC3DA0F"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-3.4</w:t>
                  </w:r>
                </w:p>
              </w:tc>
              <w:tc>
                <w:tcPr>
                  <w:tcW w:w="363" w:type="pct"/>
                  <w:tcBorders>
                    <w:top w:val="nil"/>
                    <w:left w:val="nil"/>
                    <w:bottom w:val="nil"/>
                    <w:right w:val="nil"/>
                  </w:tcBorders>
                  <w:shd w:val="clear" w:color="auto" w:fill="auto"/>
                  <w:noWrap/>
                  <w:vAlign w:val="bottom"/>
                  <w:hideMark/>
                </w:tcPr>
                <w:p w14:paraId="46915973"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-4.1</w:t>
                  </w:r>
                </w:p>
              </w:tc>
              <w:tc>
                <w:tcPr>
                  <w:tcW w:w="362" w:type="pct"/>
                  <w:tcBorders>
                    <w:top w:val="nil"/>
                    <w:left w:val="nil"/>
                    <w:bottom w:val="nil"/>
                    <w:right w:val="nil"/>
                  </w:tcBorders>
                  <w:shd w:val="clear" w:color="auto" w:fill="auto"/>
                  <w:noWrap/>
                  <w:vAlign w:val="bottom"/>
                  <w:hideMark/>
                </w:tcPr>
                <w:p w14:paraId="51216F1D"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-4.3</w:t>
                  </w:r>
                </w:p>
              </w:tc>
              <w:tc>
                <w:tcPr>
                  <w:tcW w:w="363" w:type="pct"/>
                  <w:tcBorders>
                    <w:top w:val="nil"/>
                    <w:left w:val="nil"/>
                    <w:bottom w:val="nil"/>
                    <w:right w:val="nil"/>
                  </w:tcBorders>
                  <w:shd w:val="clear" w:color="auto" w:fill="auto"/>
                  <w:noWrap/>
                  <w:vAlign w:val="bottom"/>
                  <w:hideMark/>
                </w:tcPr>
                <w:p w14:paraId="0AB0795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-4.1</w:t>
                  </w:r>
                </w:p>
              </w:tc>
              <w:tc>
                <w:tcPr>
                  <w:tcW w:w="363" w:type="pct"/>
                  <w:tcBorders>
                    <w:top w:val="nil"/>
                    <w:left w:val="nil"/>
                    <w:bottom w:val="nil"/>
                    <w:right w:val="nil"/>
                  </w:tcBorders>
                  <w:shd w:val="clear" w:color="auto" w:fill="auto"/>
                  <w:noWrap/>
                  <w:vAlign w:val="bottom"/>
                  <w:hideMark/>
                </w:tcPr>
                <w:p w14:paraId="2F2ABA5F"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-4.3</w:t>
                  </w:r>
                </w:p>
              </w:tc>
              <w:tc>
                <w:tcPr>
                  <w:tcW w:w="364" w:type="pct"/>
                  <w:tcBorders>
                    <w:top w:val="nil"/>
                    <w:left w:val="nil"/>
                    <w:bottom w:val="nil"/>
                    <w:right w:val="single" w:sz="4" w:space="0" w:color="auto"/>
                  </w:tcBorders>
                  <w:shd w:val="clear" w:color="auto" w:fill="auto"/>
                  <w:noWrap/>
                  <w:vAlign w:val="bottom"/>
                  <w:hideMark/>
                </w:tcPr>
                <w:p w14:paraId="153C8CDB"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-4.4</w:t>
                  </w:r>
                </w:p>
              </w:tc>
            </w:tr>
            <w:tr w:rsidR="000B17FB" w:rsidRPr="00B66802" w14:paraId="22C60527"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10F35FAB"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Foreign Direct Investment</w:t>
                  </w:r>
                </w:p>
              </w:tc>
              <w:tc>
                <w:tcPr>
                  <w:tcW w:w="362" w:type="pct"/>
                  <w:tcBorders>
                    <w:top w:val="nil"/>
                    <w:left w:val="nil"/>
                    <w:bottom w:val="nil"/>
                    <w:right w:val="nil"/>
                  </w:tcBorders>
                  <w:shd w:val="clear" w:color="auto" w:fill="auto"/>
                  <w:noWrap/>
                  <w:vAlign w:val="bottom"/>
                  <w:hideMark/>
                </w:tcPr>
                <w:p w14:paraId="63A9DAF1"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5.2</w:t>
                  </w:r>
                </w:p>
              </w:tc>
              <w:tc>
                <w:tcPr>
                  <w:tcW w:w="363" w:type="pct"/>
                  <w:tcBorders>
                    <w:top w:val="nil"/>
                    <w:left w:val="nil"/>
                    <w:bottom w:val="nil"/>
                    <w:right w:val="nil"/>
                  </w:tcBorders>
                  <w:shd w:val="clear" w:color="auto" w:fill="auto"/>
                  <w:noWrap/>
                  <w:vAlign w:val="bottom"/>
                  <w:hideMark/>
                </w:tcPr>
                <w:p w14:paraId="064135C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2.9</w:t>
                  </w:r>
                </w:p>
              </w:tc>
              <w:tc>
                <w:tcPr>
                  <w:tcW w:w="363" w:type="pct"/>
                  <w:tcBorders>
                    <w:top w:val="nil"/>
                    <w:left w:val="nil"/>
                    <w:bottom w:val="nil"/>
                    <w:right w:val="nil"/>
                  </w:tcBorders>
                  <w:shd w:val="clear" w:color="auto" w:fill="auto"/>
                  <w:noWrap/>
                  <w:vAlign w:val="bottom"/>
                  <w:hideMark/>
                </w:tcPr>
                <w:p w14:paraId="0EB7FDAA"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4.5</w:t>
                  </w:r>
                </w:p>
              </w:tc>
              <w:tc>
                <w:tcPr>
                  <w:tcW w:w="362" w:type="pct"/>
                  <w:tcBorders>
                    <w:top w:val="nil"/>
                    <w:left w:val="nil"/>
                    <w:bottom w:val="nil"/>
                    <w:right w:val="nil"/>
                  </w:tcBorders>
                  <w:shd w:val="clear" w:color="auto" w:fill="auto"/>
                  <w:noWrap/>
                  <w:vAlign w:val="bottom"/>
                  <w:hideMark/>
                </w:tcPr>
                <w:p w14:paraId="438B2059"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4.5</w:t>
                  </w:r>
                </w:p>
              </w:tc>
              <w:tc>
                <w:tcPr>
                  <w:tcW w:w="363" w:type="pct"/>
                  <w:tcBorders>
                    <w:top w:val="nil"/>
                    <w:left w:val="nil"/>
                    <w:bottom w:val="nil"/>
                    <w:right w:val="nil"/>
                  </w:tcBorders>
                  <w:shd w:val="clear" w:color="auto" w:fill="auto"/>
                  <w:noWrap/>
                  <w:vAlign w:val="bottom"/>
                  <w:hideMark/>
                </w:tcPr>
                <w:p w14:paraId="4B64DC0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3.6</w:t>
                  </w:r>
                </w:p>
              </w:tc>
              <w:tc>
                <w:tcPr>
                  <w:tcW w:w="363" w:type="pct"/>
                  <w:tcBorders>
                    <w:top w:val="nil"/>
                    <w:left w:val="nil"/>
                    <w:bottom w:val="nil"/>
                    <w:right w:val="nil"/>
                  </w:tcBorders>
                  <w:shd w:val="clear" w:color="auto" w:fill="auto"/>
                  <w:noWrap/>
                  <w:vAlign w:val="bottom"/>
                  <w:hideMark/>
                </w:tcPr>
                <w:p w14:paraId="77592538"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3.4</w:t>
                  </w:r>
                </w:p>
              </w:tc>
              <w:tc>
                <w:tcPr>
                  <w:tcW w:w="362" w:type="pct"/>
                  <w:tcBorders>
                    <w:top w:val="nil"/>
                    <w:left w:val="nil"/>
                    <w:bottom w:val="nil"/>
                    <w:right w:val="nil"/>
                  </w:tcBorders>
                  <w:shd w:val="clear" w:color="auto" w:fill="auto"/>
                  <w:noWrap/>
                  <w:vAlign w:val="bottom"/>
                  <w:hideMark/>
                </w:tcPr>
                <w:p w14:paraId="31F5D626"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3.4</w:t>
                  </w:r>
                </w:p>
              </w:tc>
              <w:tc>
                <w:tcPr>
                  <w:tcW w:w="363" w:type="pct"/>
                  <w:tcBorders>
                    <w:top w:val="nil"/>
                    <w:left w:val="nil"/>
                    <w:bottom w:val="nil"/>
                    <w:right w:val="nil"/>
                  </w:tcBorders>
                  <w:shd w:val="clear" w:color="auto" w:fill="auto"/>
                  <w:noWrap/>
                  <w:vAlign w:val="bottom"/>
                  <w:hideMark/>
                </w:tcPr>
                <w:p w14:paraId="3F252C9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3.4</w:t>
                  </w:r>
                </w:p>
              </w:tc>
              <w:tc>
                <w:tcPr>
                  <w:tcW w:w="363" w:type="pct"/>
                  <w:tcBorders>
                    <w:top w:val="nil"/>
                    <w:left w:val="nil"/>
                    <w:bottom w:val="nil"/>
                    <w:right w:val="nil"/>
                  </w:tcBorders>
                  <w:shd w:val="clear" w:color="auto" w:fill="auto"/>
                  <w:noWrap/>
                  <w:vAlign w:val="bottom"/>
                  <w:hideMark/>
                </w:tcPr>
                <w:p w14:paraId="102BC2CC"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3.4</w:t>
                  </w:r>
                </w:p>
              </w:tc>
              <w:tc>
                <w:tcPr>
                  <w:tcW w:w="364" w:type="pct"/>
                  <w:tcBorders>
                    <w:top w:val="nil"/>
                    <w:left w:val="nil"/>
                    <w:bottom w:val="nil"/>
                    <w:right w:val="single" w:sz="4" w:space="0" w:color="auto"/>
                  </w:tcBorders>
                  <w:shd w:val="clear" w:color="auto" w:fill="auto"/>
                  <w:noWrap/>
                  <w:vAlign w:val="bottom"/>
                  <w:hideMark/>
                </w:tcPr>
                <w:p w14:paraId="79DCB2D8"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3.5</w:t>
                  </w:r>
                </w:p>
              </w:tc>
            </w:tr>
            <w:tr w:rsidR="000B17FB" w:rsidRPr="00B66802" w14:paraId="548A04E2"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21C0663D" w14:textId="77777777" w:rsidR="000B17FB" w:rsidRPr="00F062BB" w:rsidRDefault="000B17FB" w:rsidP="000B17FB">
                  <w:pPr>
                    <w:spacing w:after="0" w:line="240" w:lineRule="auto"/>
                    <w:ind w:firstLineChars="100" w:firstLine="81"/>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Overall Balance</w:t>
                  </w:r>
                </w:p>
              </w:tc>
              <w:tc>
                <w:tcPr>
                  <w:tcW w:w="362" w:type="pct"/>
                  <w:tcBorders>
                    <w:top w:val="nil"/>
                    <w:left w:val="nil"/>
                    <w:bottom w:val="nil"/>
                    <w:right w:val="nil"/>
                  </w:tcBorders>
                  <w:shd w:val="clear" w:color="auto" w:fill="auto"/>
                  <w:noWrap/>
                  <w:vAlign w:val="bottom"/>
                  <w:hideMark/>
                </w:tcPr>
                <w:p w14:paraId="6D1EE70F"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0.7</w:t>
                  </w:r>
                </w:p>
              </w:tc>
              <w:tc>
                <w:tcPr>
                  <w:tcW w:w="363" w:type="pct"/>
                  <w:tcBorders>
                    <w:top w:val="nil"/>
                    <w:left w:val="nil"/>
                    <w:bottom w:val="nil"/>
                    <w:right w:val="nil"/>
                  </w:tcBorders>
                  <w:shd w:val="clear" w:color="auto" w:fill="auto"/>
                  <w:noWrap/>
                  <w:vAlign w:val="bottom"/>
                  <w:hideMark/>
                </w:tcPr>
                <w:p w14:paraId="55930D6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0.2</w:t>
                  </w:r>
                </w:p>
              </w:tc>
              <w:tc>
                <w:tcPr>
                  <w:tcW w:w="363" w:type="pct"/>
                  <w:tcBorders>
                    <w:top w:val="nil"/>
                    <w:left w:val="nil"/>
                    <w:bottom w:val="nil"/>
                    <w:right w:val="nil"/>
                  </w:tcBorders>
                  <w:shd w:val="clear" w:color="auto" w:fill="auto"/>
                  <w:noWrap/>
                  <w:vAlign w:val="bottom"/>
                  <w:hideMark/>
                </w:tcPr>
                <w:p w14:paraId="05770CDB"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1.0</w:t>
                  </w:r>
                </w:p>
              </w:tc>
              <w:tc>
                <w:tcPr>
                  <w:tcW w:w="362" w:type="pct"/>
                  <w:tcBorders>
                    <w:top w:val="nil"/>
                    <w:left w:val="nil"/>
                    <w:bottom w:val="nil"/>
                    <w:right w:val="nil"/>
                  </w:tcBorders>
                  <w:shd w:val="clear" w:color="auto" w:fill="auto"/>
                  <w:noWrap/>
                  <w:vAlign w:val="bottom"/>
                  <w:hideMark/>
                </w:tcPr>
                <w:p w14:paraId="4334E38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2.9</w:t>
                  </w:r>
                </w:p>
              </w:tc>
              <w:tc>
                <w:tcPr>
                  <w:tcW w:w="363" w:type="pct"/>
                  <w:tcBorders>
                    <w:top w:val="nil"/>
                    <w:left w:val="nil"/>
                    <w:bottom w:val="nil"/>
                    <w:right w:val="nil"/>
                  </w:tcBorders>
                  <w:shd w:val="clear" w:color="auto" w:fill="auto"/>
                  <w:noWrap/>
                  <w:vAlign w:val="bottom"/>
                  <w:hideMark/>
                </w:tcPr>
                <w:p w14:paraId="5F08C3AC"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0.8</w:t>
                  </w:r>
                </w:p>
              </w:tc>
              <w:tc>
                <w:tcPr>
                  <w:tcW w:w="363" w:type="pct"/>
                  <w:tcBorders>
                    <w:top w:val="nil"/>
                    <w:left w:val="nil"/>
                    <w:bottom w:val="nil"/>
                    <w:right w:val="nil"/>
                  </w:tcBorders>
                  <w:shd w:val="clear" w:color="auto" w:fill="auto"/>
                  <w:noWrap/>
                  <w:vAlign w:val="bottom"/>
                  <w:hideMark/>
                </w:tcPr>
                <w:p w14:paraId="6E478854"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0.6</w:t>
                  </w:r>
                </w:p>
              </w:tc>
              <w:tc>
                <w:tcPr>
                  <w:tcW w:w="362" w:type="pct"/>
                  <w:tcBorders>
                    <w:top w:val="nil"/>
                    <w:left w:val="nil"/>
                    <w:bottom w:val="nil"/>
                    <w:right w:val="nil"/>
                  </w:tcBorders>
                  <w:shd w:val="clear" w:color="auto" w:fill="auto"/>
                  <w:noWrap/>
                  <w:vAlign w:val="bottom"/>
                  <w:hideMark/>
                </w:tcPr>
                <w:p w14:paraId="4945FF78"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1.0</w:t>
                  </w:r>
                </w:p>
              </w:tc>
              <w:tc>
                <w:tcPr>
                  <w:tcW w:w="363" w:type="pct"/>
                  <w:tcBorders>
                    <w:top w:val="nil"/>
                    <w:left w:val="nil"/>
                    <w:bottom w:val="nil"/>
                    <w:right w:val="nil"/>
                  </w:tcBorders>
                  <w:shd w:val="clear" w:color="auto" w:fill="auto"/>
                  <w:noWrap/>
                  <w:vAlign w:val="bottom"/>
                  <w:hideMark/>
                </w:tcPr>
                <w:p w14:paraId="1D66694D"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1.3</w:t>
                  </w:r>
                </w:p>
              </w:tc>
              <w:tc>
                <w:tcPr>
                  <w:tcW w:w="363" w:type="pct"/>
                  <w:tcBorders>
                    <w:top w:val="nil"/>
                    <w:left w:val="nil"/>
                    <w:bottom w:val="nil"/>
                    <w:right w:val="nil"/>
                  </w:tcBorders>
                  <w:shd w:val="clear" w:color="auto" w:fill="auto"/>
                  <w:noWrap/>
                  <w:vAlign w:val="bottom"/>
                  <w:hideMark/>
                </w:tcPr>
                <w:p w14:paraId="7CE2661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1.4</w:t>
                  </w:r>
                </w:p>
              </w:tc>
              <w:tc>
                <w:tcPr>
                  <w:tcW w:w="364" w:type="pct"/>
                  <w:tcBorders>
                    <w:top w:val="nil"/>
                    <w:left w:val="nil"/>
                    <w:bottom w:val="nil"/>
                    <w:right w:val="single" w:sz="4" w:space="0" w:color="auto"/>
                  </w:tcBorders>
                  <w:shd w:val="clear" w:color="auto" w:fill="auto"/>
                  <w:noWrap/>
                  <w:vAlign w:val="bottom"/>
                  <w:hideMark/>
                </w:tcPr>
                <w:p w14:paraId="1474811D"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1.1</w:t>
                  </w:r>
                </w:p>
              </w:tc>
            </w:tr>
            <w:tr w:rsidR="000B17FB" w:rsidRPr="00B66802" w14:paraId="76CBE13D"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4DEA39A7"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Foreign Reserves (months of imports)</w:t>
                  </w:r>
                </w:p>
              </w:tc>
              <w:tc>
                <w:tcPr>
                  <w:tcW w:w="362" w:type="pct"/>
                  <w:tcBorders>
                    <w:top w:val="nil"/>
                    <w:left w:val="nil"/>
                    <w:bottom w:val="nil"/>
                    <w:right w:val="nil"/>
                  </w:tcBorders>
                  <w:shd w:val="clear" w:color="auto" w:fill="auto"/>
                  <w:noWrap/>
                  <w:vAlign w:val="bottom"/>
                  <w:hideMark/>
                </w:tcPr>
                <w:p w14:paraId="2DB2968F"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2.2</w:t>
                  </w:r>
                </w:p>
              </w:tc>
              <w:tc>
                <w:tcPr>
                  <w:tcW w:w="363" w:type="pct"/>
                  <w:tcBorders>
                    <w:top w:val="nil"/>
                    <w:left w:val="nil"/>
                    <w:bottom w:val="nil"/>
                    <w:right w:val="nil"/>
                  </w:tcBorders>
                  <w:shd w:val="clear" w:color="auto" w:fill="auto"/>
                  <w:noWrap/>
                  <w:vAlign w:val="bottom"/>
                  <w:hideMark/>
                </w:tcPr>
                <w:p w14:paraId="3746AC17"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2.5</w:t>
                  </w:r>
                </w:p>
              </w:tc>
              <w:tc>
                <w:tcPr>
                  <w:tcW w:w="363" w:type="pct"/>
                  <w:tcBorders>
                    <w:top w:val="nil"/>
                    <w:left w:val="nil"/>
                    <w:bottom w:val="nil"/>
                    <w:right w:val="nil"/>
                  </w:tcBorders>
                  <w:shd w:val="clear" w:color="auto" w:fill="auto"/>
                  <w:noWrap/>
                  <w:vAlign w:val="bottom"/>
                  <w:hideMark/>
                </w:tcPr>
                <w:p w14:paraId="2D44B46A"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2.9</w:t>
                  </w:r>
                </w:p>
              </w:tc>
              <w:tc>
                <w:tcPr>
                  <w:tcW w:w="362" w:type="pct"/>
                  <w:tcBorders>
                    <w:top w:val="nil"/>
                    <w:left w:val="nil"/>
                    <w:bottom w:val="nil"/>
                    <w:right w:val="nil"/>
                  </w:tcBorders>
                  <w:shd w:val="clear" w:color="auto" w:fill="auto"/>
                  <w:noWrap/>
                  <w:vAlign w:val="bottom"/>
                  <w:hideMark/>
                </w:tcPr>
                <w:p w14:paraId="3FCA19FA"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3.9</w:t>
                  </w:r>
                </w:p>
              </w:tc>
              <w:tc>
                <w:tcPr>
                  <w:tcW w:w="363" w:type="pct"/>
                  <w:tcBorders>
                    <w:top w:val="nil"/>
                    <w:left w:val="nil"/>
                    <w:bottom w:val="nil"/>
                    <w:right w:val="nil"/>
                  </w:tcBorders>
                  <w:shd w:val="clear" w:color="auto" w:fill="auto"/>
                  <w:noWrap/>
                  <w:vAlign w:val="bottom"/>
                  <w:hideMark/>
                </w:tcPr>
                <w:p w14:paraId="475372FF"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3.7</w:t>
                  </w:r>
                </w:p>
              </w:tc>
              <w:tc>
                <w:tcPr>
                  <w:tcW w:w="363" w:type="pct"/>
                  <w:tcBorders>
                    <w:top w:val="nil"/>
                    <w:left w:val="nil"/>
                    <w:bottom w:val="nil"/>
                    <w:right w:val="nil"/>
                  </w:tcBorders>
                  <w:shd w:val="clear" w:color="auto" w:fill="auto"/>
                  <w:noWrap/>
                  <w:vAlign w:val="bottom"/>
                  <w:hideMark/>
                </w:tcPr>
                <w:p w14:paraId="676F7F0B"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4.0</w:t>
                  </w:r>
                </w:p>
              </w:tc>
              <w:tc>
                <w:tcPr>
                  <w:tcW w:w="362" w:type="pct"/>
                  <w:tcBorders>
                    <w:top w:val="nil"/>
                    <w:left w:val="nil"/>
                    <w:bottom w:val="nil"/>
                    <w:right w:val="nil"/>
                  </w:tcBorders>
                  <w:shd w:val="clear" w:color="auto" w:fill="auto"/>
                  <w:noWrap/>
                  <w:vAlign w:val="bottom"/>
                  <w:hideMark/>
                </w:tcPr>
                <w:p w14:paraId="3B69C41B"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4.2</w:t>
                  </w:r>
                </w:p>
              </w:tc>
              <w:tc>
                <w:tcPr>
                  <w:tcW w:w="363" w:type="pct"/>
                  <w:tcBorders>
                    <w:top w:val="nil"/>
                    <w:left w:val="nil"/>
                    <w:bottom w:val="nil"/>
                    <w:right w:val="nil"/>
                  </w:tcBorders>
                  <w:shd w:val="clear" w:color="auto" w:fill="auto"/>
                  <w:noWrap/>
                  <w:vAlign w:val="bottom"/>
                  <w:hideMark/>
                </w:tcPr>
                <w:p w14:paraId="639503F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4.3</w:t>
                  </w:r>
                </w:p>
              </w:tc>
              <w:tc>
                <w:tcPr>
                  <w:tcW w:w="363" w:type="pct"/>
                  <w:tcBorders>
                    <w:top w:val="nil"/>
                    <w:left w:val="nil"/>
                    <w:bottom w:val="nil"/>
                    <w:right w:val="nil"/>
                  </w:tcBorders>
                  <w:shd w:val="clear" w:color="auto" w:fill="auto"/>
                  <w:noWrap/>
                  <w:vAlign w:val="bottom"/>
                  <w:hideMark/>
                </w:tcPr>
                <w:p w14:paraId="66C70C5A"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4.4</w:t>
                  </w:r>
                </w:p>
              </w:tc>
              <w:tc>
                <w:tcPr>
                  <w:tcW w:w="364" w:type="pct"/>
                  <w:tcBorders>
                    <w:top w:val="nil"/>
                    <w:left w:val="nil"/>
                    <w:bottom w:val="nil"/>
                    <w:right w:val="single" w:sz="4" w:space="0" w:color="auto"/>
                  </w:tcBorders>
                  <w:shd w:val="clear" w:color="auto" w:fill="auto"/>
                  <w:noWrap/>
                  <w:vAlign w:val="bottom"/>
                  <w:hideMark/>
                </w:tcPr>
                <w:p w14:paraId="7D31B3C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4.4</w:t>
                  </w:r>
                </w:p>
              </w:tc>
            </w:tr>
            <w:tr w:rsidR="000B17FB" w:rsidRPr="00B66802" w14:paraId="064E3331"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068CE7A9"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External debt</w:t>
                  </w:r>
                </w:p>
              </w:tc>
              <w:tc>
                <w:tcPr>
                  <w:tcW w:w="362" w:type="pct"/>
                  <w:tcBorders>
                    <w:top w:val="nil"/>
                    <w:left w:val="nil"/>
                    <w:bottom w:val="nil"/>
                    <w:right w:val="nil"/>
                  </w:tcBorders>
                  <w:shd w:val="clear" w:color="auto" w:fill="auto"/>
                  <w:noWrap/>
                  <w:vAlign w:val="bottom"/>
                  <w:hideMark/>
                </w:tcPr>
                <w:p w14:paraId="669FF3AB"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43.8</w:t>
                  </w:r>
                </w:p>
              </w:tc>
              <w:tc>
                <w:tcPr>
                  <w:tcW w:w="363" w:type="pct"/>
                  <w:tcBorders>
                    <w:top w:val="nil"/>
                    <w:left w:val="nil"/>
                    <w:bottom w:val="nil"/>
                    <w:right w:val="nil"/>
                  </w:tcBorders>
                  <w:shd w:val="clear" w:color="auto" w:fill="auto"/>
                  <w:noWrap/>
                  <w:vAlign w:val="bottom"/>
                  <w:hideMark/>
                </w:tcPr>
                <w:p w14:paraId="2153C695"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45.0</w:t>
                  </w:r>
                </w:p>
              </w:tc>
              <w:tc>
                <w:tcPr>
                  <w:tcW w:w="363" w:type="pct"/>
                  <w:tcBorders>
                    <w:top w:val="nil"/>
                    <w:left w:val="nil"/>
                    <w:bottom w:val="nil"/>
                    <w:right w:val="nil"/>
                  </w:tcBorders>
                  <w:shd w:val="clear" w:color="auto" w:fill="auto"/>
                  <w:noWrap/>
                  <w:vAlign w:val="bottom"/>
                  <w:hideMark/>
                </w:tcPr>
                <w:p w14:paraId="25F60557"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48.6</w:t>
                  </w:r>
                </w:p>
              </w:tc>
              <w:tc>
                <w:tcPr>
                  <w:tcW w:w="362" w:type="pct"/>
                  <w:tcBorders>
                    <w:top w:val="nil"/>
                    <w:left w:val="nil"/>
                    <w:bottom w:val="nil"/>
                    <w:right w:val="nil"/>
                  </w:tcBorders>
                  <w:shd w:val="clear" w:color="auto" w:fill="auto"/>
                  <w:noWrap/>
                  <w:vAlign w:val="bottom"/>
                  <w:hideMark/>
                </w:tcPr>
                <w:p w14:paraId="6A37B1D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45.4</w:t>
                  </w:r>
                </w:p>
              </w:tc>
              <w:tc>
                <w:tcPr>
                  <w:tcW w:w="363" w:type="pct"/>
                  <w:tcBorders>
                    <w:top w:val="nil"/>
                    <w:left w:val="nil"/>
                    <w:bottom w:val="nil"/>
                    <w:right w:val="nil"/>
                  </w:tcBorders>
                  <w:shd w:val="clear" w:color="auto" w:fill="auto"/>
                  <w:noWrap/>
                  <w:vAlign w:val="bottom"/>
                  <w:hideMark/>
                </w:tcPr>
                <w:p w14:paraId="75ADAF9C"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45.3</w:t>
                  </w:r>
                </w:p>
              </w:tc>
              <w:tc>
                <w:tcPr>
                  <w:tcW w:w="363" w:type="pct"/>
                  <w:tcBorders>
                    <w:top w:val="nil"/>
                    <w:left w:val="nil"/>
                    <w:bottom w:val="nil"/>
                    <w:right w:val="nil"/>
                  </w:tcBorders>
                  <w:shd w:val="clear" w:color="auto" w:fill="auto"/>
                  <w:noWrap/>
                  <w:vAlign w:val="bottom"/>
                  <w:hideMark/>
                </w:tcPr>
                <w:p w14:paraId="2336EA36"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45.6</w:t>
                  </w:r>
                </w:p>
              </w:tc>
              <w:tc>
                <w:tcPr>
                  <w:tcW w:w="362" w:type="pct"/>
                  <w:tcBorders>
                    <w:top w:val="nil"/>
                    <w:left w:val="nil"/>
                    <w:bottom w:val="nil"/>
                    <w:right w:val="nil"/>
                  </w:tcBorders>
                  <w:shd w:val="clear" w:color="auto" w:fill="auto"/>
                  <w:noWrap/>
                  <w:vAlign w:val="bottom"/>
                  <w:hideMark/>
                </w:tcPr>
                <w:p w14:paraId="0CC3DAE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45.7</w:t>
                  </w:r>
                </w:p>
              </w:tc>
              <w:tc>
                <w:tcPr>
                  <w:tcW w:w="363" w:type="pct"/>
                  <w:tcBorders>
                    <w:top w:val="nil"/>
                    <w:left w:val="nil"/>
                    <w:bottom w:val="nil"/>
                    <w:right w:val="nil"/>
                  </w:tcBorders>
                  <w:shd w:val="clear" w:color="auto" w:fill="auto"/>
                  <w:noWrap/>
                  <w:vAlign w:val="bottom"/>
                  <w:hideMark/>
                </w:tcPr>
                <w:p w14:paraId="50B0CB98"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44.9</w:t>
                  </w:r>
                </w:p>
              </w:tc>
              <w:tc>
                <w:tcPr>
                  <w:tcW w:w="363" w:type="pct"/>
                  <w:tcBorders>
                    <w:top w:val="nil"/>
                    <w:left w:val="nil"/>
                    <w:bottom w:val="nil"/>
                    <w:right w:val="nil"/>
                  </w:tcBorders>
                  <w:shd w:val="clear" w:color="auto" w:fill="auto"/>
                  <w:noWrap/>
                  <w:vAlign w:val="bottom"/>
                  <w:hideMark/>
                </w:tcPr>
                <w:p w14:paraId="297F689A"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44.0</w:t>
                  </w:r>
                </w:p>
              </w:tc>
              <w:tc>
                <w:tcPr>
                  <w:tcW w:w="364" w:type="pct"/>
                  <w:tcBorders>
                    <w:top w:val="nil"/>
                    <w:left w:val="nil"/>
                    <w:bottom w:val="nil"/>
                    <w:right w:val="single" w:sz="4" w:space="0" w:color="auto"/>
                  </w:tcBorders>
                  <w:shd w:val="clear" w:color="auto" w:fill="auto"/>
                  <w:noWrap/>
                  <w:vAlign w:val="bottom"/>
                  <w:hideMark/>
                </w:tcPr>
                <w:p w14:paraId="17DCA261"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43.1</w:t>
                  </w:r>
                </w:p>
              </w:tc>
            </w:tr>
            <w:tr w:rsidR="000B17FB" w:rsidRPr="00B66802" w14:paraId="10ACAC8B" w14:textId="77777777" w:rsidTr="000B17FB">
              <w:trPr>
                <w:trHeight w:val="286"/>
              </w:trPr>
              <w:tc>
                <w:tcPr>
                  <w:tcW w:w="1372" w:type="pct"/>
                  <w:tcBorders>
                    <w:top w:val="nil"/>
                    <w:left w:val="single" w:sz="4" w:space="0" w:color="auto"/>
                    <w:bottom w:val="nil"/>
                    <w:right w:val="single" w:sz="4" w:space="0" w:color="auto"/>
                  </w:tcBorders>
                  <w:shd w:val="clear" w:color="auto" w:fill="auto"/>
                  <w:noWrap/>
                  <w:vAlign w:val="bottom"/>
                  <w:hideMark/>
                </w:tcPr>
                <w:p w14:paraId="010E8B03"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Terms of Trade (percent change)</w:t>
                  </w:r>
                </w:p>
              </w:tc>
              <w:tc>
                <w:tcPr>
                  <w:tcW w:w="362" w:type="pct"/>
                  <w:tcBorders>
                    <w:top w:val="nil"/>
                    <w:left w:val="nil"/>
                    <w:bottom w:val="nil"/>
                    <w:right w:val="nil"/>
                  </w:tcBorders>
                  <w:shd w:val="clear" w:color="auto" w:fill="auto"/>
                  <w:noWrap/>
                  <w:vAlign w:val="bottom"/>
                  <w:hideMark/>
                </w:tcPr>
                <w:p w14:paraId="25F7AC03"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-0.1</w:t>
                  </w:r>
                </w:p>
              </w:tc>
              <w:tc>
                <w:tcPr>
                  <w:tcW w:w="363" w:type="pct"/>
                  <w:tcBorders>
                    <w:top w:val="nil"/>
                    <w:left w:val="nil"/>
                    <w:bottom w:val="nil"/>
                    <w:right w:val="nil"/>
                  </w:tcBorders>
                  <w:shd w:val="clear" w:color="auto" w:fill="auto"/>
                  <w:noWrap/>
                  <w:vAlign w:val="bottom"/>
                  <w:hideMark/>
                </w:tcPr>
                <w:p w14:paraId="298EB23A"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-0.7</w:t>
                  </w:r>
                </w:p>
              </w:tc>
              <w:tc>
                <w:tcPr>
                  <w:tcW w:w="363" w:type="pct"/>
                  <w:tcBorders>
                    <w:top w:val="nil"/>
                    <w:left w:val="nil"/>
                    <w:bottom w:val="nil"/>
                    <w:right w:val="nil"/>
                  </w:tcBorders>
                  <w:shd w:val="clear" w:color="auto" w:fill="auto"/>
                  <w:noWrap/>
                  <w:vAlign w:val="bottom"/>
                  <w:hideMark/>
                </w:tcPr>
                <w:p w14:paraId="625836D1"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1.2</w:t>
                  </w:r>
                </w:p>
              </w:tc>
              <w:tc>
                <w:tcPr>
                  <w:tcW w:w="362" w:type="pct"/>
                  <w:tcBorders>
                    <w:top w:val="nil"/>
                    <w:left w:val="nil"/>
                    <w:bottom w:val="nil"/>
                    <w:right w:val="nil"/>
                  </w:tcBorders>
                  <w:shd w:val="clear" w:color="auto" w:fill="auto"/>
                  <w:noWrap/>
                  <w:vAlign w:val="bottom"/>
                  <w:hideMark/>
                </w:tcPr>
                <w:p w14:paraId="6D3BED04"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23.2</w:t>
                  </w:r>
                </w:p>
              </w:tc>
              <w:tc>
                <w:tcPr>
                  <w:tcW w:w="363" w:type="pct"/>
                  <w:tcBorders>
                    <w:top w:val="nil"/>
                    <w:left w:val="nil"/>
                    <w:bottom w:val="nil"/>
                    <w:right w:val="nil"/>
                  </w:tcBorders>
                  <w:shd w:val="clear" w:color="auto" w:fill="auto"/>
                  <w:noWrap/>
                  <w:vAlign w:val="bottom"/>
                  <w:hideMark/>
                </w:tcPr>
                <w:p w14:paraId="2F00A8FE"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-6.9</w:t>
                  </w:r>
                </w:p>
              </w:tc>
              <w:tc>
                <w:tcPr>
                  <w:tcW w:w="363" w:type="pct"/>
                  <w:tcBorders>
                    <w:top w:val="nil"/>
                    <w:left w:val="nil"/>
                    <w:bottom w:val="nil"/>
                    <w:right w:val="nil"/>
                  </w:tcBorders>
                  <w:shd w:val="clear" w:color="auto" w:fill="auto"/>
                  <w:noWrap/>
                  <w:vAlign w:val="bottom"/>
                  <w:hideMark/>
                </w:tcPr>
                <w:p w14:paraId="475FD989"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2.5</w:t>
                  </w:r>
                </w:p>
              </w:tc>
              <w:tc>
                <w:tcPr>
                  <w:tcW w:w="362" w:type="pct"/>
                  <w:tcBorders>
                    <w:top w:val="nil"/>
                    <w:left w:val="nil"/>
                    <w:bottom w:val="nil"/>
                    <w:right w:val="nil"/>
                  </w:tcBorders>
                  <w:shd w:val="clear" w:color="auto" w:fill="auto"/>
                  <w:noWrap/>
                  <w:vAlign w:val="bottom"/>
                  <w:hideMark/>
                </w:tcPr>
                <w:p w14:paraId="43293EA0"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-3.1</w:t>
                  </w:r>
                </w:p>
              </w:tc>
              <w:tc>
                <w:tcPr>
                  <w:tcW w:w="363" w:type="pct"/>
                  <w:tcBorders>
                    <w:top w:val="nil"/>
                    <w:left w:val="nil"/>
                    <w:bottom w:val="nil"/>
                    <w:right w:val="nil"/>
                  </w:tcBorders>
                  <w:shd w:val="clear" w:color="auto" w:fill="auto"/>
                  <w:noWrap/>
                  <w:vAlign w:val="bottom"/>
                  <w:hideMark/>
                </w:tcPr>
                <w:p w14:paraId="20546282"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0.3</w:t>
                  </w:r>
                </w:p>
              </w:tc>
              <w:tc>
                <w:tcPr>
                  <w:tcW w:w="363" w:type="pct"/>
                  <w:tcBorders>
                    <w:top w:val="nil"/>
                    <w:left w:val="nil"/>
                    <w:bottom w:val="nil"/>
                    <w:right w:val="nil"/>
                  </w:tcBorders>
                  <w:shd w:val="clear" w:color="auto" w:fill="auto"/>
                  <w:noWrap/>
                  <w:vAlign w:val="bottom"/>
                  <w:hideMark/>
                </w:tcPr>
                <w:p w14:paraId="6053DBA8"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-0.9</w:t>
                  </w:r>
                </w:p>
              </w:tc>
              <w:tc>
                <w:tcPr>
                  <w:tcW w:w="364" w:type="pct"/>
                  <w:tcBorders>
                    <w:top w:val="nil"/>
                    <w:left w:val="nil"/>
                    <w:bottom w:val="nil"/>
                    <w:right w:val="single" w:sz="4" w:space="0" w:color="auto"/>
                  </w:tcBorders>
                  <w:shd w:val="clear" w:color="auto" w:fill="auto"/>
                  <w:noWrap/>
                  <w:vAlign w:val="bottom"/>
                  <w:hideMark/>
                </w:tcPr>
                <w:p w14:paraId="0C1EB259"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-0.8</w:t>
                  </w:r>
                </w:p>
              </w:tc>
            </w:tr>
            <w:tr w:rsidR="000B17FB" w:rsidRPr="00B66802" w14:paraId="3452A34D" w14:textId="77777777" w:rsidTr="000B17FB">
              <w:trPr>
                <w:trHeight w:val="286"/>
              </w:trPr>
              <w:tc>
                <w:tcPr>
                  <w:tcW w:w="1372" w:type="pct"/>
                  <w:tcBorders>
                    <w:top w:val="nil"/>
                    <w:left w:val="single" w:sz="4" w:space="0" w:color="auto"/>
                    <w:bottom w:val="single" w:sz="4" w:space="0" w:color="auto"/>
                    <w:right w:val="single" w:sz="4" w:space="0" w:color="auto"/>
                  </w:tcBorders>
                  <w:shd w:val="clear" w:color="auto" w:fill="auto"/>
                  <w:noWrap/>
                  <w:vAlign w:val="bottom"/>
                  <w:hideMark/>
                </w:tcPr>
                <w:p w14:paraId="4B640A6A" w14:textId="4DC8D19F"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Exchange Rate LCU/</w:t>
                  </w:r>
                  <w:r w:rsidR="00BF0F8E">
                    <w:rPr>
                      <w:rFonts w:asciiTheme="minorHAnsi" w:eastAsia="Times New Roman" w:hAnsiTheme="minorHAnsi" w:cstheme="minorHAnsi"/>
                      <w:sz w:val="16"/>
                      <w:szCs w:val="16"/>
                    </w:rPr>
                    <w:t>US$</w:t>
                  </w:r>
                  <w:r w:rsidRPr="00F062BB">
                    <w:rPr>
                      <w:rFonts w:asciiTheme="minorHAnsi" w:eastAsia="Times New Roman" w:hAnsiTheme="minorHAnsi" w:cstheme="minorHAnsi"/>
                      <w:sz w:val="16"/>
                      <w:szCs w:val="16"/>
                    </w:rPr>
                    <w:t>(average)</w:t>
                  </w:r>
                </w:p>
              </w:tc>
              <w:tc>
                <w:tcPr>
                  <w:tcW w:w="362" w:type="pct"/>
                  <w:tcBorders>
                    <w:top w:val="nil"/>
                    <w:left w:val="nil"/>
                    <w:bottom w:val="single" w:sz="4" w:space="0" w:color="auto"/>
                    <w:right w:val="nil"/>
                  </w:tcBorders>
                  <w:shd w:val="clear" w:color="auto" w:fill="auto"/>
                  <w:noWrap/>
                  <w:vAlign w:val="bottom"/>
                  <w:hideMark/>
                </w:tcPr>
                <w:p w14:paraId="57F06E01" w14:textId="5C6D15A5"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2207</w:t>
                  </w:r>
                </w:p>
              </w:tc>
              <w:tc>
                <w:tcPr>
                  <w:tcW w:w="363" w:type="pct"/>
                  <w:tcBorders>
                    <w:top w:val="nil"/>
                    <w:left w:val="nil"/>
                    <w:bottom w:val="single" w:sz="4" w:space="0" w:color="auto"/>
                    <w:right w:val="nil"/>
                  </w:tcBorders>
                  <w:shd w:val="clear" w:color="auto" w:fill="auto"/>
                  <w:noWrap/>
                  <w:vAlign w:val="bottom"/>
                  <w:hideMark/>
                </w:tcPr>
                <w:p w14:paraId="3DB912FA" w14:textId="53BB8946" w:rsidR="000B17FB" w:rsidRPr="00F062BB" w:rsidRDefault="00E02F65" w:rsidP="000B17FB">
                  <w:pPr>
                    <w:spacing w:after="0" w:line="240" w:lineRule="auto"/>
                    <w:jc w:val="right"/>
                    <w:rPr>
                      <w:rFonts w:asciiTheme="minorHAnsi" w:eastAsia="Times New Roman" w:hAnsiTheme="minorHAnsi" w:cstheme="minorHAnsi"/>
                      <w:sz w:val="16"/>
                      <w:szCs w:val="16"/>
                    </w:rPr>
                  </w:pPr>
                  <w:r>
                    <w:rPr>
                      <w:rFonts w:asciiTheme="minorHAnsi" w:eastAsia="Times New Roman" w:hAnsiTheme="minorHAnsi" w:cstheme="minorHAnsi"/>
                      <w:sz w:val="16"/>
                      <w:szCs w:val="16"/>
                    </w:rPr>
                    <w:t>2</w:t>
                  </w:r>
                  <w:r w:rsidR="000B17FB" w:rsidRPr="00F062BB">
                    <w:rPr>
                      <w:rFonts w:asciiTheme="minorHAnsi" w:eastAsia="Times New Roman" w:hAnsiTheme="minorHAnsi" w:cstheme="minorHAnsi"/>
                      <w:sz w:val="16"/>
                      <w:szCs w:val="16"/>
                    </w:rPr>
                    <w:t>415</w:t>
                  </w:r>
                </w:p>
              </w:tc>
              <w:tc>
                <w:tcPr>
                  <w:tcW w:w="363" w:type="pct"/>
                  <w:tcBorders>
                    <w:top w:val="nil"/>
                    <w:left w:val="nil"/>
                    <w:bottom w:val="single" w:sz="4" w:space="0" w:color="auto"/>
                    <w:right w:val="nil"/>
                  </w:tcBorders>
                  <w:shd w:val="clear" w:color="auto" w:fill="auto"/>
                  <w:noWrap/>
                  <w:vAlign w:val="bottom"/>
                  <w:hideMark/>
                </w:tcPr>
                <w:p w14:paraId="0019C8E8" w14:textId="3EA86C84"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2934</w:t>
                  </w:r>
                </w:p>
              </w:tc>
              <w:tc>
                <w:tcPr>
                  <w:tcW w:w="362" w:type="pct"/>
                  <w:tcBorders>
                    <w:top w:val="nil"/>
                    <w:left w:val="nil"/>
                    <w:bottom w:val="single" w:sz="4" w:space="0" w:color="auto"/>
                    <w:right w:val="nil"/>
                  </w:tcBorders>
                  <w:shd w:val="clear" w:color="auto" w:fill="auto"/>
                  <w:noWrap/>
                  <w:vAlign w:val="bottom"/>
                  <w:hideMark/>
                </w:tcPr>
                <w:p w14:paraId="783D15B7" w14:textId="77777777" w:rsidR="000B17FB" w:rsidRPr="00F062BB" w:rsidRDefault="000B17FB" w:rsidP="000B17FB">
                  <w:pPr>
                    <w:spacing w:after="0" w:line="240" w:lineRule="auto"/>
                    <w:jc w:val="right"/>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3177</w:t>
                  </w:r>
                </w:p>
              </w:tc>
              <w:tc>
                <w:tcPr>
                  <w:tcW w:w="363" w:type="pct"/>
                  <w:tcBorders>
                    <w:top w:val="nil"/>
                    <w:left w:val="nil"/>
                    <w:bottom w:val="single" w:sz="4" w:space="0" w:color="auto"/>
                    <w:right w:val="nil"/>
                  </w:tcBorders>
                  <w:shd w:val="clear" w:color="auto" w:fill="auto"/>
                  <w:noWrap/>
                  <w:vAlign w:val="bottom"/>
                  <w:hideMark/>
                </w:tcPr>
                <w:p w14:paraId="5A76F87A"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c>
                <w:tcPr>
                  <w:tcW w:w="363" w:type="pct"/>
                  <w:tcBorders>
                    <w:top w:val="nil"/>
                    <w:left w:val="nil"/>
                    <w:bottom w:val="single" w:sz="4" w:space="0" w:color="auto"/>
                    <w:right w:val="nil"/>
                  </w:tcBorders>
                  <w:shd w:val="clear" w:color="auto" w:fill="auto"/>
                  <w:noWrap/>
                  <w:vAlign w:val="bottom"/>
                  <w:hideMark/>
                </w:tcPr>
                <w:p w14:paraId="212756A2"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c>
                <w:tcPr>
                  <w:tcW w:w="362" w:type="pct"/>
                  <w:tcBorders>
                    <w:top w:val="nil"/>
                    <w:left w:val="nil"/>
                    <w:bottom w:val="single" w:sz="4" w:space="0" w:color="auto"/>
                    <w:right w:val="nil"/>
                  </w:tcBorders>
                  <w:shd w:val="clear" w:color="auto" w:fill="auto"/>
                  <w:noWrap/>
                  <w:vAlign w:val="bottom"/>
                  <w:hideMark/>
                </w:tcPr>
                <w:p w14:paraId="7D33576B"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c>
                <w:tcPr>
                  <w:tcW w:w="363" w:type="pct"/>
                  <w:tcBorders>
                    <w:top w:val="nil"/>
                    <w:left w:val="nil"/>
                    <w:bottom w:val="single" w:sz="4" w:space="0" w:color="auto"/>
                    <w:right w:val="nil"/>
                  </w:tcBorders>
                  <w:shd w:val="clear" w:color="auto" w:fill="auto"/>
                  <w:noWrap/>
                  <w:vAlign w:val="bottom"/>
                  <w:hideMark/>
                </w:tcPr>
                <w:p w14:paraId="35ADAA85"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c>
                <w:tcPr>
                  <w:tcW w:w="363" w:type="pct"/>
                  <w:tcBorders>
                    <w:top w:val="nil"/>
                    <w:left w:val="nil"/>
                    <w:bottom w:val="single" w:sz="4" w:space="0" w:color="auto"/>
                    <w:right w:val="nil"/>
                  </w:tcBorders>
                  <w:shd w:val="clear" w:color="auto" w:fill="auto"/>
                  <w:noWrap/>
                  <w:vAlign w:val="bottom"/>
                  <w:hideMark/>
                </w:tcPr>
                <w:p w14:paraId="62737386"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c>
                <w:tcPr>
                  <w:tcW w:w="364" w:type="pct"/>
                  <w:tcBorders>
                    <w:top w:val="nil"/>
                    <w:left w:val="nil"/>
                    <w:bottom w:val="single" w:sz="4" w:space="0" w:color="auto"/>
                    <w:right w:val="single" w:sz="4" w:space="0" w:color="auto"/>
                  </w:tcBorders>
                  <w:shd w:val="clear" w:color="auto" w:fill="auto"/>
                  <w:noWrap/>
                  <w:vAlign w:val="bottom"/>
                  <w:hideMark/>
                </w:tcPr>
                <w:p w14:paraId="0223D943" w14:textId="77777777"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sz w:val="16"/>
                      <w:szCs w:val="16"/>
                    </w:rPr>
                    <w:t> </w:t>
                  </w:r>
                </w:p>
              </w:tc>
            </w:tr>
            <w:tr w:rsidR="000B17FB" w:rsidRPr="00B66802" w14:paraId="448036EC" w14:textId="77777777" w:rsidTr="000B17FB">
              <w:trPr>
                <w:trHeight w:val="286"/>
              </w:trPr>
              <w:tc>
                <w:tcPr>
                  <w:tcW w:w="5000" w:type="pct"/>
                  <w:gridSpan w:val="11"/>
                  <w:tcBorders>
                    <w:top w:val="nil"/>
                    <w:left w:val="nil"/>
                    <w:bottom w:val="nil"/>
                  </w:tcBorders>
                  <w:shd w:val="clear" w:color="auto" w:fill="auto"/>
                  <w:noWrap/>
                  <w:vAlign w:val="bottom"/>
                  <w:hideMark/>
                </w:tcPr>
                <w:p w14:paraId="614F9126" w14:textId="78B856A0" w:rsidR="000B17FB" w:rsidRPr="00F062BB" w:rsidRDefault="000B17FB" w:rsidP="000B17FB">
                  <w:pPr>
                    <w:spacing w:after="0" w:line="240" w:lineRule="auto"/>
                    <w:rPr>
                      <w:rFonts w:asciiTheme="minorHAnsi" w:eastAsia="Times New Roman" w:hAnsiTheme="minorHAnsi" w:cstheme="minorHAnsi"/>
                      <w:sz w:val="16"/>
                      <w:szCs w:val="16"/>
                    </w:rPr>
                  </w:pPr>
                  <w:r w:rsidRPr="00F062BB">
                    <w:rPr>
                      <w:rFonts w:asciiTheme="minorHAnsi" w:eastAsia="Times New Roman" w:hAnsiTheme="minorHAnsi" w:cstheme="minorHAnsi"/>
                      <w:color w:val="000000"/>
                      <w:sz w:val="16"/>
                      <w:szCs w:val="16"/>
                    </w:rPr>
                    <w:t>Source: Malagasy authorities, IMF and WB Staff calculations, October 2017</w:t>
                  </w:r>
                  <w:r w:rsidR="00E36113">
                    <w:rPr>
                      <w:rFonts w:asciiTheme="minorHAnsi" w:eastAsia="Times New Roman" w:hAnsiTheme="minorHAnsi" w:cstheme="minorHAnsi"/>
                      <w:color w:val="000000"/>
                      <w:sz w:val="16"/>
                      <w:szCs w:val="16"/>
                    </w:rPr>
                    <w:t>.</w:t>
                  </w:r>
                </w:p>
              </w:tc>
            </w:tr>
          </w:tbl>
          <w:p w14:paraId="557B5B5A" w14:textId="77CF348B" w:rsidR="00F2639C" w:rsidRPr="00F204F6" w:rsidRDefault="00F2639C" w:rsidP="00AE3C77">
            <w:pPr>
              <w:spacing w:after="0" w:line="240" w:lineRule="auto"/>
              <w:rPr>
                <w:rFonts w:asciiTheme="minorHAnsi" w:eastAsia="Times New Roman" w:hAnsiTheme="minorHAnsi" w:cstheme="minorHAnsi"/>
                <w:sz w:val="16"/>
                <w:szCs w:val="16"/>
              </w:rPr>
            </w:pPr>
          </w:p>
        </w:tc>
      </w:tr>
    </w:tbl>
    <w:p w14:paraId="0E99981C" w14:textId="3923AD6B" w:rsidR="00E36113" w:rsidRDefault="00E36113" w:rsidP="000512AE">
      <w:pPr>
        <w:pStyle w:val="ListParagraph"/>
        <w:tabs>
          <w:tab w:val="left" w:pos="540"/>
        </w:tabs>
        <w:spacing w:after="0" w:line="240" w:lineRule="auto"/>
        <w:ind w:left="0"/>
        <w:jc w:val="center"/>
        <w:rPr>
          <w:rFonts w:asciiTheme="minorHAnsi" w:hAnsiTheme="minorHAnsi" w:cstheme="minorHAnsi"/>
          <w:b/>
        </w:rPr>
      </w:pPr>
    </w:p>
    <w:p w14:paraId="28C0A323" w14:textId="77777777" w:rsidR="00E36113" w:rsidRDefault="00E36113">
      <w:pPr>
        <w:spacing w:after="0" w:line="240" w:lineRule="auto"/>
        <w:rPr>
          <w:rFonts w:asciiTheme="minorHAnsi" w:hAnsiTheme="minorHAnsi" w:cstheme="minorHAnsi"/>
          <w:b/>
        </w:rPr>
      </w:pPr>
      <w:r>
        <w:rPr>
          <w:rFonts w:asciiTheme="minorHAnsi" w:hAnsiTheme="minorHAnsi" w:cstheme="minorHAnsi"/>
          <w:b/>
        </w:rPr>
        <w:br w:type="page"/>
      </w:r>
    </w:p>
    <w:tbl>
      <w:tblPr>
        <w:tblW w:w="5001" w:type="pct"/>
        <w:tblLook w:val="04A0" w:firstRow="1" w:lastRow="0" w:firstColumn="1" w:lastColumn="0" w:noHBand="0" w:noVBand="1"/>
      </w:tblPr>
      <w:tblGrid>
        <w:gridCol w:w="3107"/>
        <w:gridCol w:w="187"/>
        <w:gridCol w:w="597"/>
        <w:gridCol w:w="77"/>
        <w:gridCol w:w="674"/>
        <w:gridCol w:w="36"/>
        <w:gridCol w:w="637"/>
        <w:gridCol w:w="148"/>
        <w:gridCol w:w="524"/>
        <w:gridCol w:w="262"/>
        <w:gridCol w:w="410"/>
        <w:gridCol w:w="374"/>
        <w:gridCol w:w="300"/>
        <w:gridCol w:w="487"/>
        <w:gridCol w:w="185"/>
        <w:gridCol w:w="601"/>
        <w:gridCol w:w="71"/>
        <w:gridCol w:w="131"/>
        <w:gridCol w:w="554"/>
      </w:tblGrid>
      <w:tr w:rsidR="00F2639C" w:rsidRPr="00B66802" w14:paraId="468334F3" w14:textId="77777777" w:rsidTr="00F204F6">
        <w:trPr>
          <w:trHeight w:val="300"/>
        </w:trPr>
        <w:tc>
          <w:tcPr>
            <w:tcW w:w="4704" w:type="pct"/>
            <w:gridSpan w:val="18"/>
            <w:tcBorders>
              <w:top w:val="nil"/>
              <w:left w:val="nil"/>
              <w:bottom w:val="nil"/>
              <w:right w:val="nil"/>
            </w:tcBorders>
            <w:shd w:val="clear" w:color="auto" w:fill="auto"/>
            <w:noWrap/>
            <w:vAlign w:val="bottom"/>
            <w:hideMark/>
          </w:tcPr>
          <w:p w14:paraId="5A50297A" w14:textId="78DF53E5" w:rsidR="00F2639C" w:rsidRPr="00F204F6" w:rsidRDefault="00F2639C" w:rsidP="00F2639C">
            <w:pPr>
              <w:spacing w:after="0" w:line="240" w:lineRule="auto"/>
              <w:jc w:val="center"/>
              <w:rPr>
                <w:rFonts w:asciiTheme="minorHAnsi" w:eastAsia="Times New Roman" w:hAnsiTheme="minorHAnsi" w:cstheme="minorHAnsi"/>
                <w:szCs w:val="20"/>
              </w:rPr>
            </w:pPr>
            <w:r w:rsidRPr="00F204F6">
              <w:rPr>
                <w:rFonts w:asciiTheme="minorHAnsi" w:eastAsia="Times New Roman" w:hAnsiTheme="minorHAnsi" w:cstheme="minorHAnsi"/>
                <w:b/>
                <w:bCs/>
                <w:color w:val="000000"/>
                <w:szCs w:val="20"/>
              </w:rPr>
              <w:lastRenderedPageBreak/>
              <w:t>Table 2: Balance of Payments financing requirements and sources</w:t>
            </w:r>
            <w:r w:rsidR="00F204F6">
              <w:rPr>
                <w:rFonts w:asciiTheme="minorHAnsi" w:eastAsia="Times New Roman" w:hAnsiTheme="minorHAnsi" w:cstheme="minorHAnsi"/>
                <w:b/>
                <w:bCs/>
                <w:color w:val="000000"/>
                <w:szCs w:val="20"/>
              </w:rPr>
              <w:t xml:space="preserve"> (% of GDP)</w:t>
            </w:r>
          </w:p>
        </w:tc>
        <w:tc>
          <w:tcPr>
            <w:tcW w:w="296" w:type="pct"/>
            <w:tcBorders>
              <w:top w:val="nil"/>
              <w:left w:val="nil"/>
              <w:bottom w:val="nil"/>
              <w:right w:val="nil"/>
            </w:tcBorders>
            <w:shd w:val="clear" w:color="auto" w:fill="auto"/>
            <w:noWrap/>
            <w:vAlign w:val="bottom"/>
            <w:hideMark/>
          </w:tcPr>
          <w:p w14:paraId="50542102" w14:textId="77777777" w:rsidR="00F2639C" w:rsidRPr="00F204F6" w:rsidRDefault="00F2639C" w:rsidP="00F2639C">
            <w:pPr>
              <w:spacing w:after="0" w:line="240" w:lineRule="auto"/>
              <w:jc w:val="center"/>
              <w:rPr>
                <w:rFonts w:asciiTheme="minorHAnsi" w:eastAsia="Times New Roman" w:hAnsiTheme="minorHAnsi" w:cstheme="minorHAnsi"/>
                <w:sz w:val="20"/>
                <w:szCs w:val="20"/>
              </w:rPr>
            </w:pPr>
          </w:p>
        </w:tc>
      </w:tr>
      <w:tr w:rsidR="000B17FB" w:rsidRPr="00E36113" w14:paraId="1C1B6940" w14:textId="77777777" w:rsidTr="00F204F6">
        <w:trPr>
          <w:trHeight w:val="276"/>
        </w:trPr>
        <w:tc>
          <w:tcPr>
            <w:tcW w:w="1659" w:type="pct"/>
            <w:tcBorders>
              <w:top w:val="single" w:sz="4" w:space="0" w:color="auto"/>
              <w:left w:val="single" w:sz="4" w:space="0" w:color="auto"/>
              <w:bottom w:val="nil"/>
              <w:right w:val="nil"/>
            </w:tcBorders>
            <w:shd w:val="clear" w:color="auto" w:fill="auto"/>
            <w:noWrap/>
            <w:vAlign w:val="bottom"/>
            <w:hideMark/>
          </w:tcPr>
          <w:p w14:paraId="1F9039BF" w14:textId="53C802B2" w:rsidR="000B17FB" w:rsidRPr="00F204F6" w:rsidRDefault="000B17FB" w:rsidP="000B17FB">
            <w:pPr>
              <w:spacing w:after="0" w:line="240" w:lineRule="auto"/>
              <w:jc w:val="center"/>
              <w:rPr>
                <w:rFonts w:asciiTheme="minorHAnsi" w:eastAsia="Times New Roman" w:hAnsiTheme="minorHAnsi" w:cstheme="minorHAnsi"/>
                <w:color w:val="000000"/>
                <w:sz w:val="16"/>
                <w:szCs w:val="16"/>
              </w:rPr>
            </w:pPr>
          </w:p>
        </w:tc>
        <w:tc>
          <w:tcPr>
            <w:tcW w:w="419" w:type="pct"/>
            <w:gridSpan w:val="2"/>
            <w:tcBorders>
              <w:top w:val="single" w:sz="4" w:space="0" w:color="auto"/>
              <w:left w:val="nil"/>
              <w:bottom w:val="nil"/>
              <w:right w:val="nil"/>
            </w:tcBorders>
            <w:shd w:val="clear" w:color="auto" w:fill="auto"/>
            <w:noWrap/>
            <w:vAlign w:val="bottom"/>
            <w:hideMark/>
          </w:tcPr>
          <w:p w14:paraId="7B040C21" w14:textId="77777777" w:rsidR="000B17FB" w:rsidRPr="00F204F6" w:rsidRDefault="000B17FB" w:rsidP="000B17FB">
            <w:pPr>
              <w:spacing w:after="0" w:line="240" w:lineRule="auto"/>
              <w:jc w:val="center"/>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2015</w:t>
            </w:r>
          </w:p>
        </w:tc>
        <w:tc>
          <w:tcPr>
            <w:tcW w:w="420" w:type="pct"/>
            <w:gridSpan w:val="3"/>
            <w:tcBorders>
              <w:top w:val="single" w:sz="4" w:space="0" w:color="auto"/>
              <w:left w:val="nil"/>
              <w:bottom w:val="nil"/>
              <w:right w:val="nil"/>
            </w:tcBorders>
            <w:shd w:val="clear" w:color="auto" w:fill="auto"/>
            <w:noWrap/>
            <w:vAlign w:val="bottom"/>
            <w:hideMark/>
          </w:tcPr>
          <w:p w14:paraId="65525395" w14:textId="77777777" w:rsidR="000B17FB" w:rsidRPr="00F204F6" w:rsidRDefault="000B17FB" w:rsidP="000B17FB">
            <w:pPr>
              <w:spacing w:after="0" w:line="240" w:lineRule="auto"/>
              <w:jc w:val="center"/>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2016</w:t>
            </w:r>
          </w:p>
        </w:tc>
        <w:tc>
          <w:tcPr>
            <w:tcW w:w="419" w:type="pct"/>
            <w:gridSpan w:val="2"/>
            <w:tcBorders>
              <w:top w:val="single" w:sz="4" w:space="0" w:color="auto"/>
              <w:left w:val="nil"/>
              <w:bottom w:val="nil"/>
              <w:right w:val="nil"/>
            </w:tcBorders>
            <w:shd w:val="clear" w:color="auto" w:fill="auto"/>
            <w:noWrap/>
            <w:vAlign w:val="bottom"/>
            <w:hideMark/>
          </w:tcPr>
          <w:p w14:paraId="225D763D" w14:textId="77777777" w:rsidR="000B17FB" w:rsidRPr="00F204F6" w:rsidRDefault="000B17FB" w:rsidP="000B17FB">
            <w:pPr>
              <w:spacing w:after="0" w:line="240" w:lineRule="auto"/>
              <w:jc w:val="center"/>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2017</w:t>
            </w:r>
          </w:p>
        </w:tc>
        <w:tc>
          <w:tcPr>
            <w:tcW w:w="420" w:type="pct"/>
            <w:gridSpan w:val="2"/>
            <w:tcBorders>
              <w:top w:val="single" w:sz="4" w:space="0" w:color="auto"/>
              <w:left w:val="nil"/>
              <w:bottom w:val="nil"/>
              <w:right w:val="nil"/>
            </w:tcBorders>
            <w:shd w:val="clear" w:color="auto" w:fill="auto"/>
            <w:noWrap/>
            <w:vAlign w:val="bottom"/>
            <w:hideMark/>
          </w:tcPr>
          <w:p w14:paraId="768DC658" w14:textId="77777777" w:rsidR="000B17FB" w:rsidRPr="00F204F6" w:rsidRDefault="000B17FB" w:rsidP="000B17FB">
            <w:pPr>
              <w:spacing w:after="0" w:line="240" w:lineRule="auto"/>
              <w:jc w:val="center"/>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2018</w:t>
            </w:r>
          </w:p>
        </w:tc>
        <w:tc>
          <w:tcPr>
            <w:tcW w:w="419" w:type="pct"/>
            <w:gridSpan w:val="2"/>
            <w:tcBorders>
              <w:top w:val="single" w:sz="4" w:space="0" w:color="auto"/>
              <w:left w:val="nil"/>
              <w:bottom w:val="nil"/>
              <w:right w:val="nil"/>
            </w:tcBorders>
            <w:shd w:val="clear" w:color="auto" w:fill="auto"/>
            <w:noWrap/>
            <w:vAlign w:val="bottom"/>
            <w:hideMark/>
          </w:tcPr>
          <w:p w14:paraId="37FF030C" w14:textId="77777777" w:rsidR="000B17FB" w:rsidRPr="00F204F6" w:rsidRDefault="000B17FB" w:rsidP="000B17FB">
            <w:pPr>
              <w:spacing w:after="0" w:line="240" w:lineRule="auto"/>
              <w:jc w:val="center"/>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2019</w:t>
            </w:r>
          </w:p>
        </w:tc>
        <w:tc>
          <w:tcPr>
            <w:tcW w:w="420" w:type="pct"/>
            <w:gridSpan w:val="2"/>
            <w:tcBorders>
              <w:top w:val="single" w:sz="4" w:space="0" w:color="auto"/>
              <w:left w:val="nil"/>
              <w:bottom w:val="nil"/>
              <w:right w:val="nil"/>
            </w:tcBorders>
            <w:shd w:val="clear" w:color="auto" w:fill="auto"/>
            <w:noWrap/>
            <w:vAlign w:val="bottom"/>
            <w:hideMark/>
          </w:tcPr>
          <w:p w14:paraId="4D24BE8C" w14:textId="77777777" w:rsidR="000B17FB" w:rsidRPr="00F204F6" w:rsidRDefault="000B17FB" w:rsidP="000B17FB">
            <w:pPr>
              <w:spacing w:after="0" w:line="240" w:lineRule="auto"/>
              <w:jc w:val="center"/>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2020</w:t>
            </w:r>
          </w:p>
        </w:tc>
        <w:tc>
          <w:tcPr>
            <w:tcW w:w="420" w:type="pct"/>
            <w:gridSpan w:val="2"/>
            <w:tcBorders>
              <w:top w:val="single" w:sz="4" w:space="0" w:color="auto"/>
              <w:left w:val="nil"/>
              <w:bottom w:val="nil"/>
              <w:right w:val="nil"/>
            </w:tcBorders>
            <w:shd w:val="clear" w:color="auto" w:fill="auto"/>
            <w:noWrap/>
            <w:vAlign w:val="bottom"/>
            <w:hideMark/>
          </w:tcPr>
          <w:p w14:paraId="15AEDCE0" w14:textId="77777777" w:rsidR="000B17FB" w:rsidRPr="00F204F6" w:rsidRDefault="000B17FB" w:rsidP="000B17FB">
            <w:pPr>
              <w:spacing w:after="0" w:line="240" w:lineRule="auto"/>
              <w:jc w:val="center"/>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2021</w:t>
            </w:r>
          </w:p>
        </w:tc>
        <w:tc>
          <w:tcPr>
            <w:tcW w:w="404" w:type="pct"/>
            <w:gridSpan w:val="3"/>
            <w:tcBorders>
              <w:top w:val="single" w:sz="4" w:space="0" w:color="auto"/>
              <w:left w:val="nil"/>
              <w:bottom w:val="nil"/>
              <w:right w:val="single" w:sz="4" w:space="0" w:color="auto"/>
            </w:tcBorders>
            <w:shd w:val="clear" w:color="auto" w:fill="auto"/>
            <w:noWrap/>
            <w:vAlign w:val="bottom"/>
            <w:hideMark/>
          </w:tcPr>
          <w:p w14:paraId="705C32F2" w14:textId="77777777" w:rsidR="000B17FB" w:rsidRPr="00F204F6" w:rsidRDefault="000B17FB" w:rsidP="000B17FB">
            <w:pPr>
              <w:spacing w:after="0" w:line="240" w:lineRule="auto"/>
              <w:jc w:val="center"/>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2022</w:t>
            </w:r>
          </w:p>
        </w:tc>
      </w:tr>
      <w:tr w:rsidR="000B17FB" w:rsidRPr="00E36113" w14:paraId="294DA09A" w14:textId="77777777" w:rsidTr="00F204F6">
        <w:trPr>
          <w:trHeight w:val="276"/>
        </w:trPr>
        <w:tc>
          <w:tcPr>
            <w:tcW w:w="1659" w:type="pct"/>
            <w:tcBorders>
              <w:top w:val="single" w:sz="4" w:space="0" w:color="auto"/>
              <w:left w:val="single" w:sz="4" w:space="0" w:color="auto"/>
              <w:bottom w:val="single" w:sz="4" w:space="0" w:color="auto"/>
              <w:right w:val="nil"/>
            </w:tcBorders>
            <w:shd w:val="clear" w:color="auto" w:fill="auto"/>
            <w:noWrap/>
            <w:vAlign w:val="bottom"/>
          </w:tcPr>
          <w:p w14:paraId="62A16F20" w14:textId="77777777" w:rsidR="000B17FB" w:rsidRPr="00F204F6" w:rsidRDefault="000B17FB" w:rsidP="000B17FB">
            <w:pPr>
              <w:spacing w:after="0" w:line="240" w:lineRule="auto"/>
              <w:jc w:val="center"/>
              <w:rPr>
                <w:rFonts w:asciiTheme="minorHAnsi" w:eastAsia="Times New Roman" w:hAnsiTheme="minorHAnsi" w:cstheme="minorHAnsi"/>
                <w:color w:val="000000"/>
                <w:sz w:val="16"/>
                <w:szCs w:val="16"/>
              </w:rPr>
            </w:pPr>
          </w:p>
        </w:tc>
        <w:tc>
          <w:tcPr>
            <w:tcW w:w="419" w:type="pct"/>
            <w:gridSpan w:val="2"/>
            <w:tcBorders>
              <w:top w:val="single" w:sz="4" w:space="0" w:color="auto"/>
              <w:left w:val="nil"/>
              <w:bottom w:val="single" w:sz="4" w:space="0" w:color="auto"/>
              <w:right w:val="nil"/>
            </w:tcBorders>
            <w:shd w:val="clear" w:color="auto" w:fill="auto"/>
            <w:noWrap/>
            <w:vAlign w:val="bottom"/>
          </w:tcPr>
          <w:p w14:paraId="66310546" w14:textId="77777777" w:rsidR="000B17FB" w:rsidRPr="00F204F6" w:rsidRDefault="000B17FB" w:rsidP="000B17FB">
            <w:pPr>
              <w:spacing w:after="0" w:line="240" w:lineRule="auto"/>
              <w:jc w:val="center"/>
              <w:rPr>
                <w:rFonts w:asciiTheme="minorHAnsi" w:eastAsia="Times New Roman" w:hAnsiTheme="minorHAnsi" w:cstheme="minorHAnsi"/>
                <w:b/>
                <w:color w:val="000000"/>
                <w:sz w:val="16"/>
                <w:szCs w:val="16"/>
              </w:rPr>
            </w:pPr>
            <w:r w:rsidRPr="00F204F6">
              <w:rPr>
                <w:rFonts w:asciiTheme="minorHAnsi" w:eastAsia="Times New Roman" w:hAnsiTheme="minorHAnsi" w:cstheme="minorHAnsi"/>
                <w:b/>
                <w:color w:val="000000"/>
                <w:sz w:val="16"/>
                <w:szCs w:val="16"/>
              </w:rPr>
              <w:t>Actual</w:t>
            </w:r>
          </w:p>
        </w:tc>
        <w:tc>
          <w:tcPr>
            <w:tcW w:w="420" w:type="pct"/>
            <w:gridSpan w:val="3"/>
            <w:tcBorders>
              <w:top w:val="single" w:sz="4" w:space="0" w:color="auto"/>
              <w:left w:val="nil"/>
              <w:bottom w:val="single" w:sz="4" w:space="0" w:color="auto"/>
              <w:right w:val="nil"/>
            </w:tcBorders>
            <w:shd w:val="clear" w:color="auto" w:fill="auto"/>
            <w:vAlign w:val="bottom"/>
          </w:tcPr>
          <w:p w14:paraId="01A448CB" w14:textId="77777777" w:rsidR="000B17FB" w:rsidRPr="00F204F6" w:rsidRDefault="000B17FB" w:rsidP="000B17FB">
            <w:pPr>
              <w:spacing w:after="0" w:line="240" w:lineRule="auto"/>
              <w:jc w:val="center"/>
              <w:rPr>
                <w:rFonts w:asciiTheme="minorHAnsi" w:eastAsia="Times New Roman" w:hAnsiTheme="minorHAnsi" w:cstheme="minorHAnsi"/>
                <w:color w:val="000000"/>
                <w:sz w:val="16"/>
                <w:szCs w:val="16"/>
              </w:rPr>
            </w:pPr>
            <w:r w:rsidRPr="00F204F6">
              <w:rPr>
                <w:rFonts w:asciiTheme="minorHAnsi" w:eastAsia="Times New Roman" w:hAnsiTheme="minorHAnsi" w:cstheme="minorHAnsi"/>
                <w:b/>
                <w:bCs/>
                <w:color w:val="000000"/>
                <w:sz w:val="16"/>
                <w:szCs w:val="16"/>
              </w:rPr>
              <w:t>Est</w:t>
            </w:r>
          </w:p>
        </w:tc>
        <w:tc>
          <w:tcPr>
            <w:tcW w:w="2502" w:type="pct"/>
            <w:gridSpan w:val="13"/>
            <w:tcBorders>
              <w:top w:val="single" w:sz="4" w:space="0" w:color="auto"/>
              <w:left w:val="nil"/>
              <w:bottom w:val="single" w:sz="4" w:space="0" w:color="auto"/>
              <w:right w:val="single" w:sz="4" w:space="0" w:color="auto"/>
            </w:tcBorders>
            <w:shd w:val="clear" w:color="auto" w:fill="auto"/>
            <w:noWrap/>
            <w:vAlign w:val="bottom"/>
          </w:tcPr>
          <w:p w14:paraId="1689389D" w14:textId="77777777" w:rsidR="000B17FB" w:rsidRPr="00F204F6" w:rsidRDefault="000B17FB" w:rsidP="000B17FB">
            <w:pPr>
              <w:spacing w:after="0" w:line="240" w:lineRule="auto"/>
              <w:jc w:val="center"/>
              <w:rPr>
                <w:rFonts w:asciiTheme="minorHAnsi" w:eastAsia="Times New Roman" w:hAnsiTheme="minorHAnsi" w:cstheme="minorHAnsi"/>
                <w:color w:val="000000"/>
                <w:sz w:val="16"/>
                <w:szCs w:val="16"/>
              </w:rPr>
            </w:pPr>
            <w:r w:rsidRPr="00F204F6">
              <w:rPr>
                <w:rFonts w:asciiTheme="minorHAnsi" w:eastAsia="Times New Roman" w:hAnsiTheme="minorHAnsi" w:cstheme="minorHAnsi"/>
                <w:b/>
                <w:bCs/>
                <w:color w:val="000000"/>
                <w:sz w:val="16"/>
                <w:szCs w:val="16"/>
              </w:rPr>
              <w:t>Projections</w:t>
            </w:r>
          </w:p>
        </w:tc>
      </w:tr>
      <w:tr w:rsidR="000B17FB" w:rsidRPr="00E36113" w14:paraId="502A1FB0" w14:textId="77777777" w:rsidTr="00F204F6">
        <w:trPr>
          <w:trHeight w:val="276"/>
        </w:trPr>
        <w:tc>
          <w:tcPr>
            <w:tcW w:w="1659" w:type="pct"/>
            <w:tcBorders>
              <w:top w:val="single" w:sz="4" w:space="0" w:color="auto"/>
              <w:left w:val="single" w:sz="4" w:space="0" w:color="auto"/>
              <w:bottom w:val="nil"/>
              <w:right w:val="nil"/>
            </w:tcBorders>
            <w:shd w:val="clear" w:color="auto" w:fill="auto"/>
            <w:noWrap/>
            <w:vAlign w:val="bottom"/>
            <w:hideMark/>
          </w:tcPr>
          <w:p w14:paraId="2216F074" w14:textId="77777777" w:rsidR="000B17FB" w:rsidRPr="00F204F6" w:rsidRDefault="000B17FB" w:rsidP="000B17FB">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Total financing requirements</w:t>
            </w:r>
          </w:p>
        </w:tc>
        <w:tc>
          <w:tcPr>
            <w:tcW w:w="419" w:type="pct"/>
            <w:gridSpan w:val="2"/>
            <w:tcBorders>
              <w:top w:val="single" w:sz="4" w:space="0" w:color="auto"/>
              <w:left w:val="nil"/>
              <w:bottom w:val="nil"/>
              <w:right w:val="nil"/>
            </w:tcBorders>
            <w:shd w:val="clear" w:color="auto" w:fill="auto"/>
            <w:noWrap/>
            <w:vAlign w:val="bottom"/>
            <w:hideMark/>
          </w:tcPr>
          <w:p w14:paraId="65134C52"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8.6</w:t>
            </w:r>
          </w:p>
        </w:tc>
        <w:tc>
          <w:tcPr>
            <w:tcW w:w="420" w:type="pct"/>
            <w:gridSpan w:val="3"/>
            <w:tcBorders>
              <w:top w:val="single" w:sz="4" w:space="0" w:color="auto"/>
              <w:left w:val="nil"/>
              <w:bottom w:val="nil"/>
              <w:right w:val="nil"/>
            </w:tcBorders>
            <w:shd w:val="clear" w:color="auto" w:fill="auto"/>
            <w:noWrap/>
            <w:vAlign w:val="bottom"/>
            <w:hideMark/>
          </w:tcPr>
          <w:p w14:paraId="3063D47F"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9.1</w:t>
            </w:r>
          </w:p>
        </w:tc>
        <w:tc>
          <w:tcPr>
            <w:tcW w:w="419" w:type="pct"/>
            <w:gridSpan w:val="2"/>
            <w:tcBorders>
              <w:top w:val="single" w:sz="4" w:space="0" w:color="auto"/>
              <w:left w:val="nil"/>
              <w:bottom w:val="nil"/>
              <w:right w:val="nil"/>
            </w:tcBorders>
            <w:shd w:val="clear" w:color="auto" w:fill="auto"/>
            <w:noWrap/>
            <w:vAlign w:val="bottom"/>
            <w:hideMark/>
          </w:tcPr>
          <w:p w14:paraId="00DBE11C"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10.2</w:t>
            </w:r>
          </w:p>
        </w:tc>
        <w:tc>
          <w:tcPr>
            <w:tcW w:w="420" w:type="pct"/>
            <w:gridSpan w:val="2"/>
            <w:tcBorders>
              <w:top w:val="single" w:sz="4" w:space="0" w:color="auto"/>
              <w:left w:val="nil"/>
              <w:bottom w:val="nil"/>
              <w:right w:val="nil"/>
            </w:tcBorders>
            <w:shd w:val="clear" w:color="auto" w:fill="auto"/>
            <w:noWrap/>
            <w:vAlign w:val="bottom"/>
            <w:hideMark/>
          </w:tcPr>
          <w:p w14:paraId="0E57A1E7"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9.9</w:t>
            </w:r>
          </w:p>
        </w:tc>
        <w:tc>
          <w:tcPr>
            <w:tcW w:w="419" w:type="pct"/>
            <w:gridSpan w:val="2"/>
            <w:tcBorders>
              <w:top w:val="single" w:sz="4" w:space="0" w:color="auto"/>
              <w:left w:val="nil"/>
              <w:bottom w:val="nil"/>
              <w:right w:val="nil"/>
            </w:tcBorders>
            <w:shd w:val="clear" w:color="auto" w:fill="auto"/>
            <w:noWrap/>
            <w:vAlign w:val="bottom"/>
            <w:hideMark/>
          </w:tcPr>
          <w:p w14:paraId="52EACD45"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12.0</w:t>
            </w:r>
          </w:p>
        </w:tc>
        <w:tc>
          <w:tcPr>
            <w:tcW w:w="420" w:type="pct"/>
            <w:gridSpan w:val="2"/>
            <w:tcBorders>
              <w:top w:val="single" w:sz="4" w:space="0" w:color="auto"/>
              <w:left w:val="nil"/>
              <w:bottom w:val="nil"/>
              <w:right w:val="nil"/>
            </w:tcBorders>
            <w:shd w:val="clear" w:color="auto" w:fill="auto"/>
            <w:noWrap/>
            <w:vAlign w:val="bottom"/>
            <w:hideMark/>
          </w:tcPr>
          <w:p w14:paraId="14D1B7CF"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10.6</w:t>
            </w:r>
          </w:p>
        </w:tc>
        <w:tc>
          <w:tcPr>
            <w:tcW w:w="420" w:type="pct"/>
            <w:gridSpan w:val="2"/>
            <w:tcBorders>
              <w:top w:val="single" w:sz="4" w:space="0" w:color="auto"/>
              <w:left w:val="nil"/>
              <w:bottom w:val="nil"/>
              <w:right w:val="nil"/>
            </w:tcBorders>
            <w:shd w:val="clear" w:color="auto" w:fill="auto"/>
            <w:noWrap/>
            <w:vAlign w:val="bottom"/>
            <w:hideMark/>
          </w:tcPr>
          <w:p w14:paraId="4C853300"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9.9</w:t>
            </w:r>
          </w:p>
        </w:tc>
        <w:tc>
          <w:tcPr>
            <w:tcW w:w="404" w:type="pct"/>
            <w:gridSpan w:val="3"/>
            <w:tcBorders>
              <w:top w:val="single" w:sz="4" w:space="0" w:color="auto"/>
              <w:left w:val="nil"/>
              <w:bottom w:val="nil"/>
              <w:right w:val="single" w:sz="4" w:space="0" w:color="auto"/>
            </w:tcBorders>
            <w:shd w:val="clear" w:color="auto" w:fill="auto"/>
            <w:noWrap/>
            <w:vAlign w:val="bottom"/>
            <w:hideMark/>
          </w:tcPr>
          <w:p w14:paraId="2D0266AF"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9.1</w:t>
            </w:r>
          </w:p>
        </w:tc>
      </w:tr>
      <w:tr w:rsidR="000B17FB" w:rsidRPr="00E36113" w14:paraId="18FC030E" w14:textId="77777777" w:rsidTr="00F204F6">
        <w:trPr>
          <w:trHeight w:val="276"/>
        </w:trPr>
        <w:tc>
          <w:tcPr>
            <w:tcW w:w="1659" w:type="pct"/>
            <w:tcBorders>
              <w:top w:val="nil"/>
              <w:left w:val="single" w:sz="4" w:space="0" w:color="auto"/>
              <w:bottom w:val="nil"/>
              <w:right w:val="nil"/>
            </w:tcBorders>
            <w:shd w:val="clear" w:color="auto" w:fill="auto"/>
            <w:noWrap/>
            <w:vAlign w:val="bottom"/>
            <w:hideMark/>
          </w:tcPr>
          <w:p w14:paraId="7B0E9427" w14:textId="77777777" w:rsidR="000B17FB" w:rsidRPr="00F204F6" w:rsidRDefault="000B17FB" w:rsidP="000B17FB">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Current account deficit</w:t>
            </w:r>
          </w:p>
        </w:tc>
        <w:tc>
          <w:tcPr>
            <w:tcW w:w="419" w:type="pct"/>
            <w:gridSpan w:val="2"/>
            <w:tcBorders>
              <w:top w:val="nil"/>
              <w:left w:val="nil"/>
              <w:bottom w:val="nil"/>
              <w:right w:val="nil"/>
            </w:tcBorders>
            <w:shd w:val="clear" w:color="auto" w:fill="auto"/>
            <w:noWrap/>
            <w:vAlign w:val="bottom"/>
            <w:hideMark/>
          </w:tcPr>
          <w:p w14:paraId="7956879D"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1.9</w:t>
            </w:r>
          </w:p>
        </w:tc>
        <w:tc>
          <w:tcPr>
            <w:tcW w:w="420" w:type="pct"/>
            <w:gridSpan w:val="3"/>
            <w:tcBorders>
              <w:top w:val="nil"/>
              <w:left w:val="nil"/>
              <w:bottom w:val="nil"/>
              <w:right w:val="nil"/>
            </w:tcBorders>
            <w:shd w:val="clear" w:color="auto" w:fill="auto"/>
            <w:noWrap/>
            <w:vAlign w:val="bottom"/>
            <w:hideMark/>
          </w:tcPr>
          <w:p w14:paraId="079D7E29"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-0.6</w:t>
            </w:r>
          </w:p>
        </w:tc>
        <w:tc>
          <w:tcPr>
            <w:tcW w:w="419" w:type="pct"/>
            <w:gridSpan w:val="2"/>
            <w:tcBorders>
              <w:top w:val="nil"/>
              <w:left w:val="nil"/>
              <w:bottom w:val="nil"/>
              <w:right w:val="nil"/>
            </w:tcBorders>
            <w:shd w:val="clear" w:color="auto" w:fill="auto"/>
            <w:noWrap/>
            <w:vAlign w:val="bottom"/>
            <w:hideMark/>
          </w:tcPr>
          <w:p w14:paraId="3FFDA291"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3.4</w:t>
            </w:r>
          </w:p>
        </w:tc>
        <w:tc>
          <w:tcPr>
            <w:tcW w:w="420" w:type="pct"/>
            <w:gridSpan w:val="2"/>
            <w:tcBorders>
              <w:top w:val="nil"/>
              <w:left w:val="nil"/>
              <w:bottom w:val="nil"/>
              <w:right w:val="nil"/>
            </w:tcBorders>
            <w:shd w:val="clear" w:color="auto" w:fill="auto"/>
            <w:noWrap/>
            <w:vAlign w:val="bottom"/>
            <w:hideMark/>
          </w:tcPr>
          <w:p w14:paraId="00526CF2"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4.1</w:t>
            </w:r>
          </w:p>
        </w:tc>
        <w:tc>
          <w:tcPr>
            <w:tcW w:w="419" w:type="pct"/>
            <w:gridSpan w:val="2"/>
            <w:tcBorders>
              <w:top w:val="nil"/>
              <w:left w:val="nil"/>
              <w:bottom w:val="nil"/>
              <w:right w:val="nil"/>
            </w:tcBorders>
            <w:shd w:val="clear" w:color="auto" w:fill="auto"/>
            <w:noWrap/>
            <w:vAlign w:val="bottom"/>
            <w:hideMark/>
          </w:tcPr>
          <w:p w14:paraId="752A3256"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4.3</w:t>
            </w:r>
          </w:p>
        </w:tc>
        <w:tc>
          <w:tcPr>
            <w:tcW w:w="420" w:type="pct"/>
            <w:gridSpan w:val="2"/>
            <w:tcBorders>
              <w:top w:val="nil"/>
              <w:left w:val="nil"/>
              <w:bottom w:val="nil"/>
              <w:right w:val="nil"/>
            </w:tcBorders>
            <w:shd w:val="clear" w:color="auto" w:fill="auto"/>
            <w:noWrap/>
            <w:vAlign w:val="bottom"/>
            <w:hideMark/>
          </w:tcPr>
          <w:p w14:paraId="6EDA16CF"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4.1</w:t>
            </w:r>
          </w:p>
        </w:tc>
        <w:tc>
          <w:tcPr>
            <w:tcW w:w="420" w:type="pct"/>
            <w:gridSpan w:val="2"/>
            <w:tcBorders>
              <w:top w:val="nil"/>
              <w:left w:val="nil"/>
              <w:bottom w:val="nil"/>
              <w:right w:val="nil"/>
            </w:tcBorders>
            <w:shd w:val="clear" w:color="auto" w:fill="auto"/>
            <w:noWrap/>
            <w:vAlign w:val="bottom"/>
            <w:hideMark/>
          </w:tcPr>
          <w:p w14:paraId="3FA9FE4F"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4.3</w:t>
            </w:r>
          </w:p>
        </w:tc>
        <w:tc>
          <w:tcPr>
            <w:tcW w:w="404" w:type="pct"/>
            <w:gridSpan w:val="3"/>
            <w:tcBorders>
              <w:top w:val="nil"/>
              <w:left w:val="nil"/>
              <w:bottom w:val="nil"/>
              <w:right w:val="single" w:sz="4" w:space="0" w:color="auto"/>
            </w:tcBorders>
            <w:shd w:val="clear" w:color="auto" w:fill="auto"/>
            <w:noWrap/>
            <w:vAlign w:val="bottom"/>
            <w:hideMark/>
          </w:tcPr>
          <w:p w14:paraId="778DE0F5"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4.4</w:t>
            </w:r>
          </w:p>
        </w:tc>
      </w:tr>
      <w:tr w:rsidR="000B17FB" w:rsidRPr="00E36113" w14:paraId="0A78DC07" w14:textId="77777777" w:rsidTr="00F204F6">
        <w:trPr>
          <w:trHeight w:val="276"/>
        </w:trPr>
        <w:tc>
          <w:tcPr>
            <w:tcW w:w="1659" w:type="pct"/>
            <w:tcBorders>
              <w:top w:val="nil"/>
              <w:left w:val="single" w:sz="4" w:space="0" w:color="auto"/>
              <w:bottom w:val="nil"/>
              <w:right w:val="nil"/>
            </w:tcBorders>
            <w:shd w:val="clear" w:color="auto" w:fill="auto"/>
            <w:noWrap/>
            <w:vAlign w:val="bottom"/>
            <w:hideMark/>
          </w:tcPr>
          <w:p w14:paraId="170DE0DE" w14:textId="77777777" w:rsidR="000B17FB" w:rsidRPr="00F204F6" w:rsidRDefault="000B17FB" w:rsidP="000B17FB">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Net repayment of private sector debt</w:t>
            </w:r>
          </w:p>
        </w:tc>
        <w:tc>
          <w:tcPr>
            <w:tcW w:w="419" w:type="pct"/>
            <w:gridSpan w:val="2"/>
            <w:tcBorders>
              <w:top w:val="nil"/>
              <w:left w:val="nil"/>
              <w:bottom w:val="nil"/>
              <w:right w:val="nil"/>
            </w:tcBorders>
            <w:shd w:val="clear" w:color="auto" w:fill="auto"/>
            <w:noWrap/>
            <w:vAlign w:val="bottom"/>
            <w:hideMark/>
          </w:tcPr>
          <w:p w14:paraId="0A7861A5"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1.6</w:t>
            </w:r>
          </w:p>
        </w:tc>
        <w:tc>
          <w:tcPr>
            <w:tcW w:w="420" w:type="pct"/>
            <w:gridSpan w:val="3"/>
            <w:tcBorders>
              <w:top w:val="nil"/>
              <w:left w:val="nil"/>
              <w:bottom w:val="nil"/>
              <w:right w:val="nil"/>
            </w:tcBorders>
            <w:shd w:val="clear" w:color="auto" w:fill="auto"/>
            <w:noWrap/>
            <w:vAlign w:val="bottom"/>
            <w:hideMark/>
          </w:tcPr>
          <w:p w14:paraId="4746A4DF"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2.1</w:t>
            </w:r>
          </w:p>
        </w:tc>
        <w:tc>
          <w:tcPr>
            <w:tcW w:w="419" w:type="pct"/>
            <w:gridSpan w:val="2"/>
            <w:tcBorders>
              <w:top w:val="nil"/>
              <w:left w:val="nil"/>
              <w:bottom w:val="nil"/>
              <w:right w:val="nil"/>
            </w:tcBorders>
            <w:shd w:val="clear" w:color="auto" w:fill="auto"/>
            <w:noWrap/>
            <w:vAlign w:val="bottom"/>
            <w:hideMark/>
          </w:tcPr>
          <w:p w14:paraId="7C2FE61C"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2.2</w:t>
            </w:r>
          </w:p>
        </w:tc>
        <w:tc>
          <w:tcPr>
            <w:tcW w:w="420" w:type="pct"/>
            <w:gridSpan w:val="2"/>
            <w:tcBorders>
              <w:top w:val="nil"/>
              <w:left w:val="nil"/>
              <w:bottom w:val="nil"/>
              <w:right w:val="nil"/>
            </w:tcBorders>
            <w:shd w:val="clear" w:color="auto" w:fill="auto"/>
            <w:noWrap/>
            <w:vAlign w:val="bottom"/>
            <w:hideMark/>
          </w:tcPr>
          <w:p w14:paraId="549BBDFA"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1.8</w:t>
            </w:r>
          </w:p>
        </w:tc>
        <w:tc>
          <w:tcPr>
            <w:tcW w:w="419" w:type="pct"/>
            <w:gridSpan w:val="2"/>
            <w:tcBorders>
              <w:top w:val="nil"/>
              <w:left w:val="nil"/>
              <w:bottom w:val="nil"/>
              <w:right w:val="nil"/>
            </w:tcBorders>
            <w:shd w:val="clear" w:color="auto" w:fill="auto"/>
            <w:noWrap/>
            <w:vAlign w:val="bottom"/>
            <w:hideMark/>
          </w:tcPr>
          <w:p w14:paraId="75D3F8C2"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1.5</w:t>
            </w:r>
          </w:p>
        </w:tc>
        <w:tc>
          <w:tcPr>
            <w:tcW w:w="420" w:type="pct"/>
            <w:gridSpan w:val="2"/>
            <w:tcBorders>
              <w:top w:val="nil"/>
              <w:left w:val="nil"/>
              <w:bottom w:val="nil"/>
              <w:right w:val="nil"/>
            </w:tcBorders>
            <w:shd w:val="clear" w:color="auto" w:fill="auto"/>
            <w:noWrap/>
            <w:vAlign w:val="bottom"/>
            <w:hideMark/>
          </w:tcPr>
          <w:p w14:paraId="5FFB1B9E"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1.4</w:t>
            </w:r>
          </w:p>
        </w:tc>
        <w:tc>
          <w:tcPr>
            <w:tcW w:w="420" w:type="pct"/>
            <w:gridSpan w:val="2"/>
            <w:tcBorders>
              <w:top w:val="nil"/>
              <w:left w:val="nil"/>
              <w:bottom w:val="nil"/>
              <w:right w:val="nil"/>
            </w:tcBorders>
            <w:shd w:val="clear" w:color="auto" w:fill="auto"/>
            <w:noWrap/>
            <w:vAlign w:val="bottom"/>
            <w:hideMark/>
          </w:tcPr>
          <w:p w14:paraId="3F5F6107"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1.4</w:t>
            </w:r>
          </w:p>
        </w:tc>
        <w:tc>
          <w:tcPr>
            <w:tcW w:w="404" w:type="pct"/>
            <w:gridSpan w:val="3"/>
            <w:tcBorders>
              <w:top w:val="nil"/>
              <w:left w:val="nil"/>
              <w:bottom w:val="nil"/>
              <w:right w:val="single" w:sz="4" w:space="0" w:color="auto"/>
            </w:tcBorders>
            <w:shd w:val="clear" w:color="auto" w:fill="auto"/>
            <w:noWrap/>
            <w:vAlign w:val="bottom"/>
            <w:hideMark/>
          </w:tcPr>
          <w:p w14:paraId="491A2135"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1.4</w:t>
            </w:r>
          </w:p>
        </w:tc>
      </w:tr>
      <w:tr w:rsidR="000B17FB" w:rsidRPr="00E36113" w14:paraId="7FB6A04F" w14:textId="77777777" w:rsidTr="00F204F6">
        <w:trPr>
          <w:trHeight w:val="276"/>
        </w:trPr>
        <w:tc>
          <w:tcPr>
            <w:tcW w:w="1659" w:type="pct"/>
            <w:tcBorders>
              <w:top w:val="nil"/>
              <w:left w:val="single" w:sz="4" w:space="0" w:color="auto"/>
              <w:bottom w:val="nil"/>
              <w:right w:val="nil"/>
            </w:tcBorders>
            <w:shd w:val="clear" w:color="auto" w:fill="auto"/>
            <w:noWrap/>
            <w:vAlign w:val="bottom"/>
            <w:hideMark/>
          </w:tcPr>
          <w:p w14:paraId="599DAFFD" w14:textId="77C60F6A" w:rsidR="000B17FB" w:rsidRPr="00F204F6" w:rsidRDefault="000B17FB" w:rsidP="000B17FB">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Repayment of </w:t>
            </w:r>
            <w:r w:rsidR="00630CFF">
              <w:rPr>
                <w:rFonts w:asciiTheme="minorHAnsi" w:eastAsia="Times New Roman" w:hAnsiTheme="minorHAnsi" w:cstheme="minorHAnsi"/>
                <w:color w:val="000000"/>
                <w:sz w:val="16"/>
                <w:szCs w:val="16"/>
              </w:rPr>
              <w:t>G</w:t>
            </w:r>
            <w:r w:rsidRPr="00F204F6">
              <w:rPr>
                <w:rFonts w:asciiTheme="minorHAnsi" w:eastAsia="Times New Roman" w:hAnsiTheme="minorHAnsi" w:cstheme="minorHAnsi"/>
                <w:color w:val="000000"/>
                <w:sz w:val="16"/>
                <w:szCs w:val="16"/>
              </w:rPr>
              <w:t>overnment debt</w:t>
            </w:r>
          </w:p>
        </w:tc>
        <w:tc>
          <w:tcPr>
            <w:tcW w:w="419" w:type="pct"/>
            <w:gridSpan w:val="2"/>
            <w:tcBorders>
              <w:top w:val="nil"/>
              <w:left w:val="nil"/>
              <w:bottom w:val="nil"/>
              <w:right w:val="nil"/>
            </w:tcBorders>
            <w:shd w:val="clear" w:color="auto" w:fill="auto"/>
            <w:noWrap/>
            <w:vAlign w:val="bottom"/>
            <w:hideMark/>
          </w:tcPr>
          <w:p w14:paraId="117566A3"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0.4</w:t>
            </w:r>
          </w:p>
        </w:tc>
        <w:tc>
          <w:tcPr>
            <w:tcW w:w="420" w:type="pct"/>
            <w:gridSpan w:val="3"/>
            <w:tcBorders>
              <w:top w:val="nil"/>
              <w:left w:val="nil"/>
              <w:bottom w:val="nil"/>
              <w:right w:val="nil"/>
            </w:tcBorders>
            <w:shd w:val="clear" w:color="auto" w:fill="auto"/>
            <w:noWrap/>
            <w:vAlign w:val="bottom"/>
            <w:hideMark/>
          </w:tcPr>
          <w:p w14:paraId="5FEF3A01"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0.7</w:t>
            </w:r>
          </w:p>
        </w:tc>
        <w:tc>
          <w:tcPr>
            <w:tcW w:w="419" w:type="pct"/>
            <w:gridSpan w:val="2"/>
            <w:tcBorders>
              <w:top w:val="nil"/>
              <w:left w:val="nil"/>
              <w:bottom w:val="nil"/>
              <w:right w:val="nil"/>
            </w:tcBorders>
            <w:shd w:val="clear" w:color="auto" w:fill="auto"/>
            <w:noWrap/>
            <w:vAlign w:val="bottom"/>
            <w:hideMark/>
          </w:tcPr>
          <w:p w14:paraId="77911A71"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0.8</w:t>
            </w:r>
          </w:p>
        </w:tc>
        <w:tc>
          <w:tcPr>
            <w:tcW w:w="420" w:type="pct"/>
            <w:gridSpan w:val="2"/>
            <w:tcBorders>
              <w:top w:val="nil"/>
              <w:left w:val="nil"/>
              <w:bottom w:val="nil"/>
              <w:right w:val="nil"/>
            </w:tcBorders>
            <w:shd w:val="clear" w:color="auto" w:fill="auto"/>
            <w:noWrap/>
            <w:vAlign w:val="bottom"/>
            <w:hideMark/>
          </w:tcPr>
          <w:p w14:paraId="14B05857"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0.6</w:t>
            </w:r>
          </w:p>
        </w:tc>
        <w:tc>
          <w:tcPr>
            <w:tcW w:w="419" w:type="pct"/>
            <w:gridSpan w:val="2"/>
            <w:tcBorders>
              <w:top w:val="nil"/>
              <w:left w:val="nil"/>
              <w:bottom w:val="nil"/>
              <w:right w:val="nil"/>
            </w:tcBorders>
            <w:shd w:val="clear" w:color="auto" w:fill="auto"/>
            <w:noWrap/>
            <w:vAlign w:val="bottom"/>
            <w:hideMark/>
          </w:tcPr>
          <w:p w14:paraId="4C39BBAD"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0.5</w:t>
            </w:r>
          </w:p>
        </w:tc>
        <w:tc>
          <w:tcPr>
            <w:tcW w:w="420" w:type="pct"/>
            <w:gridSpan w:val="2"/>
            <w:tcBorders>
              <w:top w:val="nil"/>
              <w:left w:val="nil"/>
              <w:bottom w:val="nil"/>
              <w:right w:val="nil"/>
            </w:tcBorders>
            <w:shd w:val="clear" w:color="auto" w:fill="auto"/>
            <w:noWrap/>
            <w:vAlign w:val="bottom"/>
            <w:hideMark/>
          </w:tcPr>
          <w:p w14:paraId="5DE1ACEB"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0.7</w:t>
            </w:r>
          </w:p>
        </w:tc>
        <w:tc>
          <w:tcPr>
            <w:tcW w:w="420" w:type="pct"/>
            <w:gridSpan w:val="2"/>
            <w:tcBorders>
              <w:top w:val="nil"/>
              <w:left w:val="nil"/>
              <w:bottom w:val="nil"/>
              <w:right w:val="nil"/>
            </w:tcBorders>
            <w:shd w:val="clear" w:color="auto" w:fill="auto"/>
            <w:noWrap/>
            <w:vAlign w:val="bottom"/>
            <w:hideMark/>
          </w:tcPr>
          <w:p w14:paraId="35B3A1BE"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0.7</w:t>
            </w:r>
          </w:p>
        </w:tc>
        <w:tc>
          <w:tcPr>
            <w:tcW w:w="404" w:type="pct"/>
            <w:gridSpan w:val="3"/>
            <w:tcBorders>
              <w:top w:val="nil"/>
              <w:left w:val="nil"/>
              <w:bottom w:val="nil"/>
              <w:right w:val="single" w:sz="4" w:space="0" w:color="auto"/>
            </w:tcBorders>
            <w:shd w:val="clear" w:color="auto" w:fill="auto"/>
            <w:noWrap/>
            <w:vAlign w:val="bottom"/>
            <w:hideMark/>
          </w:tcPr>
          <w:p w14:paraId="4750BEDB"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0.7</w:t>
            </w:r>
          </w:p>
        </w:tc>
      </w:tr>
      <w:tr w:rsidR="000B17FB" w:rsidRPr="00E36113" w14:paraId="0B141986" w14:textId="77777777" w:rsidTr="00F204F6">
        <w:trPr>
          <w:trHeight w:val="276"/>
        </w:trPr>
        <w:tc>
          <w:tcPr>
            <w:tcW w:w="1659" w:type="pct"/>
            <w:tcBorders>
              <w:top w:val="nil"/>
              <w:left w:val="single" w:sz="4" w:space="0" w:color="auto"/>
              <w:bottom w:val="nil"/>
              <w:right w:val="nil"/>
            </w:tcBorders>
            <w:shd w:val="clear" w:color="auto" w:fill="auto"/>
            <w:noWrap/>
            <w:vAlign w:val="bottom"/>
            <w:hideMark/>
          </w:tcPr>
          <w:p w14:paraId="1C310537" w14:textId="77777777" w:rsidR="000B17FB" w:rsidRPr="00F204F6" w:rsidRDefault="000B17FB" w:rsidP="000B17FB">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Gross reserves accumulation (+= increase)</w:t>
            </w:r>
          </w:p>
        </w:tc>
        <w:tc>
          <w:tcPr>
            <w:tcW w:w="419" w:type="pct"/>
            <w:gridSpan w:val="2"/>
            <w:tcBorders>
              <w:top w:val="nil"/>
              <w:left w:val="nil"/>
              <w:bottom w:val="nil"/>
              <w:right w:val="nil"/>
            </w:tcBorders>
            <w:shd w:val="clear" w:color="auto" w:fill="auto"/>
            <w:noWrap/>
            <w:vAlign w:val="bottom"/>
            <w:hideMark/>
          </w:tcPr>
          <w:p w14:paraId="1FA1D50A"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1.3</w:t>
            </w:r>
          </w:p>
        </w:tc>
        <w:tc>
          <w:tcPr>
            <w:tcW w:w="420" w:type="pct"/>
            <w:gridSpan w:val="3"/>
            <w:tcBorders>
              <w:top w:val="nil"/>
              <w:left w:val="nil"/>
              <w:bottom w:val="nil"/>
              <w:right w:val="nil"/>
            </w:tcBorders>
            <w:shd w:val="clear" w:color="auto" w:fill="auto"/>
            <w:noWrap/>
            <w:vAlign w:val="bottom"/>
            <w:hideMark/>
          </w:tcPr>
          <w:p w14:paraId="1E76B41B"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3.6</w:t>
            </w:r>
          </w:p>
        </w:tc>
        <w:tc>
          <w:tcPr>
            <w:tcW w:w="419" w:type="pct"/>
            <w:gridSpan w:val="2"/>
            <w:tcBorders>
              <w:top w:val="nil"/>
              <w:left w:val="nil"/>
              <w:bottom w:val="nil"/>
              <w:right w:val="nil"/>
            </w:tcBorders>
            <w:shd w:val="clear" w:color="auto" w:fill="auto"/>
            <w:noWrap/>
            <w:vAlign w:val="bottom"/>
            <w:hideMark/>
          </w:tcPr>
          <w:p w14:paraId="4AE8309F"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1.8</w:t>
            </w:r>
          </w:p>
        </w:tc>
        <w:tc>
          <w:tcPr>
            <w:tcW w:w="420" w:type="pct"/>
            <w:gridSpan w:val="2"/>
            <w:tcBorders>
              <w:top w:val="nil"/>
              <w:left w:val="nil"/>
              <w:bottom w:val="nil"/>
              <w:right w:val="nil"/>
            </w:tcBorders>
            <w:shd w:val="clear" w:color="auto" w:fill="auto"/>
            <w:noWrap/>
            <w:vAlign w:val="bottom"/>
            <w:hideMark/>
          </w:tcPr>
          <w:p w14:paraId="489E222C"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1.3</w:t>
            </w:r>
          </w:p>
        </w:tc>
        <w:tc>
          <w:tcPr>
            <w:tcW w:w="419" w:type="pct"/>
            <w:gridSpan w:val="2"/>
            <w:tcBorders>
              <w:top w:val="nil"/>
              <w:left w:val="nil"/>
              <w:bottom w:val="nil"/>
              <w:right w:val="nil"/>
            </w:tcBorders>
            <w:shd w:val="clear" w:color="auto" w:fill="auto"/>
            <w:noWrap/>
            <w:vAlign w:val="bottom"/>
            <w:hideMark/>
          </w:tcPr>
          <w:p w14:paraId="7591C6BA"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1.7</w:t>
            </w:r>
          </w:p>
        </w:tc>
        <w:tc>
          <w:tcPr>
            <w:tcW w:w="420" w:type="pct"/>
            <w:gridSpan w:val="2"/>
            <w:tcBorders>
              <w:top w:val="nil"/>
              <w:left w:val="nil"/>
              <w:bottom w:val="nil"/>
              <w:right w:val="nil"/>
            </w:tcBorders>
            <w:shd w:val="clear" w:color="auto" w:fill="auto"/>
            <w:noWrap/>
            <w:vAlign w:val="bottom"/>
            <w:hideMark/>
          </w:tcPr>
          <w:p w14:paraId="7481B81E"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1.2</w:t>
            </w:r>
          </w:p>
        </w:tc>
        <w:tc>
          <w:tcPr>
            <w:tcW w:w="420" w:type="pct"/>
            <w:gridSpan w:val="2"/>
            <w:tcBorders>
              <w:top w:val="nil"/>
              <w:left w:val="nil"/>
              <w:bottom w:val="nil"/>
              <w:right w:val="nil"/>
            </w:tcBorders>
            <w:shd w:val="clear" w:color="auto" w:fill="auto"/>
            <w:noWrap/>
            <w:vAlign w:val="bottom"/>
            <w:hideMark/>
          </w:tcPr>
          <w:p w14:paraId="2F813C21"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1.2</w:t>
            </w:r>
          </w:p>
        </w:tc>
        <w:tc>
          <w:tcPr>
            <w:tcW w:w="404" w:type="pct"/>
            <w:gridSpan w:val="3"/>
            <w:tcBorders>
              <w:top w:val="nil"/>
              <w:left w:val="nil"/>
              <w:bottom w:val="nil"/>
              <w:right w:val="single" w:sz="4" w:space="0" w:color="auto"/>
            </w:tcBorders>
            <w:shd w:val="clear" w:color="auto" w:fill="auto"/>
            <w:noWrap/>
            <w:vAlign w:val="bottom"/>
            <w:hideMark/>
          </w:tcPr>
          <w:p w14:paraId="0BEC80C1"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0.8</w:t>
            </w:r>
          </w:p>
        </w:tc>
      </w:tr>
      <w:tr w:rsidR="000B17FB" w:rsidRPr="00E36113" w14:paraId="4D496B59" w14:textId="77777777" w:rsidTr="00F204F6">
        <w:trPr>
          <w:trHeight w:val="276"/>
        </w:trPr>
        <w:tc>
          <w:tcPr>
            <w:tcW w:w="1659" w:type="pct"/>
            <w:tcBorders>
              <w:top w:val="nil"/>
              <w:left w:val="single" w:sz="4" w:space="0" w:color="auto"/>
              <w:bottom w:val="nil"/>
              <w:right w:val="nil"/>
            </w:tcBorders>
            <w:shd w:val="clear" w:color="auto" w:fill="auto"/>
            <w:noWrap/>
            <w:vAlign w:val="bottom"/>
            <w:hideMark/>
          </w:tcPr>
          <w:p w14:paraId="1D23E001" w14:textId="77777777" w:rsidR="000B17FB" w:rsidRPr="00F204F6" w:rsidRDefault="000B17FB" w:rsidP="000B17FB">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IMF repayments</w:t>
            </w:r>
          </w:p>
        </w:tc>
        <w:tc>
          <w:tcPr>
            <w:tcW w:w="419" w:type="pct"/>
            <w:gridSpan w:val="2"/>
            <w:tcBorders>
              <w:top w:val="nil"/>
              <w:left w:val="nil"/>
              <w:bottom w:val="nil"/>
              <w:right w:val="nil"/>
            </w:tcBorders>
            <w:shd w:val="clear" w:color="auto" w:fill="auto"/>
            <w:noWrap/>
            <w:vAlign w:val="bottom"/>
            <w:hideMark/>
          </w:tcPr>
          <w:p w14:paraId="0455544B"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-0.2</w:t>
            </w:r>
          </w:p>
        </w:tc>
        <w:tc>
          <w:tcPr>
            <w:tcW w:w="420" w:type="pct"/>
            <w:gridSpan w:val="3"/>
            <w:tcBorders>
              <w:top w:val="nil"/>
              <w:left w:val="nil"/>
              <w:bottom w:val="nil"/>
              <w:right w:val="nil"/>
            </w:tcBorders>
            <w:shd w:val="clear" w:color="auto" w:fill="auto"/>
            <w:noWrap/>
            <w:vAlign w:val="bottom"/>
            <w:hideMark/>
          </w:tcPr>
          <w:p w14:paraId="588F7120"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0.1</w:t>
            </w:r>
          </w:p>
        </w:tc>
        <w:tc>
          <w:tcPr>
            <w:tcW w:w="419" w:type="pct"/>
            <w:gridSpan w:val="2"/>
            <w:tcBorders>
              <w:top w:val="nil"/>
              <w:left w:val="nil"/>
              <w:bottom w:val="nil"/>
              <w:right w:val="nil"/>
            </w:tcBorders>
            <w:shd w:val="clear" w:color="auto" w:fill="auto"/>
            <w:noWrap/>
            <w:vAlign w:val="bottom"/>
            <w:hideMark/>
          </w:tcPr>
          <w:p w14:paraId="11F3B517"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0.1</w:t>
            </w:r>
          </w:p>
        </w:tc>
        <w:tc>
          <w:tcPr>
            <w:tcW w:w="420" w:type="pct"/>
            <w:gridSpan w:val="2"/>
            <w:tcBorders>
              <w:top w:val="nil"/>
              <w:left w:val="nil"/>
              <w:bottom w:val="nil"/>
              <w:right w:val="nil"/>
            </w:tcBorders>
            <w:shd w:val="clear" w:color="auto" w:fill="auto"/>
            <w:noWrap/>
            <w:vAlign w:val="bottom"/>
            <w:hideMark/>
          </w:tcPr>
          <w:p w14:paraId="4D76EC60"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0.1</w:t>
            </w:r>
          </w:p>
        </w:tc>
        <w:tc>
          <w:tcPr>
            <w:tcW w:w="419" w:type="pct"/>
            <w:gridSpan w:val="2"/>
            <w:tcBorders>
              <w:top w:val="nil"/>
              <w:left w:val="nil"/>
              <w:bottom w:val="nil"/>
              <w:right w:val="nil"/>
            </w:tcBorders>
            <w:shd w:val="clear" w:color="auto" w:fill="auto"/>
            <w:noWrap/>
            <w:vAlign w:val="bottom"/>
            <w:hideMark/>
          </w:tcPr>
          <w:p w14:paraId="6657017B"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0.0</w:t>
            </w:r>
          </w:p>
        </w:tc>
        <w:tc>
          <w:tcPr>
            <w:tcW w:w="420" w:type="pct"/>
            <w:gridSpan w:val="2"/>
            <w:tcBorders>
              <w:top w:val="nil"/>
              <w:left w:val="nil"/>
              <w:bottom w:val="nil"/>
              <w:right w:val="nil"/>
            </w:tcBorders>
            <w:shd w:val="clear" w:color="auto" w:fill="auto"/>
            <w:noWrap/>
            <w:vAlign w:val="bottom"/>
            <w:hideMark/>
          </w:tcPr>
          <w:p w14:paraId="32E0A706"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0.1</w:t>
            </w:r>
          </w:p>
        </w:tc>
        <w:tc>
          <w:tcPr>
            <w:tcW w:w="420" w:type="pct"/>
            <w:gridSpan w:val="2"/>
            <w:tcBorders>
              <w:top w:val="nil"/>
              <w:left w:val="nil"/>
              <w:bottom w:val="nil"/>
              <w:right w:val="nil"/>
            </w:tcBorders>
            <w:shd w:val="clear" w:color="auto" w:fill="auto"/>
            <w:noWrap/>
            <w:vAlign w:val="bottom"/>
            <w:hideMark/>
          </w:tcPr>
          <w:p w14:paraId="6F7454C3"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0.1</w:t>
            </w:r>
          </w:p>
        </w:tc>
        <w:tc>
          <w:tcPr>
            <w:tcW w:w="404" w:type="pct"/>
            <w:gridSpan w:val="3"/>
            <w:tcBorders>
              <w:top w:val="nil"/>
              <w:left w:val="nil"/>
              <w:bottom w:val="nil"/>
              <w:right w:val="single" w:sz="4" w:space="0" w:color="auto"/>
            </w:tcBorders>
            <w:shd w:val="clear" w:color="auto" w:fill="auto"/>
            <w:noWrap/>
            <w:vAlign w:val="bottom"/>
            <w:hideMark/>
          </w:tcPr>
          <w:p w14:paraId="5CE4B6E6"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0.2</w:t>
            </w:r>
          </w:p>
        </w:tc>
      </w:tr>
      <w:tr w:rsidR="000B17FB" w:rsidRPr="00E36113" w14:paraId="59EE6422" w14:textId="77777777" w:rsidTr="00F204F6">
        <w:trPr>
          <w:trHeight w:val="276"/>
        </w:trPr>
        <w:tc>
          <w:tcPr>
            <w:tcW w:w="1659" w:type="pct"/>
            <w:tcBorders>
              <w:top w:val="nil"/>
              <w:left w:val="single" w:sz="4" w:space="0" w:color="auto"/>
              <w:bottom w:val="nil"/>
              <w:right w:val="nil"/>
            </w:tcBorders>
            <w:shd w:val="clear" w:color="auto" w:fill="auto"/>
            <w:noWrap/>
            <w:vAlign w:val="bottom"/>
            <w:hideMark/>
          </w:tcPr>
          <w:p w14:paraId="14A80E5A" w14:textId="77777777" w:rsidR="000B17FB" w:rsidRPr="00F204F6" w:rsidRDefault="000B17FB" w:rsidP="000B17FB">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Other (inc. unrepatriated export revenues)</w:t>
            </w:r>
          </w:p>
        </w:tc>
        <w:tc>
          <w:tcPr>
            <w:tcW w:w="419" w:type="pct"/>
            <w:gridSpan w:val="2"/>
            <w:tcBorders>
              <w:top w:val="nil"/>
              <w:left w:val="nil"/>
              <w:bottom w:val="nil"/>
              <w:right w:val="nil"/>
            </w:tcBorders>
            <w:shd w:val="clear" w:color="auto" w:fill="auto"/>
            <w:noWrap/>
            <w:vAlign w:val="bottom"/>
            <w:hideMark/>
          </w:tcPr>
          <w:p w14:paraId="0E3B3E15"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3.6</w:t>
            </w:r>
          </w:p>
        </w:tc>
        <w:tc>
          <w:tcPr>
            <w:tcW w:w="420" w:type="pct"/>
            <w:gridSpan w:val="3"/>
            <w:tcBorders>
              <w:top w:val="nil"/>
              <w:left w:val="nil"/>
              <w:bottom w:val="nil"/>
              <w:right w:val="nil"/>
            </w:tcBorders>
            <w:shd w:val="clear" w:color="auto" w:fill="auto"/>
            <w:noWrap/>
            <w:vAlign w:val="bottom"/>
            <w:hideMark/>
          </w:tcPr>
          <w:p w14:paraId="11C965A0"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3.1</w:t>
            </w:r>
          </w:p>
        </w:tc>
        <w:tc>
          <w:tcPr>
            <w:tcW w:w="419" w:type="pct"/>
            <w:gridSpan w:val="2"/>
            <w:tcBorders>
              <w:top w:val="nil"/>
              <w:left w:val="nil"/>
              <w:bottom w:val="nil"/>
              <w:right w:val="nil"/>
            </w:tcBorders>
            <w:shd w:val="clear" w:color="auto" w:fill="auto"/>
            <w:noWrap/>
            <w:vAlign w:val="bottom"/>
            <w:hideMark/>
          </w:tcPr>
          <w:p w14:paraId="764C753A"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1.9</w:t>
            </w:r>
          </w:p>
        </w:tc>
        <w:tc>
          <w:tcPr>
            <w:tcW w:w="420" w:type="pct"/>
            <w:gridSpan w:val="2"/>
            <w:tcBorders>
              <w:top w:val="nil"/>
              <w:left w:val="nil"/>
              <w:bottom w:val="nil"/>
              <w:right w:val="nil"/>
            </w:tcBorders>
            <w:shd w:val="clear" w:color="auto" w:fill="auto"/>
            <w:noWrap/>
            <w:vAlign w:val="bottom"/>
            <w:hideMark/>
          </w:tcPr>
          <w:p w14:paraId="6E3A248F"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2.1</w:t>
            </w:r>
          </w:p>
        </w:tc>
        <w:tc>
          <w:tcPr>
            <w:tcW w:w="419" w:type="pct"/>
            <w:gridSpan w:val="2"/>
            <w:tcBorders>
              <w:top w:val="nil"/>
              <w:left w:val="nil"/>
              <w:bottom w:val="nil"/>
              <w:right w:val="nil"/>
            </w:tcBorders>
            <w:shd w:val="clear" w:color="auto" w:fill="auto"/>
            <w:noWrap/>
            <w:vAlign w:val="bottom"/>
            <w:hideMark/>
          </w:tcPr>
          <w:p w14:paraId="479970C5"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3.6</w:t>
            </w:r>
          </w:p>
        </w:tc>
        <w:tc>
          <w:tcPr>
            <w:tcW w:w="420" w:type="pct"/>
            <w:gridSpan w:val="2"/>
            <w:tcBorders>
              <w:top w:val="nil"/>
              <w:left w:val="nil"/>
              <w:bottom w:val="nil"/>
              <w:right w:val="nil"/>
            </w:tcBorders>
            <w:shd w:val="clear" w:color="auto" w:fill="auto"/>
            <w:noWrap/>
            <w:vAlign w:val="bottom"/>
            <w:hideMark/>
          </w:tcPr>
          <w:p w14:paraId="648801EB"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2.7</w:t>
            </w:r>
          </w:p>
        </w:tc>
        <w:tc>
          <w:tcPr>
            <w:tcW w:w="420" w:type="pct"/>
            <w:gridSpan w:val="2"/>
            <w:tcBorders>
              <w:top w:val="nil"/>
              <w:left w:val="nil"/>
              <w:bottom w:val="nil"/>
              <w:right w:val="nil"/>
            </w:tcBorders>
            <w:shd w:val="clear" w:color="auto" w:fill="auto"/>
            <w:noWrap/>
            <w:vAlign w:val="bottom"/>
            <w:hideMark/>
          </w:tcPr>
          <w:p w14:paraId="50BE71BB"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1.9</w:t>
            </w:r>
          </w:p>
        </w:tc>
        <w:tc>
          <w:tcPr>
            <w:tcW w:w="404" w:type="pct"/>
            <w:gridSpan w:val="3"/>
            <w:tcBorders>
              <w:top w:val="nil"/>
              <w:left w:val="nil"/>
              <w:bottom w:val="nil"/>
              <w:right w:val="single" w:sz="4" w:space="0" w:color="auto"/>
            </w:tcBorders>
            <w:shd w:val="clear" w:color="auto" w:fill="auto"/>
            <w:noWrap/>
            <w:vAlign w:val="bottom"/>
            <w:hideMark/>
          </w:tcPr>
          <w:p w14:paraId="351DF936"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1.3</w:t>
            </w:r>
          </w:p>
        </w:tc>
      </w:tr>
      <w:tr w:rsidR="000B17FB" w:rsidRPr="00E36113" w14:paraId="43EC98B6" w14:textId="77777777" w:rsidTr="00F204F6">
        <w:trPr>
          <w:trHeight w:val="276"/>
        </w:trPr>
        <w:tc>
          <w:tcPr>
            <w:tcW w:w="1659" w:type="pct"/>
            <w:tcBorders>
              <w:top w:val="nil"/>
              <w:left w:val="single" w:sz="4" w:space="0" w:color="auto"/>
              <w:bottom w:val="nil"/>
              <w:right w:val="nil"/>
            </w:tcBorders>
            <w:shd w:val="clear" w:color="auto" w:fill="auto"/>
            <w:noWrap/>
            <w:vAlign w:val="bottom"/>
            <w:hideMark/>
          </w:tcPr>
          <w:p w14:paraId="29844C30" w14:textId="77777777" w:rsidR="000B17FB" w:rsidRPr="00F204F6" w:rsidRDefault="000B17FB" w:rsidP="000B17FB">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w:t>
            </w:r>
          </w:p>
        </w:tc>
        <w:tc>
          <w:tcPr>
            <w:tcW w:w="419" w:type="pct"/>
            <w:gridSpan w:val="2"/>
            <w:tcBorders>
              <w:top w:val="nil"/>
              <w:left w:val="nil"/>
              <w:bottom w:val="nil"/>
              <w:right w:val="nil"/>
            </w:tcBorders>
            <w:shd w:val="clear" w:color="auto" w:fill="auto"/>
            <w:noWrap/>
            <w:vAlign w:val="bottom"/>
            <w:hideMark/>
          </w:tcPr>
          <w:p w14:paraId="536B8D20" w14:textId="77777777" w:rsidR="000B17FB" w:rsidRPr="00F204F6" w:rsidRDefault="000B17FB" w:rsidP="000B17FB">
            <w:pPr>
              <w:spacing w:after="0" w:line="240" w:lineRule="auto"/>
              <w:rPr>
                <w:rFonts w:asciiTheme="minorHAnsi" w:eastAsia="Times New Roman" w:hAnsiTheme="minorHAnsi" w:cstheme="minorHAnsi"/>
                <w:color w:val="000000"/>
                <w:sz w:val="16"/>
                <w:szCs w:val="16"/>
              </w:rPr>
            </w:pPr>
          </w:p>
        </w:tc>
        <w:tc>
          <w:tcPr>
            <w:tcW w:w="420" w:type="pct"/>
            <w:gridSpan w:val="3"/>
            <w:tcBorders>
              <w:top w:val="nil"/>
              <w:left w:val="nil"/>
              <w:bottom w:val="nil"/>
              <w:right w:val="nil"/>
            </w:tcBorders>
            <w:shd w:val="clear" w:color="auto" w:fill="auto"/>
            <w:noWrap/>
            <w:vAlign w:val="bottom"/>
            <w:hideMark/>
          </w:tcPr>
          <w:p w14:paraId="6011ED99" w14:textId="77777777" w:rsidR="000B17FB" w:rsidRPr="00F204F6" w:rsidRDefault="000B17FB" w:rsidP="000B17FB">
            <w:pPr>
              <w:spacing w:after="0" w:line="240" w:lineRule="auto"/>
              <w:rPr>
                <w:rFonts w:asciiTheme="minorHAnsi" w:eastAsia="Times New Roman" w:hAnsiTheme="minorHAnsi" w:cstheme="minorHAnsi"/>
                <w:sz w:val="16"/>
                <w:szCs w:val="16"/>
              </w:rPr>
            </w:pPr>
          </w:p>
        </w:tc>
        <w:tc>
          <w:tcPr>
            <w:tcW w:w="419" w:type="pct"/>
            <w:gridSpan w:val="2"/>
            <w:tcBorders>
              <w:top w:val="nil"/>
              <w:left w:val="nil"/>
              <w:bottom w:val="nil"/>
              <w:right w:val="nil"/>
            </w:tcBorders>
            <w:shd w:val="clear" w:color="auto" w:fill="auto"/>
            <w:noWrap/>
            <w:vAlign w:val="bottom"/>
            <w:hideMark/>
          </w:tcPr>
          <w:p w14:paraId="2AD4F2C8" w14:textId="77777777" w:rsidR="000B17FB" w:rsidRPr="00F204F6" w:rsidRDefault="000B17FB" w:rsidP="000B17FB">
            <w:pPr>
              <w:spacing w:after="0" w:line="240" w:lineRule="auto"/>
              <w:rPr>
                <w:rFonts w:asciiTheme="minorHAnsi" w:eastAsia="Times New Roman" w:hAnsiTheme="minorHAnsi" w:cstheme="minorHAnsi"/>
                <w:sz w:val="16"/>
                <w:szCs w:val="16"/>
              </w:rPr>
            </w:pPr>
          </w:p>
        </w:tc>
        <w:tc>
          <w:tcPr>
            <w:tcW w:w="420" w:type="pct"/>
            <w:gridSpan w:val="2"/>
            <w:tcBorders>
              <w:top w:val="nil"/>
              <w:left w:val="nil"/>
              <w:bottom w:val="nil"/>
              <w:right w:val="nil"/>
            </w:tcBorders>
            <w:shd w:val="clear" w:color="auto" w:fill="auto"/>
            <w:noWrap/>
            <w:vAlign w:val="bottom"/>
            <w:hideMark/>
          </w:tcPr>
          <w:p w14:paraId="4672A139" w14:textId="77777777" w:rsidR="000B17FB" w:rsidRPr="00F204F6" w:rsidRDefault="000B17FB" w:rsidP="000B17FB">
            <w:pPr>
              <w:spacing w:after="0" w:line="240" w:lineRule="auto"/>
              <w:rPr>
                <w:rFonts w:asciiTheme="minorHAnsi" w:eastAsia="Times New Roman" w:hAnsiTheme="minorHAnsi" w:cstheme="minorHAnsi"/>
                <w:sz w:val="16"/>
                <w:szCs w:val="16"/>
              </w:rPr>
            </w:pPr>
          </w:p>
        </w:tc>
        <w:tc>
          <w:tcPr>
            <w:tcW w:w="419" w:type="pct"/>
            <w:gridSpan w:val="2"/>
            <w:tcBorders>
              <w:top w:val="nil"/>
              <w:left w:val="nil"/>
              <w:bottom w:val="nil"/>
              <w:right w:val="nil"/>
            </w:tcBorders>
            <w:shd w:val="clear" w:color="auto" w:fill="auto"/>
            <w:noWrap/>
            <w:vAlign w:val="bottom"/>
            <w:hideMark/>
          </w:tcPr>
          <w:p w14:paraId="369FD4E2" w14:textId="77777777" w:rsidR="000B17FB" w:rsidRPr="00F204F6" w:rsidRDefault="000B17FB" w:rsidP="000B17FB">
            <w:pPr>
              <w:spacing w:after="0" w:line="240" w:lineRule="auto"/>
              <w:rPr>
                <w:rFonts w:asciiTheme="minorHAnsi" w:eastAsia="Times New Roman" w:hAnsiTheme="minorHAnsi" w:cstheme="minorHAnsi"/>
                <w:sz w:val="16"/>
                <w:szCs w:val="16"/>
              </w:rPr>
            </w:pPr>
          </w:p>
        </w:tc>
        <w:tc>
          <w:tcPr>
            <w:tcW w:w="420" w:type="pct"/>
            <w:gridSpan w:val="2"/>
            <w:tcBorders>
              <w:top w:val="nil"/>
              <w:left w:val="nil"/>
              <w:bottom w:val="nil"/>
              <w:right w:val="nil"/>
            </w:tcBorders>
            <w:shd w:val="clear" w:color="auto" w:fill="auto"/>
            <w:noWrap/>
            <w:vAlign w:val="bottom"/>
            <w:hideMark/>
          </w:tcPr>
          <w:p w14:paraId="2CB6BF64" w14:textId="77777777" w:rsidR="000B17FB" w:rsidRPr="00F204F6" w:rsidRDefault="000B17FB" w:rsidP="000B17FB">
            <w:pPr>
              <w:spacing w:after="0" w:line="240" w:lineRule="auto"/>
              <w:rPr>
                <w:rFonts w:asciiTheme="minorHAnsi" w:eastAsia="Times New Roman" w:hAnsiTheme="minorHAnsi" w:cstheme="minorHAnsi"/>
                <w:sz w:val="16"/>
                <w:szCs w:val="16"/>
              </w:rPr>
            </w:pPr>
          </w:p>
        </w:tc>
        <w:tc>
          <w:tcPr>
            <w:tcW w:w="420" w:type="pct"/>
            <w:gridSpan w:val="2"/>
            <w:tcBorders>
              <w:top w:val="nil"/>
              <w:left w:val="nil"/>
              <w:bottom w:val="nil"/>
              <w:right w:val="nil"/>
            </w:tcBorders>
            <w:shd w:val="clear" w:color="auto" w:fill="auto"/>
            <w:noWrap/>
            <w:vAlign w:val="bottom"/>
            <w:hideMark/>
          </w:tcPr>
          <w:p w14:paraId="79D91845" w14:textId="77777777" w:rsidR="000B17FB" w:rsidRPr="00F204F6" w:rsidRDefault="000B17FB" w:rsidP="000B17FB">
            <w:pPr>
              <w:spacing w:after="0" w:line="240" w:lineRule="auto"/>
              <w:rPr>
                <w:rFonts w:asciiTheme="minorHAnsi" w:eastAsia="Times New Roman" w:hAnsiTheme="minorHAnsi" w:cstheme="minorHAnsi"/>
                <w:sz w:val="16"/>
                <w:szCs w:val="16"/>
              </w:rPr>
            </w:pPr>
          </w:p>
        </w:tc>
        <w:tc>
          <w:tcPr>
            <w:tcW w:w="404" w:type="pct"/>
            <w:gridSpan w:val="3"/>
            <w:tcBorders>
              <w:top w:val="nil"/>
              <w:left w:val="nil"/>
              <w:bottom w:val="nil"/>
              <w:right w:val="single" w:sz="4" w:space="0" w:color="auto"/>
            </w:tcBorders>
            <w:shd w:val="clear" w:color="auto" w:fill="auto"/>
            <w:noWrap/>
            <w:vAlign w:val="bottom"/>
            <w:hideMark/>
          </w:tcPr>
          <w:p w14:paraId="18851112" w14:textId="77777777" w:rsidR="000B17FB" w:rsidRPr="00F204F6" w:rsidRDefault="000B17FB" w:rsidP="000B17FB">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w:t>
            </w:r>
          </w:p>
        </w:tc>
      </w:tr>
      <w:tr w:rsidR="000B17FB" w:rsidRPr="00E36113" w14:paraId="1F187EAF" w14:textId="77777777" w:rsidTr="00F204F6">
        <w:trPr>
          <w:trHeight w:val="276"/>
        </w:trPr>
        <w:tc>
          <w:tcPr>
            <w:tcW w:w="1659" w:type="pct"/>
            <w:tcBorders>
              <w:top w:val="nil"/>
              <w:left w:val="single" w:sz="4" w:space="0" w:color="auto"/>
              <w:bottom w:val="nil"/>
              <w:right w:val="nil"/>
            </w:tcBorders>
            <w:shd w:val="clear" w:color="auto" w:fill="auto"/>
            <w:noWrap/>
            <w:vAlign w:val="bottom"/>
            <w:hideMark/>
          </w:tcPr>
          <w:p w14:paraId="66AB484B" w14:textId="77777777" w:rsidR="000B17FB" w:rsidRPr="00F204F6" w:rsidRDefault="000B17FB" w:rsidP="000B17FB">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Available financing</w:t>
            </w:r>
          </w:p>
        </w:tc>
        <w:tc>
          <w:tcPr>
            <w:tcW w:w="419" w:type="pct"/>
            <w:gridSpan w:val="2"/>
            <w:tcBorders>
              <w:top w:val="nil"/>
              <w:left w:val="nil"/>
              <w:bottom w:val="nil"/>
              <w:right w:val="nil"/>
            </w:tcBorders>
            <w:shd w:val="clear" w:color="auto" w:fill="auto"/>
            <w:noWrap/>
            <w:vAlign w:val="bottom"/>
            <w:hideMark/>
          </w:tcPr>
          <w:p w14:paraId="54015EB4"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8.6</w:t>
            </w:r>
          </w:p>
        </w:tc>
        <w:tc>
          <w:tcPr>
            <w:tcW w:w="420" w:type="pct"/>
            <w:gridSpan w:val="3"/>
            <w:tcBorders>
              <w:top w:val="nil"/>
              <w:left w:val="nil"/>
              <w:bottom w:val="nil"/>
              <w:right w:val="nil"/>
            </w:tcBorders>
            <w:shd w:val="clear" w:color="auto" w:fill="auto"/>
            <w:noWrap/>
            <w:vAlign w:val="bottom"/>
            <w:hideMark/>
          </w:tcPr>
          <w:p w14:paraId="539B0A16"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9.1</w:t>
            </w:r>
          </w:p>
        </w:tc>
        <w:tc>
          <w:tcPr>
            <w:tcW w:w="419" w:type="pct"/>
            <w:gridSpan w:val="2"/>
            <w:tcBorders>
              <w:top w:val="nil"/>
              <w:left w:val="nil"/>
              <w:bottom w:val="nil"/>
              <w:right w:val="nil"/>
            </w:tcBorders>
            <w:shd w:val="clear" w:color="auto" w:fill="auto"/>
            <w:noWrap/>
            <w:vAlign w:val="bottom"/>
            <w:hideMark/>
          </w:tcPr>
          <w:p w14:paraId="7DDEE101"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10.2</w:t>
            </w:r>
          </w:p>
        </w:tc>
        <w:tc>
          <w:tcPr>
            <w:tcW w:w="420" w:type="pct"/>
            <w:gridSpan w:val="2"/>
            <w:tcBorders>
              <w:top w:val="nil"/>
              <w:left w:val="nil"/>
              <w:bottom w:val="nil"/>
              <w:right w:val="nil"/>
            </w:tcBorders>
            <w:shd w:val="clear" w:color="auto" w:fill="auto"/>
            <w:noWrap/>
            <w:vAlign w:val="bottom"/>
            <w:hideMark/>
          </w:tcPr>
          <w:p w14:paraId="6A6ADC98"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9.9</w:t>
            </w:r>
          </w:p>
        </w:tc>
        <w:tc>
          <w:tcPr>
            <w:tcW w:w="419" w:type="pct"/>
            <w:gridSpan w:val="2"/>
            <w:tcBorders>
              <w:top w:val="nil"/>
              <w:left w:val="nil"/>
              <w:bottom w:val="nil"/>
              <w:right w:val="nil"/>
            </w:tcBorders>
            <w:shd w:val="clear" w:color="auto" w:fill="auto"/>
            <w:noWrap/>
            <w:vAlign w:val="bottom"/>
            <w:hideMark/>
          </w:tcPr>
          <w:p w14:paraId="209DAF87"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11.6</w:t>
            </w:r>
          </w:p>
        </w:tc>
        <w:tc>
          <w:tcPr>
            <w:tcW w:w="420" w:type="pct"/>
            <w:gridSpan w:val="2"/>
            <w:tcBorders>
              <w:top w:val="nil"/>
              <w:left w:val="nil"/>
              <w:bottom w:val="nil"/>
              <w:right w:val="nil"/>
            </w:tcBorders>
            <w:shd w:val="clear" w:color="auto" w:fill="auto"/>
            <w:noWrap/>
            <w:vAlign w:val="bottom"/>
            <w:hideMark/>
          </w:tcPr>
          <w:p w14:paraId="5C638EA1"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10.2</w:t>
            </w:r>
          </w:p>
        </w:tc>
        <w:tc>
          <w:tcPr>
            <w:tcW w:w="420" w:type="pct"/>
            <w:gridSpan w:val="2"/>
            <w:tcBorders>
              <w:top w:val="nil"/>
              <w:left w:val="nil"/>
              <w:bottom w:val="nil"/>
              <w:right w:val="nil"/>
            </w:tcBorders>
            <w:shd w:val="clear" w:color="auto" w:fill="auto"/>
            <w:noWrap/>
            <w:vAlign w:val="bottom"/>
            <w:hideMark/>
          </w:tcPr>
          <w:p w14:paraId="7263A65A"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9.6</w:t>
            </w:r>
          </w:p>
        </w:tc>
        <w:tc>
          <w:tcPr>
            <w:tcW w:w="404" w:type="pct"/>
            <w:gridSpan w:val="3"/>
            <w:tcBorders>
              <w:top w:val="nil"/>
              <w:left w:val="nil"/>
              <w:bottom w:val="nil"/>
              <w:right w:val="single" w:sz="4" w:space="0" w:color="auto"/>
            </w:tcBorders>
            <w:shd w:val="clear" w:color="auto" w:fill="auto"/>
            <w:noWrap/>
            <w:vAlign w:val="bottom"/>
            <w:hideMark/>
          </w:tcPr>
          <w:p w14:paraId="73F1D22A"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8.9</w:t>
            </w:r>
          </w:p>
        </w:tc>
      </w:tr>
      <w:tr w:rsidR="000B17FB" w:rsidRPr="00E36113" w14:paraId="10D2FE9C" w14:textId="77777777" w:rsidTr="00F204F6">
        <w:trPr>
          <w:trHeight w:val="276"/>
        </w:trPr>
        <w:tc>
          <w:tcPr>
            <w:tcW w:w="1659" w:type="pct"/>
            <w:tcBorders>
              <w:top w:val="nil"/>
              <w:left w:val="single" w:sz="4" w:space="0" w:color="auto"/>
              <w:bottom w:val="nil"/>
              <w:right w:val="nil"/>
            </w:tcBorders>
            <w:shd w:val="clear" w:color="auto" w:fill="auto"/>
            <w:noWrap/>
            <w:vAlign w:val="bottom"/>
            <w:hideMark/>
          </w:tcPr>
          <w:p w14:paraId="09C0C8EF" w14:textId="77777777" w:rsidR="000B17FB" w:rsidRPr="00F204F6" w:rsidRDefault="000B17FB" w:rsidP="000B17FB">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Foreign direct and portfolio investment</w:t>
            </w:r>
          </w:p>
        </w:tc>
        <w:tc>
          <w:tcPr>
            <w:tcW w:w="419" w:type="pct"/>
            <w:gridSpan w:val="2"/>
            <w:tcBorders>
              <w:top w:val="nil"/>
              <w:left w:val="nil"/>
              <w:bottom w:val="nil"/>
              <w:right w:val="nil"/>
            </w:tcBorders>
            <w:shd w:val="clear" w:color="auto" w:fill="auto"/>
            <w:noWrap/>
            <w:vAlign w:val="bottom"/>
            <w:hideMark/>
          </w:tcPr>
          <w:p w14:paraId="43E925A2"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4.3</w:t>
            </w:r>
          </w:p>
        </w:tc>
        <w:tc>
          <w:tcPr>
            <w:tcW w:w="420" w:type="pct"/>
            <w:gridSpan w:val="3"/>
            <w:tcBorders>
              <w:top w:val="nil"/>
              <w:left w:val="nil"/>
              <w:bottom w:val="nil"/>
              <w:right w:val="nil"/>
            </w:tcBorders>
            <w:shd w:val="clear" w:color="auto" w:fill="auto"/>
            <w:noWrap/>
            <w:vAlign w:val="bottom"/>
            <w:hideMark/>
          </w:tcPr>
          <w:p w14:paraId="62558327"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4.5</w:t>
            </w:r>
          </w:p>
        </w:tc>
        <w:tc>
          <w:tcPr>
            <w:tcW w:w="419" w:type="pct"/>
            <w:gridSpan w:val="2"/>
            <w:tcBorders>
              <w:top w:val="nil"/>
              <w:left w:val="nil"/>
              <w:bottom w:val="nil"/>
              <w:right w:val="nil"/>
            </w:tcBorders>
            <w:shd w:val="clear" w:color="auto" w:fill="auto"/>
            <w:noWrap/>
            <w:vAlign w:val="bottom"/>
            <w:hideMark/>
          </w:tcPr>
          <w:p w14:paraId="05955E11"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3.6</w:t>
            </w:r>
          </w:p>
        </w:tc>
        <w:tc>
          <w:tcPr>
            <w:tcW w:w="420" w:type="pct"/>
            <w:gridSpan w:val="2"/>
            <w:tcBorders>
              <w:top w:val="nil"/>
              <w:left w:val="nil"/>
              <w:bottom w:val="nil"/>
              <w:right w:val="nil"/>
            </w:tcBorders>
            <w:shd w:val="clear" w:color="auto" w:fill="auto"/>
            <w:noWrap/>
            <w:vAlign w:val="bottom"/>
            <w:hideMark/>
          </w:tcPr>
          <w:p w14:paraId="4E465F0F"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3.4</w:t>
            </w:r>
          </w:p>
        </w:tc>
        <w:tc>
          <w:tcPr>
            <w:tcW w:w="419" w:type="pct"/>
            <w:gridSpan w:val="2"/>
            <w:tcBorders>
              <w:top w:val="nil"/>
              <w:left w:val="nil"/>
              <w:bottom w:val="nil"/>
              <w:right w:val="nil"/>
            </w:tcBorders>
            <w:shd w:val="clear" w:color="auto" w:fill="auto"/>
            <w:noWrap/>
            <w:vAlign w:val="bottom"/>
            <w:hideMark/>
          </w:tcPr>
          <w:p w14:paraId="7CB994B8"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3.4</w:t>
            </w:r>
          </w:p>
        </w:tc>
        <w:tc>
          <w:tcPr>
            <w:tcW w:w="420" w:type="pct"/>
            <w:gridSpan w:val="2"/>
            <w:tcBorders>
              <w:top w:val="nil"/>
              <w:left w:val="nil"/>
              <w:bottom w:val="nil"/>
              <w:right w:val="nil"/>
            </w:tcBorders>
            <w:shd w:val="clear" w:color="auto" w:fill="auto"/>
            <w:noWrap/>
            <w:vAlign w:val="bottom"/>
            <w:hideMark/>
          </w:tcPr>
          <w:p w14:paraId="768B419D"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3.4</w:t>
            </w:r>
          </w:p>
        </w:tc>
        <w:tc>
          <w:tcPr>
            <w:tcW w:w="420" w:type="pct"/>
            <w:gridSpan w:val="2"/>
            <w:tcBorders>
              <w:top w:val="nil"/>
              <w:left w:val="nil"/>
              <w:bottom w:val="nil"/>
              <w:right w:val="nil"/>
            </w:tcBorders>
            <w:shd w:val="clear" w:color="auto" w:fill="auto"/>
            <w:noWrap/>
            <w:vAlign w:val="bottom"/>
            <w:hideMark/>
          </w:tcPr>
          <w:p w14:paraId="57611E18"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3.4</w:t>
            </w:r>
          </w:p>
        </w:tc>
        <w:tc>
          <w:tcPr>
            <w:tcW w:w="404" w:type="pct"/>
            <w:gridSpan w:val="3"/>
            <w:tcBorders>
              <w:top w:val="nil"/>
              <w:left w:val="nil"/>
              <w:bottom w:val="nil"/>
              <w:right w:val="single" w:sz="4" w:space="0" w:color="auto"/>
            </w:tcBorders>
            <w:shd w:val="clear" w:color="auto" w:fill="auto"/>
            <w:noWrap/>
            <w:vAlign w:val="bottom"/>
            <w:hideMark/>
          </w:tcPr>
          <w:p w14:paraId="43CC5483"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3.5</w:t>
            </w:r>
          </w:p>
        </w:tc>
      </w:tr>
      <w:tr w:rsidR="000B17FB" w:rsidRPr="00E36113" w14:paraId="2E625D21" w14:textId="77777777" w:rsidTr="00F204F6">
        <w:trPr>
          <w:trHeight w:val="276"/>
        </w:trPr>
        <w:tc>
          <w:tcPr>
            <w:tcW w:w="1659" w:type="pct"/>
            <w:tcBorders>
              <w:top w:val="nil"/>
              <w:left w:val="single" w:sz="4" w:space="0" w:color="auto"/>
              <w:bottom w:val="nil"/>
              <w:right w:val="nil"/>
            </w:tcBorders>
            <w:shd w:val="clear" w:color="auto" w:fill="auto"/>
            <w:noWrap/>
            <w:vAlign w:val="bottom"/>
            <w:hideMark/>
          </w:tcPr>
          <w:p w14:paraId="097E520F" w14:textId="77777777" w:rsidR="000B17FB" w:rsidRPr="00F204F6" w:rsidRDefault="000B17FB" w:rsidP="000B17FB">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Budgetary support</w:t>
            </w:r>
          </w:p>
        </w:tc>
        <w:tc>
          <w:tcPr>
            <w:tcW w:w="419" w:type="pct"/>
            <w:gridSpan w:val="2"/>
            <w:tcBorders>
              <w:top w:val="nil"/>
              <w:left w:val="nil"/>
              <w:bottom w:val="nil"/>
              <w:right w:val="nil"/>
            </w:tcBorders>
            <w:shd w:val="clear" w:color="auto" w:fill="auto"/>
            <w:noWrap/>
            <w:vAlign w:val="bottom"/>
            <w:hideMark/>
          </w:tcPr>
          <w:p w14:paraId="4E1EC371"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1.4</w:t>
            </w:r>
          </w:p>
        </w:tc>
        <w:tc>
          <w:tcPr>
            <w:tcW w:w="420" w:type="pct"/>
            <w:gridSpan w:val="3"/>
            <w:tcBorders>
              <w:top w:val="nil"/>
              <w:left w:val="nil"/>
              <w:bottom w:val="nil"/>
              <w:right w:val="nil"/>
            </w:tcBorders>
            <w:shd w:val="clear" w:color="auto" w:fill="auto"/>
            <w:noWrap/>
            <w:vAlign w:val="bottom"/>
            <w:hideMark/>
          </w:tcPr>
          <w:p w14:paraId="0D3CB686"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0.2</w:t>
            </w:r>
          </w:p>
        </w:tc>
        <w:tc>
          <w:tcPr>
            <w:tcW w:w="419" w:type="pct"/>
            <w:gridSpan w:val="2"/>
            <w:tcBorders>
              <w:top w:val="nil"/>
              <w:left w:val="nil"/>
              <w:bottom w:val="nil"/>
              <w:right w:val="nil"/>
            </w:tcBorders>
            <w:shd w:val="clear" w:color="auto" w:fill="auto"/>
            <w:noWrap/>
            <w:vAlign w:val="bottom"/>
            <w:hideMark/>
          </w:tcPr>
          <w:p w14:paraId="6D32D871"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1.1</w:t>
            </w:r>
          </w:p>
        </w:tc>
        <w:tc>
          <w:tcPr>
            <w:tcW w:w="420" w:type="pct"/>
            <w:gridSpan w:val="2"/>
            <w:tcBorders>
              <w:top w:val="nil"/>
              <w:left w:val="nil"/>
              <w:bottom w:val="nil"/>
              <w:right w:val="nil"/>
            </w:tcBorders>
            <w:shd w:val="clear" w:color="auto" w:fill="auto"/>
            <w:noWrap/>
            <w:vAlign w:val="bottom"/>
            <w:hideMark/>
          </w:tcPr>
          <w:p w14:paraId="52A655DE"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0.0</w:t>
            </w:r>
          </w:p>
        </w:tc>
        <w:tc>
          <w:tcPr>
            <w:tcW w:w="419" w:type="pct"/>
            <w:gridSpan w:val="2"/>
            <w:tcBorders>
              <w:top w:val="nil"/>
              <w:left w:val="nil"/>
              <w:bottom w:val="nil"/>
              <w:right w:val="nil"/>
            </w:tcBorders>
            <w:shd w:val="clear" w:color="auto" w:fill="auto"/>
            <w:noWrap/>
            <w:vAlign w:val="bottom"/>
            <w:hideMark/>
          </w:tcPr>
          <w:p w14:paraId="5239185D"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0.0</w:t>
            </w:r>
          </w:p>
        </w:tc>
        <w:tc>
          <w:tcPr>
            <w:tcW w:w="420" w:type="pct"/>
            <w:gridSpan w:val="2"/>
            <w:tcBorders>
              <w:top w:val="nil"/>
              <w:left w:val="nil"/>
              <w:bottom w:val="nil"/>
              <w:right w:val="nil"/>
            </w:tcBorders>
            <w:shd w:val="clear" w:color="auto" w:fill="auto"/>
            <w:noWrap/>
            <w:vAlign w:val="bottom"/>
            <w:hideMark/>
          </w:tcPr>
          <w:p w14:paraId="73688525"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0.0</w:t>
            </w:r>
          </w:p>
        </w:tc>
        <w:tc>
          <w:tcPr>
            <w:tcW w:w="420" w:type="pct"/>
            <w:gridSpan w:val="2"/>
            <w:tcBorders>
              <w:top w:val="nil"/>
              <w:left w:val="nil"/>
              <w:bottom w:val="nil"/>
              <w:right w:val="nil"/>
            </w:tcBorders>
            <w:shd w:val="clear" w:color="auto" w:fill="auto"/>
            <w:noWrap/>
            <w:vAlign w:val="bottom"/>
            <w:hideMark/>
          </w:tcPr>
          <w:p w14:paraId="0BC8C2B9"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0.0</w:t>
            </w:r>
          </w:p>
        </w:tc>
        <w:tc>
          <w:tcPr>
            <w:tcW w:w="404" w:type="pct"/>
            <w:gridSpan w:val="3"/>
            <w:tcBorders>
              <w:top w:val="nil"/>
              <w:left w:val="nil"/>
              <w:bottom w:val="nil"/>
              <w:right w:val="single" w:sz="4" w:space="0" w:color="auto"/>
            </w:tcBorders>
            <w:shd w:val="clear" w:color="auto" w:fill="auto"/>
            <w:noWrap/>
            <w:vAlign w:val="bottom"/>
            <w:hideMark/>
          </w:tcPr>
          <w:p w14:paraId="2FE2E470"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0.0</w:t>
            </w:r>
          </w:p>
        </w:tc>
      </w:tr>
      <w:tr w:rsidR="000B17FB" w:rsidRPr="00E36113" w14:paraId="4CC5F048" w14:textId="77777777" w:rsidTr="00F204F6">
        <w:trPr>
          <w:trHeight w:val="276"/>
        </w:trPr>
        <w:tc>
          <w:tcPr>
            <w:tcW w:w="1659" w:type="pct"/>
            <w:tcBorders>
              <w:top w:val="nil"/>
              <w:left w:val="single" w:sz="4" w:space="0" w:color="auto"/>
              <w:bottom w:val="nil"/>
              <w:right w:val="nil"/>
            </w:tcBorders>
            <w:shd w:val="clear" w:color="auto" w:fill="auto"/>
            <w:noWrap/>
            <w:vAlign w:val="bottom"/>
            <w:hideMark/>
          </w:tcPr>
          <w:p w14:paraId="0E9B768F" w14:textId="77777777" w:rsidR="000B17FB" w:rsidRPr="00F204F6" w:rsidRDefault="000B17FB" w:rsidP="000B17FB">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Project support</w:t>
            </w:r>
          </w:p>
        </w:tc>
        <w:tc>
          <w:tcPr>
            <w:tcW w:w="419" w:type="pct"/>
            <w:gridSpan w:val="2"/>
            <w:tcBorders>
              <w:top w:val="nil"/>
              <w:left w:val="nil"/>
              <w:bottom w:val="nil"/>
              <w:right w:val="nil"/>
            </w:tcBorders>
            <w:shd w:val="clear" w:color="auto" w:fill="auto"/>
            <w:noWrap/>
            <w:vAlign w:val="bottom"/>
            <w:hideMark/>
          </w:tcPr>
          <w:p w14:paraId="7D200EEF"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2.5</w:t>
            </w:r>
          </w:p>
        </w:tc>
        <w:tc>
          <w:tcPr>
            <w:tcW w:w="420" w:type="pct"/>
            <w:gridSpan w:val="3"/>
            <w:tcBorders>
              <w:top w:val="nil"/>
              <w:left w:val="nil"/>
              <w:bottom w:val="nil"/>
              <w:right w:val="nil"/>
            </w:tcBorders>
            <w:shd w:val="clear" w:color="auto" w:fill="auto"/>
            <w:noWrap/>
            <w:vAlign w:val="bottom"/>
            <w:hideMark/>
          </w:tcPr>
          <w:p w14:paraId="51E9CF80"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4.0</w:t>
            </w:r>
          </w:p>
        </w:tc>
        <w:tc>
          <w:tcPr>
            <w:tcW w:w="419" w:type="pct"/>
            <w:gridSpan w:val="2"/>
            <w:tcBorders>
              <w:top w:val="nil"/>
              <w:left w:val="nil"/>
              <w:bottom w:val="nil"/>
              <w:right w:val="nil"/>
            </w:tcBorders>
            <w:shd w:val="clear" w:color="auto" w:fill="auto"/>
            <w:noWrap/>
            <w:vAlign w:val="bottom"/>
            <w:hideMark/>
          </w:tcPr>
          <w:p w14:paraId="11CA31E7"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4.2</w:t>
            </w:r>
          </w:p>
        </w:tc>
        <w:tc>
          <w:tcPr>
            <w:tcW w:w="420" w:type="pct"/>
            <w:gridSpan w:val="2"/>
            <w:tcBorders>
              <w:top w:val="nil"/>
              <w:left w:val="nil"/>
              <w:bottom w:val="nil"/>
              <w:right w:val="nil"/>
            </w:tcBorders>
            <w:shd w:val="clear" w:color="auto" w:fill="auto"/>
            <w:noWrap/>
            <w:vAlign w:val="bottom"/>
            <w:hideMark/>
          </w:tcPr>
          <w:p w14:paraId="14E91A93"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5.7</w:t>
            </w:r>
          </w:p>
        </w:tc>
        <w:tc>
          <w:tcPr>
            <w:tcW w:w="419" w:type="pct"/>
            <w:gridSpan w:val="2"/>
            <w:tcBorders>
              <w:top w:val="nil"/>
              <w:left w:val="nil"/>
              <w:bottom w:val="nil"/>
              <w:right w:val="nil"/>
            </w:tcBorders>
            <w:shd w:val="clear" w:color="auto" w:fill="auto"/>
            <w:noWrap/>
            <w:vAlign w:val="bottom"/>
            <w:hideMark/>
          </w:tcPr>
          <w:p w14:paraId="4DAD40F5"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7.5</w:t>
            </w:r>
          </w:p>
        </w:tc>
        <w:tc>
          <w:tcPr>
            <w:tcW w:w="420" w:type="pct"/>
            <w:gridSpan w:val="2"/>
            <w:tcBorders>
              <w:top w:val="nil"/>
              <w:left w:val="nil"/>
              <w:bottom w:val="nil"/>
              <w:right w:val="nil"/>
            </w:tcBorders>
            <w:shd w:val="clear" w:color="auto" w:fill="auto"/>
            <w:noWrap/>
            <w:vAlign w:val="bottom"/>
            <w:hideMark/>
          </w:tcPr>
          <w:p w14:paraId="0AA1E2C1"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6.8</w:t>
            </w:r>
          </w:p>
        </w:tc>
        <w:tc>
          <w:tcPr>
            <w:tcW w:w="420" w:type="pct"/>
            <w:gridSpan w:val="2"/>
            <w:tcBorders>
              <w:top w:val="nil"/>
              <w:left w:val="nil"/>
              <w:bottom w:val="nil"/>
              <w:right w:val="nil"/>
            </w:tcBorders>
            <w:shd w:val="clear" w:color="auto" w:fill="auto"/>
            <w:noWrap/>
            <w:vAlign w:val="bottom"/>
            <w:hideMark/>
          </w:tcPr>
          <w:p w14:paraId="7F84C13A"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6.2</w:t>
            </w:r>
          </w:p>
        </w:tc>
        <w:tc>
          <w:tcPr>
            <w:tcW w:w="404" w:type="pct"/>
            <w:gridSpan w:val="3"/>
            <w:tcBorders>
              <w:top w:val="nil"/>
              <w:left w:val="nil"/>
              <w:bottom w:val="nil"/>
              <w:right w:val="single" w:sz="4" w:space="0" w:color="auto"/>
            </w:tcBorders>
            <w:shd w:val="clear" w:color="auto" w:fill="auto"/>
            <w:noWrap/>
            <w:vAlign w:val="bottom"/>
            <w:hideMark/>
          </w:tcPr>
          <w:p w14:paraId="22F5DA57"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5.4</w:t>
            </w:r>
          </w:p>
        </w:tc>
      </w:tr>
      <w:tr w:rsidR="000B17FB" w:rsidRPr="00E36113" w14:paraId="2670D98D" w14:textId="77777777" w:rsidTr="00F204F6">
        <w:trPr>
          <w:trHeight w:val="276"/>
        </w:trPr>
        <w:tc>
          <w:tcPr>
            <w:tcW w:w="1659" w:type="pct"/>
            <w:tcBorders>
              <w:top w:val="nil"/>
              <w:left w:val="single" w:sz="4" w:space="0" w:color="auto"/>
              <w:bottom w:val="single" w:sz="4" w:space="0" w:color="auto"/>
              <w:right w:val="nil"/>
            </w:tcBorders>
            <w:shd w:val="clear" w:color="auto" w:fill="auto"/>
            <w:noWrap/>
            <w:vAlign w:val="bottom"/>
            <w:hideMark/>
          </w:tcPr>
          <w:p w14:paraId="609FC83B" w14:textId="77777777" w:rsidR="000B17FB" w:rsidRPr="00F204F6" w:rsidRDefault="000B17FB" w:rsidP="000B17FB">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IMF: RCF and ECF arrangement</w:t>
            </w:r>
          </w:p>
        </w:tc>
        <w:tc>
          <w:tcPr>
            <w:tcW w:w="419" w:type="pct"/>
            <w:gridSpan w:val="2"/>
            <w:tcBorders>
              <w:top w:val="nil"/>
              <w:left w:val="nil"/>
              <w:bottom w:val="single" w:sz="4" w:space="0" w:color="auto"/>
              <w:right w:val="nil"/>
            </w:tcBorders>
            <w:shd w:val="clear" w:color="auto" w:fill="auto"/>
            <w:noWrap/>
            <w:vAlign w:val="bottom"/>
            <w:hideMark/>
          </w:tcPr>
          <w:p w14:paraId="6CD1639C"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0.4</w:t>
            </w:r>
          </w:p>
        </w:tc>
        <w:tc>
          <w:tcPr>
            <w:tcW w:w="420" w:type="pct"/>
            <w:gridSpan w:val="3"/>
            <w:tcBorders>
              <w:top w:val="nil"/>
              <w:left w:val="nil"/>
              <w:bottom w:val="single" w:sz="4" w:space="0" w:color="auto"/>
              <w:right w:val="nil"/>
            </w:tcBorders>
            <w:shd w:val="clear" w:color="auto" w:fill="auto"/>
            <w:noWrap/>
            <w:vAlign w:val="bottom"/>
            <w:hideMark/>
          </w:tcPr>
          <w:p w14:paraId="37E75241"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0.4</w:t>
            </w:r>
          </w:p>
        </w:tc>
        <w:tc>
          <w:tcPr>
            <w:tcW w:w="419" w:type="pct"/>
            <w:gridSpan w:val="2"/>
            <w:tcBorders>
              <w:top w:val="nil"/>
              <w:left w:val="nil"/>
              <w:bottom w:val="single" w:sz="4" w:space="0" w:color="auto"/>
              <w:right w:val="nil"/>
            </w:tcBorders>
            <w:shd w:val="clear" w:color="auto" w:fill="auto"/>
            <w:noWrap/>
            <w:vAlign w:val="bottom"/>
            <w:hideMark/>
          </w:tcPr>
          <w:p w14:paraId="404B67BF"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1.2</w:t>
            </w:r>
          </w:p>
        </w:tc>
        <w:tc>
          <w:tcPr>
            <w:tcW w:w="420" w:type="pct"/>
            <w:gridSpan w:val="2"/>
            <w:tcBorders>
              <w:top w:val="nil"/>
              <w:left w:val="nil"/>
              <w:bottom w:val="single" w:sz="4" w:space="0" w:color="auto"/>
              <w:right w:val="nil"/>
            </w:tcBorders>
            <w:shd w:val="clear" w:color="auto" w:fill="auto"/>
            <w:noWrap/>
            <w:vAlign w:val="bottom"/>
            <w:hideMark/>
          </w:tcPr>
          <w:p w14:paraId="27D7E5F3"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0.8</w:t>
            </w:r>
          </w:p>
        </w:tc>
        <w:tc>
          <w:tcPr>
            <w:tcW w:w="419" w:type="pct"/>
            <w:gridSpan w:val="2"/>
            <w:tcBorders>
              <w:top w:val="nil"/>
              <w:left w:val="nil"/>
              <w:bottom w:val="single" w:sz="4" w:space="0" w:color="auto"/>
              <w:right w:val="nil"/>
            </w:tcBorders>
            <w:shd w:val="clear" w:color="auto" w:fill="auto"/>
            <w:noWrap/>
            <w:vAlign w:val="bottom"/>
            <w:hideMark/>
          </w:tcPr>
          <w:p w14:paraId="209D73C5"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0.7</w:t>
            </w:r>
          </w:p>
        </w:tc>
        <w:tc>
          <w:tcPr>
            <w:tcW w:w="420" w:type="pct"/>
            <w:gridSpan w:val="2"/>
            <w:tcBorders>
              <w:top w:val="nil"/>
              <w:left w:val="nil"/>
              <w:bottom w:val="single" w:sz="4" w:space="0" w:color="auto"/>
              <w:right w:val="nil"/>
            </w:tcBorders>
            <w:shd w:val="clear" w:color="auto" w:fill="auto"/>
            <w:noWrap/>
            <w:vAlign w:val="bottom"/>
            <w:hideMark/>
          </w:tcPr>
          <w:p w14:paraId="536F13E6"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0.0</w:t>
            </w:r>
          </w:p>
        </w:tc>
        <w:tc>
          <w:tcPr>
            <w:tcW w:w="420" w:type="pct"/>
            <w:gridSpan w:val="2"/>
            <w:tcBorders>
              <w:top w:val="nil"/>
              <w:left w:val="nil"/>
              <w:bottom w:val="single" w:sz="4" w:space="0" w:color="auto"/>
              <w:right w:val="nil"/>
            </w:tcBorders>
            <w:shd w:val="clear" w:color="auto" w:fill="auto"/>
            <w:noWrap/>
            <w:vAlign w:val="bottom"/>
            <w:hideMark/>
          </w:tcPr>
          <w:p w14:paraId="675B3565"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0.0</w:t>
            </w:r>
          </w:p>
        </w:tc>
        <w:tc>
          <w:tcPr>
            <w:tcW w:w="404" w:type="pct"/>
            <w:gridSpan w:val="3"/>
            <w:tcBorders>
              <w:top w:val="nil"/>
              <w:left w:val="nil"/>
              <w:bottom w:val="single" w:sz="4" w:space="0" w:color="auto"/>
              <w:right w:val="single" w:sz="4" w:space="0" w:color="auto"/>
            </w:tcBorders>
            <w:shd w:val="clear" w:color="auto" w:fill="auto"/>
            <w:noWrap/>
            <w:vAlign w:val="bottom"/>
            <w:hideMark/>
          </w:tcPr>
          <w:p w14:paraId="311C518A" w14:textId="77777777" w:rsidR="000B17FB" w:rsidRPr="00F204F6" w:rsidRDefault="000B17FB" w:rsidP="000B17FB">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0.0</w:t>
            </w:r>
          </w:p>
        </w:tc>
      </w:tr>
      <w:tr w:rsidR="000B17FB" w:rsidRPr="00E36113" w14:paraId="33E4E241" w14:textId="77777777" w:rsidTr="00F204F6">
        <w:trPr>
          <w:trHeight w:val="276"/>
        </w:trPr>
        <w:tc>
          <w:tcPr>
            <w:tcW w:w="5000" w:type="pct"/>
            <w:gridSpan w:val="19"/>
            <w:tcBorders>
              <w:top w:val="nil"/>
              <w:left w:val="nil"/>
              <w:bottom w:val="nil"/>
              <w:right w:val="nil"/>
            </w:tcBorders>
            <w:shd w:val="clear" w:color="auto" w:fill="auto"/>
            <w:noWrap/>
            <w:vAlign w:val="bottom"/>
            <w:hideMark/>
          </w:tcPr>
          <w:p w14:paraId="637C5565" w14:textId="5C5F855D" w:rsidR="000B17FB" w:rsidRPr="00F204F6" w:rsidRDefault="000B17FB" w:rsidP="000B17FB">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Source: Malagasy authorities, IMF and WB Staff calculations, October 2017</w:t>
            </w:r>
            <w:r w:rsidR="00E36113" w:rsidRPr="00E36113">
              <w:rPr>
                <w:rFonts w:asciiTheme="minorHAnsi" w:eastAsia="Times New Roman" w:hAnsiTheme="minorHAnsi" w:cstheme="minorHAnsi"/>
                <w:color w:val="000000"/>
                <w:sz w:val="16"/>
                <w:szCs w:val="16"/>
              </w:rPr>
              <w:t>.</w:t>
            </w:r>
          </w:p>
        </w:tc>
      </w:tr>
      <w:tr w:rsidR="00596A86" w:rsidRPr="00E36113" w14:paraId="6992329A" w14:textId="77777777" w:rsidTr="00F204F6">
        <w:trPr>
          <w:trHeight w:val="276"/>
        </w:trPr>
        <w:tc>
          <w:tcPr>
            <w:tcW w:w="5000" w:type="pct"/>
            <w:gridSpan w:val="19"/>
            <w:tcBorders>
              <w:top w:val="nil"/>
              <w:left w:val="nil"/>
              <w:bottom w:val="nil"/>
              <w:right w:val="nil"/>
            </w:tcBorders>
            <w:shd w:val="clear" w:color="auto" w:fill="auto"/>
            <w:noWrap/>
            <w:vAlign w:val="bottom"/>
          </w:tcPr>
          <w:p w14:paraId="1FB7CF23" w14:textId="1D386568" w:rsidR="00596A86" w:rsidRPr="00596A86" w:rsidRDefault="00596A86" w:rsidP="00F204F6">
            <w:pPr>
              <w:spacing w:after="0" w:line="240" w:lineRule="auto"/>
              <w:jc w:val="center"/>
              <w:rPr>
                <w:rFonts w:asciiTheme="minorHAnsi" w:eastAsia="Times New Roman" w:hAnsiTheme="minorHAnsi" w:cstheme="minorHAnsi"/>
                <w:color w:val="000000"/>
                <w:sz w:val="16"/>
                <w:szCs w:val="16"/>
              </w:rPr>
            </w:pPr>
            <w:r w:rsidRPr="00FA593E">
              <w:rPr>
                <w:rFonts w:asciiTheme="minorHAnsi" w:eastAsia="Times New Roman" w:hAnsiTheme="minorHAnsi" w:cstheme="minorHAnsi"/>
                <w:b/>
                <w:bCs/>
                <w:color w:val="000000"/>
                <w:sz w:val="20"/>
                <w:szCs w:val="16"/>
              </w:rPr>
              <w:t>Table 3: Fiscal operations of the Central Government (% GDP)</w:t>
            </w:r>
          </w:p>
        </w:tc>
      </w:tr>
      <w:tr w:rsidR="007476D8" w:rsidRPr="00B66802" w14:paraId="092AA526" w14:textId="77777777" w:rsidTr="00F204F6">
        <w:trPr>
          <w:trHeight w:val="276"/>
        </w:trPr>
        <w:tc>
          <w:tcPr>
            <w:tcW w:w="1759" w:type="pct"/>
            <w:gridSpan w:val="2"/>
            <w:tcBorders>
              <w:top w:val="single" w:sz="4" w:space="0" w:color="auto"/>
              <w:left w:val="single" w:sz="4" w:space="0" w:color="auto"/>
              <w:bottom w:val="nil"/>
              <w:right w:val="single" w:sz="4" w:space="0" w:color="auto"/>
            </w:tcBorders>
            <w:shd w:val="clear" w:color="auto" w:fill="auto"/>
            <w:noWrap/>
            <w:vAlign w:val="bottom"/>
            <w:hideMark/>
          </w:tcPr>
          <w:p w14:paraId="1B24FA66"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w:t>
            </w:r>
          </w:p>
        </w:tc>
        <w:tc>
          <w:tcPr>
            <w:tcW w:w="360" w:type="pct"/>
            <w:gridSpan w:val="2"/>
            <w:tcBorders>
              <w:top w:val="single" w:sz="4" w:space="0" w:color="auto"/>
              <w:left w:val="nil"/>
              <w:bottom w:val="nil"/>
              <w:right w:val="nil"/>
            </w:tcBorders>
            <w:shd w:val="clear" w:color="auto" w:fill="auto"/>
            <w:noWrap/>
            <w:vAlign w:val="bottom"/>
            <w:hideMark/>
          </w:tcPr>
          <w:p w14:paraId="74A6D4D2"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2014</w:t>
            </w:r>
          </w:p>
        </w:tc>
        <w:tc>
          <w:tcPr>
            <w:tcW w:w="360" w:type="pct"/>
            <w:tcBorders>
              <w:top w:val="single" w:sz="4" w:space="0" w:color="auto"/>
              <w:left w:val="nil"/>
              <w:bottom w:val="nil"/>
              <w:right w:val="nil"/>
            </w:tcBorders>
            <w:shd w:val="clear" w:color="auto" w:fill="auto"/>
            <w:noWrap/>
            <w:vAlign w:val="bottom"/>
            <w:hideMark/>
          </w:tcPr>
          <w:p w14:paraId="3F3F7E37"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2015</w:t>
            </w:r>
          </w:p>
        </w:tc>
        <w:tc>
          <w:tcPr>
            <w:tcW w:w="359" w:type="pct"/>
            <w:gridSpan w:val="2"/>
            <w:tcBorders>
              <w:top w:val="single" w:sz="4" w:space="0" w:color="auto"/>
              <w:left w:val="nil"/>
              <w:bottom w:val="nil"/>
              <w:right w:val="nil"/>
            </w:tcBorders>
            <w:shd w:val="clear" w:color="auto" w:fill="auto"/>
            <w:noWrap/>
            <w:vAlign w:val="bottom"/>
            <w:hideMark/>
          </w:tcPr>
          <w:p w14:paraId="01D9DCA0"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2016</w:t>
            </w:r>
          </w:p>
        </w:tc>
        <w:tc>
          <w:tcPr>
            <w:tcW w:w="359" w:type="pct"/>
            <w:gridSpan w:val="2"/>
            <w:tcBorders>
              <w:top w:val="single" w:sz="4" w:space="0" w:color="auto"/>
              <w:left w:val="nil"/>
              <w:bottom w:val="nil"/>
              <w:right w:val="nil"/>
            </w:tcBorders>
            <w:shd w:val="clear" w:color="auto" w:fill="auto"/>
            <w:noWrap/>
            <w:vAlign w:val="bottom"/>
            <w:hideMark/>
          </w:tcPr>
          <w:p w14:paraId="1DF19508"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2017</w:t>
            </w:r>
          </w:p>
        </w:tc>
        <w:tc>
          <w:tcPr>
            <w:tcW w:w="359" w:type="pct"/>
            <w:gridSpan w:val="2"/>
            <w:tcBorders>
              <w:top w:val="single" w:sz="4" w:space="0" w:color="auto"/>
              <w:left w:val="nil"/>
              <w:bottom w:val="nil"/>
              <w:right w:val="nil"/>
            </w:tcBorders>
            <w:shd w:val="clear" w:color="auto" w:fill="auto"/>
            <w:noWrap/>
            <w:vAlign w:val="bottom"/>
            <w:hideMark/>
          </w:tcPr>
          <w:p w14:paraId="57EF2282"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2018</w:t>
            </w:r>
          </w:p>
        </w:tc>
        <w:tc>
          <w:tcPr>
            <w:tcW w:w="360" w:type="pct"/>
            <w:gridSpan w:val="2"/>
            <w:tcBorders>
              <w:top w:val="single" w:sz="4" w:space="0" w:color="auto"/>
              <w:left w:val="nil"/>
              <w:bottom w:val="nil"/>
              <w:right w:val="nil"/>
            </w:tcBorders>
            <w:shd w:val="clear" w:color="auto" w:fill="auto"/>
            <w:noWrap/>
            <w:vAlign w:val="bottom"/>
            <w:hideMark/>
          </w:tcPr>
          <w:p w14:paraId="0C0BB477"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2019</w:t>
            </w:r>
          </w:p>
        </w:tc>
        <w:tc>
          <w:tcPr>
            <w:tcW w:w="359" w:type="pct"/>
            <w:gridSpan w:val="2"/>
            <w:tcBorders>
              <w:top w:val="single" w:sz="4" w:space="0" w:color="auto"/>
              <w:left w:val="nil"/>
              <w:bottom w:val="nil"/>
              <w:right w:val="nil"/>
            </w:tcBorders>
            <w:shd w:val="clear" w:color="auto" w:fill="auto"/>
            <w:noWrap/>
            <w:vAlign w:val="bottom"/>
            <w:hideMark/>
          </w:tcPr>
          <w:p w14:paraId="3816E789"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2020</w:t>
            </w:r>
          </w:p>
        </w:tc>
        <w:tc>
          <w:tcPr>
            <w:tcW w:w="359" w:type="pct"/>
            <w:gridSpan w:val="2"/>
            <w:tcBorders>
              <w:top w:val="single" w:sz="4" w:space="0" w:color="auto"/>
              <w:left w:val="nil"/>
              <w:bottom w:val="nil"/>
              <w:right w:val="nil"/>
            </w:tcBorders>
            <w:shd w:val="clear" w:color="auto" w:fill="auto"/>
            <w:noWrap/>
            <w:vAlign w:val="bottom"/>
            <w:hideMark/>
          </w:tcPr>
          <w:p w14:paraId="61BD5659"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2021</w:t>
            </w:r>
          </w:p>
        </w:tc>
        <w:tc>
          <w:tcPr>
            <w:tcW w:w="367" w:type="pct"/>
            <w:gridSpan w:val="2"/>
            <w:tcBorders>
              <w:top w:val="single" w:sz="4" w:space="0" w:color="auto"/>
              <w:left w:val="nil"/>
              <w:bottom w:val="nil"/>
              <w:right w:val="single" w:sz="4" w:space="0" w:color="auto"/>
            </w:tcBorders>
            <w:shd w:val="clear" w:color="auto" w:fill="auto"/>
            <w:noWrap/>
            <w:vAlign w:val="bottom"/>
            <w:hideMark/>
          </w:tcPr>
          <w:p w14:paraId="37A67D88"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2022</w:t>
            </w:r>
          </w:p>
        </w:tc>
      </w:tr>
      <w:tr w:rsidR="007476D8" w:rsidRPr="00B66802" w14:paraId="31116A35" w14:textId="77777777" w:rsidTr="00F204F6">
        <w:trPr>
          <w:trHeight w:val="276"/>
        </w:trPr>
        <w:tc>
          <w:tcPr>
            <w:tcW w:w="1759" w:type="pct"/>
            <w:gridSpan w:val="2"/>
            <w:tcBorders>
              <w:top w:val="nil"/>
              <w:left w:val="single" w:sz="4" w:space="0" w:color="auto"/>
              <w:bottom w:val="single" w:sz="4" w:space="0" w:color="auto"/>
              <w:right w:val="single" w:sz="4" w:space="0" w:color="auto"/>
            </w:tcBorders>
            <w:shd w:val="clear" w:color="auto" w:fill="auto"/>
            <w:noWrap/>
            <w:vAlign w:val="bottom"/>
            <w:hideMark/>
          </w:tcPr>
          <w:p w14:paraId="440E5502"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w:t>
            </w:r>
          </w:p>
        </w:tc>
        <w:tc>
          <w:tcPr>
            <w:tcW w:w="720" w:type="pct"/>
            <w:gridSpan w:val="3"/>
            <w:tcBorders>
              <w:top w:val="nil"/>
              <w:left w:val="nil"/>
              <w:bottom w:val="single" w:sz="4" w:space="0" w:color="auto"/>
              <w:right w:val="nil"/>
            </w:tcBorders>
            <w:shd w:val="clear" w:color="auto" w:fill="auto"/>
            <w:noWrap/>
            <w:vAlign w:val="bottom"/>
            <w:hideMark/>
          </w:tcPr>
          <w:p w14:paraId="74DFFC06" w14:textId="77777777" w:rsidR="007476D8" w:rsidRPr="00F204F6" w:rsidRDefault="007476D8" w:rsidP="00A1518C">
            <w:pPr>
              <w:spacing w:after="0" w:line="240" w:lineRule="auto"/>
              <w:jc w:val="center"/>
              <w:rPr>
                <w:rFonts w:asciiTheme="minorHAnsi" w:eastAsia="Times New Roman" w:hAnsiTheme="minorHAnsi" w:cstheme="minorHAnsi"/>
                <w:b/>
                <w:bCs/>
                <w:color w:val="000000"/>
                <w:sz w:val="16"/>
                <w:szCs w:val="16"/>
              </w:rPr>
            </w:pPr>
            <w:r w:rsidRPr="00F204F6">
              <w:rPr>
                <w:rFonts w:asciiTheme="minorHAnsi" w:eastAsia="Times New Roman" w:hAnsiTheme="minorHAnsi" w:cstheme="minorHAnsi"/>
                <w:b/>
                <w:bCs/>
                <w:color w:val="000000"/>
                <w:sz w:val="16"/>
                <w:szCs w:val="16"/>
              </w:rPr>
              <w:t>Actuals</w:t>
            </w:r>
          </w:p>
        </w:tc>
        <w:tc>
          <w:tcPr>
            <w:tcW w:w="359" w:type="pct"/>
            <w:gridSpan w:val="2"/>
            <w:tcBorders>
              <w:top w:val="nil"/>
              <w:left w:val="nil"/>
              <w:bottom w:val="single" w:sz="4" w:space="0" w:color="auto"/>
              <w:right w:val="nil"/>
            </w:tcBorders>
            <w:shd w:val="clear" w:color="auto" w:fill="auto"/>
            <w:vAlign w:val="bottom"/>
          </w:tcPr>
          <w:p w14:paraId="4FD46B43" w14:textId="77777777" w:rsidR="007476D8" w:rsidRPr="00F204F6" w:rsidRDefault="007476D8" w:rsidP="00A1518C">
            <w:pPr>
              <w:spacing w:after="0" w:line="240" w:lineRule="auto"/>
              <w:jc w:val="center"/>
              <w:rPr>
                <w:rFonts w:asciiTheme="minorHAnsi" w:eastAsia="Times New Roman" w:hAnsiTheme="minorHAnsi" w:cstheme="minorHAnsi"/>
                <w:b/>
                <w:bCs/>
                <w:color w:val="000000"/>
                <w:sz w:val="16"/>
                <w:szCs w:val="16"/>
              </w:rPr>
            </w:pPr>
            <w:r w:rsidRPr="00F204F6">
              <w:rPr>
                <w:rFonts w:asciiTheme="minorHAnsi" w:eastAsia="Times New Roman" w:hAnsiTheme="minorHAnsi" w:cstheme="minorHAnsi"/>
                <w:b/>
                <w:bCs/>
                <w:color w:val="000000"/>
                <w:sz w:val="16"/>
                <w:szCs w:val="16"/>
              </w:rPr>
              <w:t>Est</w:t>
            </w:r>
          </w:p>
        </w:tc>
        <w:tc>
          <w:tcPr>
            <w:tcW w:w="2162" w:type="pct"/>
            <w:gridSpan w:val="12"/>
            <w:tcBorders>
              <w:top w:val="nil"/>
              <w:left w:val="nil"/>
              <w:bottom w:val="single" w:sz="4" w:space="0" w:color="auto"/>
              <w:right w:val="single" w:sz="4" w:space="0" w:color="000000"/>
            </w:tcBorders>
            <w:shd w:val="clear" w:color="auto" w:fill="auto"/>
            <w:noWrap/>
            <w:vAlign w:val="bottom"/>
            <w:hideMark/>
          </w:tcPr>
          <w:p w14:paraId="2323D790" w14:textId="77777777" w:rsidR="007476D8" w:rsidRPr="00F204F6" w:rsidRDefault="007476D8" w:rsidP="00A1518C">
            <w:pPr>
              <w:spacing w:after="0" w:line="240" w:lineRule="auto"/>
              <w:jc w:val="center"/>
              <w:rPr>
                <w:rFonts w:asciiTheme="minorHAnsi" w:eastAsia="Times New Roman" w:hAnsiTheme="minorHAnsi" w:cstheme="minorHAnsi"/>
                <w:b/>
                <w:bCs/>
                <w:color w:val="000000"/>
                <w:sz w:val="16"/>
                <w:szCs w:val="16"/>
              </w:rPr>
            </w:pPr>
            <w:r w:rsidRPr="00F204F6">
              <w:rPr>
                <w:rFonts w:asciiTheme="minorHAnsi" w:eastAsia="Times New Roman" w:hAnsiTheme="minorHAnsi" w:cstheme="minorHAnsi"/>
                <w:b/>
                <w:bCs/>
                <w:color w:val="000000"/>
                <w:sz w:val="16"/>
                <w:szCs w:val="16"/>
              </w:rPr>
              <w:t>Projections</w:t>
            </w:r>
          </w:p>
        </w:tc>
      </w:tr>
      <w:tr w:rsidR="007476D8" w:rsidRPr="00B66802" w14:paraId="43C6B510"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04244441"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Total revenues and grants</w:t>
            </w:r>
          </w:p>
        </w:tc>
        <w:tc>
          <w:tcPr>
            <w:tcW w:w="360" w:type="pct"/>
            <w:gridSpan w:val="2"/>
            <w:tcBorders>
              <w:top w:val="nil"/>
              <w:left w:val="nil"/>
              <w:bottom w:val="nil"/>
              <w:right w:val="nil"/>
            </w:tcBorders>
            <w:shd w:val="clear" w:color="auto" w:fill="auto"/>
            <w:noWrap/>
            <w:vAlign w:val="bottom"/>
            <w:hideMark/>
          </w:tcPr>
          <w:p w14:paraId="7E5B32A6"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12.4</w:t>
            </w:r>
          </w:p>
        </w:tc>
        <w:tc>
          <w:tcPr>
            <w:tcW w:w="360" w:type="pct"/>
            <w:tcBorders>
              <w:top w:val="nil"/>
              <w:left w:val="nil"/>
              <w:bottom w:val="nil"/>
              <w:right w:val="nil"/>
            </w:tcBorders>
            <w:shd w:val="clear" w:color="auto" w:fill="auto"/>
            <w:noWrap/>
            <w:vAlign w:val="bottom"/>
            <w:hideMark/>
          </w:tcPr>
          <w:p w14:paraId="0BB2FD9F"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11.8</w:t>
            </w:r>
          </w:p>
        </w:tc>
        <w:tc>
          <w:tcPr>
            <w:tcW w:w="359" w:type="pct"/>
            <w:gridSpan w:val="2"/>
            <w:tcBorders>
              <w:top w:val="nil"/>
              <w:left w:val="nil"/>
              <w:bottom w:val="nil"/>
              <w:right w:val="nil"/>
            </w:tcBorders>
            <w:shd w:val="clear" w:color="auto" w:fill="auto"/>
            <w:noWrap/>
            <w:vAlign w:val="bottom"/>
            <w:hideMark/>
          </w:tcPr>
          <w:p w14:paraId="6CB88537"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14.7</w:t>
            </w:r>
          </w:p>
        </w:tc>
        <w:tc>
          <w:tcPr>
            <w:tcW w:w="359" w:type="pct"/>
            <w:gridSpan w:val="2"/>
            <w:tcBorders>
              <w:top w:val="nil"/>
              <w:left w:val="nil"/>
              <w:bottom w:val="nil"/>
              <w:right w:val="nil"/>
            </w:tcBorders>
            <w:shd w:val="clear" w:color="auto" w:fill="auto"/>
            <w:noWrap/>
            <w:vAlign w:val="bottom"/>
            <w:hideMark/>
          </w:tcPr>
          <w:p w14:paraId="7DDB819E"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15.0</w:t>
            </w:r>
          </w:p>
        </w:tc>
        <w:tc>
          <w:tcPr>
            <w:tcW w:w="359" w:type="pct"/>
            <w:gridSpan w:val="2"/>
            <w:tcBorders>
              <w:top w:val="nil"/>
              <w:left w:val="nil"/>
              <w:bottom w:val="nil"/>
              <w:right w:val="nil"/>
            </w:tcBorders>
            <w:shd w:val="clear" w:color="auto" w:fill="auto"/>
            <w:noWrap/>
            <w:vAlign w:val="bottom"/>
            <w:hideMark/>
          </w:tcPr>
          <w:p w14:paraId="6908874D"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15.1</w:t>
            </w:r>
          </w:p>
        </w:tc>
        <w:tc>
          <w:tcPr>
            <w:tcW w:w="360" w:type="pct"/>
            <w:gridSpan w:val="2"/>
            <w:tcBorders>
              <w:top w:val="nil"/>
              <w:left w:val="nil"/>
              <w:bottom w:val="nil"/>
              <w:right w:val="nil"/>
            </w:tcBorders>
            <w:shd w:val="clear" w:color="auto" w:fill="auto"/>
            <w:noWrap/>
            <w:vAlign w:val="bottom"/>
            <w:hideMark/>
          </w:tcPr>
          <w:p w14:paraId="073B8D63"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15.2</w:t>
            </w:r>
          </w:p>
        </w:tc>
        <w:tc>
          <w:tcPr>
            <w:tcW w:w="359" w:type="pct"/>
            <w:gridSpan w:val="2"/>
            <w:tcBorders>
              <w:top w:val="nil"/>
              <w:left w:val="nil"/>
              <w:bottom w:val="nil"/>
              <w:right w:val="nil"/>
            </w:tcBorders>
            <w:shd w:val="clear" w:color="auto" w:fill="auto"/>
            <w:noWrap/>
            <w:vAlign w:val="bottom"/>
            <w:hideMark/>
          </w:tcPr>
          <w:p w14:paraId="12ABBE79"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14.4</w:t>
            </w:r>
          </w:p>
        </w:tc>
        <w:tc>
          <w:tcPr>
            <w:tcW w:w="359" w:type="pct"/>
            <w:gridSpan w:val="2"/>
            <w:tcBorders>
              <w:top w:val="nil"/>
              <w:left w:val="nil"/>
              <w:bottom w:val="nil"/>
              <w:right w:val="nil"/>
            </w:tcBorders>
            <w:shd w:val="clear" w:color="auto" w:fill="auto"/>
            <w:noWrap/>
            <w:vAlign w:val="bottom"/>
            <w:hideMark/>
          </w:tcPr>
          <w:p w14:paraId="61B6E193"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14.7</w:t>
            </w:r>
          </w:p>
        </w:tc>
        <w:tc>
          <w:tcPr>
            <w:tcW w:w="367" w:type="pct"/>
            <w:gridSpan w:val="2"/>
            <w:tcBorders>
              <w:top w:val="nil"/>
              <w:left w:val="nil"/>
              <w:bottom w:val="nil"/>
              <w:right w:val="single" w:sz="4" w:space="0" w:color="auto"/>
            </w:tcBorders>
            <w:shd w:val="clear" w:color="auto" w:fill="auto"/>
            <w:noWrap/>
            <w:vAlign w:val="bottom"/>
            <w:hideMark/>
          </w:tcPr>
          <w:p w14:paraId="3FF8B864"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15.0</w:t>
            </w:r>
          </w:p>
        </w:tc>
      </w:tr>
      <w:tr w:rsidR="007476D8" w:rsidRPr="00B66802" w14:paraId="3AC2B9C1"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391CED65"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Tax revenues</w:t>
            </w:r>
          </w:p>
        </w:tc>
        <w:tc>
          <w:tcPr>
            <w:tcW w:w="360" w:type="pct"/>
            <w:gridSpan w:val="2"/>
            <w:tcBorders>
              <w:top w:val="nil"/>
              <w:left w:val="nil"/>
              <w:bottom w:val="nil"/>
              <w:right w:val="nil"/>
            </w:tcBorders>
            <w:shd w:val="clear" w:color="auto" w:fill="auto"/>
            <w:noWrap/>
            <w:vAlign w:val="bottom"/>
            <w:hideMark/>
          </w:tcPr>
          <w:p w14:paraId="25CC1994"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9.9</w:t>
            </w:r>
          </w:p>
        </w:tc>
        <w:tc>
          <w:tcPr>
            <w:tcW w:w="360" w:type="pct"/>
            <w:tcBorders>
              <w:top w:val="nil"/>
              <w:left w:val="nil"/>
              <w:bottom w:val="nil"/>
              <w:right w:val="nil"/>
            </w:tcBorders>
            <w:shd w:val="clear" w:color="auto" w:fill="auto"/>
            <w:noWrap/>
            <w:vAlign w:val="bottom"/>
            <w:hideMark/>
          </w:tcPr>
          <w:p w14:paraId="21FE0D19"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10.1</w:t>
            </w:r>
          </w:p>
        </w:tc>
        <w:tc>
          <w:tcPr>
            <w:tcW w:w="359" w:type="pct"/>
            <w:gridSpan w:val="2"/>
            <w:tcBorders>
              <w:top w:val="nil"/>
              <w:left w:val="nil"/>
              <w:bottom w:val="nil"/>
              <w:right w:val="nil"/>
            </w:tcBorders>
            <w:shd w:val="clear" w:color="auto" w:fill="auto"/>
            <w:noWrap/>
            <w:vAlign w:val="bottom"/>
            <w:hideMark/>
          </w:tcPr>
          <w:p w14:paraId="2A4932C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10.9</w:t>
            </w:r>
          </w:p>
        </w:tc>
        <w:tc>
          <w:tcPr>
            <w:tcW w:w="359" w:type="pct"/>
            <w:gridSpan w:val="2"/>
            <w:tcBorders>
              <w:top w:val="nil"/>
              <w:left w:val="nil"/>
              <w:bottom w:val="nil"/>
              <w:right w:val="nil"/>
            </w:tcBorders>
            <w:shd w:val="clear" w:color="auto" w:fill="auto"/>
            <w:noWrap/>
            <w:vAlign w:val="bottom"/>
            <w:hideMark/>
          </w:tcPr>
          <w:p w14:paraId="552CD234"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11.4</w:t>
            </w:r>
          </w:p>
        </w:tc>
        <w:tc>
          <w:tcPr>
            <w:tcW w:w="359" w:type="pct"/>
            <w:gridSpan w:val="2"/>
            <w:tcBorders>
              <w:top w:val="nil"/>
              <w:left w:val="nil"/>
              <w:bottom w:val="nil"/>
              <w:right w:val="nil"/>
            </w:tcBorders>
            <w:shd w:val="clear" w:color="auto" w:fill="auto"/>
            <w:noWrap/>
            <w:vAlign w:val="bottom"/>
            <w:hideMark/>
          </w:tcPr>
          <w:p w14:paraId="338908A8"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11.9</w:t>
            </w:r>
          </w:p>
        </w:tc>
        <w:tc>
          <w:tcPr>
            <w:tcW w:w="360" w:type="pct"/>
            <w:gridSpan w:val="2"/>
            <w:tcBorders>
              <w:top w:val="nil"/>
              <w:left w:val="nil"/>
              <w:bottom w:val="nil"/>
              <w:right w:val="nil"/>
            </w:tcBorders>
            <w:shd w:val="clear" w:color="auto" w:fill="auto"/>
            <w:noWrap/>
            <w:vAlign w:val="bottom"/>
            <w:hideMark/>
          </w:tcPr>
          <w:p w14:paraId="2B1DE0DC"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11.9</w:t>
            </w:r>
          </w:p>
        </w:tc>
        <w:tc>
          <w:tcPr>
            <w:tcW w:w="359" w:type="pct"/>
            <w:gridSpan w:val="2"/>
            <w:tcBorders>
              <w:top w:val="nil"/>
              <w:left w:val="nil"/>
              <w:bottom w:val="nil"/>
              <w:right w:val="nil"/>
            </w:tcBorders>
            <w:shd w:val="clear" w:color="auto" w:fill="auto"/>
            <w:noWrap/>
            <w:vAlign w:val="bottom"/>
            <w:hideMark/>
          </w:tcPr>
          <w:p w14:paraId="34482ADE"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12.3</w:t>
            </w:r>
          </w:p>
        </w:tc>
        <w:tc>
          <w:tcPr>
            <w:tcW w:w="359" w:type="pct"/>
            <w:gridSpan w:val="2"/>
            <w:tcBorders>
              <w:top w:val="nil"/>
              <w:left w:val="nil"/>
              <w:bottom w:val="nil"/>
              <w:right w:val="nil"/>
            </w:tcBorders>
            <w:shd w:val="clear" w:color="auto" w:fill="auto"/>
            <w:noWrap/>
            <w:vAlign w:val="bottom"/>
            <w:hideMark/>
          </w:tcPr>
          <w:p w14:paraId="4FA16369"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12.8</w:t>
            </w:r>
          </w:p>
        </w:tc>
        <w:tc>
          <w:tcPr>
            <w:tcW w:w="367" w:type="pct"/>
            <w:gridSpan w:val="2"/>
            <w:tcBorders>
              <w:top w:val="nil"/>
              <w:left w:val="nil"/>
              <w:bottom w:val="nil"/>
              <w:right w:val="single" w:sz="4" w:space="0" w:color="auto"/>
            </w:tcBorders>
            <w:shd w:val="clear" w:color="auto" w:fill="auto"/>
            <w:noWrap/>
            <w:vAlign w:val="bottom"/>
            <w:hideMark/>
          </w:tcPr>
          <w:p w14:paraId="7D6F8809"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13.1</w:t>
            </w:r>
          </w:p>
        </w:tc>
      </w:tr>
      <w:tr w:rsidR="007476D8" w:rsidRPr="00B66802" w14:paraId="24E1BD50"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5B5CFDF3"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Non-tax revenues</w:t>
            </w:r>
          </w:p>
        </w:tc>
        <w:tc>
          <w:tcPr>
            <w:tcW w:w="360" w:type="pct"/>
            <w:gridSpan w:val="2"/>
            <w:tcBorders>
              <w:top w:val="nil"/>
              <w:left w:val="nil"/>
              <w:bottom w:val="nil"/>
              <w:right w:val="nil"/>
            </w:tcBorders>
            <w:shd w:val="clear" w:color="auto" w:fill="auto"/>
            <w:noWrap/>
            <w:vAlign w:val="bottom"/>
            <w:hideMark/>
          </w:tcPr>
          <w:p w14:paraId="19872F24"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0.2</w:t>
            </w:r>
          </w:p>
        </w:tc>
        <w:tc>
          <w:tcPr>
            <w:tcW w:w="360" w:type="pct"/>
            <w:tcBorders>
              <w:top w:val="nil"/>
              <w:left w:val="nil"/>
              <w:bottom w:val="nil"/>
              <w:right w:val="nil"/>
            </w:tcBorders>
            <w:shd w:val="clear" w:color="auto" w:fill="auto"/>
            <w:noWrap/>
            <w:vAlign w:val="bottom"/>
            <w:hideMark/>
          </w:tcPr>
          <w:p w14:paraId="72284613"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0.3</w:t>
            </w:r>
          </w:p>
        </w:tc>
        <w:tc>
          <w:tcPr>
            <w:tcW w:w="359" w:type="pct"/>
            <w:gridSpan w:val="2"/>
            <w:tcBorders>
              <w:top w:val="nil"/>
              <w:left w:val="nil"/>
              <w:bottom w:val="nil"/>
              <w:right w:val="nil"/>
            </w:tcBorders>
            <w:shd w:val="clear" w:color="auto" w:fill="auto"/>
            <w:noWrap/>
            <w:vAlign w:val="bottom"/>
            <w:hideMark/>
          </w:tcPr>
          <w:p w14:paraId="0E154A7B"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0.3</w:t>
            </w:r>
          </w:p>
        </w:tc>
        <w:tc>
          <w:tcPr>
            <w:tcW w:w="359" w:type="pct"/>
            <w:gridSpan w:val="2"/>
            <w:tcBorders>
              <w:top w:val="nil"/>
              <w:left w:val="nil"/>
              <w:bottom w:val="nil"/>
              <w:right w:val="nil"/>
            </w:tcBorders>
            <w:shd w:val="clear" w:color="auto" w:fill="auto"/>
            <w:noWrap/>
            <w:vAlign w:val="bottom"/>
            <w:hideMark/>
          </w:tcPr>
          <w:p w14:paraId="61D702A9"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0.3</w:t>
            </w:r>
          </w:p>
        </w:tc>
        <w:tc>
          <w:tcPr>
            <w:tcW w:w="359" w:type="pct"/>
            <w:gridSpan w:val="2"/>
            <w:tcBorders>
              <w:top w:val="nil"/>
              <w:left w:val="nil"/>
              <w:bottom w:val="nil"/>
              <w:right w:val="nil"/>
            </w:tcBorders>
            <w:shd w:val="clear" w:color="auto" w:fill="auto"/>
            <w:noWrap/>
            <w:vAlign w:val="bottom"/>
            <w:hideMark/>
          </w:tcPr>
          <w:p w14:paraId="108DED28"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0.2</w:t>
            </w:r>
          </w:p>
        </w:tc>
        <w:tc>
          <w:tcPr>
            <w:tcW w:w="360" w:type="pct"/>
            <w:gridSpan w:val="2"/>
            <w:tcBorders>
              <w:top w:val="nil"/>
              <w:left w:val="nil"/>
              <w:bottom w:val="nil"/>
              <w:right w:val="nil"/>
            </w:tcBorders>
            <w:shd w:val="clear" w:color="auto" w:fill="auto"/>
            <w:noWrap/>
            <w:vAlign w:val="bottom"/>
            <w:hideMark/>
          </w:tcPr>
          <w:p w14:paraId="2FCFD04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0.2</w:t>
            </w:r>
          </w:p>
        </w:tc>
        <w:tc>
          <w:tcPr>
            <w:tcW w:w="359" w:type="pct"/>
            <w:gridSpan w:val="2"/>
            <w:tcBorders>
              <w:top w:val="nil"/>
              <w:left w:val="nil"/>
              <w:bottom w:val="nil"/>
              <w:right w:val="nil"/>
            </w:tcBorders>
            <w:shd w:val="clear" w:color="auto" w:fill="auto"/>
            <w:noWrap/>
            <w:vAlign w:val="bottom"/>
            <w:hideMark/>
          </w:tcPr>
          <w:p w14:paraId="52751458"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0.2</w:t>
            </w:r>
          </w:p>
        </w:tc>
        <w:tc>
          <w:tcPr>
            <w:tcW w:w="359" w:type="pct"/>
            <w:gridSpan w:val="2"/>
            <w:tcBorders>
              <w:top w:val="nil"/>
              <w:left w:val="nil"/>
              <w:bottom w:val="nil"/>
              <w:right w:val="nil"/>
            </w:tcBorders>
            <w:shd w:val="clear" w:color="auto" w:fill="auto"/>
            <w:noWrap/>
            <w:vAlign w:val="bottom"/>
            <w:hideMark/>
          </w:tcPr>
          <w:p w14:paraId="709A5FCA"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0.2</w:t>
            </w:r>
          </w:p>
        </w:tc>
        <w:tc>
          <w:tcPr>
            <w:tcW w:w="367" w:type="pct"/>
            <w:gridSpan w:val="2"/>
            <w:tcBorders>
              <w:top w:val="nil"/>
              <w:left w:val="nil"/>
              <w:bottom w:val="nil"/>
              <w:right w:val="single" w:sz="4" w:space="0" w:color="auto"/>
            </w:tcBorders>
            <w:shd w:val="clear" w:color="auto" w:fill="auto"/>
            <w:noWrap/>
            <w:vAlign w:val="bottom"/>
            <w:hideMark/>
          </w:tcPr>
          <w:p w14:paraId="6D59B0D5"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0.2</w:t>
            </w:r>
          </w:p>
        </w:tc>
      </w:tr>
      <w:tr w:rsidR="007476D8" w:rsidRPr="00B66802" w14:paraId="22A2B32F"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03286921"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Grants</w:t>
            </w:r>
          </w:p>
        </w:tc>
        <w:tc>
          <w:tcPr>
            <w:tcW w:w="360" w:type="pct"/>
            <w:gridSpan w:val="2"/>
            <w:tcBorders>
              <w:top w:val="nil"/>
              <w:left w:val="nil"/>
              <w:bottom w:val="nil"/>
              <w:right w:val="nil"/>
            </w:tcBorders>
            <w:shd w:val="clear" w:color="auto" w:fill="auto"/>
            <w:noWrap/>
            <w:vAlign w:val="bottom"/>
            <w:hideMark/>
          </w:tcPr>
          <w:p w14:paraId="4055B9E8"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2.3</w:t>
            </w:r>
          </w:p>
        </w:tc>
        <w:tc>
          <w:tcPr>
            <w:tcW w:w="360" w:type="pct"/>
            <w:tcBorders>
              <w:top w:val="nil"/>
              <w:left w:val="nil"/>
              <w:bottom w:val="nil"/>
              <w:right w:val="nil"/>
            </w:tcBorders>
            <w:shd w:val="clear" w:color="auto" w:fill="auto"/>
            <w:noWrap/>
            <w:vAlign w:val="bottom"/>
            <w:hideMark/>
          </w:tcPr>
          <w:p w14:paraId="33C9C57D"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1.5</w:t>
            </w:r>
          </w:p>
        </w:tc>
        <w:tc>
          <w:tcPr>
            <w:tcW w:w="359" w:type="pct"/>
            <w:gridSpan w:val="2"/>
            <w:tcBorders>
              <w:top w:val="nil"/>
              <w:left w:val="nil"/>
              <w:bottom w:val="nil"/>
              <w:right w:val="nil"/>
            </w:tcBorders>
            <w:shd w:val="clear" w:color="auto" w:fill="auto"/>
            <w:noWrap/>
            <w:vAlign w:val="bottom"/>
            <w:hideMark/>
          </w:tcPr>
          <w:p w14:paraId="5EAA0C79"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3.5</w:t>
            </w:r>
          </w:p>
        </w:tc>
        <w:tc>
          <w:tcPr>
            <w:tcW w:w="359" w:type="pct"/>
            <w:gridSpan w:val="2"/>
            <w:tcBorders>
              <w:top w:val="nil"/>
              <w:left w:val="nil"/>
              <w:bottom w:val="nil"/>
              <w:right w:val="nil"/>
            </w:tcBorders>
            <w:shd w:val="clear" w:color="auto" w:fill="auto"/>
            <w:noWrap/>
            <w:vAlign w:val="bottom"/>
            <w:hideMark/>
          </w:tcPr>
          <w:p w14:paraId="3CAD6369"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3.2</w:t>
            </w:r>
          </w:p>
        </w:tc>
        <w:tc>
          <w:tcPr>
            <w:tcW w:w="359" w:type="pct"/>
            <w:gridSpan w:val="2"/>
            <w:tcBorders>
              <w:top w:val="nil"/>
              <w:left w:val="nil"/>
              <w:bottom w:val="nil"/>
              <w:right w:val="nil"/>
            </w:tcBorders>
            <w:shd w:val="clear" w:color="auto" w:fill="auto"/>
            <w:noWrap/>
            <w:vAlign w:val="bottom"/>
            <w:hideMark/>
          </w:tcPr>
          <w:p w14:paraId="62CB8ABC"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3.0</w:t>
            </w:r>
          </w:p>
        </w:tc>
        <w:tc>
          <w:tcPr>
            <w:tcW w:w="360" w:type="pct"/>
            <w:gridSpan w:val="2"/>
            <w:tcBorders>
              <w:top w:val="nil"/>
              <w:left w:val="nil"/>
              <w:bottom w:val="nil"/>
              <w:right w:val="nil"/>
            </w:tcBorders>
            <w:shd w:val="clear" w:color="auto" w:fill="auto"/>
            <w:noWrap/>
            <w:vAlign w:val="bottom"/>
            <w:hideMark/>
          </w:tcPr>
          <w:p w14:paraId="35963519"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3.1</w:t>
            </w:r>
          </w:p>
        </w:tc>
        <w:tc>
          <w:tcPr>
            <w:tcW w:w="359" w:type="pct"/>
            <w:gridSpan w:val="2"/>
            <w:tcBorders>
              <w:top w:val="nil"/>
              <w:left w:val="nil"/>
              <w:bottom w:val="nil"/>
              <w:right w:val="nil"/>
            </w:tcBorders>
            <w:shd w:val="clear" w:color="auto" w:fill="auto"/>
            <w:noWrap/>
            <w:vAlign w:val="bottom"/>
            <w:hideMark/>
          </w:tcPr>
          <w:p w14:paraId="5E7FE203"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1.9</w:t>
            </w:r>
          </w:p>
        </w:tc>
        <w:tc>
          <w:tcPr>
            <w:tcW w:w="359" w:type="pct"/>
            <w:gridSpan w:val="2"/>
            <w:tcBorders>
              <w:top w:val="nil"/>
              <w:left w:val="nil"/>
              <w:bottom w:val="nil"/>
              <w:right w:val="nil"/>
            </w:tcBorders>
            <w:shd w:val="clear" w:color="auto" w:fill="auto"/>
            <w:noWrap/>
            <w:vAlign w:val="bottom"/>
            <w:hideMark/>
          </w:tcPr>
          <w:p w14:paraId="6B0E7670"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1.8</w:t>
            </w:r>
          </w:p>
        </w:tc>
        <w:tc>
          <w:tcPr>
            <w:tcW w:w="367" w:type="pct"/>
            <w:gridSpan w:val="2"/>
            <w:tcBorders>
              <w:top w:val="nil"/>
              <w:left w:val="nil"/>
              <w:bottom w:val="nil"/>
              <w:right w:val="single" w:sz="4" w:space="0" w:color="auto"/>
            </w:tcBorders>
            <w:shd w:val="clear" w:color="auto" w:fill="auto"/>
            <w:noWrap/>
            <w:vAlign w:val="bottom"/>
            <w:hideMark/>
          </w:tcPr>
          <w:p w14:paraId="24E28F5D"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1.6</w:t>
            </w:r>
          </w:p>
        </w:tc>
      </w:tr>
      <w:tr w:rsidR="007476D8" w:rsidRPr="00B66802" w14:paraId="35E32E8B" w14:textId="77777777" w:rsidTr="00F204F6">
        <w:trPr>
          <w:trHeight w:val="324"/>
        </w:trPr>
        <w:tc>
          <w:tcPr>
            <w:tcW w:w="1759" w:type="pct"/>
            <w:gridSpan w:val="2"/>
            <w:tcBorders>
              <w:top w:val="nil"/>
              <w:left w:val="single" w:sz="4" w:space="0" w:color="auto"/>
              <w:bottom w:val="nil"/>
              <w:right w:val="single" w:sz="4" w:space="0" w:color="auto"/>
            </w:tcBorders>
            <w:shd w:val="clear" w:color="auto" w:fill="auto"/>
            <w:noWrap/>
            <w:vAlign w:val="bottom"/>
            <w:hideMark/>
          </w:tcPr>
          <w:p w14:paraId="31D4BC7A"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Total expenditure</w:t>
            </w:r>
          </w:p>
        </w:tc>
        <w:tc>
          <w:tcPr>
            <w:tcW w:w="360" w:type="pct"/>
            <w:gridSpan w:val="2"/>
            <w:tcBorders>
              <w:top w:val="nil"/>
              <w:left w:val="nil"/>
              <w:bottom w:val="nil"/>
              <w:right w:val="nil"/>
            </w:tcBorders>
            <w:shd w:val="clear" w:color="auto" w:fill="auto"/>
            <w:noWrap/>
            <w:vAlign w:val="bottom"/>
            <w:hideMark/>
          </w:tcPr>
          <w:p w14:paraId="494F661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14.7</w:t>
            </w:r>
          </w:p>
        </w:tc>
        <w:tc>
          <w:tcPr>
            <w:tcW w:w="360" w:type="pct"/>
            <w:tcBorders>
              <w:top w:val="nil"/>
              <w:left w:val="nil"/>
              <w:bottom w:val="nil"/>
              <w:right w:val="nil"/>
            </w:tcBorders>
            <w:shd w:val="clear" w:color="auto" w:fill="auto"/>
            <w:noWrap/>
            <w:vAlign w:val="bottom"/>
            <w:hideMark/>
          </w:tcPr>
          <w:p w14:paraId="060B7A8A"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15.1</w:t>
            </w:r>
          </w:p>
        </w:tc>
        <w:tc>
          <w:tcPr>
            <w:tcW w:w="359" w:type="pct"/>
            <w:gridSpan w:val="2"/>
            <w:tcBorders>
              <w:top w:val="nil"/>
              <w:left w:val="nil"/>
              <w:bottom w:val="nil"/>
              <w:right w:val="nil"/>
            </w:tcBorders>
            <w:shd w:val="clear" w:color="auto" w:fill="auto"/>
            <w:noWrap/>
            <w:vAlign w:val="bottom"/>
            <w:hideMark/>
          </w:tcPr>
          <w:p w14:paraId="0168A3E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16.0</w:t>
            </w:r>
          </w:p>
        </w:tc>
        <w:tc>
          <w:tcPr>
            <w:tcW w:w="359" w:type="pct"/>
            <w:gridSpan w:val="2"/>
            <w:tcBorders>
              <w:top w:val="nil"/>
              <w:left w:val="nil"/>
              <w:bottom w:val="nil"/>
              <w:right w:val="nil"/>
            </w:tcBorders>
            <w:shd w:val="clear" w:color="auto" w:fill="auto"/>
            <w:noWrap/>
            <w:vAlign w:val="bottom"/>
            <w:hideMark/>
          </w:tcPr>
          <w:p w14:paraId="2663948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18.4</w:t>
            </w:r>
          </w:p>
        </w:tc>
        <w:tc>
          <w:tcPr>
            <w:tcW w:w="359" w:type="pct"/>
            <w:gridSpan w:val="2"/>
            <w:tcBorders>
              <w:top w:val="nil"/>
              <w:left w:val="nil"/>
              <w:bottom w:val="nil"/>
              <w:right w:val="nil"/>
            </w:tcBorders>
            <w:shd w:val="clear" w:color="auto" w:fill="auto"/>
            <w:noWrap/>
            <w:vAlign w:val="bottom"/>
            <w:hideMark/>
          </w:tcPr>
          <w:p w14:paraId="5544E152"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18.0</w:t>
            </w:r>
          </w:p>
        </w:tc>
        <w:tc>
          <w:tcPr>
            <w:tcW w:w="360" w:type="pct"/>
            <w:gridSpan w:val="2"/>
            <w:tcBorders>
              <w:top w:val="nil"/>
              <w:left w:val="nil"/>
              <w:bottom w:val="nil"/>
              <w:right w:val="nil"/>
            </w:tcBorders>
            <w:shd w:val="clear" w:color="auto" w:fill="auto"/>
            <w:noWrap/>
            <w:vAlign w:val="bottom"/>
            <w:hideMark/>
          </w:tcPr>
          <w:p w14:paraId="4E84DE9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20.2</w:t>
            </w:r>
          </w:p>
        </w:tc>
        <w:tc>
          <w:tcPr>
            <w:tcW w:w="359" w:type="pct"/>
            <w:gridSpan w:val="2"/>
            <w:tcBorders>
              <w:top w:val="nil"/>
              <w:left w:val="nil"/>
              <w:bottom w:val="nil"/>
              <w:right w:val="nil"/>
            </w:tcBorders>
            <w:shd w:val="clear" w:color="auto" w:fill="auto"/>
            <w:noWrap/>
            <w:vAlign w:val="bottom"/>
            <w:hideMark/>
          </w:tcPr>
          <w:p w14:paraId="5A5B45AE"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19.6</w:t>
            </w:r>
          </w:p>
        </w:tc>
        <w:tc>
          <w:tcPr>
            <w:tcW w:w="359" w:type="pct"/>
            <w:gridSpan w:val="2"/>
            <w:tcBorders>
              <w:top w:val="nil"/>
              <w:left w:val="nil"/>
              <w:bottom w:val="nil"/>
              <w:right w:val="nil"/>
            </w:tcBorders>
            <w:shd w:val="clear" w:color="auto" w:fill="auto"/>
            <w:noWrap/>
            <w:vAlign w:val="bottom"/>
            <w:hideMark/>
          </w:tcPr>
          <w:p w14:paraId="7A8CF85A"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19.3</w:t>
            </w:r>
          </w:p>
        </w:tc>
        <w:tc>
          <w:tcPr>
            <w:tcW w:w="367" w:type="pct"/>
            <w:gridSpan w:val="2"/>
            <w:tcBorders>
              <w:top w:val="nil"/>
              <w:left w:val="nil"/>
              <w:bottom w:val="nil"/>
              <w:right w:val="single" w:sz="4" w:space="0" w:color="auto"/>
            </w:tcBorders>
            <w:shd w:val="clear" w:color="auto" w:fill="auto"/>
            <w:noWrap/>
            <w:vAlign w:val="bottom"/>
            <w:hideMark/>
          </w:tcPr>
          <w:p w14:paraId="0D20943A"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19.0</w:t>
            </w:r>
          </w:p>
        </w:tc>
      </w:tr>
      <w:tr w:rsidR="007476D8" w:rsidRPr="00B66802" w14:paraId="715EBCF7"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center"/>
            <w:hideMark/>
          </w:tcPr>
          <w:p w14:paraId="677D4A2F" w14:textId="77777777" w:rsidR="007476D8" w:rsidRPr="00F204F6" w:rsidRDefault="007476D8" w:rsidP="00A1518C">
            <w:pPr>
              <w:spacing w:after="0" w:line="240" w:lineRule="auto"/>
              <w:jc w:val="both"/>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o/w: social priority spending</w:t>
            </w:r>
          </w:p>
        </w:tc>
        <w:tc>
          <w:tcPr>
            <w:tcW w:w="360" w:type="pct"/>
            <w:gridSpan w:val="2"/>
            <w:tcBorders>
              <w:top w:val="nil"/>
              <w:left w:val="nil"/>
              <w:bottom w:val="nil"/>
              <w:right w:val="nil"/>
            </w:tcBorders>
            <w:shd w:val="clear" w:color="auto" w:fill="auto"/>
            <w:noWrap/>
            <w:vAlign w:val="bottom"/>
            <w:hideMark/>
          </w:tcPr>
          <w:p w14:paraId="4C93D60C"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0.9</w:t>
            </w:r>
          </w:p>
        </w:tc>
        <w:tc>
          <w:tcPr>
            <w:tcW w:w="360" w:type="pct"/>
            <w:tcBorders>
              <w:top w:val="nil"/>
              <w:left w:val="nil"/>
              <w:bottom w:val="nil"/>
              <w:right w:val="nil"/>
            </w:tcBorders>
            <w:shd w:val="clear" w:color="auto" w:fill="auto"/>
            <w:noWrap/>
            <w:vAlign w:val="bottom"/>
            <w:hideMark/>
          </w:tcPr>
          <w:p w14:paraId="5E87768E"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0.7</w:t>
            </w:r>
          </w:p>
        </w:tc>
        <w:tc>
          <w:tcPr>
            <w:tcW w:w="359" w:type="pct"/>
            <w:gridSpan w:val="2"/>
            <w:tcBorders>
              <w:top w:val="nil"/>
              <w:left w:val="nil"/>
              <w:bottom w:val="nil"/>
              <w:right w:val="nil"/>
            </w:tcBorders>
            <w:shd w:val="clear" w:color="auto" w:fill="auto"/>
            <w:noWrap/>
            <w:vAlign w:val="bottom"/>
            <w:hideMark/>
          </w:tcPr>
          <w:p w14:paraId="0DDC0A85"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0.8</w:t>
            </w:r>
          </w:p>
        </w:tc>
        <w:tc>
          <w:tcPr>
            <w:tcW w:w="359" w:type="pct"/>
            <w:gridSpan w:val="2"/>
            <w:tcBorders>
              <w:top w:val="nil"/>
              <w:left w:val="nil"/>
              <w:bottom w:val="nil"/>
              <w:right w:val="nil"/>
            </w:tcBorders>
            <w:shd w:val="clear" w:color="auto" w:fill="auto"/>
            <w:noWrap/>
            <w:vAlign w:val="bottom"/>
            <w:hideMark/>
          </w:tcPr>
          <w:p w14:paraId="4D8C372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1.0</w:t>
            </w:r>
          </w:p>
        </w:tc>
        <w:tc>
          <w:tcPr>
            <w:tcW w:w="359" w:type="pct"/>
            <w:gridSpan w:val="2"/>
            <w:tcBorders>
              <w:top w:val="nil"/>
              <w:left w:val="nil"/>
              <w:bottom w:val="nil"/>
              <w:right w:val="nil"/>
            </w:tcBorders>
            <w:shd w:val="clear" w:color="auto" w:fill="auto"/>
            <w:noWrap/>
            <w:vAlign w:val="bottom"/>
            <w:hideMark/>
          </w:tcPr>
          <w:p w14:paraId="172BCA47"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1.1</w:t>
            </w:r>
          </w:p>
        </w:tc>
        <w:tc>
          <w:tcPr>
            <w:tcW w:w="360" w:type="pct"/>
            <w:gridSpan w:val="2"/>
            <w:tcBorders>
              <w:top w:val="nil"/>
              <w:left w:val="nil"/>
              <w:bottom w:val="nil"/>
              <w:right w:val="nil"/>
            </w:tcBorders>
            <w:shd w:val="clear" w:color="auto" w:fill="auto"/>
            <w:noWrap/>
            <w:vAlign w:val="bottom"/>
            <w:hideMark/>
          </w:tcPr>
          <w:p w14:paraId="05FBBEBE"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1.3</w:t>
            </w:r>
          </w:p>
        </w:tc>
        <w:tc>
          <w:tcPr>
            <w:tcW w:w="359" w:type="pct"/>
            <w:gridSpan w:val="2"/>
            <w:tcBorders>
              <w:top w:val="nil"/>
              <w:left w:val="nil"/>
              <w:bottom w:val="nil"/>
              <w:right w:val="nil"/>
            </w:tcBorders>
            <w:shd w:val="clear" w:color="auto" w:fill="auto"/>
            <w:noWrap/>
            <w:vAlign w:val="bottom"/>
            <w:hideMark/>
          </w:tcPr>
          <w:p w14:paraId="25D1344D"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1.5</w:t>
            </w:r>
          </w:p>
        </w:tc>
        <w:tc>
          <w:tcPr>
            <w:tcW w:w="359" w:type="pct"/>
            <w:gridSpan w:val="2"/>
            <w:tcBorders>
              <w:top w:val="nil"/>
              <w:left w:val="nil"/>
              <w:bottom w:val="nil"/>
              <w:right w:val="nil"/>
            </w:tcBorders>
            <w:shd w:val="clear" w:color="auto" w:fill="auto"/>
            <w:noWrap/>
            <w:vAlign w:val="bottom"/>
            <w:hideMark/>
          </w:tcPr>
          <w:p w14:paraId="65D0271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1.8</w:t>
            </w:r>
          </w:p>
        </w:tc>
        <w:tc>
          <w:tcPr>
            <w:tcW w:w="367" w:type="pct"/>
            <w:gridSpan w:val="2"/>
            <w:tcBorders>
              <w:top w:val="nil"/>
              <w:left w:val="nil"/>
              <w:bottom w:val="nil"/>
              <w:right w:val="single" w:sz="4" w:space="0" w:color="auto"/>
            </w:tcBorders>
            <w:shd w:val="clear" w:color="auto" w:fill="auto"/>
            <w:noWrap/>
            <w:vAlign w:val="bottom"/>
            <w:hideMark/>
          </w:tcPr>
          <w:p w14:paraId="7D77A0BF"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1.9</w:t>
            </w:r>
          </w:p>
        </w:tc>
      </w:tr>
      <w:tr w:rsidR="007476D8" w:rsidRPr="00B66802" w14:paraId="50FA378C"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5A843A0D"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Current expenditure o.w</w:t>
            </w:r>
          </w:p>
        </w:tc>
        <w:tc>
          <w:tcPr>
            <w:tcW w:w="360" w:type="pct"/>
            <w:gridSpan w:val="2"/>
            <w:tcBorders>
              <w:top w:val="nil"/>
              <w:left w:val="nil"/>
              <w:bottom w:val="nil"/>
              <w:right w:val="nil"/>
            </w:tcBorders>
            <w:shd w:val="clear" w:color="auto" w:fill="auto"/>
            <w:noWrap/>
            <w:vAlign w:val="bottom"/>
            <w:hideMark/>
          </w:tcPr>
          <w:p w14:paraId="1DB3FB56"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10.8</w:t>
            </w:r>
          </w:p>
        </w:tc>
        <w:tc>
          <w:tcPr>
            <w:tcW w:w="360" w:type="pct"/>
            <w:tcBorders>
              <w:top w:val="nil"/>
              <w:left w:val="nil"/>
              <w:bottom w:val="nil"/>
              <w:right w:val="nil"/>
            </w:tcBorders>
            <w:shd w:val="clear" w:color="auto" w:fill="auto"/>
            <w:noWrap/>
            <w:vAlign w:val="bottom"/>
            <w:hideMark/>
          </w:tcPr>
          <w:p w14:paraId="1CBDDA53"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11.7</w:t>
            </w:r>
          </w:p>
        </w:tc>
        <w:tc>
          <w:tcPr>
            <w:tcW w:w="359" w:type="pct"/>
            <w:gridSpan w:val="2"/>
            <w:tcBorders>
              <w:top w:val="nil"/>
              <w:left w:val="nil"/>
              <w:bottom w:val="nil"/>
              <w:right w:val="nil"/>
            </w:tcBorders>
            <w:shd w:val="clear" w:color="auto" w:fill="auto"/>
            <w:noWrap/>
            <w:vAlign w:val="bottom"/>
            <w:hideMark/>
          </w:tcPr>
          <w:p w14:paraId="3A6D71F4"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10.8</w:t>
            </w:r>
          </w:p>
        </w:tc>
        <w:tc>
          <w:tcPr>
            <w:tcW w:w="359" w:type="pct"/>
            <w:gridSpan w:val="2"/>
            <w:tcBorders>
              <w:top w:val="nil"/>
              <w:left w:val="nil"/>
              <w:bottom w:val="nil"/>
              <w:right w:val="nil"/>
            </w:tcBorders>
            <w:shd w:val="clear" w:color="auto" w:fill="auto"/>
            <w:noWrap/>
            <w:vAlign w:val="bottom"/>
            <w:hideMark/>
          </w:tcPr>
          <w:p w14:paraId="13B96247"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12.2</w:t>
            </w:r>
          </w:p>
        </w:tc>
        <w:tc>
          <w:tcPr>
            <w:tcW w:w="359" w:type="pct"/>
            <w:gridSpan w:val="2"/>
            <w:tcBorders>
              <w:top w:val="nil"/>
              <w:left w:val="nil"/>
              <w:bottom w:val="nil"/>
              <w:right w:val="nil"/>
            </w:tcBorders>
            <w:shd w:val="clear" w:color="auto" w:fill="auto"/>
            <w:noWrap/>
            <w:vAlign w:val="bottom"/>
            <w:hideMark/>
          </w:tcPr>
          <w:p w14:paraId="49FBFFF4"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9.9</w:t>
            </w:r>
          </w:p>
        </w:tc>
        <w:tc>
          <w:tcPr>
            <w:tcW w:w="360" w:type="pct"/>
            <w:gridSpan w:val="2"/>
            <w:tcBorders>
              <w:top w:val="nil"/>
              <w:left w:val="nil"/>
              <w:bottom w:val="nil"/>
              <w:right w:val="nil"/>
            </w:tcBorders>
            <w:shd w:val="clear" w:color="auto" w:fill="auto"/>
            <w:noWrap/>
            <w:vAlign w:val="bottom"/>
            <w:hideMark/>
          </w:tcPr>
          <w:p w14:paraId="63971C63"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9.6</w:t>
            </w:r>
          </w:p>
        </w:tc>
        <w:tc>
          <w:tcPr>
            <w:tcW w:w="359" w:type="pct"/>
            <w:gridSpan w:val="2"/>
            <w:tcBorders>
              <w:top w:val="nil"/>
              <w:left w:val="nil"/>
              <w:bottom w:val="nil"/>
              <w:right w:val="nil"/>
            </w:tcBorders>
            <w:shd w:val="clear" w:color="auto" w:fill="auto"/>
            <w:noWrap/>
            <w:vAlign w:val="bottom"/>
            <w:hideMark/>
          </w:tcPr>
          <w:p w14:paraId="3728FF9F"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9.4</w:t>
            </w:r>
          </w:p>
        </w:tc>
        <w:tc>
          <w:tcPr>
            <w:tcW w:w="359" w:type="pct"/>
            <w:gridSpan w:val="2"/>
            <w:tcBorders>
              <w:top w:val="nil"/>
              <w:left w:val="nil"/>
              <w:bottom w:val="nil"/>
              <w:right w:val="nil"/>
            </w:tcBorders>
            <w:shd w:val="clear" w:color="auto" w:fill="auto"/>
            <w:noWrap/>
            <w:vAlign w:val="bottom"/>
            <w:hideMark/>
          </w:tcPr>
          <w:p w14:paraId="3AE341B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9.6</w:t>
            </w:r>
          </w:p>
        </w:tc>
        <w:tc>
          <w:tcPr>
            <w:tcW w:w="367" w:type="pct"/>
            <w:gridSpan w:val="2"/>
            <w:tcBorders>
              <w:top w:val="nil"/>
              <w:left w:val="nil"/>
              <w:bottom w:val="nil"/>
              <w:right w:val="single" w:sz="4" w:space="0" w:color="auto"/>
            </w:tcBorders>
            <w:shd w:val="clear" w:color="auto" w:fill="auto"/>
            <w:noWrap/>
            <w:vAlign w:val="bottom"/>
            <w:hideMark/>
          </w:tcPr>
          <w:p w14:paraId="3B5BEF5B"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9.9</w:t>
            </w:r>
          </w:p>
        </w:tc>
      </w:tr>
      <w:tr w:rsidR="007476D8" w:rsidRPr="00B66802" w14:paraId="75F214BA"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2A31C642"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Wages</w:t>
            </w:r>
          </w:p>
        </w:tc>
        <w:tc>
          <w:tcPr>
            <w:tcW w:w="360" w:type="pct"/>
            <w:gridSpan w:val="2"/>
            <w:tcBorders>
              <w:top w:val="nil"/>
              <w:left w:val="nil"/>
              <w:bottom w:val="nil"/>
              <w:right w:val="nil"/>
            </w:tcBorders>
            <w:shd w:val="clear" w:color="auto" w:fill="auto"/>
            <w:noWrap/>
            <w:vAlign w:val="bottom"/>
            <w:hideMark/>
          </w:tcPr>
          <w:p w14:paraId="528FA7FE"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5.6</w:t>
            </w:r>
          </w:p>
        </w:tc>
        <w:tc>
          <w:tcPr>
            <w:tcW w:w="360" w:type="pct"/>
            <w:tcBorders>
              <w:top w:val="nil"/>
              <w:left w:val="nil"/>
              <w:bottom w:val="nil"/>
              <w:right w:val="nil"/>
            </w:tcBorders>
            <w:shd w:val="clear" w:color="auto" w:fill="auto"/>
            <w:noWrap/>
            <w:vAlign w:val="bottom"/>
            <w:hideMark/>
          </w:tcPr>
          <w:p w14:paraId="6C2CA93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5.5</w:t>
            </w:r>
          </w:p>
        </w:tc>
        <w:tc>
          <w:tcPr>
            <w:tcW w:w="359" w:type="pct"/>
            <w:gridSpan w:val="2"/>
            <w:tcBorders>
              <w:top w:val="nil"/>
              <w:left w:val="nil"/>
              <w:bottom w:val="nil"/>
              <w:right w:val="nil"/>
            </w:tcBorders>
            <w:shd w:val="clear" w:color="auto" w:fill="auto"/>
            <w:noWrap/>
            <w:vAlign w:val="bottom"/>
            <w:hideMark/>
          </w:tcPr>
          <w:p w14:paraId="0863A88D"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5.6</w:t>
            </w:r>
          </w:p>
        </w:tc>
        <w:tc>
          <w:tcPr>
            <w:tcW w:w="359" w:type="pct"/>
            <w:gridSpan w:val="2"/>
            <w:tcBorders>
              <w:top w:val="nil"/>
              <w:left w:val="nil"/>
              <w:bottom w:val="nil"/>
              <w:right w:val="nil"/>
            </w:tcBorders>
            <w:shd w:val="clear" w:color="auto" w:fill="auto"/>
            <w:noWrap/>
            <w:vAlign w:val="bottom"/>
            <w:hideMark/>
          </w:tcPr>
          <w:p w14:paraId="7245E47D"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5.8</w:t>
            </w:r>
          </w:p>
        </w:tc>
        <w:tc>
          <w:tcPr>
            <w:tcW w:w="359" w:type="pct"/>
            <w:gridSpan w:val="2"/>
            <w:tcBorders>
              <w:top w:val="nil"/>
              <w:left w:val="nil"/>
              <w:bottom w:val="nil"/>
              <w:right w:val="nil"/>
            </w:tcBorders>
            <w:shd w:val="clear" w:color="auto" w:fill="auto"/>
            <w:noWrap/>
            <w:vAlign w:val="bottom"/>
            <w:hideMark/>
          </w:tcPr>
          <w:p w14:paraId="7E5B833F"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5.6</w:t>
            </w:r>
          </w:p>
        </w:tc>
        <w:tc>
          <w:tcPr>
            <w:tcW w:w="360" w:type="pct"/>
            <w:gridSpan w:val="2"/>
            <w:tcBorders>
              <w:top w:val="nil"/>
              <w:left w:val="nil"/>
              <w:bottom w:val="nil"/>
              <w:right w:val="nil"/>
            </w:tcBorders>
            <w:shd w:val="clear" w:color="auto" w:fill="auto"/>
            <w:noWrap/>
            <w:vAlign w:val="bottom"/>
            <w:hideMark/>
          </w:tcPr>
          <w:p w14:paraId="17C70133"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5.4</w:t>
            </w:r>
          </w:p>
        </w:tc>
        <w:tc>
          <w:tcPr>
            <w:tcW w:w="359" w:type="pct"/>
            <w:gridSpan w:val="2"/>
            <w:tcBorders>
              <w:top w:val="nil"/>
              <w:left w:val="nil"/>
              <w:bottom w:val="nil"/>
              <w:right w:val="nil"/>
            </w:tcBorders>
            <w:shd w:val="clear" w:color="auto" w:fill="auto"/>
            <w:noWrap/>
            <w:vAlign w:val="bottom"/>
            <w:hideMark/>
          </w:tcPr>
          <w:p w14:paraId="4885B800"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5.2</w:t>
            </w:r>
          </w:p>
        </w:tc>
        <w:tc>
          <w:tcPr>
            <w:tcW w:w="359" w:type="pct"/>
            <w:gridSpan w:val="2"/>
            <w:tcBorders>
              <w:top w:val="nil"/>
              <w:left w:val="nil"/>
              <w:bottom w:val="nil"/>
              <w:right w:val="nil"/>
            </w:tcBorders>
            <w:shd w:val="clear" w:color="auto" w:fill="auto"/>
            <w:noWrap/>
            <w:vAlign w:val="bottom"/>
            <w:hideMark/>
          </w:tcPr>
          <w:p w14:paraId="4CF0B3DD"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5.2</w:t>
            </w:r>
          </w:p>
        </w:tc>
        <w:tc>
          <w:tcPr>
            <w:tcW w:w="367" w:type="pct"/>
            <w:gridSpan w:val="2"/>
            <w:tcBorders>
              <w:top w:val="nil"/>
              <w:left w:val="nil"/>
              <w:bottom w:val="nil"/>
              <w:right w:val="single" w:sz="4" w:space="0" w:color="auto"/>
            </w:tcBorders>
            <w:shd w:val="clear" w:color="auto" w:fill="auto"/>
            <w:noWrap/>
            <w:vAlign w:val="bottom"/>
            <w:hideMark/>
          </w:tcPr>
          <w:p w14:paraId="4930F349"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5.4</w:t>
            </w:r>
          </w:p>
        </w:tc>
      </w:tr>
      <w:tr w:rsidR="007476D8" w:rsidRPr="00B66802" w14:paraId="0D86818F"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63122246"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Goods and Services</w:t>
            </w:r>
          </w:p>
        </w:tc>
        <w:tc>
          <w:tcPr>
            <w:tcW w:w="360" w:type="pct"/>
            <w:gridSpan w:val="2"/>
            <w:tcBorders>
              <w:top w:val="nil"/>
              <w:left w:val="nil"/>
              <w:bottom w:val="nil"/>
              <w:right w:val="nil"/>
            </w:tcBorders>
            <w:shd w:val="clear" w:color="auto" w:fill="auto"/>
            <w:noWrap/>
            <w:vAlign w:val="bottom"/>
            <w:hideMark/>
          </w:tcPr>
          <w:p w14:paraId="49B9B743"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0.9</w:t>
            </w:r>
          </w:p>
        </w:tc>
        <w:tc>
          <w:tcPr>
            <w:tcW w:w="360" w:type="pct"/>
            <w:tcBorders>
              <w:top w:val="nil"/>
              <w:left w:val="nil"/>
              <w:bottom w:val="nil"/>
              <w:right w:val="nil"/>
            </w:tcBorders>
            <w:shd w:val="clear" w:color="auto" w:fill="auto"/>
            <w:noWrap/>
            <w:vAlign w:val="bottom"/>
            <w:hideMark/>
          </w:tcPr>
          <w:p w14:paraId="74B86B64"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0.5</w:t>
            </w:r>
          </w:p>
        </w:tc>
        <w:tc>
          <w:tcPr>
            <w:tcW w:w="359" w:type="pct"/>
            <w:gridSpan w:val="2"/>
            <w:tcBorders>
              <w:top w:val="nil"/>
              <w:left w:val="nil"/>
              <w:bottom w:val="nil"/>
              <w:right w:val="nil"/>
            </w:tcBorders>
            <w:shd w:val="clear" w:color="auto" w:fill="auto"/>
            <w:noWrap/>
            <w:vAlign w:val="bottom"/>
            <w:hideMark/>
          </w:tcPr>
          <w:p w14:paraId="61FCC44D"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0.6</w:t>
            </w:r>
          </w:p>
        </w:tc>
        <w:tc>
          <w:tcPr>
            <w:tcW w:w="359" w:type="pct"/>
            <w:gridSpan w:val="2"/>
            <w:tcBorders>
              <w:top w:val="nil"/>
              <w:left w:val="nil"/>
              <w:bottom w:val="nil"/>
              <w:right w:val="nil"/>
            </w:tcBorders>
            <w:shd w:val="clear" w:color="auto" w:fill="auto"/>
            <w:noWrap/>
            <w:vAlign w:val="bottom"/>
            <w:hideMark/>
          </w:tcPr>
          <w:p w14:paraId="3903AA3F"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0.9</w:t>
            </w:r>
          </w:p>
        </w:tc>
        <w:tc>
          <w:tcPr>
            <w:tcW w:w="359" w:type="pct"/>
            <w:gridSpan w:val="2"/>
            <w:tcBorders>
              <w:top w:val="nil"/>
              <w:left w:val="nil"/>
              <w:bottom w:val="nil"/>
              <w:right w:val="nil"/>
            </w:tcBorders>
            <w:shd w:val="clear" w:color="auto" w:fill="auto"/>
            <w:noWrap/>
            <w:vAlign w:val="bottom"/>
            <w:hideMark/>
          </w:tcPr>
          <w:p w14:paraId="5CA6F86B"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0.9</w:t>
            </w:r>
          </w:p>
        </w:tc>
        <w:tc>
          <w:tcPr>
            <w:tcW w:w="360" w:type="pct"/>
            <w:gridSpan w:val="2"/>
            <w:tcBorders>
              <w:top w:val="nil"/>
              <w:left w:val="nil"/>
              <w:bottom w:val="nil"/>
              <w:right w:val="nil"/>
            </w:tcBorders>
            <w:shd w:val="clear" w:color="auto" w:fill="auto"/>
            <w:noWrap/>
            <w:vAlign w:val="bottom"/>
            <w:hideMark/>
          </w:tcPr>
          <w:p w14:paraId="0C95104B"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1.0</w:t>
            </w:r>
          </w:p>
        </w:tc>
        <w:tc>
          <w:tcPr>
            <w:tcW w:w="359" w:type="pct"/>
            <w:gridSpan w:val="2"/>
            <w:tcBorders>
              <w:top w:val="nil"/>
              <w:left w:val="nil"/>
              <w:bottom w:val="nil"/>
              <w:right w:val="nil"/>
            </w:tcBorders>
            <w:shd w:val="clear" w:color="auto" w:fill="auto"/>
            <w:noWrap/>
            <w:vAlign w:val="bottom"/>
            <w:hideMark/>
          </w:tcPr>
          <w:p w14:paraId="4D9EC48B"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1.1</w:t>
            </w:r>
          </w:p>
        </w:tc>
        <w:tc>
          <w:tcPr>
            <w:tcW w:w="359" w:type="pct"/>
            <w:gridSpan w:val="2"/>
            <w:tcBorders>
              <w:top w:val="nil"/>
              <w:left w:val="nil"/>
              <w:bottom w:val="nil"/>
              <w:right w:val="nil"/>
            </w:tcBorders>
            <w:shd w:val="clear" w:color="auto" w:fill="auto"/>
            <w:noWrap/>
            <w:vAlign w:val="bottom"/>
            <w:hideMark/>
          </w:tcPr>
          <w:p w14:paraId="5EE6E448"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1.2</w:t>
            </w:r>
          </w:p>
        </w:tc>
        <w:tc>
          <w:tcPr>
            <w:tcW w:w="367" w:type="pct"/>
            <w:gridSpan w:val="2"/>
            <w:tcBorders>
              <w:top w:val="nil"/>
              <w:left w:val="nil"/>
              <w:bottom w:val="nil"/>
              <w:right w:val="single" w:sz="4" w:space="0" w:color="auto"/>
            </w:tcBorders>
            <w:shd w:val="clear" w:color="auto" w:fill="auto"/>
            <w:noWrap/>
            <w:vAlign w:val="bottom"/>
            <w:hideMark/>
          </w:tcPr>
          <w:p w14:paraId="5AD08B8D"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1.3</w:t>
            </w:r>
          </w:p>
        </w:tc>
      </w:tr>
      <w:tr w:rsidR="007476D8" w:rsidRPr="00B66802" w14:paraId="63D34DB2"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7C24FC8C"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Transfers and Subsidies</w:t>
            </w:r>
          </w:p>
        </w:tc>
        <w:tc>
          <w:tcPr>
            <w:tcW w:w="360" w:type="pct"/>
            <w:gridSpan w:val="2"/>
            <w:tcBorders>
              <w:top w:val="nil"/>
              <w:left w:val="nil"/>
              <w:bottom w:val="nil"/>
              <w:right w:val="nil"/>
            </w:tcBorders>
            <w:shd w:val="clear" w:color="auto" w:fill="auto"/>
            <w:noWrap/>
            <w:vAlign w:val="bottom"/>
            <w:hideMark/>
          </w:tcPr>
          <w:p w14:paraId="31F9908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3.2</w:t>
            </w:r>
          </w:p>
        </w:tc>
        <w:tc>
          <w:tcPr>
            <w:tcW w:w="360" w:type="pct"/>
            <w:tcBorders>
              <w:top w:val="nil"/>
              <w:left w:val="nil"/>
              <w:bottom w:val="nil"/>
              <w:right w:val="nil"/>
            </w:tcBorders>
            <w:shd w:val="clear" w:color="auto" w:fill="auto"/>
            <w:noWrap/>
            <w:vAlign w:val="bottom"/>
            <w:hideMark/>
          </w:tcPr>
          <w:p w14:paraId="4E297243"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3.4</w:t>
            </w:r>
          </w:p>
        </w:tc>
        <w:tc>
          <w:tcPr>
            <w:tcW w:w="359" w:type="pct"/>
            <w:gridSpan w:val="2"/>
            <w:tcBorders>
              <w:top w:val="nil"/>
              <w:left w:val="nil"/>
              <w:bottom w:val="nil"/>
              <w:right w:val="nil"/>
            </w:tcBorders>
            <w:shd w:val="clear" w:color="auto" w:fill="auto"/>
            <w:noWrap/>
            <w:vAlign w:val="bottom"/>
            <w:hideMark/>
          </w:tcPr>
          <w:p w14:paraId="27116688"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3.1</w:t>
            </w:r>
          </w:p>
        </w:tc>
        <w:tc>
          <w:tcPr>
            <w:tcW w:w="359" w:type="pct"/>
            <w:gridSpan w:val="2"/>
            <w:tcBorders>
              <w:top w:val="nil"/>
              <w:left w:val="nil"/>
              <w:bottom w:val="nil"/>
              <w:right w:val="nil"/>
            </w:tcBorders>
            <w:shd w:val="clear" w:color="auto" w:fill="auto"/>
            <w:noWrap/>
            <w:vAlign w:val="bottom"/>
            <w:hideMark/>
          </w:tcPr>
          <w:p w14:paraId="6197425A"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4.0</w:t>
            </w:r>
          </w:p>
        </w:tc>
        <w:tc>
          <w:tcPr>
            <w:tcW w:w="359" w:type="pct"/>
            <w:gridSpan w:val="2"/>
            <w:tcBorders>
              <w:top w:val="nil"/>
              <w:left w:val="nil"/>
              <w:bottom w:val="nil"/>
              <w:right w:val="nil"/>
            </w:tcBorders>
            <w:shd w:val="clear" w:color="auto" w:fill="auto"/>
            <w:noWrap/>
            <w:vAlign w:val="bottom"/>
            <w:hideMark/>
          </w:tcPr>
          <w:p w14:paraId="02D95376"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2.3</w:t>
            </w:r>
          </w:p>
        </w:tc>
        <w:tc>
          <w:tcPr>
            <w:tcW w:w="360" w:type="pct"/>
            <w:gridSpan w:val="2"/>
            <w:tcBorders>
              <w:top w:val="nil"/>
              <w:left w:val="nil"/>
              <w:bottom w:val="nil"/>
              <w:right w:val="nil"/>
            </w:tcBorders>
            <w:shd w:val="clear" w:color="auto" w:fill="auto"/>
            <w:noWrap/>
            <w:vAlign w:val="bottom"/>
            <w:hideMark/>
          </w:tcPr>
          <w:p w14:paraId="66638465"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w:t>
            </w:r>
          </w:p>
        </w:tc>
        <w:tc>
          <w:tcPr>
            <w:tcW w:w="359" w:type="pct"/>
            <w:gridSpan w:val="2"/>
            <w:tcBorders>
              <w:top w:val="nil"/>
              <w:left w:val="nil"/>
              <w:bottom w:val="nil"/>
              <w:right w:val="nil"/>
            </w:tcBorders>
            <w:shd w:val="clear" w:color="auto" w:fill="auto"/>
            <w:noWrap/>
            <w:vAlign w:val="bottom"/>
            <w:hideMark/>
          </w:tcPr>
          <w:p w14:paraId="12DB0F2E"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1.9</w:t>
            </w:r>
          </w:p>
        </w:tc>
        <w:tc>
          <w:tcPr>
            <w:tcW w:w="359" w:type="pct"/>
            <w:gridSpan w:val="2"/>
            <w:tcBorders>
              <w:top w:val="nil"/>
              <w:left w:val="nil"/>
              <w:bottom w:val="nil"/>
              <w:right w:val="nil"/>
            </w:tcBorders>
            <w:shd w:val="clear" w:color="auto" w:fill="auto"/>
            <w:noWrap/>
            <w:vAlign w:val="bottom"/>
            <w:hideMark/>
          </w:tcPr>
          <w:p w14:paraId="78E2252F"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w:t>
            </w:r>
          </w:p>
        </w:tc>
        <w:tc>
          <w:tcPr>
            <w:tcW w:w="367" w:type="pct"/>
            <w:gridSpan w:val="2"/>
            <w:tcBorders>
              <w:top w:val="nil"/>
              <w:left w:val="nil"/>
              <w:bottom w:val="nil"/>
              <w:right w:val="single" w:sz="4" w:space="0" w:color="auto"/>
            </w:tcBorders>
            <w:shd w:val="clear" w:color="auto" w:fill="auto"/>
            <w:noWrap/>
            <w:vAlign w:val="bottom"/>
            <w:hideMark/>
          </w:tcPr>
          <w:p w14:paraId="16B9753C"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1.9</w:t>
            </w:r>
          </w:p>
        </w:tc>
      </w:tr>
      <w:tr w:rsidR="007476D8" w:rsidRPr="00B66802" w14:paraId="0409AB98"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3C5889C5"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Interest</w:t>
            </w:r>
          </w:p>
        </w:tc>
        <w:tc>
          <w:tcPr>
            <w:tcW w:w="360" w:type="pct"/>
            <w:gridSpan w:val="2"/>
            <w:tcBorders>
              <w:top w:val="nil"/>
              <w:left w:val="nil"/>
              <w:bottom w:val="nil"/>
              <w:right w:val="nil"/>
            </w:tcBorders>
            <w:shd w:val="clear" w:color="auto" w:fill="auto"/>
            <w:noWrap/>
            <w:vAlign w:val="bottom"/>
            <w:hideMark/>
          </w:tcPr>
          <w:p w14:paraId="2BAA17D2"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0.6</w:t>
            </w:r>
          </w:p>
        </w:tc>
        <w:tc>
          <w:tcPr>
            <w:tcW w:w="360" w:type="pct"/>
            <w:tcBorders>
              <w:top w:val="nil"/>
              <w:left w:val="nil"/>
              <w:bottom w:val="nil"/>
              <w:right w:val="nil"/>
            </w:tcBorders>
            <w:shd w:val="clear" w:color="auto" w:fill="auto"/>
            <w:noWrap/>
            <w:vAlign w:val="bottom"/>
            <w:hideMark/>
          </w:tcPr>
          <w:p w14:paraId="3760912E"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0.8</w:t>
            </w:r>
          </w:p>
        </w:tc>
        <w:tc>
          <w:tcPr>
            <w:tcW w:w="359" w:type="pct"/>
            <w:gridSpan w:val="2"/>
            <w:tcBorders>
              <w:top w:val="nil"/>
              <w:left w:val="nil"/>
              <w:bottom w:val="nil"/>
              <w:right w:val="nil"/>
            </w:tcBorders>
            <w:shd w:val="clear" w:color="auto" w:fill="auto"/>
            <w:noWrap/>
            <w:vAlign w:val="bottom"/>
            <w:hideMark/>
          </w:tcPr>
          <w:p w14:paraId="0EAE6CE7"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0.9</w:t>
            </w:r>
          </w:p>
        </w:tc>
        <w:tc>
          <w:tcPr>
            <w:tcW w:w="359" w:type="pct"/>
            <w:gridSpan w:val="2"/>
            <w:tcBorders>
              <w:top w:val="nil"/>
              <w:left w:val="nil"/>
              <w:bottom w:val="nil"/>
              <w:right w:val="nil"/>
            </w:tcBorders>
            <w:shd w:val="clear" w:color="auto" w:fill="auto"/>
            <w:noWrap/>
            <w:vAlign w:val="bottom"/>
            <w:hideMark/>
          </w:tcPr>
          <w:p w14:paraId="54948F9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0.8</w:t>
            </w:r>
          </w:p>
        </w:tc>
        <w:tc>
          <w:tcPr>
            <w:tcW w:w="359" w:type="pct"/>
            <w:gridSpan w:val="2"/>
            <w:tcBorders>
              <w:top w:val="nil"/>
              <w:left w:val="nil"/>
              <w:bottom w:val="nil"/>
              <w:right w:val="nil"/>
            </w:tcBorders>
            <w:shd w:val="clear" w:color="auto" w:fill="auto"/>
            <w:noWrap/>
            <w:vAlign w:val="bottom"/>
            <w:hideMark/>
          </w:tcPr>
          <w:p w14:paraId="6254899C"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1.0</w:t>
            </w:r>
          </w:p>
        </w:tc>
        <w:tc>
          <w:tcPr>
            <w:tcW w:w="360" w:type="pct"/>
            <w:gridSpan w:val="2"/>
            <w:tcBorders>
              <w:top w:val="nil"/>
              <w:left w:val="nil"/>
              <w:bottom w:val="nil"/>
              <w:right w:val="nil"/>
            </w:tcBorders>
            <w:shd w:val="clear" w:color="auto" w:fill="auto"/>
            <w:noWrap/>
            <w:vAlign w:val="bottom"/>
            <w:hideMark/>
          </w:tcPr>
          <w:p w14:paraId="6030210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1.0</w:t>
            </w:r>
          </w:p>
        </w:tc>
        <w:tc>
          <w:tcPr>
            <w:tcW w:w="359" w:type="pct"/>
            <w:gridSpan w:val="2"/>
            <w:tcBorders>
              <w:top w:val="nil"/>
              <w:left w:val="nil"/>
              <w:bottom w:val="nil"/>
              <w:right w:val="nil"/>
            </w:tcBorders>
            <w:shd w:val="clear" w:color="auto" w:fill="auto"/>
            <w:noWrap/>
            <w:vAlign w:val="bottom"/>
            <w:hideMark/>
          </w:tcPr>
          <w:p w14:paraId="316EFC74"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0.9</w:t>
            </w:r>
          </w:p>
        </w:tc>
        <w:tc>
          <w:tcPr>
            <w:tcW w:w="359" w:type="pct"/>
            <w:gridSpan w:val="2"/>
            <w:tcBorders>
              <w:top w:val="nil"/>
              <w:left w:val="nil"/>
              <w:bottom w:val="nil"/>
              <w:right w:val="nil"/>
            </w:tcBorders>
            <w:shd w:val="clear" w:color="auto" w:fill="auto"/>
            <w:noWrap/>
            <w:vAlign w:val="bottom"/>
            <w:hideMark/>
          </w:tcPr>
          <w:p w14:paraId="09D7C6DC"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0.9</w:t>
            </w:r>
          </w:p>
        </w:tc>
        <w:tc>
          <w:tcPr>
            <w:tcW w:w="367" w:type="pct"/>
            <w:gridSpan w:val="2"/>
            <w:tcBorders>
              <w:top w:val="nil"/>
              <w:left w:val="nil"/>
              <w:bottom w:val="nil"/>
              <w:right w:val="single" w:sz="4" w:space="0" w:color="auto"/>
            </w:tcBorders>
            <w:shd w:val="clear" w:color="auto" w:fill="auto"/>
            <w:noWrap/>
            <w:vAlign w:val="bottom"/>
            <w:hideMark/>
          </w:tcPr>
          <w:p w14:paraId="35F49BCC"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1.0</w:t>
            </w:r>
          </w:p>
        </w:tc>
      </w:tr>
      <w:tr w:rsidR="007476D8" w:rsidRPr="00B66802" w14:paraId="1C47BD20"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02088877"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Capital expenditures</w:t>
            </w:r>
          </w:p>
        </w:tc>
        <w:tc>
          <w:tcPr>
            <w:tcW w:w="360" w:type="pct"/>
            <w:gridSpan w:val="2"/>
            <w:tcBorders>
              <w:top w:val="nil"/>
              <w:left w:val="nil"/>
              <w:bottom w:val="nil"/>
              <w:right w:val="nil"/>
            </w:tcBorders>
            <w:shd w:val="clear" w:color="auto" w:fill="auto"/>
            <w:noWrap/>
            <w:vAlign w:val="bottom"/>
            <w:hideMark/>
          </w:tcPr>
          <w:p w14:paraId="1C67F115"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3.9</w:t>
            </w:r>
          </w:p>
        </w:tc>
        <w:tc>
          <w:tcPr>
            <w:tcW w:w="360" w:type="pct"/>
            <w:tcBorders>
              <w:top w:val="nil"/>
              <w:left w:val="nil"/>
              <w:bottom w:val="nil"/>
              <w:right w:val="nil"/>
            </w:tcBorders>
            <w:shd w:val="clear" w:color="auto" w:fill="auto"/>
            <w:noWrap/>
            <w:vAlign w:val="bottom"/>
            <w:hideMark/>
          </w:tcPr>
          <w:p w14:paraId="5A9880C8"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3.5</w:t>
            </w:r>
          </w:p>
        </w:tc>
        <w:tc>
          <w:tcPr>
            <w:tcW w:w="359" w:type="pct"/>
            <w:gridSpan w:val="2"/>
            <w:tcBorders>
              <w:top w:val="nil"/>
              <w:left w:val="nil"/>
              <w:bottom w:val="nil"/>
              <w:right w:val="nil"/>
            </w:tcBorders>
            <w:shd w:val="clear" w:color="auto" w:fill="auto"/>
            <w:noWrap/>
            <w:vAlign w:val="bottom"/>
            <w:hideMark/>
          </w:tcPr>
          <w:p w14:paraId="27915472"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5.2</w:t>
            </w:r>
          </w:p>
        </w:tc>
        <w:tc>
          <w:tcPr>
            <w:tcW w:w="359" w:type="pct"/>
            <w:gridSpan w:val="2"/>
            <w:tcBorders>
              <w:top w:val="nil"/>
              <w:left w:val="nil"/>
              <w:bottom w:val="nil"/>
              <w:right w:val="nil"/>
            </w:tcBorders>
            <w:shd w:val="clear" w:color="auto" w:fill="auto"/>
            <w:noWrap/>
            <w:vAlign w:val="bottom"/>
            <w:hideMark/>
          </w:tcPr>
          <w:p w14:paraId="0D616073"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6.3</w:t>
            </w:r>
          </w:p>
        </w:tc>
        <w:tc>
          <w:tcPr>
            <w:tcW w:w="359" w:type="pct"/>
            <w:gridSpan w:val="2"/>
            <w:tcBorders>
              <w:top w:val="nil"/>
              <w:left w:val="nil"/>
              <w:bottom w:val="nil"/>
              <w:right w:val="nil"/>
            </w:tcBorders>
            <w:shd w:val="clear" w:color="auto" w:fill="auto"/>
            <w:noWrap/>
            <w:vAlign w:val="bottom"/>
            <w:hideMark/>
          </w:tcPr>
          <w:p w14:paraId="6BBDD6BE"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8.1</w:t>
            </w:r>
          </w:p>
        </w:tc>
        <w:tc>
          <w:tcPr>
            <w:tcW w:w="360" w:type="pct"/>
            <w:gridSpan w:val="2"/>
            <w:tcBorders>
              <w:top w:val="nil"/>
              <w:left w:val="nil"/>
              <w:bottom w:val="nil"/>
              <w:right w:val="nil"/>
            </w:tcBorders>
            <w:shd w:val="clear" w:color="auto" w:fill="auto"/>
            <w:noWrap/>
            <w:vAlign w:val="bottom"/>
            <w:hideMark/>
          </w:tcPr>
          <w:p w14:paraId="6CE4355A"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10.5</w:t>
            </w:r>
          </w:p>
        </w:tc>
        <w:tc>
          <w:tcPr>
            <w:tcW w:w="359" w:type="pct"/>
            <w:gridSpan w:val="2"/>
            <w:tcBorders>
              <w:top w:val="nil"/>
              <w:left w:val="nil"/>
              <w:bottom w:val="nil"/>
              <w:right w:val="nil"/>
            </w:tcBorders>
            <w:shd w:val="clear" w:color="auto" w:fill="auto"/>
            <w:noWrap/>
            <w:vAlign w:val="bottom"/>
            <w:hideMark/>
          </w:tcPr>
          <w:p w14:paraId="09DFA12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10.2</w:t>
            </w:r>
          </w:p>
        </w:tc>
        <w:tc>
          <w:tcPr>
            <w:tcW w:w="359" w:type="pct"/>
            <w:gridSpan w:val="2"/>
            <w:tcBorders>
              <w:top w:val="nil"/>
              <w:left w:val="nil"/>
              <w:bottom w:val="nil"/>
              <w:right w:val="nil"/>
            </w:tcBorders>
            <w:shd w:val="clear" w:color="auto" w:fill="auto"/>
            <w:noWrap/>
            <w:vAlign w:val="bottom"/>
            <w:hideMark/>
          </w:tcPr>
          <w:p w14:paraId="633523F6"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9.8</w:t>
            </w:r>
          </w:p>
        </w:tc>
        <w:tc>
          <w:tcPr>
            <w:tcW w:w="367" w:type="pct"/>
            <w:gridSpan w:val="2"/>
            <w:tcBorders>
              <w:top w:val="nil"/>
              <w:left w:val="nil"/>
              <w:bottom w:val="nil"/>
              <w:right w:val="single" w:sz="4" w:space="0" w:color="auto"/>
            </w:tcBorders>
            <w:shd w:val="clear" w:color="auto" w:fill="auto"/>
            <w:noWrap/>
            <w:vAlign w:val="bottom"/>
            <w:hideMark/>
          </w:tcPr>
          <w:p w14:paraId="08B17E52"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9.1</w:t>
            </w:r>
          </w:p>
        </w:tc>
      </w:tr>
      <w:tr w:rsidR="007476D8" w:rsidRPr="00B66802" w14:paraId="120BEC92"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072F23FC"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Domestically financed</w:t>
            </w:r>
          </w:p>
        </w:tc>
        <w:tc>
          <w:tcPr>
            <w:tcW w:w="360" w:type="pct"/>
            <w:gridSpan w:val="2"/>
            <w:tcBorders>
              <w:top w:val="nil"/>
              <w:left w:val="nil"/>
              <w:bottom w:val="nil"/>
              <w:right w:val="nil"/>
            </w:tcBorders>
            <w:shd w:val="clear" w:color="auto" w:fill="auto"/>
            <w:noWrap/>
            <w:vAlign w:val="bottom"/>
            <w:hideMark/>
          </w:tcPr>
          <w:p w14:paraId="3684263B"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1.2</w:t>
            </w:r>
          </w:p>
        </w:tc>
        <w:tc>
          <w:tcPr>
            <w:tcW w:w="360" w:type="pct"/>
            <w:tcBorders>
              <w:top w:val="nil"/>
              <w:left w:val="nil"/>
              <w:bottom w:val="nil"/>
              <w:right w:val="nil"/>
            </w:tcBorders>
            <w:shd w:val="clear" w:color="auto" w:fill="auto"/>
            <w:noWrap/>
            <w:vAlign w:val="bottom"/>
            <w:hideMark/>
          </w:tcPr>
          <w:p w14:paraId="06BB7B4E"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1.0</w:t>
            </w:r>
          </w:p>
        </w:tc>
        <w:tc>
          <w:tcPr>
            <w:tcW w:w="359" w:type="pct"/>
            <w:gridSpan w:val="2"/>
            <w:tcBorders>
              <w:top w:val="nil"/>
              <w:left w:val="nil"/>
              <w:bottom w:val="nil"/>
              <w:right w:val="nil"/>
            </w:tcBorders>
            <w:shd w:val="clear" w:color="auto" w:fill="auto"/>
            <w:noWrap/>
            <w:vAlign w:val="bottom"/>
            <w:hideMark/>
          </w:tcPr>
          <w:p w14:paraId="617618F4"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1.2</w:t>
            </w:r>
          </w:p>
        </w:tc>
        <w:tc>
          <w:tcPr>
            <w:tcW w:w="359" w:type="pct"/>
            <w:gridSpan w:val="2"/>
            <w:tcBorders>
              <w:top w:val="nil"/>
              <w:left w:val="nil"/>
              <w:bottom w:val="nil"/>
              <w:right w:val="nil"/>
            </w:tcBorders>
            <w:shd w:val="clear" w:color="auto" w:fill="auto"/>
            <w:noWrap/>
            <w:vAlign w:val="bottom"/>
            <w:hideMark/>
          </w:tcPr>
          <w:p w14:paraId="0AA83CA2"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w:t>
            </w:r>
          </w:p>
        </w:tc>
        <w:tc>
          <w:tcPr>
            <w:tcW w:w="359" w:type="pct"/>
            <w:gridSpan w:val="2"/>
            <w:tcBorders>
              <w:top w:val="nil"/>
              <w:left w:val="nil"/>
              <w:bottom w:val="nil"/>
              <w:right w:val="nil"/>
            </w:tcBorders>
            <w:shd w:val="clear" w:color="auto" w:fill="auto"/>
            <w:noWrap/>
            <w:vAlign w:val="bottom"/>
            <w:hideMark/>
          </w:tcPr>
          <w:p w14:paraId="732ACD38"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2.4</w:t>
            </w:r>
          </w:p>
        </w:tc>
        <w:tc>
          <w:tcPr>
            <w:tcW w:w="360" w:type="pct"/>
            <w:gridSpan w:val="2"/>
            <w:tcBorders>
              <w:top w:val="nil"/>
              <w:left w:val="nil"/>
              <w:bottom w:val="nil"/>
              <w:right w:val="nil"/>
            </w:tcBorders>
            <w:shd w:val="clear" w:color="auto" w:fill="auto"/>
            <w:noWrap/>
            <w:vAlign w:val="bottom"/>
            <w:hideMark/>
          </w:tcPr>
          <w:p w14:paraId="4C0FCA4A"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3.0</w:t>
            </w:r>
          </w:p>
        </w:tc>
        <w:tc>
          <w:tcPr>
            <w:tcW w:w="359" w:type="pct"/>
            <w:gridSpan w:val="2"/>
            <w:tcBorders>
              <w:top w:val="nil"/>
              <w:left w:val="nil"/>
              <w:bottom w:val="nil"/>
              <w:right w:val="nil"/>
            </w:tcBorders>
            <w:shd w:val="clear" w:color="auto" w:fill="auto"/>
            <w:noWrap/>
            <w:vAlign w:val="bottom"/>
            <w:hideMark/>
          </w:tcPr>
          <w:p w14:paraId="14D056EC"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3.4</w:t>
            </w:r>
          </w:p>
        </w:tc>
        <w:tc>
          <w:tcPr>
            <w:tcW w:w="359" w:type="pct"/>
            <w:gridSpan w:val="2"/>
            <w:tcBorders>
              <w:top w:val="nil"/>
              <w:left w:val="nil"/>
              <w:bottom w:val="nil"/>
              <w:right w:val="nil"/>
            </w:tcBorders>
            <w:shd w:val="clear" w:color="auto" w:fill="auto"/>
            <w:noWrap/>
            <w:vAlign w:val="bottom"/>
            <w:hideMark/>
          </w:tcPr>
          <w:p w14:paraId="17A34DA4"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3.6</w:t>
            </w:r>
          </w:p>
        </w:tc>
        <w:tc>
          <w:tcPr>
            <w:tcW w:w="367" w:type="pct"/>
            <w:gridSpan w:val="2"/>
            <w:tcBorders>
              <w:top w:val="nil"/>
              <w:left w:val="nil"/>
              <w:bottom w:val="nil"/>
              <w:right w:val="single" w:sz="4" w:space="0" w:color="auto"/>
            </w:tcBorders>
            <w:shd w:val="clear" w:color="auto" w:fill="auto"/>
            <w:noWrap/>
            <w:vAlign w:val="bottom"/>
            <w:hideMark/>
          </w:tcPr>
          <w:p w14:paraId="6EE63F0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3.7</w:t>
            </w:r>
          </w:p>
        </w:tc>
      </w:tr>
      <w:tr w:rsidR="007476D8" w:rsidRPr="00B66802" w14:paraId="79EE061E"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6E7F6365"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Externally financed</w:t>
            </w:r>
          </w:p>
        </w:tc>
        <w:tc>
          <w:tcPr>
            <w:tcW w:w="360" w:type="pct"/>
            <w:gridSpan w:val="2"/>
            <w:tcBorders>
              <w:top w:val="nil"/>
              <w:left w:val="nil"/>
              <w:bottom w:val="nil"/>
              <w:right w:val="nil"/>
            </w:tcBorders>
            <w:shd w:val="clear" w:color="auto" w:fill="auto"/>
            <w:noWrap/>
            <w:vAlign w:val="bottom"/>
            <w:hideMark/>
          </w:tcPr>
          <w:p w14:paraId="28150909"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2.8</w:t>
            </w:r>
          </w:p>
        </w:tc>
        <w:tc>
          <w:tcPr>
            <w:tcW w:w="360" w:type="pct"/>
            <w:tcBorders>
              <w:top w:val="nil"/>
              <w:left w:val="nil"/>
              <w:bottom w:val="nil"/>
              <w:right w:val="nil"/>
            </w:tcBorders>
            <w:shd w:val="clear" w:color="auto" w:fill="auto"/>
            <w:noWrap/>
            <w:vAlign w:val="bottom"/>
            <w:hideMark/>
          </w:tcPr>
          <w:p w14:paraId="4A08751C"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2.5</w:t>
            </w:r>
          </w:p>
        </w:tc>
        <w:tc>
          <w:tcPr>
            <w:tcW w:w="359" w:type="pct"/>
            <w:gridSpan w:val="2"/>
            <w:tcBorders>
              <w:top w:val="nil"/>
              <w:left w:val="nil"/>
              <w:bottom w:val="nil"/>
              <w:right w:val="nil"/>
            </w:tcBorders>
            <w:shd w:val="clear" w:color="auto" w:fill="auto"/>
            <w:noWrap/>
            <w:vAlign w:val="bottom"/>
            <w:hideMark/>
          </w:tcPr>
          <w:p w14:paraId="4181A104"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4.0</w:t>
            </w:r>
          </w:p>
        </w:tc>
        <w:tc>
          <w:tcPr>
            <w:tcW w:w="359" w:type="pct"/>
            <w:gridSpan w:val="2"/>
            <w:tcBorders>
              <w:top w:val="nil"/>
              <w:left w:val="nil"/>
              <w:bottom w:val="nil"/>
              <w:right w:val="nil"/>
            </w:tcBorders>
            <w:shd w:val="clear" w:color="auto" w:fill="auto"/>
            <w:noWrap/>
            <w:vAlign w:val="bottom"/>
            <w:hideMark/>
          </w:tcPr>
          <w:p w14:paraId="250AFB3C"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4.2</w:t>
            </w:r>
          </w:p>
        </w:tc>
        <w:tc>
          <w:tcPr>
            <w:tcW w:w="359" w:type="pct"/>
            <w:gridSpan w:val="2"/>
            <w:tcBorders>
              <w:top w:val="nil"/>
              <w:left w:val="nil"/>
              <w:bottom w:val="nil"/>
              <w:right w:val="nil"/>
            </w:tcBorders>
            <w:shd w:val="clear" w:color="auto" w:fill="auto"/>
            <w:noWrap/>
            <w:vAlign w:val="bottom"/>
            <w:hideMark/>
          </w:tcPr>
          <w:p w14:paraId="3154EC0A"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5.7</w:t>
            </w:r>
          </w:p>
        </w:tc>
        <w:tc>
          <w:tcPr>
            <w:tcW w:w="360" w:type="pct"/>
            <w:gridSpan w:val="2"/>
            <w:tcBorders>
              <w:top w:val="nil"/>
              <w:left w:val="nil"/>
              <w:bottom w:val="nil"/>
              <w:right w:val="nil"/>
            </w:tcBorders>
            <w:shd w:val="clear" w:color="auto" w:fill="auto"/>
            <w:noWrap/>
            <w:vAlign w:val="bottom"/>
            <w:hideMark/>
          </w:tcPr>
          <w:p w14:paraId="21EFFACD"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7.5</w:t>
            </w:r>
          </w:p>
        </w:tc>
        <w:tc>
          <w:tcPr>
            <w:tcW w:w="359" w:type="pct"/>
            <w:gridSpan w:val="2"/>
            <w:tcBorders>
              <w:top w:val="nil"/>
              <w:left w:val="nil"/>
              <w:bottom w:val="nil"/>
              <w:right w:val="nil"/>
            </w:tcBorders>
            <w:shd w:val="clear" w:color="auto" w:fill="auto"/>
            <w:noWrap/>
            <w:vAlign w:val="bottom"/>
            <w:hideMark/>
          </w:tcPr>
          <w:p w14:paraId="0E7542AC"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6.8</w:t>
            </w:r>
          </w:p>
        </w:tc>
        <w:tc>
          <w:tcPr>
            <w:tcW w:w="359" w:type="pct"/>
            <w:gridSpan w:val="2"/>
            <w:tcBorders>
              <w:top w:val="nil"/>
              <w:left w:val="nil"/>
              <w:bottom w:val="nil"/>
              <w:right w:val="nil"/>
            </w:tcBorders>
            <w:shd w:val="clear" w:color="auto" w:fill="auto"/>
            <w:noWrap/>
            <w:vAlign w:val="bottom"/>
            <w:hideMark/>
          </w:tcPr>
          <w:p w14:paraId="438B7CCD"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6.2</w:t>
            </w:r>
          </w:p>
        </w:tc>
        <w:tc>
          <w:tcPr>
            <w:tcW w:w="367" w:type="pct"/>
            <w:gridSpan w:val="2"/>
            <w:tcBorders>
              <w:top w:val="nil"/>
              <w:left w:val="nil"/>
              <w:bottom w:val="nil"/>
              <w:right w:val="single" w:sz="4" w:space="0" w:color="auto"/>
            </w:tcBorders>
            <w:shd w:val="clear" w:color="auto" w:fill="auto"/>
            <w:noWrap/>
            <w:vAlign w:val="bottom"/>
            <w:hideMark/>
          </w:tcPr>
          <w:p w14:paraId="593FA6C7"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5.4</w:t>
            </w:r>
          </w:p>
        </w:tc>
      </w:tr>
      <w:tr w:rsidR="007476D8" w:rsidRPr="00B66802" w14:paraId="12E00042"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3B6DA755"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w:t>
            </w:r>
          </w:p>
        </w:tc>
        <w:tc>
          <w:tcPr>
            <w:tcW w:w="360" w:type="pct"/>
            <w:gridSpan w:val="2"/>
            <w:tcBorders>
              <w:top w:val="nil"/>
              <w:left w:val="nil"/>
              <w:bottom w:val="nil"/>
              <w:right w:val="nil"/>
            </w:tcBorders>
            <w:shd w:val="clear" w:color="auto" w:fill="auto"/>
            <w:noWrap/>
            <w:vAlign w:val="bottom"/>
            <w:hideMark/>
          </w:tcPr>
          <w:p w14:paraId="78B93A39"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p>
        </w:tc>
        <w:tc>
          <w:tcPr>
            <w:tcW w:w="360" w:type="pct"/>
            <w:tcBorders>
              <w:top w:val="nil"/>
              <w:left w:val="nil"/>
              <w:bottom w:val="nil"/>
              <w:right w:val="nil"/>
            </w:tcBorders>
            <w:shd w:val="clear" w:color="auto" w:fill="auto"/>
            <w:noWrap/>
            <w:vAlign w:val="bottom"/>
            <w:hideMark/>
          </w:tcPr>
          <w:p w14:paraId="74FB8E72"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59" w:type="pct"/>
            <w:gridSpan w:val="2"/>
            <w:tcBorders>
              <w:top w:val="nil"/>
              <w:left w:val="nil"/>
              <w:bottom w:val="nil"/>
              <w:right w:val="nil"/>
            </w:tcBorders>
            <w:shd w:val="clear" w:color="auto" w:fill="auto"/>
            <w:noWrap/>
            <w:vAlign w:val="bottom"/>
            <w:hideMark/>
          </w:tcPr>
          <w:p w14:paraId="7194A16C"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59" w:type="pct"/>
            <w:gridSpan w:val="2"/>
            <w:tcBorders>
              <w:top w:val="nil"/>
              <w:left w:val="nil"/>
              <w:bottom w:val="nil"/>
              <w:right w:val="nil"/>
            </w:tcBorders>
            <w:shd w:val="clear" w:color="auto" w:fill="auto"/>
            <w:noWrap/>
            <w:vAlign w:val="bottom"/>
            <w:hideMark/>
          </w:tcPr>
          <w:p w14:paraId="6E01AFBB"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59" w:type="pct"/>
            <w:gridSpan w:val="2"/>
            <w:tcBorders>
              <w:top w:val="nil"/>
              <w:left w:val="nil"/>
              <w:bottom w:val="nil"/>
              <w:right w:val="nil"/>
            </w:tcBorders>
            <w:shd w:val="clear" w:color="auto" w:fill="auto"/>
            <w:noWrap/>
            <w:vAlign w:val="bottom"/>
            <w:hideMark/>
          </w:tcPr>
          <w:p w14:paraId="51BF90BE"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60" w:type="pct"/>
            <w:gridSpan w:val="2"/>
            <w:tcBorders>
              <w:top w:val="nil"/>
              <w:left w:val="nil"/>
              <w:bottom w:val="nil"/>
              <w:right w:val="nil"/>
            </w:tcBorders>
            <w:shd w:val="clear" w:color="auto" w:fill="auto"/>
            <w:noWrap/>
            <w:vAlign w:val="bottom"/>
            <w:hideMark/>
          </w:tcPr>
          <w:p w14:paraId="3D20B3F2"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59" w:type="pct"/>
            <w:gridSpan w:val="2"/>
            <w:tcBorders>
              <w:top w:val="nil"/>
              <w:left w:val="nil"/>
              <w:bottom w:val="nil"/>
              <w:right w:val="nil"/>
            </w:tcBorders>
            <w:shd w:val="clear" w:color="auto" w:fill="auto"/>
            <w:noWrap/>
            <w:vAlign w:val="bottom"/>
            <w:hideMark/>
          </w:tcPr>
          <w:p w14:paraId="2AA42C79"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59" w:type="pct"/>
            <w:gridSpan w:val="2"/>
            <w:tcBorders>
              <w:top w:val="nil"/>
              <w:left w:val="nil"/>
              <w:bottom w:val="nil"/>
              <w:right w:val="nil"/>
            </w:tcBorders>
            <w:shd w:val="clear" w:color="auto" w:fill="auto"/>
            <w:noWrap/>
            <w:vAlign w:val="bottom"/>
            <w:hideMark/>
          </w:tcPr>
          <w:p w14:paraId="774AE476"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67" w:type="pct"/>
            <w:gridSpan w:val="2"/>
            <w:tcBorders>
              <w:top w:val="nil"/>
              <w:left w:val="nil"/>
              <w:bottom w:val="nil"/>
              <w:right w:val="single" w:sz="4" w:space="0" w:color="auto"/>
            </w:tcBorders>
            <w:shd w:val="clear" w:color="auto" w:fill="auto"/>
            <w:noWrap/>
            <w:vAlign w:val="bottom"/>
            <w:hideMark/>
          </w:tcPr>
          <w:p w14:paraId="0F2B8027"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w:t>
            </w:r>
          </w:p>
        </w:tc>
      </w:tr>
      <w:tr w:rsidR="007476D8" w:rsidRPr="00B66802" w14:paraId="060CF810"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36769E46"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Primary balance</w:t>
            </w:r>
          </w:p>
        </w:tc>
        <w:tc>
          <w:tcPr>
            <w:tcW w:w="360" w:type="pct"/>
            <w:gridSpan w:val="2"/>
            <w:tcBorders>
              <w:top w:val="nil"/>
              <w:left w:val="nil"/>
              <w:bottom w:val="nil"/>
              <w:right w:val="nil"/>
            </w:tcBorders>
            <w:shd w:val="clear" w:color="auto" w:fill="auto"/>
            <w:noWrap/>
            <w:vAlign w:val="bottom"/>
            <w:hideMark/>
          </w:tcPr>
          <w:p w14:paraId="7FA2A30A"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-0.5</w:t>
            </w:r>
          </w:p>
        </w:tc>
        <w:tc>
          <w:tcPr>
            <w:tcW w:w="360" w:type="pct"/>
            <w:tcBorders>
              <w:top w:val="nil"/>
              <w:left w:val="nil"/>
              <w:bottom w:val="nil"/>
              <w:right w:val="nil"/>
            </w:tcBorders>
            <w:shd w:val="clear" w:color="auto" w:fill="auto"/>
            <w:noWrap/>
            <w:vAlign w:val="bottom"/>
            <w:hideMark/>
          </w:tcPr>
          <w:p w14:paraId="1D55BF0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-1.3</w:t>
            </w:r>
          </w:p>
        </w:tc>
        <w:tc>
          <w:tcPr>
            <w:tcW w:w="359" w:type="pct"/>
            <w:gridSpan w:val="2"/>
            <w:tcBorders>
              <w:top w:val="nil"/>
              <w:left w:val="nil"/>
              <w:bottom w:val="nil"/>
              <w:right w:val="nil"/>
            </w:tcBorders>
            <w:shd w:val="clear" w:color="auto" w:fill="auto"/>
            <w:noWrap/>
            <w:vAlign w:val="bottom"/>
            <w:hideMark/>
          </w:tcPr>
          <w:p w14:paraId="7D8D5350"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0.8</w:t>
            </w:r>
          </w:p>
        </w:tc>
        <w:tc>
          <w:tcPr>
            <w:tcW w:w="359" w:type="pct"/>
            <w:gridSpan w:val="2"/>
            <w:tcBorders>
              <w:top w:val="nil"/>
              <w:left w:val="nil"/>
              <w:bottom w:val="nil"/>
              <w:right w:val="nil"/>
            </w:tcBorders>
            <w:shd w:val="clear" w:color="auto" w:fill="auto"/>
            <w:noWrap/>
            <w:vAlign w:val="bottom"/>
            <w:hideMark/>
          </w:tcPr>
          <w:p w14:paraId="31C22EFB"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0.0</w:t>
            </w:r>
          </w:p>
        </w:tc>
        <w:tc>
          <w:tcPr>
            <w:tcW w:w="359" w:type="pct"/>
            <w:gridSpan w:val="2"/>
            <w:tcBorders>
              <w:top w:val="nil"/>
              <w:left w:val="nil"/>
              <w:bottom w:val="nil"/>
              <w:right w:val="nil"/>
            </w:tcBorders>
            <w:shd w:val="clear" w:color="auto" w:fill="auto"/>
            <w:noWrap/>
            <w:vAlign w:val="bottom"/>
            <w:hideMark/>
          </w:tcPr>
          <w:p w14:paraId="01912409"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0.0</w:t>
            </w:r>
          </w:p>
        </w:tc>
        <w:tc>
          <w:tcPr>
            <w:tcW w:w="360" w:type="pct"/>
            <w:gridSpan w:val="2"/>
            <w:tcBorders>
              <w:top w:val="nil"/>
              <w:left w:val="nil"/>
              <w:bottom w:val="nil"/>
              <w:right w:val="nil"/>
            </w:tcBorders>
            <w:shd w:val="clear" w:color="auto" w:fill="auto"/>
            <w:noWrap/>
            <w:vAlign w:val="bottom"/>
            <w:hideMark/>
          </w:tcPr>
          <w:p w14:paraId="3820205F"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0.0</w:t>
            </w:r>
          </w:p>
        </w:tc>
        <w:tc>
          <w:tcPr>
            <w:tcW w:w="359" w:type="pct"/>
            <w:gridSpan w:val="2"/>
            <w:tcBorders>
              <w:top w:val="nil"/>
              <w:left w:val="nil"/>
              <w:bottom w:val="nil"/>
              <w:right w:val="nil"/>
            </w:tcBorders>
            <w:shd w:val="clear" w:color="auto" w:fill="auto"/>
            <w:noWrap/>
            <w:vAlign w:val="bottom"/>
            <w:hideMark/>
          </w:tcPr>
          <w:p w14:paraId="4386B1B5"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0.0</w:t>
            </w:r>
          </w:p>
        </w:tc>
        <w:tc>
          <w:tcPr>
            <w:tcW w:w="359" w:type="pct"/>
            <w:gridSpan w:val="2"/>
            <w:tcBorders>
              <w:top w:val="nil"/>
              <w:left w:val="nil"/>
              <w:bottom w:val="nil"/>
              <w:right w:val="nil"/>
            </w:tcBorders>
            <w:shd w:val="clear" w:color="auto" w:fill="auto"/>
            <w:noWrap/>
            <w:vAlign w:val="bottom"/>
            <w:hideMark/>
          </w:tcPr>
          <w:p w14:paraId="215C3FDA"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0.0</w:t>
            </w:r>
          </w:p>
        </w:tc>
        <w:tc>
          <w:tcPr>
            <w:tcW w:w="367" w:type="pct"/>
            <w:gridSpan w:val="2"/>
            <w:tcBorders>
              <w:top w:val="nil"/>
              <w:left w:val="nil"/>
              <w:bottom w:val="nil"/>
              <w:right w:val="single" w:sz="4" w:space="0" w:color="auto"/>
            </w:tcBorders>
            <w:shd w:val="clear" w:color="auto" w:fill="auto"/>
            <w:noWrap/>
            <w:vAlign w:val="bottom"/>
            <w:hideMark/>
          </w:tcPr>
          <w:p w14:paraId="6B0A5287"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0.0</w:t>
            </w:r>
          </w:p>
        </w:tc>
      </w:tr>
      <w:tr w:rsidR="007476D8" w:rsidRPr="00B66802" w14:paraId="525F10D4"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3A952A65"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w:t>
            </w:r>
          </w:p>
        </w:tc>
        <w:tc>
          <w:tcPr>
            <w:tcW w:w="360" w:type="pct"/>
            <w:gridSpan w:val="2"/>
            <w:tcBorders>
              <w:top w:val="nil"/>
              <w:left w:val="nil"/>
              <w:bottom w:val="nil"/>
              <w:right w:val="nil"/>
            </w:tcBorders>
            <w:shd w:val="clear" w:color="auto" w:fill="auto"/>
            <w:noWrap/>
            <w:vAlign w:val="bottom"/>
            <w:hideMark/>
          </w:tcPr>
          <w:p w14:paraId="07884175"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p>
        </w:tc>
        <w:tc>
          <w:tcPr>
            <w:tcW w:w="360" w:type="pct"/>
            <w:tcBorders>
              <w:top w:val="nil"/>
              <w:left w:val="nil"/>
              <w:bottom w:val="nil"/>
              <w:right w:val="nil"/>
            </w:tcBorders>
            <w:shd w:val="clear" w:color="auto" w:fill="auto"/>
            <w:noWrap/>
            <w:vAlign w:val="bottom"/>
            <w:hideMark/>
          </w:tcPr>
          <w:p w14:paraId="1143D40A"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59" w:type="pct"/>
            <w:gridSpan w:val="2"/>
            <w:tcBorders>
              <w:top w:val="nil"/>
              <w:left w:val="nil"/>
              <w:bottom w:val="nil"/>
              <w:right w:val="nil"/>
            </w:tcBorders>
            <w:shd w:val="clear" w:color="auto" w:fill="auto"/>
            <w:noWrap/>
            <w:vAlign w:val="bottom"/>
            <w:hideMark/>
          </w:tcPr>
          <w:p w14:paraId="722A2F63"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59" w:type="pct"/>
            <w:gridSpan w:val="2"/>
            <w:tcBorders>
              <w:top w:val="nil"/>
              <w:left w:val="nil"/>
              <w:bottom w:val="nil"/>
              <w:right w:val="nil"/>
            </w:tcBorders>
            <w:shd w:val="clear" w:color="auto" w:fill="auto"/>
            <w:noWrap/>
            <w:vAlign w:val="bottom"/>
            <w:hideMark/>
          </w:tcPr>
          <w:p w14:paraId="5768EC2A"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59" w:type="pct"/>
            <w:gridSpan w:val="2"/>
            <w:tcBorders>
              <w:top w:val="nil"/>
              <w:left w:val="nil"/>
              <w:bottom w:val="nil"/>
              <w:right w:val="nil"/>
            </w:tcBorders>
            <w:shd w:val="clear" w:color="auto" w:fill="auto"/>
            <w:noWrap/>
            <w:vAlign w:val="bottom"/>
            <w:hideMark/>
          </w:tcPr>
          <w:p w14:paraId="6F38E331"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60" w:type="pct"/>
            <w:gridSpan w:val="2"/>
            <w:tcBorders>
              <w:top w:val="nil"/>
              <w:left w:val="nil"/>
              <w:bottom w:val="nil"/>
              <w:right w:val="nil"/>
            </w:tcBorders>
            <w:shd w:val="clear" w:color="auto" w:fill="auto"/>
            <w:noWrap/>
            <w:vAlign w:val="bottom"/>
            <w:hideMark/>
          </w:tcPr>
          <w:p w14:paraId="7470CA21"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59" w:type="pct"/>
            <w:gridSpan w:val="2"/>
            <w:tcBorders>
              <w:top w:val="nil"/>
              <w:left w:val="nil"/>
              <w:bottom w:val="nil"/>
              <w:right w:val="nil"/>
            </w:tcBorders>
            <w:shd w:val="clear" w:color="auto" w:fill="auto"/>
            <w:noWrap/>
            <w:vAlign w:val="bottom"/>
            <w:hideMark/>
          </w:tcPr>
          <w:p w14:paraId="26075398"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59" w:type="pct"/>
            <w:gridSpan w:val="2"/>
            <w:tcBorders>
              <w:top w:val="nil"/>
              <w:left w:val="nil"/>
              <w:bottom w:val="nil"/>
              <w:right w:val="nil"/>
            </w:tcBorders>
            <w:shd w:val="clear" w:color="auto" w:fill="auto"/>
            <w:noWrap/>
            <w:vAlign w:val="bottom"/>
            <w:hideMark/>
          </w:tcPr>
          <w:p w14:paraId="021EAE96"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67" w:type="pct"/>
            <w:gridSpan w:val="2"/>
            <w:tcBorders>
              <w:top w:val="nil"/>
              <w:left w:val="nil"/>
              <w:bottom w:val="nil"/>
              <w:right w:val="single" w:sz="4" w:space="0" w:color="auto"/>
            </w:tcBorders>
            <w:shd w:val="clear" w:color="auto" w:fill="auto"/>
            <w:noWrap/>
            <w:vAlign w:val="bottom"/>
            <w:hideMark/>
          </w:tcPr>
          <w:p w14:paraId="6E1C6517"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w:t>
            </w:r>
          </w:p>
        </w:tc>
      </w:tr>
      <w:tr w:rsidR="007476D8" w:rsidRPr="00B66802" w14:paraId="0A477797"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24156DF5"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Overall balance (commit. Basis)</w:t>
            </w:r>
          </w:p>
        </w:tc>
        <w:tc>
          <w:tcPr>
            <w:tcW w:w="360" w:type="pct"/>
            <w:gridSpan w:val="2"/>
            <w:tcBorders>
              <w:top w:val="nil"/>
              <w:left w:val="nil"/>
              <w:bottom w:val="nil"/>
              <w:right w:val="nil"/>
            </w:tcBorders>
            <w:shd w:val="clear" w:color="auto" w:fill="auto"/>
            <w:noWrap/>
            <w:vAlign w:val="bottom"/>
            <w:hideMark/>
          </w:tcPr>
          <w:p w14:paraId="65281AC8"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-2.3</w:t>
            </w:r>
          </w:p>
        </w:tc>
        <w:tc>
          <w:tcPr>
            <w:tcW w:w="360" w:type="pct"/>
            <w:tcBorders>
              <w:top w:val="nil"/>
              <w:left w:val="nil"/>
              <w:bottom w:val="nil"/>
              <w:right w:val="nil"/>
            </w:tcBorders>
            <w:shd w:val="clear" w:color="auto" w:fill="auto"/>
            <w:noWrap/>
            <w:vAlign w:val="bottom"/>
            <w:hideMark/>
          </w:tcPr>
          <w:p w14:paraId="4E984F22"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-3.3</w:t>
            </w:r>
          </w:p>
        </w:tc>
        <w:tc>
          <w:tcPr>
            <w:tcW w:w="359" w:type="pct"/>
            <w:gridSpan w:val="2"/>
            <w:tcBorders>
              <w:top w:val="nil"/>
              <w:left w:val="nil"/>
              <w:bottom w:val="nil"/>
              <w:right w:val="nil"/>
            </w:tcBorders>
            <w:shd w:val="clear" w:color="auto" w:fill="auto"/>
            <w:noWrap/>
            <w:vAlign w:val="bottom"/>
            <w:hideMark/>
          </w:tcPr>
          <w:p w14:paraId="4420BB72"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-1.3</w:t>
            </w:r>
          </w:p>
        </w:tc>
        <w:tc>
          <w:tcPr>
            <w:tcW w:w="359" w:type="pct"/>
            <w:gridSpan w:val="2"/>
            <w:tcBorders>
              <w:top w:val="nil"/>
              <w:left w:val="nil"/>
              <w:bottom w:val="nil"/>
              <w:right w:val="nil"/>
            </w:tcBorders>
            <w:shd w:val="clear" w:color="auto" w:fill="auto"/>
            <w:noWrap/>
            <w:vAlign w:val="bottom"/>
            <w:hideMark/>
          </w:tcPr>
          <w:p w14:paraId="36C3D410"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-3.5</w:t>
            </w:r>
          </w:p>
        </w:tc>
        <w:tc>
          <w:tcPr>
            <w:tcW w:w="359" w:type="pct"/>
            <w:gridSpan w:val="2"/>
            <w:tcBorders>
              <w:top w:val="nil"/>
              <w:left w:val="nil"/>
              <w:bottom w:val="nil"/>
              <w:right w:val="nil"/>
            </w:tcBorders>
            <w:shd w:val="clear" w:color="auto" w:fill="auto"/>
            <w:noWrap/>
            <w:vAlign w:val="bottom"/>
            <w:hideMark/>
          </w:tcPr>
          <w:p w14:paraId="11AB46E0"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-3.0</w:t>
            </w:r>
          </w:p>
        </w:tc>
        <w:tc>
          <w:tcPr>
            <w:tcW w:w="360" w:type="pct"/>
            <w:gridSpan w:val="2"/>
            <w:tcBorders>
              <w:top w:val="nil"/>
              <w:left w:val="nil"/>
              <w:bottom w:val="nil"/>
              <w:right w:val="nil"/>
            </w:tcBorders>
            <w:shd w:val="clear" w:color="auto" w:fill="auto"/>
            <w:noWrap/>
            <w:vAlign w:val="bottom"/>
            <w:hideMark/>
          </w:tcPr>
          <w:p w14:paraId="72CAC9C7"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-5.0</w:t>
            </w:r>
          </w:p>
        </w:tc>
        <w:tc>
          <w:tcPr>
            <w:tcW w:w="359" w:type="pct"/>
            <w:gridSpan w:val="2"/>
            <w:tcBorders>
              <w:top w:val="nil"/>
              <w:left w:val="nil"/>
              <w:bottom w:val="nil"/>
              <w:right w:val="nil"/>
            </w:tcBorders>
            <w:shd w:val="clear" w:color="auto" w:fill="auto"/>
            <w:noWrap/>
            <w:vAlign w:val="bottom"/>
            <w:hideMark/>
          </w:tcPr>
          <w:p w14:paraId="68ABBF4B"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-5.2</w:t>
            </w:r>
          </w:p>
        </w:tc>
        <w:tc>
          <w:tcPr>
            <w:tcW w:w="359" w:type="pct"/>
            <w:gridSpan w:val="2"/>
            <w:tcBorders>
              <w:top w:val="nil"/>
              <w:left w:val="nil"/>
              <w:bottom w:val="nil"/>
              <w:right w:val="nil"/>
            </w:tcBorders>
            <w:shd w:val="clear" w:color="auto" w:fill="auto"/>
            <w:noWrap/>
            <w:vAlign w:val="bottom"/>
            <w:hideMark/>
          </w:tcPr>
          <w:p w14:paraId="1FD67E95"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-4.6</w:t>
            </w:r>
          </w:p>
        </w:tc>
        <w:tc>
          <w:tcPr>
            <w:tcW w:w="367" w:type="pct"/>
            <w:gridSpan w:val="2"/>
            <w:tcBorders>
              <w:top w:val="nil"/>
              <w:left w:val="nil"/>
              <w:bottom w:val="nil"/>
              <w:right w:val="single" w:sz="4" w:space="0" w:color="auto"/>
            </w:tcBorders>
            <w:shd w:val="clear" w:color="auto" w:fill="auto"/>
            <w:noWrap/>
            <w:vAlign w:val="bottom"/>
            <w:hideMark/>
          </w:tcPr>
          <w:p w14:paraId="02C2E7E9"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-4.0</w:t>
            </w:r>
          </w:p>
        </w:tc>
      </w:tr>
      <w:tr w:rsidR="007476D8" w:rsidRPr="00B66802" w14:paraId="7525DF67"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72C39A32"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Arrears variation and float (+= accumulation)</w:t>
            </w:r>
          </w:p>
        </w:tc>
        <w:tc>
          <w:tcPr>
            <w:tcW w:w="360" w:type="pct"/>
            <w:gridSpan w:val="2"/>
            <w:tcBorders>
              <w:top w:val="nil"/>
              <w:left w:val="nil"/>
              <w:bottom w:val="nil"/>
              <w:right w:val="nil"/>
            </w:tcBorders>
            <w:shd w:val="clear" w:color="auto" w:fill="auto"/>
            <w:noWrap/>
            <w:vAlign w:val="bottom"/>
            <w:hideMark/>
          </w:tcPr>
          <w:p w14:paraId="54FF65CB"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-0.1</w:t>
            </w:r>
          </w:p>
        </w:tc>
        <w:tc>
          <w:tcPr>
            <w:tcW w:w="360" w:type="pct"/>
            <w:tcBorders>
              <w:top w:val="nil"/>
              <w:left w:val="nil"/>
              <w:bottom w:val="nil"/>
              <w:right w:val="nil"/>
            </w:tcBorders>
            <w:shd w:val="clear" w:color="auto" w:fill="auto"/>
            <w:noWrap/>
            <w:vAlign w:val="bottom"/>
            <w:hideMark/>
          </w:tcPr>
          <w:p w14:paraId="64F0EE3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-0.4</w:t>
            </w:r>
          </w:p>
        </w:tc>
        <w:tc>
          <w:tcPr>
            <w:tcW w:w="359" w:type="pct"/>
            <w:gridSpan w:val="2"/>
            <w:tcBorders>
              <w:top w:val="nil"/>
              <w:left w:val="nil"/>
              <w:bottom w:val="nil"/>
              <w:right w:val="nil"/>
            </w:tcBorders>
            <w:shd w:val="clear" w:color="auto" w:fill="auto"/>
            <w:noWrap/>
            <w:vAlign w:val="bottom"/>
            <w:hideMark/>
          </w:tcPr>
          <w:p w14:paraId="09EEB8A7"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-0.7</w:t>
            </w:r>
          </w:p>
        </w:tc>
        <w:tc>
          <w:tcPr>
            <w:tcW w:w="359" w:type="pct"/>
            <w:gridSpan w:val="2"/>
            <w:tcBorders>
              <w:top w:val="nil"/>
              <w:left w:val="nil"/>
              <w:bottom w:val="nil"/>
              <w:right w:val="nil"/>
            </w:tcBorders>
            <w:shd w:val="clear" w:color="auto" w:fill="auto"/>
            <w:noWrap/>
            <w:vAlign w:val="bottom"/>
            <w:hideMark/>
          </w:tcPr>
          <w:p w14:paraId="262E92E5"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-0.9</w:t>
            </w:r>
          </w:p>
        </w:tc>
        <w:tc>
          <w:tcPr>
            <w:tcW w:w="359" w:type="pct"/>
            <w:gridSpan w:val="2"/>
            <w:tcBorders>
              <w:top w:val="nil"/>
              <w:left w:val="nil"/>
              <w:bottom w:val="nil"/>
              <w:right w:val="nil"/>
            </w:tcBorders>
            <w:shd w:val="clear" w:color="auto" w:fill="auto"/>
            <w:noWrap/>
            <w:vAlign w:val="bottom"/>
            <w:hideMark/>
          </w:tcPr>
          <w:p w14:paraId="63C625D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-0.6</w:t>
            </w:r>
          </w:p>
        </w:tc>
        <w:tc>
          <w:tcPr>
            <w:tcW w:w="360" w:type="pct"/>
            <w:gridSpan w:val="2"/>
            <w:tcBorders>
              <w:top w:val="nil"/>
              <w:left w:val="nil"/>
              <w:bottom w:val="nil"/>
              <w:right w:val="nil"/>
            </w:tcBorders>
            <w:shd w:val="clear" w:color="auto" w:fill="auto"/>
            <w:noWrap/>
            <w:vAlign w:val="bottom"/>
            <w:hideMark/>
          </w:tcPr>
          <w:p w14:paraId="43A5BFD5"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-0.2</w:t>
            </w:r>
          </w:p>
        </w:tc>
        <w:tc>
          <w:tcPr>
            <w:tcW w:w="359" w:type="pct"/>
            <w:gridSpan w:val="2"/>
            <w:tcBorders>
              <w:top w:val="nil"/>
              <w:left w:val="nil"/>
              <w:bottom w:val="nil"/>
              <w:right w:val="nil"/>
            </w:tcBorders>
            <w:shd w:val="clear" w:color="auto" w:fill="auto"/>
            <w:noWrap/>
            <w:vAlign w:val="bottom"/>
            <w:hideMark/>
          </w:tcPr>
          <w:p w14:paraId="48BD205A"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-0.1</w:t>
            </w:r>
          </w:p>
        </w:tc>
        <w:tc>
          <w:tcPr>
            <w:tcW w:w="359" w:type="pct"/>
            <w:gridSpan w:val="2"/>
            <w:tcBorders>
              <w:top w:val="nil"/>
              <w:left w:val="nil"/>
              <w:bottom w:val="nil"/>
              <w:right w:val="nil"/>
            </w:tcBorders>
            <w:shd w:val="clear" w:color="auto" w:fill="auto"/>
            <w:noWrap/>
            <w:vAlign w:val="bottom"/>
            <w:hideMark/>
          </w:tcPr>
          <w:p w14:paraId="1A8EEB99"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-0.1</w:t>
            </w:r>
          </w:p>
        </w:tc>
        <w:tc>
          <w:tcPr>
            <w:tcW w:w="367" w:type="pct"/>
            <w:gridSpan w:val="2"/>
            <w:tcBorders>
              <w:top w:val="nil"/>
              <w:left w:val="nil"/>
              <w:bottom w:val="nil"/>
              <w:right w:val="single" w:sz="4" w:space="0" w:color="auto"/>
            </w:tcBorders>
            <w:shd w:val="clear" w:color="auto" w:fill="auto"/>
            <w:noWrap/>
            <w:vAlign w:val="bottom"/>
            <w:hideMark/>
          </w:tcPr>
          <w:p w14:paraId="77F10A52"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0.0</w:t>
            </w:r>
          </w:p>
        </w:tc>
      </w:tr>
      <w:tr w:rsidR="007476D8" w:rsidRPr="00B66802" w14:paraId="5D980E26"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48F856BF"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Overall balance (cash basis)</w:t>
            </w:r>
          </w:p>
        </w:tc>
        <w:tc>
          <w:tcPr>
            <w:tcW w:w="360" w:type="pct"/>
            <w:gridSpan w:val="2"/>
            <w:tcBorders>
              <w:top w:val="nil"/>
              <w:left w:val="nil"/>
              <w:bottom w:val="nil"/>
              <w:right w:val="nil"/>
            </w:tcBorders>
            <w:shd w:val="clear" w:color="auto" w:fill="auto"/>
            <w:noWrap/>
            <w:vAlign w:val="bottom"/>
            <w:hideMark/>
          </w:tcPr>
          <w:p w14:paraId="7A24BF9D"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-2.4</w:t>
            </w:r>
          </w:p>
        </w:tc>
        <w:tc>
          <w:tcPr>
            <w:tcW w:w="360" w:type="pct"/>
            <w:tcBorders>
              <w:top w:val="nil"/>
              <w:left w:val="nil"/>
              <w:bottom w:val="nil"/>
              <w:right w:val="nil"/>
            </w:tcBorders>
            <w:shd w:val="clear" w:color="auto" w:fill="auto"/>
            <w:noWrap/>
            <w:vAlign w:val="bottom"/>
            <w:hideMark/>
          </w:tcPr>
          <w:p w14:paraId="6ED7EF4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-3.7</w:t>
            </w:r>
          </w:p>
        </w:tc>
        <w:tc>
          <w:tcPr>
            <w:tcW w:w="359" w:type="pct"/>
            <w:gridSpan w:val="2"/>
            <w:tcBorders>
              <w:top w:val="nil"/>
              <w:left w:val="nil"/>
              <w:bottom w:val="nil"/>
              <w:right w:val="nil"/>
            </w:tcBorders>
            <w:shd w:val="clear" w:color="auto" w:fill="auto"/>
            <w:noWrap/>
            <w:vAlign w:val="bottom"/>
            <w:hideMark/>
          </w:tcPr>
          <w:p w14:paraId="6D028F51"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w:t>
            </w:r>
          </w:p>
        </w:tc>
        <w:tc>
          <w:tcPr>
            <w:tcW w:w="359" w:type="pct"/>
            <w:gridSpan w:val="2"/>
            <w:tcBorders>
              <w:top w:val="nil"/>
              <w:left w:val="nil"/>
              <w:bottom w:val="nil"/>
              <w:right w:val="nil"/>
            </w:tcBorders>
            <w:shd w:val="clear" w:color="auto" w:fill="auto"/>
            <w:noWrap/>
            <w:vAlign w:val="bottom"/>
            <w:hideMark/>
          </w:tcPr>
          <w:p w14:paraId="1640F643"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-4.3</w:t>
            </w:r>
          </w:p>
        </w:tc>
        <w:tc>
          <w:tcPr>
            <w:tcW w:w="359" w:type="pct"/>
            <w:gridSpan w:val="2"/>
            <w:tcBorders>
              <w:top w:val="nil"/>
              <w:left w:val="nil"/>
              <w:bottom w:val="nil"/>
              <w:right w:val="nil"/>
            </w:tcBorders>
            <w:shd w:val="clear" w:color="auto" w:fill="auto"/>
            <w:noWrap/>
            <w:vAlign w:val="bottom"/>
            <w:hideMark/>
          </w:tcPr>
          <w:p w14:paraId="5534281A"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-3.5</w:t>
            </w:r>
          </w:p>
        </w:tc>
        <w:tc>
          <w:tcPr>
            <w:tcW w:w="360" w:type="pct"/>
            <w:gridSpan w:val="2"/>
            <w:tcBorders>
              <w:top w:val="nil"/>
              <w:left w:val="nil"/>
              <w:bottom w:val="nil"/>
              <w:right w:val="nil"/>
            </w:tcBorders>
            <w:shd w:val="clear" w:color="auto" w:fill="auto"/>
            <w:noWrap/>
            <w:vAlign w:val="bottom"/>
            <w:hideMark/>
          </w:tcPr>
          <w:p w14:paraId="4CF35D63"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-5.2</w:t>
            </w:r>
          </w:p>
        </w:tc>
        <w:tc>
          <w:tcPr>
            <w:tcW w:w="359" w:type="pct"/>
            <w:gridSpan w:val="2"/>
            <w:tcBorders>
              <w:top w:val="nil"/>
              <w:left w:val="nil"/>
              <w:bottom w:val="nil"/>
              <w:right w:val="nil"/>
            </w:tcBorders>
            <w:shd w:val="clear" w:color="auto" w:fill="auto"/>
            <w:noWrap/>
            <w:vAlign w:val="bottom"/>
            <w:hideMark/>
          </w:tcPr>
          <w:p w14:paraId="2F52870B"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-5.3</w:t>
            </w:r>
          </w:p>
        </w:tc>
        <w:tc>
          <w:tcPr>
            <w:tcW w:w="359" w:type="pct"/>
            <w:gridSpan w:val="2"/>
            <w:tcBorders>
              <w:top w:val="nil"/>
              <w:left w:val="nil"/>
              <w:bottom w:val="nil"/>
              <w:right w:val="nil"/>
            </w:tcBorders>
            <w:shd w:val="clear" w:color="auto" w:fill="auto"/>
            <w:noWrap/>
            <w:vAlign w:val="bottom"/>
            <w:hideMark/>
          </w:tcPr>
          <w:p w14:paraId="0C136FF0"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-4.7</w:t>
            </w:r>
          </w:p>
        </w:tc>
        <w:tc>
          <w:tcPr>
            <w:tcW w:w="367" w:type="pct"/>
            <w:gridSpan w:val="2"/>
            <w:tcBorders>
              <w:top w:val="nil"/>
              <w:left w:val="nil"/>
              <w:bottom w:val="nil"/>
              <w:right w:val="single" w:sz="4" w:space="0" w:color="auto"/>
            </w:tcBorders>
            <w:shd w:val="clear" w:color="auto" w:fill="auto"/>
            <w:noWrap/>
            <w:vAlign w:val="bottom"/>
            <w:hideMark/>
          </w:tcPr>
          <w:p w14:paraId="60BA13D7"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-4.1</w:t>
            </w:r>
          </w:p>
        </w:tc>
      </w:tr>
      <w:tr w:rsidR="007476D8" w:rsidRPr="00B66802" w14:paraId="7B90491C"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2D63A8FD"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w:t>
            </w:r>
          </w:p>
        </w:tc>
        <w:tc>
          <w:tcPr>
            <w:tcW w:w="360" w:type="pct"/>
            <w:gridSpan w:val="2"/>
            <w:tcBorders>
              <w:top w:val="nil"/>
              <w:left w:val="nil"/>
              <w:bottom w:val="nil"/>
              <w:right w:val="nil"/>
            </w:tcBorders>
            <w:shd w:val="clear" w:color="auto" w:fill="auto"/>
            <w:noWrap/>
            <w:vAlign w:val="bottom"/>
            <w:hideMark/>
          </w:tcPr>
          <w:p w14:paraId="6356BBF0"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p>
        </w:tc>
        <w:tc>
          <w:tcPr>
            <w:tcW w:w="360" w:type="pct"/>
            <w:tcBorders>
              <w:top w:val="nil"/>
              <w:left w:val="nil"/>
              <w:bottom w:val="nil"/>
              <w:right w:val="nil"/>
            </w:tcBorders>
            <w:shd w:val="clear" w:color="auto" w:fill="auto"/>
            <w:noWrap/>
            <w:vAlign w:val="bottom"/>
            <w:hideMark/>
          </w:tcPr>
          <w:p w14:paraId="1174D1B6"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59" w:type="pct"/>
            <w:gridSpan w:val="2"/>
            <w:tcBorders>
              <w:top w:val="nil"/>
              <w:left w:val="nil"/>
              <w:bottom w:val="nil"/>
              <w:right w:val="nil"/>
            </w:tcBorders>
            <w:shd w:val="clear" w:color="auto" w:fill="auto"/>
            <w:noWrap/>
            <w:vAlign w:val="bottom"/>
            <w:hideMark/>
          </w:tcPr>
          <w:p w14:paraId="499DFFB2"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59" w:type="pct"/>
            <w:gridSpan w:val="2"/>
            <w:tcBorders>
              <w:top w:val="nil"/>
              <w:left w:val="nil"/>
              <w:bottom w:val="nil"/>
              <w:right w:val="nil"/>
            </w:tcBorders>
            <w:shd w:val="clear" w:color="auto" w:fill="auto"/>
            <w:noWrap/>
            <w:vAlign w:val="bottom"/>
            <w:hideMark/>
          </w:tcPr>
          <w:p w14:paraId="4D671B91"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59" w:type="pct"/>
            <w:gridSpan w:val="2"/>
            <w:tcBorders>
              <w:top w:val="nil"/>
              <w:left w:val="nil"/>
              <w:bottom w:val="nil"/>
              <w:right w:val="nil"/>
            </w:tcBorders>
            <w:shd w:val="clear" w:color="auto" w:fill="auto"/>
            <w:noWrap/>
            <w:vAlign w:val="bottom"/>
            <w:hideMark/>
          </w:tcPr>
          <w:p w14:paraId="07996398"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60" w:type="pct"/>
            <w:gridSpan w:val="2"/>
            <w:tcBorders>
              <w:top w:val="nil"/>
              <w:left w:val="nil"/>
              <w:bottom w:val="nil"/>
              <w:right w:val="nil"/>
            </w:tcBorders>
            <w:shd w:val="clear" w:color="auto" w:fill="auto"/>
            <w:noWrap/>
            <w:vAlign w:val="bottom"/>
            <w:hideMark/>
          </w:tcPr>
          <w:p w14:paraId="228E707F"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59" w:type="pct"/>
            <w:gridSpan w:val="2"/>
            <w:tcBorders>
              <w:top w:val="nil"/>
              <w:left w:val="nil"/>
              <w:bottom w:val="nil"/>
              <w:right w:val="nil"/>
            </w:tcBorders>
            <w:shd w:val="clear" w:color="auto" w:fill="auto"/>
            <w:noWrap/>
            <w:vAlign w:val="bottom"/>
            <w:hideMark/>
          </w:tcPr>
          <w:p w14:paraId="4D7E8D68"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59" w:type="pct"/>
            <w:gridSpan w:val="2"/>
            <w:tcBorders>
              <w:top w:val="nil"/>
              <w:left w:val="nil"/>
              <w:bottom w:val="nil"/>
              <w:right w:val="nil"/>
            </w:tcBorders>
            <w:shd w:val="clear" w:color="auto" w:fill="auto"/>
            <w:noWrap/>
            <w:vAlign w:val="bottom"/>
            <w:hideMark/>
          </w:tcPr>
          <w:p w14:paraId="0B039D62" w14:textId="77777777" w:rsidR="007476D8" w:rsidRPr="00F204F6" w:rsidRDefault="007476D8" w:rsidP="00A1518C">
            <w:pPr>
              <w:spacing w:after="0" w:line="240" w:lineRule="auto"/>
              <w:rPr>
                <w:rFonts w:asciiTheme="minorHAnsi" w:eastAsia="Times New Roman" w:hAnsiTheme="minorHAnsi" w:cstheme="minorHAnsi"/>
                <w:sz w:val="16"/>
                <w:szCs w:val="16"/>
              </w:rPr>
            </w:pPr>
          </w:p>
        </w:tc>
        <w:tc>
          <w:tcPr>
            <w:tcW w:w="367" w:type="pct"/>
            <w:gridSpan w:val="2"/>
            <w:tcBorders>
              <w:top w:val="nil"/>
              <w:left w:val="nil"/>
              <w:bottom w:val="nil"/>
              <w:right w:val="single" w:sz="4" w:space="0" w:color="auto"/>
            </w:tcBorders>
            <w:shd w:val="clear" w:color="auto" w:fill="auto"/>
            <w:noWrap/>
            <w:vAlign w:val="bottom"/>
            <w:hideMark/>
          </w:tcPr>
          <w:p w14:paraId="24B980D6"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w:t>
            </w:r>
          </w:p>
        </w:tc>
      </w:tr>
      <w:tr w:rsidR="007476D8" w:rsidRPr="00B66802" w14:paraId="715DB78C"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6951C04A" w14:textId="7BD41F8A"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General </w:t>
            </w:r>
            <w:r w:rsidR="00630CFF">
              <w:rPr>
                <w:rFonts w:asciiTheme="minorHAnsi" w:eastAsia="Times New Roman" w:hAnsiTheme="minorHAnsi" w:cstheme="minorHAnsi"/>
                <w:color w:val="000000"/>
                <w:sz w:val="16"/>
                <w:szCs w:val="16"/>
              </w:rPr>
              <w:t>G</w:t>
            </w:r>
            <w:r w:rsidRPr="00F204F6">
              <w:rPr>
                <w:rFonts w:asciiTheme="minorHAnsi" w:eastAsia="Times New Roman" w:hAnsiTheme="minorHAnsi" w:cstheme="minorHAnsi"/>
                <w:color w:val="000000"/>
                <w:sz w:val="16"/>
                <w:szCs w:val="16"/>
              </w:rPr>
              <w:t>overnment financing</w:t>
            </w:r>
          </w:p>
        </w:tc>
        <w:tc>
          <w:tcPr>
            <w:tcW w:w="360" w:type="pct"/>
            <w:gridSpan w:val="2"/>
            <w:tcBorders>
              <w:top w:val="nil"/>
              <w:left w:val="nil"/>
              <w:bottom w:val="nil"/>
              <w:right w:val="nil"/>
            </w:tcBorders>
            <w:shd w:val="clear" w:color="auto" w:fill="auto"/>
            <w:noWrap/>
            <w:vAlign w:val="bottom"/>
            <w:hideMark/>
          </w:tcPr>
          <w:p w14:paraId="004AC050"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2.4</w:t>
            </w:r>
          </w:p>
        </w:tc>
        <w:tc>
          <w:tcPr>
            <w:tcW w:w="360" w:type="pct"/>
            <w:tcBorders>
              <w:top w:val="nil"/>
              <w:left w:val="nil"/>
              <w:bottom w:val="nil"/>
              <w:right w:val="nil"/>
            </w:tcBorders>
            <w:shd w:val="clear" w:color="auto" w:fill="auto"/>
            <w:noWrap/>
            <w:vAlign w:val="bottom"/>
            <w:hideMark/>
          </w:tcPr>
          <w:p w14:paraId="4EC05FFB"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4.1</w:t>
            </w:r>
          </w:p>
        </w:tc>
        <w:tc>
          <w:tcPr>
            <w:tcW w:w="359" w:type="pct"/>
            <w:gridSpan w:val="2"/>
            <w:tcBorders>
              <w:top w:val="nil"/>
              <w:left w:val="nil"/>
              <w:bottom w:val="nil"/>
              <w:right w:val="nil"/>
            </w:tcBorders>
            <w:shd w:val="clear" w:color="auto" w:fill="auto"/>
            <w:noWrap/>
            <w:vAlign w:val="bottom"/>
            <w:hideMark/>
          </w:tcPr>
          <w:p w14:paraId="452EEC63"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w:t>
            </w:r>
          </w:p>
        </w:tc>
        <w:tc>
          <w:tcPr>
            <w:tcW w:w="359" w:type="pct"/>
            <w:gridSpan w:val="2"/>
            <w:tcBorders>
              <w:top w:val="nil"/>
              <w:left w:val="nil"/>
              <w:bottom w:val="nil"/>
              <w:right w:val="nil"/>
            </w:tcBorders>
            <w:shd w:val="clear" w:color="auto" w:fill="auto"/>
            <w:noWrap/>
            <w:vAlign w:val="bottom"/>
            <w:hideMark/>
          </w:tcPr>
          <w:p w14:paraId="342F6FC7"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4.3</w:t>
            </w:r>
          </w:p>
        </w:tc>
        <w:tc>
          <w:tcPr>
            <w:tcW w:w="359" w:type="pct"/>
            <w:gridSpan w:val="2"/>
            <w:tcBorders>
              <w:top w:val="nil"/>
              <w:left w:val="nil"/>
              <w:bottom w:val="nil"/>
              <w:right w:val="nil"/>
            </w:tcBorders>
            <w:shd w:val="clear" w:color="auto" w:fill="auto"/>
            <w:noWrap/>
            <w:vAlign w:val="bottom"/>
            <w:hideMark/>
          </w:tcPr>
          <w:p w14:paraId="1ADFE8A8"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3.5</w:t>
            </w:r>
          </w:p>
        </w:tc>
        <w:tc>
          <w:tcPr>
            <w:tcW w:w="360" w:type="pct"/>
            <w:gridSpan w:val="2"/>
            <w:tcBorders>
              <w:top w:val="nil"/>
              <w:left w:val="nil"/>
              <w:bottom w:val="nil"/>
              <w:right w:val="nil"/>
            </w:tcBorders>
            <w:shd w:val="clear" w:color="auto" w:fill="auto"/>
            <w:noWrap/>
            <w:vAlign w:val="bottom"/>
            <w:hideMark/>
          </w:tcPr>
          <w:p w14:paraId="1AED33D3"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5.2</w:t>
            </w:r>
          </w:p>
        </w:tc>
        <w:tc>
          <w:tcPr>
            <w:tcW w:w="359" w:type="pct"/>
            <w:gridSpan w:val="2"/>
            <w:tcBorders>
              <w:top w:val="nil"/>
              <w:left w:val="nil"/>
              <w:bottom w:val="nil"/>
              <w:right w:val="nil"/>
            </w:tcBorders>
            <w:shd w:val="clear" w:color="auto" w:fill="auto"/>
            <w:noWrap/>
            <w:vAlign w:val="bottom"/>
            <w:hideMark/>
          </w:tcPr>
          <w:p w14:paraId="18E9E15F"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5.3</w:t>
            </w:r>
          </w:p>
        </w:tc>
        <w:tc>
          <w:tcPr>
            <w:tcW w:w="359" w:type="pct"/>
            <w:gridSpan w:val="2"/>
            <w:tcBorders>
              <w:top w:val="nil"/>
              <w:left w:val="nil"/>
              <w:bottom w:val="nil"/>
              <w:right w:val="nil"/>
            </w:tcBorders>
            <w:shd w:val="clear" w:color="auto" w:fill="auto"/>
            <w:noWrap/>
            <w:vAlign w:val="bottom"/>
            <w:hideMark/>
          </w:tcPr>
          <w:p w14:paraId="5F77CA6F"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4.7</w:t>
            </w:r>
          </w:p>
        </w:tc>
        <w:tc>
          <w:tcPr>
            <w:tcW w:w="367" w:type="pct"/>
            <w:gridSpan w:val="2"/>
            <w:tcBorders>
              <w:top w:val="nil"/>
              <w:left w:val="nil"/>
              <w:bottom w:val="nil"/>
              <w:right w:val="single" w:sz="4" w:space="0" w:color="auto"/>
            </w:tcBorders>
            <w:shd w:val="clear" w:color="auto" w:fill="auto"/>
            <w:noWrap/>
            <w:vAlign w:val="bottom"/>
            <w:hideMark/>
          </w:tcPr>
          <w:p w14:paraId="119DE4C3"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4.1</w:t>
            </w:r>
          </w:p>
        </w:tc>
      </w:tr>
      <w:tr w:rsidR="007476D8" w:rsidRPr="00B66802" w14:paraId="2C32F46A" w14:textId="77777777" w:rsidTr="00F204F6">
        <w:trPr>
          <w:trHeight w:val="276"/>
        </w:trPr>
        <w:tc>
          <w:tcPr>
            <w:tcW w:w="1759" w:type="pct"/>
            <w:gridSpan w:val="2"/>
            <w:tcBorders>
              <w:top w:val="nil"/>
              <w:left w:val="single" w:sz="4" w:space="0" w:color="auto"/>
              <w:bottom w:val="nil"/>
              <w:right w:val="single" w:sz="4" w:space="0" w:color="auto"/>
            </w:tcBorders>
            <w:shd w:val="clear" w:color="auto" w:fill="auto"/>
            <w:noWrap/>
            <w:vAlign w:val="bottom"/>
            <w:hideMark/>
          </w:tcPr>
          <w:p w14:paraId="3357643B"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External (net)</w:t>
            </w:r>
          </w:p>
        </w:tc>
        <w:tc>
          <w:tcPr>
            <w:tcW w:w="360" w:type="pct"/>
            <w:gridSpan w:val="2"/>
            <w:tcBorders>
              <w:top w:val="nil"/>
              <w:left w:val="nil"/>
              <w:bottom w:val="nil"/>
              <w:right w:val="nil"/>
            </w:tcBorders>
            <w:shd w:val="clear" w:color="auto" w:fill="auto"/>
            <w:noWrap/>
            <w:vAlign w:val="bottom"/>
            <w:hideMark/>
          </w:tcPr>
          <w:p w14:paraId="3AACF457"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1.2</w:t>
            </w:r>
          </w:p>
        </w:tc>
        <w:tc>
          <w:tcPr>
            <w:tcW w:w="360" w:type="pct"/>
            <w:tcBorders>
              <w:top w:val="nil"/>
              <w:left w:val="nil"/>
              <w:bottom w:val="nil"/>
              <w:right w:val="nil"/>
            </w:tcBorders>
            <w:shd w:val="clear" w:color="auto" w:fill="auto"/>
            <w:noWrap/>
            <w:vAlign w:val="bottom"/>
            <w:hideMark/>
          </w:tcPr>
          <w:p w14:paraId="18267D55"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2.2</w:t>
            </w:r>
          </w:p>
        </w:tc>
        <w:tc>
          <w:tcPr>
            <w:tcW w:w="359" w:type="pct"/>
            <w:gridSpan w:val="2"/>
            <w:tcBorders>
              <w:top w:val="nil"/>
              <w:left w:val="nil"/>
              <w:bottom w:val="nil"/>
              <w:right w:val="nil"/>
            </w:tcBorders>
            <w:shd w:val="clear" w:color="auto" w:fill="auto"/>
            <w:noWrap/>
            <w:vAlign w:val="bottom"/>
            <w:hideMark/>
          </w:tcPr>
          <w:p w14:paraId="17A2E38C"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0.7</w:t>
            </w:r>
          </w:p>
        </w:tc>
        <w:tc>
          <w:tcPr>
            <w:tcW w:w="359" w:type="pct"/>
            <w:gridSpan w:val="2"/>
            <w:tcBorders>
              <w:top w:val="nil"/>
              <w:left w:val="nil"/>
              <w:bottom w:val="nil"/>
              <w:right w:val="nil"/>
            </w:tcBorders>
            <w:shd w:val="clear" w:color="auto" w:fill="auto"/>
            <w:noWrap/>
            <w:vAlign w:val="bottom"/>
            <w:hideMark/>
          </w:tcPr>
          <w:p w14:paraId="5F003824"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2.3</w:t>
            </w:r>
          </w:p>
        </w:tc>
        <w:tc>
          <w:tcPr>
            <w:tcW w:w="359" w:type="pct"/>
            <w:gridSpan w:val="2"/>
            <w:tcBorders>
              <w:top w:val="nil"/>
              <w:left w:val="nil"/>
              <w:bottom w:val="nil"/>
              <w:right w:val="nil"/>
            </w:tcBorders>
            <w:shd w:val="clear" w:color="auto" w:fill="auto"/>
            <w:noWrap/>
            <w:vAlign w:val="bottom"/>
            <w:hideMark/>
          </w:tcPr>
          <w:p w14:paraId="2676A575"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3.1</w:t>
            </w:r>
          </w:p>
        </w:tc>
        <w:tc>
          <w:tcPr>
            <w:tcW w:w="360" w:type="pct"/>
            <w:gridSpan w:val="2"/>
            <w:tcBorders>
              <w:top w:val="nil"/>
              <w:left w:val="nil"/>
              <w:bottom w:val="nil"/>
              <w:right w:val="nil"/>
            </w:tcBorders>
            <w:shd w:val="clear" w:color="auto" w:fill="auto"/>
            <w:noWrap/>
            <w:vAlign w:val="bottom"/>
            <w:hideMark/>
          </w:tcPr>
          <w:p w14:paraId="30B62DF4"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4.8</w:t>
            </w:r>
          </w:p>
        </w:tc>
        <w:tc>
          <w:tcPr>
            <w:tcW w:w="359" w:type="pct"/>
            <w:gridSpan w:val="2"/>
            <w:tcBorders>
              <w:top w:val="nil"/>
              <w:left w:val="nil"/>
              <w:bottom w:val="nil"/>
              <w:right w:val="nil"/>
            </w:tcBorders>
            <w:shd w:val="clear" w:color="auto" w:fill="auto"/>
            <w:noWrap/>
            <w:vAlign w:val="bottom"/>
            <w:hideMark/>
          </w:tcPr>
          <w:p w14:paraId="580DC92C"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4.6</w:t>
            </w:r>
          </w:p>
        </w:tc>
        <w:tc>
          <w:tcPr>
            <w:tcW w:w="359" w:type="pct"/>
            <w:gridSpan w:val="2"/>
            <w:tcBorders>
              <w:top w:val="nil"/>
              <w:left w:val="nil"/>
              <w:bottom w:val="nil"/>
              <w:right w:val="nil"/>
            </w:tcBorders>
            <w:shd w:val="clear" w:color="auto" w:fill="auto"/>
            <w:noWrap/>
            <w:vAlign w:val="bottom"/>
            <w:hideMark/>
          </w:tcPr>
          <w:p w14:paraId="23EB8D87"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4.0</w:t>
            </w:r>
          </w:p>
        </w:tc>
        <w:tc>
          <w:tcPr>
            <w:tcW w:w="367" w:type="pct"/>
            <w:gridSpan w:val="2"/>
            <w:tcBorders>
              <w:top w:val="nil"/>
              <w:left w:val="nil"/>
              <w:bottom w:val="nil"/>
              <w:right w:val="single" w:sz="4" w:space="0" w:color="auto"/>
            </w:tcBorders>
            <w:shd w:val="clear" w:color="auto" w:fill="auto"/>
            <w:noWrap/>
            <w:vAlign w:val="bottom"/>
            <w:hideMark/>
          </w:tcPr>
          <w:p w14:paraId="1EA14724"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3.3</w:t>
            </w:r>
          </w:p>
        </w:tc>
      </w:tr>
      <w:tr w:rsidR="007476D8" w:rsidRPr="00B66802" w14:paraId="5B7D4782" w14:textId="77777777" w:rsidTr="00F204F6">
        <w:trPr>
          <w:trHeight w:val="276"/>
        </w:trPr>
        <w:tc>
          <w:tcPr>
            <w:tcW w:w="1759" w:type="pct"/>
            <w:gridSpan w:val="2"/>
            <w:tcBorders>
              <w:top w:val="nil"/>
              <w:left w:val="single" w:sz="4" w:space="0" w:color="auto"/>
              <w:bottom w:val="single" w:sz="4" w:space="0" w:color="auto"/>
              <w:right w:val="single" w:sz="4" w:space="0" w:color="auto"/>
            </w:tcBorders>
            <w:shd w:val="clear" w:color="auto" w:fill="auto"/>
            <w:noWrap/>
            <w:vAlign w:val="bottom"/>
            <w:hideMark/>
          </w:tcPr>
          <w:p w14:paraId="39D75329" w14:textId="77777777" w:rsidR="007476D8" w:rsidRPr="00F204F6" w:rsidRDefault="007476D8" w:rsidP="00A1518C">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 xml:space="preserve">      Domestic (net)</w:t>
            </w:r>
          </w:p>
        </w:tc>
        <w:tc>
          <w:tcPr>
            <w:tcW w:w="360" w:type="pct"/>
            <w:gridSpan w:val="2"/>
            <w:tcBorders>
              <w:top w:val="nil"/>
              <w:left w:val="nil"/>
              <w:bottom w:val="single" w:sz="4" w:space="0" w:color="auto"/>
              <w:right w:val="nil"/>
            </w:tcBorders>
            <w:shd w:val="clear" w:color="auto" w:fill="auto"/>
            <w:noWrap/>
            <w:vAlign w:val="bottom"/>
            <w:hideMark/>
          </w:tcPr>
          <w:p w14:paraId="149E1EC5"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1.2</w:t>
            </w:r>
          </w:p>
        </w:tc>
        <w:tc>
          <w:tcPr>
            <w:tcW w:w="360" w:type="pct"/>
            <w:tcBorders>
              <w:top w:val="nil"/>
              <w:left w:val="nil"/>
              <w:bottom w:val="single" w:sz="4" w:space="0" w:color="auto"/>
              <w:right w:val="nil"/>
            </w:tcBorders>
            <w:shd w:val="clear" w:color="auto" w:fill="auto"/>
            <w:noWrap/>
            <w:vAlign w:val="bottom"/>
            <w:hideMark/>
          </w:tcPr>
          <w:p w14:paraId="110F1B00"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2.0</w:t>
            </w:r>
          </w:p>
        </w:tc>
        <w:tc>
          <w:tcPr>
            <w:tcW w:w="359" w:type="pct"/>
            <w:gridSpan w:val="2"/>
            <w:tcBorders>
              <w:top w:val="nil"/>
              <w:left w:val="nil"/>
              <w:bottom w:val="single" w:sz="4" w:space="0" w:color="auto"/>
              <w:right w:val="nil"/>
            </w:tcBorders>
            <w:shd w:val="clear" w:color="auto" w:fill="auto"/>
            <w:noWrap/>
            <w:vAlign w:val="bottom"/>
            <w:hideMark/>
          </w:tcPr>
          <w:p w14:paraId="0B8B81A8"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1.4</w:t>
            </w:r>
          </w:p>
        </w:tc>
        <w:tc>
          <w:tcPr>
            <w:tcW w:w="359" w:type="pct"/>
            <w:gridSpan w:val="2"/>
            <w:tcBorders>
              <w:top w:val="nil"/>
              <w:left w:val="nil"/>
              <w:bottom w:val="single" w:sz="4" w:space="0" w:color="auto"/>
              <w:right w:val="nil"/>
            </w:tcBorders>
            <w:shd w:val="clear" w:color="auto" w:fill="auto"/>
            <w:noWrap/>
            <w:vAlign w:val="bottom"/>
            <w:hideMark/>
          </w:tcPr>
          <w:p w14:paraId="01F9B56B"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2.1</w:t>
            </w:r>
          </w:p>
        </w:tc>
        <w:tc>
          <w:tcPr>
            <w:tcW w:w="359" w:type="pct"/>
            <w:gridSpan w:val="2"/>
            <w:tcBorders>
              <w:top w:val="nil"/>
              <w:left w:val="nil"/>
              <w:bottom w:val="single" w:sz="4" w:space="0" w:color="auto"/>
              <w:right w:val="nil"/>
            </w:tcBorders>
            <w:shd w:val="clear" w:color="auto" w:fill="auto"/>
            <w:noWrap/>
            <w:vAlign w:val="bottom"/>
            <w:hideMark/>
          </w:tcPr>
          <w:p w14:paraId="63B183DD"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0.4</w:t>
            </w:r>
          </w:p>
        </w:tc>
        <w:tc>
          <w:tcPr>
            <w:tcW w:w="360" w:type="pct"/>
            <w:gridSpan w:val="2"/>
            <w:tcBorders>
              <w:top w:val="nil"/>
              <w:left w:val="nil"/>
              <w:bottom w:val="single" w:sz="4" w:space="0" w:color="auto"/>
              <w:right w:val="nil"/>
            </w:tcBorders>
            <w:shd w:val="clear" w:color="auto" w:fill="auto"/>
            <w:noWrap/>
            <w:vAlign w:val="bottom"/>
            <w:hideMark/>
          </w:tcPr>
          <w:p w14:paraId="2C1CA5C2"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0.4</w:t>
            </w:r>
          </w:p>
        </w:tc>
        <w:tc>
          <w:tcPr>
            <w:tcW w:w="359" w:type="pct"/>
            <w:gridSpan w:val="2"/>
            <w:tcBorders>
              <w:top w:val="nil"/>
              <w:left w:val="nil"/>
              <w:bottom w:val="single" w:sz="4" w:space="0" w:color="auto"/>
              <w:right w:val="nil"/>
            </w:tcBorders>
            <w:shd w:val="clear" w:color="auto" w:fill="auto"/>
            <w:noWrap/>
            <w:vAlign w:val="bottom"/>
            <w:hideMark/>
          </w:tcPr>
          <w:p w14:paraId="620FC03E"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0.6</w:t>
            </w:r>
          </w:p>
        </w:tc>
        <w:tc>
          <w:tcPr>
            <w:tcW w:w="359" w:type="pct"/>
            <w:gridSpan w:val="2"/>
            <w:tcBorders>
              <w:top w:val="nil"/>
              <w:left w:val="nil"/>
              <w:bottom w:val="single" w:sz="4" w:space="0" w:color="auto"/>
              <w:right w:val="nil"/>
            </w:tcBorders>
            <w:shd w:val="clear" w:color="auto" w:fill="auto"/>
            <w:noWrap/>
            <w:vAlign w:val="bottom"/>
            <w:hideMark/>
          </w:tcPr>
          <w:p w14:paraId="114EF047"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0.7</w:t>
            </w:r>
          </w:p>
        </w:tc>
        <w:tc>
          <w:tcPr>
            <w:tcW w:w="367" w:type="pct"/>
            <w:gridSpan w:val="2"/>
            <w:tcBorders>
              <w:top w:val="nil"/>
              <w:left w:val="nil"/>
              <w:bottom w:val="single" w:sz="4" w:space="0" w:color="auto"/>
              <w:right w:val="single" w:sz="4" w:space="0" w:color="auto"/>
            </w:tcBorders>
            <w:shd w:val="clear" w:color="auto" w:fill="auto"/>
            <w:noWrap/>
            <w:vAlign w:val="bottom"/>
            <w:hideMark/>
          </w:tcPr>
          <w:p w14:paraId="1C64A0E6" w14:textId="77777777" w:rsidR="007476D8" w:rsidRPr="00F204F6" w:rsidRDefault="007476D8" w:rsidP="00A1518C">
            <w:pPr>
              <w:spacing w:after="0" w:line="240" w:lineRule="auto"/>
              <w:jc w:val="right"/>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0.8</w:t>
            </w:r>
          </w:p>
        </w:tc>
      </w:tr>
      <w:tr w:rsidR="007476D8" w:rsidRPr="00B66802" w14:paraId="284CFDA1" w14:textId="77777777" w:rsidTr="00F204F6">
        <w:trPr>
          <w:trHeight w:val="276"/>
        </w:trPr>
        <w:tc>
          <w:tcPr>
            <w:tcW w:w="5000" w:type="pct"/>
            <w:gridSpan w:val="19"/>
            <w:tcBorders>
              <w:top w:val="nil"/>
              <w:left w:val="nil"/>
              <w:bottom w:val="nil"/>
            </w:tcBorders>
            <w:shd w:val="clear" w:color="auto" w:fill="auto"/>
            <w:noWrap/>
            <w:vAlign w:val="bottom"/>
            <w:hideMark/>
          </w:tcPr>
          <w:p w14:paraId="1ED33961" w14:textId="578C30E0" w:rsidR="007476D8" w:rsidRPr="00F204F6" w:rsidRDefault="007476D8" w:rsidP="00E36113">
            <w:pPr>
              <w:spacing w:after="0" w:line="240" w:lineRule="auto"/>
              <w:rPr>
                <w:rFonts w:asciiTheme="minorHAnsi" w:eastAsia="Times New Roman" w:hAnsiTheme="minorHAnsi" w:cstheme="minorHAnsi"/>
                <w:color w:val="000000"/>
                <w:sz w:val="16"/>
                <w:szCs w:val="16"/>
              </w:rPr>
            </w:pPr>
            <w:r w:rsidRPr="00F204F6">
              <w:rPr>
                <w:rFonts w:asciiTheme="minorHAnsi" w:eastAsia="Times New Roman" w:hAnsiTheme="minorHAnsi" w:cstheme="minorHAnsi"/>
                <w:color w:val="000000"/>
                <w:sz w:val="16"/>
                <w:szCs w:val="16"/>
              </w:rPr>
              <w:t>Source: Malagasy authorities, IMF and WB Staff calculations, October 2017</w:t>
            </w:r>
            <w:r w:rsidR="00E36113" w:rsidRPr="00E36113">
              <w:rPr>
                <w:rFonts w:asciiTheme="minorHAnsi" w:eastAsia="Times New Roman" w:hAnsiTheme="minorHAnsi" w:cstheme="minorHAnsi"/>
                <w:color w:val="000000"/>
                <w:sz w:val="16"/>
                <w:szCs w:val="16"/>
              </w:rPr>
              <w:t>.</w:t>
            </w:r>
            <w:r w:rsidRPr="00F204F6">
              <w:rPr>
                <w:rFonts w:asciiTheme="minorHAnsi" w:eastAsia="Times New Roman" w:hAnsiTheme="minorHAnsi" w:cstheme="minorHAnsi"/>
                <w:color w:val="000000"/>
                <w:sz w:val="16"/>
                <w:szCs w:val="16"/>
              </w:rPr>
              <w:t>  </w:t>
            </w:r>
          </w:p>
        </w:tc>
      </w:tr>
    </w:tbl>
    <w:p w14:paraId="75BA89C8" w14:textId="5F6BC374" w:rsidR="00816F98" w:rsidRPr="00B66802" w:rsidRDefault="00816F98" w:rsidP="006F4D33">
      <w:pPr>
        <w:pStyle w:val="ListParagraph"/>
        <w:spacing w:before="240" w:after="240" w:line="240" w:lineRule="auto"/>
        <w:ind w:left="0"/>
        <w:contextualSpacing w:val="0"/>
        <w:jc w:val="both"/>
        <w:rPr>
          <w:rFonts w:asciiTheme="minorHAnsi" w:hAnsiTheme="minorHAnsi" w:cstheme="minorHAnsi"/>
          <w:b/>
        </w:rPr>
      </w:pPr>
      <w:r w:rsidRPr="00B66802">
        <w:rPr>
          <w:rFonts w:asciiTheme="minorHAnsi" w:hAnsiTheme="minorHAnsi" w:cstheme="minorHAnsi"/>
          <w:b/>
        </w:rPr>
        <w:lastRenderedPageBreak/>
        <w:t xml:space="preserve">2.3. </w:t>
      </w:r>
      <w:r w:rsidR="006F4D33">
        <w:rPr>
          <w:rFonts w:asciiTheme="minorHAnsi" w:hAnsiTheme="minorHAnsi" w:cstheme="minorHAnsi"/>
          <w:b/>
        </w:rPr>
        <w:tab/>
      </w:r>
      <w:r w:rsidRPr="00BB13FC">
        <w:rPr>
          <w:rFonts w:asciiTheme="minorHAnsi" w:hAnsiTheme="minorHAnsi" w:cstheme="minorHAnsi"/>
          <w:b/>
          <w:caps/>
        </w:rPr>
        <w:t>Relations with the IMF</w:t>
      </w:r>
    </w:p>
    <w:p w14:paraId="33BA3611" w14:textId="125C555C" w:rsidR="004559C1" w:rsidRDefault="007A7246" w:rsidP="009E18F5">
      <w:pPr>
        <w:autoSpaceDE w:val="0"/>
        <w:autoSpaceDN w:val="0"/>
        <w:adjustRightInd w:val="0"/>
        <w:spacing w:after="0" w:line="240" w:lineRule="auto"/>
        <w:jc w:val="both"/>
        <w:rPr>
          <w:rFonts w:asciiTheme="minorHAnsi" w:hAnsiTheme="minorHAnsi" w:cstheme="minorHAnsi"/>
        </w:rPr>
      </w:pPr>
      <w:r>
        <w:rPr>
          <w:rFonts w:asciiTheme="minorHAnsi" w:hAnsiTheme="minorHAnsi" w:cstheme="minorHAnsi"/>
          <w:b/>
        </w:rPr>
        <w:t>30.</w:t>
      </w:r>
      <w:r>
        <w:rPr>
          <w:rFonts w:asciiTheme="minorHAnsi" w:hAnsiTheme="minorHAnsi" w:cstheme="minorHAnsi"/>
          <w:b/>
        </w:rPr>
        <w:tab/>
      </w:r>
      <w:r w:rsidR="00816F98" w:rsidRPr="00BD4A16">
        <w:rPr>
          <w:rFonts w:asciiTheme="minorHAnsi" w:hAnsiTheme="minorHAnsi" w:cstheme="minorHAnsi"/>
          <w:b/>
        </w:rPr>
        <w:t xml:space="preserve">In July 2016, the IMF Board approved a three-year ECF agreement </w:t>
      </w:r>
      <w:r w:rsidR="003E6F5F">
        <w:rPr>
          <w:rFonts w:asciiTheme="minorHAnsi" w:hAnsiTheme="minorHAnsi" w:cstheme="minorHAnsi"/>
          <w:b/>
        </w:rPr>
        <w:t xml:space="preserve">covering the 2016-2019 period </w:t>
      </w:r>
      <w:r w:rsidR="00816F98" w:rsidRPr="00BD4A16">
        <w:rPr>
          <w:rFonts w:asciiTheme="minorHAnsi" w:hAnsiTheme="minorHAnsi" w:cstheme="minorHAnsi"/>
          <w:b/>
        </w:rPr>
        <w:t>for Madagascar</w:t>
      </w:r>
      <w:r w:rsidR="00816F98" w:rsidRPr="00DC050B">
        <w:rPr>
          <w:rFonts w:asciiTheme="minorHAnsi" w:hAnsiTheme="minorHAnsi" w:cstheme="minorHAnsi"/>
        </w:rPr>
        <w:t xml:space="preserve"> for an amount of SDR 220 million (equivalent to about US$295 million). This approval followed satisfactory progress under two rapid credit facility programs in 2014 and 2016 respectively and a six-month IMF Staff Monitored Program between September 2015 and end-March 2016. The arrangement under the ECF </w:t>
      </w:r>
      <w:r w:rsidR="00EF4D57" w:rsidRPr="00DC050B">
        <w:rPr>
          <w:rFonts w:asciiTheme="minorHAnsi" w:hAnsiTheme="minorHAnsi" w:cstheme="minorHAnsi"/>
        </w:rPr>
        <w:t xml:space="preserve">supports the </w:t>
      </w:r>
      <w:r w:rsidR="00ED0727" w:rsidRPr="006C66C2">
        <w:rPr>
          <w:rFonts w:asciiTheme="minorHAnsi" w:hAnsiTheme="minorHAnsi" w:cstheme="minorHAnsi"/>
        </w:rPr>
        <w:t>Government’s program to</w:t>
      </w:r>
      <w:r w:rsidR="00EF4D57" w:rsidRPr="006C66C2">
        <w:rPr>
          <w:rFonts w:asciiTheme="minorHAnsi" w:hAnsiTheme="minorHAnsi" w:cstheme="minorHAnsi"/>
        </w:rPr>
        <w:t xml:space="preserve"> reinforce</w:t>
      </w:r>
      <w:r w:rsidR="00ED0727" w:rsidRPr="006C66C2">
        <w:rPr>
          <w:rFonts w:asciiTheme="minorHAnsi" w:hAnsiTheme="minorHAnsi" w:cstheme="minorHAnsi"/>
        </w:rPr>
        <w:t xml:space="preserve"> </w:t>
      </w:r>
      <w:r w:rsidR="00816F98" w:rsidRPr="006C66C2">
        <w:rPr>
          <w:rFonts w:asciiTheme="minorHAnsi" w:hAnsiTheme="minorHAnsi" w:cstheme="minorHAnsi"/>
        </w:rPr>
        <w:t>macroeconomic stability and promote sustainable and inclusive growth. The program focuses on (i) boosting prospects for inclusive growth through scaling-up of investment and improved access to education, health care, and social protection</w:t>
      </w:r>
      <w:r w:rsidR="0092602F">
        <w:rPr>
          <w:rFonts w:asciiTheme="minorHAnsi" w:hAnsiTheme="minorHAnsi" w:cstheme="minorHAnsi"/>
        </w:rPr>
        <w:t>;</w:t>
      </w:r>
      <w:r w:rsidR="00816F98" w:rsidRPr="006C66C2">
        <w:rPr>
          <w:rFonts w:asciiTheme="minorHAnsi" w:hAnsiTheme="minorHAnsi" w:cstheme="minorHAnsi"/>
        </w:rPr>
        <w:t xml:space="preserve"> (ii) creating fiscal space through improved revenue generation and spending prioritization</w:t>
      </w:r>
      <w:r w:rsidR="0092602F">
        <w:rPr>
          <w:rFonts w:asciiTheme="minorHAnsi" w:hAnsiTheme="minorHAnsi" w:cstheme="minorHAnsi"/>
        </w:rPr>
        <w:t>;</w:t>
      </w:r>
      <w:r w:rsidR="00816F98" w:rsidRPr="006C66C2">
        <w:rPr>
          <w:rFonts w:asciiTheme="minorHAnsi" w:hAnsiTheme="minorHAnsi" w:cstheme="minorHAnsi"/>
        </w:rPr>
        <w:t xml:space="preserve"> (iii) reinforcing economic governance by strengthening public financial management and intensifying anti-corruption measures</w:t>
      </w:r>
      <w:r w:rsidR="0092602F">
        <w:rPr>
          <w:rFonts w:asciiTheme="minorHAnsi" w:hAnsiTheme="minorHAnsi" w:cstheme="minorHAnsi"/>
        </w:rPr>
        <w:t>;</w:t>
      </w:r>
      <w:r w:rsidR="00816F98" w:rsidRPr="006C66C2">
        <w:rPr>
          <w:rFonts w:asciiTheme="minorHAnsi" w:hAnsiTheme="minorHAnsi" w:cstheme="minorHAnsi"/>
        </w:rPr>
        <w:t xml:space="preserve"> and (iv) strengthening macroeconomic stability by bolstering central bank operations and financial supervision. A first review of the ECF agreement in June 2017 concluded that progress had been satisfactory so far. However, in light of numerous shocks including a severe drought and the cyclone, the IMF Board at its meeting on June 28,</w:t>
      </w:r>
      <w:r w:rsidR="00816F98" w:rsidRPr="003E6F5F">
        <w:rPr>
          <w:rFonts w:asciiTheme="minorHAnsi" w:hAnsiTheme="minorHAnsi" w:cstheme="minorHAnsi"/>
        </w:rPr>
        <w:t xml:space="preserve"> 2017 </w:t>
      </w:r>
      <w:r w:rsidR="00816F98" w:rsidRPr="00B66802">
        <w:rPr>
          <w:rFonts w:asciiTheme="minorHAnsi" w:hAnsiTheme="minorHAnsi" w:cstheme="minorHAnsi"/>
        </w:rPr>
        <w:t>approved: (i) a waiver for the nonobservance of the continuous performance criterion on accumulation of new external payment arrears</w:t>
      </w:r>
      <w:r w:rsidR="007571C6" w:rsidRPr="00B66802">
        <w:rPr>
          <w:rStyle w:val="FootnoteReference"/>
          <w:rFonts w:asciiTheme="minorHAnsi" w:hAnsiTheme="minorHAnsi" w:cstheme="minorHAnsi"/>
        </w:rPr>
        <w:footnoteReference w:id="21"/>
      </w:r>
      <w:r w:rsidR="00816F98" w:rsidRPr="00B66802">
        <w:rPr>
          <w:rFonts w:asciiTheme="minorHAnsi" w:hAnsiTheme="minorHAnsi" w:cstheme="minorHAnsi"/>
        </w:rPr>
        <w:t xml:space="preserve"> and (ii) a disbursement of </w:t>
      </w:r>
      <w:r w:rsidR="003E6F5F">
        <w:rPr>
          <w:rFonts w:asciiTheme="minorHAnsi" w:hAnsiTheme="minorHAnsi" w:cstheme="minorHAnsi"/>
        </w:rPr>
        <w:t xml:space="preserve">SDR 62.0 million (equivalent to about </w:t>
      </w:r>
      <w:r w:rsidR="00427E40" w:rsidRPr="00B66802">
        <w:rPr>
          <w:rFonts w:asciiTheme="minorHAnsi" w:hAnsiTheme="minorHAnsi" w:cstheme="minorHAnsi"/>
        </w:rPr>
        <w:t>US</w:t>
      </w:r>
      <w:r w:rsidR="00816F98" w:rsidRPr="00B66802">
        <w:rPr>
          <w:rFonts w:asciiTheme="minorHAnsi" w:hAnsiTheme="minorHAnsi" w:cstheme="minorHAnsi"/>
        </w:rPr>
        <w:t>$86 million</w:t>
      </w:r>
      <w:r w:rsidR="003E6F5F">
        <w:rPr>
          <w:rFonts w:asciiTheme="minorHAnsi" w:hAnsiTheme="minorHAnsi" w:cstheme="minorHAnsi"/>
        </w:rPr>
        <w:t>)</w:t>
      </w:r>
      <w:r w:rsidR="00816F98" w:rsidRPr="00B66802">
        <w:rPr>
          <w:rFonts w:asciiTheme="minorHAnsi" w:hAnsiTheme="minorHAnsi" w:cstheme="minorHAnsi"/>
        </w:rPr>
        <w:t xml:space="preserve">, including an augmentation of </w:t>
      </w:r>
      <w:r w:rsidR="003E6F5F">
        <w:rPr>
          <w:rFonts w:asciiTheme="minorHAnsi" w:hAnsiTheme="minorHAnsi" w:cstheme="minorHAnsi"/>
        </w:rPr>
        <w:t xml:space="preserve">SDR 30.6 million (equivalent to about </w:t>
      </w:r>
      <w:r w:rsidR="00427E40" w:rsidRPr="00BD4A16">
        <w:rPr>
          <w:rFonts w:asciiTheme="minorHAnsi" w:hAnsiTheme="minorHAnsi" w:cstheme="minorHAnsi"/>
        </w:rPr>
        <w:t>US</w:t>
      </w:r>
      <w:r w:rsidR="00816F98" w:rsidRPr="00DC050B">
        <w:rPr>
          <w:rFonts w:asciiTheme="minorHAnsi" w:hAnsiTheme="minorHAnsi" w:cstheme="minorHAnsi"/>
        </w:rPr>
        <w:t>$42</w:t>
      </w:r>
      <w:r w:rsidR="003E6F5F">
        <w:rPr>
          <w:rFonts w:asciiTheme="minorHAnsi" w:hAnsiTheme="minorHAnsi" w:cstheme="minorHAnsi"/>
        </w:rPr>
        <w:t>.3</w:t>
      </w:r>
      <w:r w:rsidR="00816F98" w:rsidRPr="00DC050B">
        <w:rPr>
          <w:rFonts w:asciiTheme="minorHAnsi" w:hAnsiTheme="minorHAnsi" w:cstheme="minorHAnsi"/>
        </w:rPr>
        <w:t xml:space="preserve"> million</w:t>
      </w:r>
      <w:r w:rsidR="003E6F5F">
        <w:rPr>
          <w:rFonts w:asciiTheme="minorHAnsi" w:hAnsiTheme="minorHAnsi" w:cstheme="minorHAnsi"/>
        </w:rPr>
        <w:t>)</w:t>
      </w:r>
      <w:r w:rsidR="00816F98" w:rsidRPr="00DC050B">
        <w:rPr>
          <w:rFonts w:asciiTheme="minorHAnsi" w:hAnsiTheme="minorHAnsi" w:cstheme="minorHAnsi"/>
        </w:rPr>
        <w:t xml:space="preserve">. The World Bank maintains a close working relationship with the IMF, with regular collaboration across policy issues between the two institutions. </w:t>
      </w:r>
      <w:r w:rsidR="00B875C8" w:rsidRPr="00DC050B">
        <w:rPr>
          <w:rFonts w:asciiTheme="minorHAnsi" w:hAnsiTheme="minorHAnsi" w:cstheme="minorHAnsi"/>
        </w:rPr>
        <w:t xml:space="preserve"> </w:t>
      </w:r>
    </w:p>
    <w:p w14:paraId="09B8F316" w14:textId="77777777" w:rsidR="00D35BC4" w:rsidRPr="006C66C2" w:rsidRDefault="00620B31" w:rsidP="00395B9E">
      <w:pPr>
        <w:pStyle w:val="Heading1"/>
        <w:rPr>
          <w:rFonts w:asciiTheme="minorHAnsi" w:hAnsiTheme="minorHAnsi" w:cstheme="minorHAnsi"/>
          <w:szCs w:val="22"/>
        </w:rPr>
      </w:pPr>
      <w:bookmarkStart w:id="7" w:name="_Toc496204245"/>
      <w:r w:rsidRPr="00DC050B">
        <w:rPr>
          <w:rFonts w:asciiTheme="minorHAnsi" w:hAnsiTheme="minorHAnsi" w:cstheme="minorHAnsi"/>
          <w:szCs w:val="22"/>
        </w:rPr>
        <w:t>T</w:t>
      </w:r>
      <w:r w:rsidR="00D35BC4" w:rsidRPr="006C66C2">
        <w:rPr>
          <w:rFonts w:asciiTheme="minorHAnsi" w:hAnsiTheme="minorHAnsi" w:cstheme="minorHAnsi"/>
          <w:szCs w:val="22"/>
        </w:rPr>
        <w:t>HE GOVERNMENT’S PROGRAM</w:t>
      </w:r>
      <w:bookmarkEnd w:id="7"/>
      <w:r w:rsidR="003A017C" w:rsidRPr="006C66C2">
        <w:rPr>
          <w:rFonts w:asciiTheme="minorHAnsi" w:hAnsiTheme="minorHAnsi" w:cstheme="minorHAnsi"/>
          <w:szCs w:val="22"/>
        </w:rPr>
        <w:t xml:space="preserve"> </w:t>
      </w:r>
    </w:p>
    <w:p w14:paraId="23F3FE7C" w14:textId="7D2DDAD3" w:rsidR="00DB73F6" w:rsidRPr="00165C9C" w:rsidRDefault="00032CCE" w:rsidP="00032CCE">
      <w:pPr>
        <w:jc w:val="both"/>
      </w:pPr>
      <w:r>
        <w:t xml:space="preserve">31. </w:t>
      </w:r>
      <w:r w:rsidR="00810758" w:rsidRPr="00032CCE">
        <w:rPr>
          <w:b/>
        </w:rPr>
        <w:t xml:space="preserve">In April 2017, the Government consolidated its approach to stimulating growth and reducing poverty through the </w:t>
      </w:r>
      <w:r w:rsidR="00F71B27" w:rsidRPr="00032CCE">
        <w:rPr>
          <w:b/>
        </w:rPr>
        <w:t xml:space="preserve">2017-2019 </w:t>
      </w:r>
      <w:r w:rsidR="00A36EEA" w:rsidRPr="00032CCE">
        <w:rPr>
          <w:b/>
        </w:rPr>
        <w:t xml:space="preserve">Economic Development </w:t>
      </w:r>
      <w:r w:rsidR="00F71B27" w:rsidRPr="00032CCE">
        <w:rPr>
          <w:b/>
        </w:rPr>
        <w:t>Paper (EDP)</w:t>
      </w:r>
      <w:r w:rsidR="00810758" w:rsidRPr="00032CCE">
        <w:rPr>
          <w:b/>
        </w:rPr>
        <w:t>, which incorporates sectoral strategies</w:t>
      </w:r>
      <w:r w:rsidR="0026512F" w:rsidRPr="00032CCE">
        <w:rPr>
          <w:b/>
        </w:rPr>
        <w:t>.</w:t>
      </w:r>
      <w:r w:rsidR="0026512F" w:rsidRPr="003E6F5F">
        <w:t xml:space="preserve"> </w:t>
      </w:r>
      <w:r w:rsidR="0049134C" w:rsidRPr="003E6F5F">
        <w:t>The EDP sets out the priorities for poverty reduction, which include</w:t>
      </w:r>
      <w:r w:rsidR="00AC0A32" w:rsidRPr="003E6F5F">
        <w:t xml:space="preserve">: </w:t>
      </w:r>
      <w:r w:rsidR="0049134C" w:rsidRPr="003E6F5F">
        <w:t>increased revenue and rationalized spending to support public investment, a resilient and inclusive financial system to promote growth, energy development, and a strong business climate to stimulate the private sector</w:t>
      </w:r>
      <w:r w:rsidR="00AC0A32" w:rsidRPr="003E6F5F">
        <w:t>.</w:t>
      </w:r>
      <w:r w:rsidR="008A3B51" w:rsidRPr="003E6F5F">
        <w:t xml:space="preserve"> </w:t>
      </w:r>
      <w:r w:rsidR="0049134C" w:rsidRPr="003E6F5F">
        <w:t xml:space="preserve">The EDP directly supports the implementation of the </w:t>
      </w:r>
      <w:r w:rsidR="00A20F63" w:rsidRPr="003E6F5F">
        <w:t>NDP</w:t>
      </w:r>
      <w:r w:rsidR="0049134C" w:rsidRPr="003E6F5F">
        <w:t xml:space="preserve">. </w:t>
      </w:r>
    </w:p>
    <w:p w14:paraId="46678BDA" w14:textId="13AEF658" w:rsidR="00A958D6" w:rsidRPr="003E6F5F" w:rsidRDefault="006F4D33" w:rsidP="000A5C35">
      <w:pPr>
        <w:jc w:val="both"/>
        <w:rPr>
          <w:b/>
        </w:rPr>
      </w:pPr>
      <w:r w:rsidRPr="00032CCE">
        <w:t xml:space="preserve">32. </w:t>
      </w:r>
      <w:r w:rsidRPr="00032CCE">
        <w:tab/>
      </w:r>
      <w:r w:rsidR="00A958D6" w:rsidRPr="000A5C35">
        <w:rPr>
          <w:b/>
        </w:rPr>
        <w:t xml:space="preserve">The </w:t>
      </w:r>
      <w:r w:rsidR="0049134C" w:rsidRPr="000A5C35">
        <w:rPr>
          <w:b/>
        </w:rPr>
        <w:t xml:space="preserve">areas of the </w:t>
      </w:r>
      <w:r w:rsidR="00067FCF" w:rsidRPr="000A5C35">
        <w:rPr>
          <w:b/>
        </w:rPr>
        <w:t>EDP</w:t>
      </w:r>
      <w:r w:rsidR="002A7A64" w:rsidRPr="000A5C35">
        <w:rPr>
          <w:b/>
        </w:rPr>
        <w:t xml:space="preserve"> that</w:t>
      </w:r>
      <w:r w:rsidR="00067FCF" w:rsidRPr="000A5C35">
        <w:rPr>
          <w:b/>
        </w:rPr>
        <w:t xml:space="preserve"> this programmatic DPO focuses on are</w:t>
      </w:r>
      <w:r w:rsidR="002069A7" w:rsidRPr="000A5C35">
        <w:rPr>
          <w:b/>
        </w:rPr>
        <w:t xml:space="preserve"> (i) strengthen the fiscal framework; and (ii) improve the investment climate.</w:t>
      </w:r>
      <w:r w:rsidR="002A7A64" w:rsidRPr="003E6F5F">
        <w:rPr>
          <w:b/>
        </w:rPr>
        <w:t xml:space="preserve"> </w:t>
      </w:r>
      <w:r w:rsidR="002A7A64" w:rsidRPr="000A5C35">
        <w:t>The specific sectoral strategies are further elaborated below.</w:t>
      </w:r>
      <w:r w:rsidR="002A7A64" w:rsidRPr="003E6F5F">
        <w:rPr>
          <w:b/>
        </w:rPr>
        <w:t xml:space="preserve"> </w:t>
      </w:r>
    </w:p>
    <w:p w14:paraId="38BC88E6" w14:textId="2770B4F1" w:rsidR="00D34981" w:rsidRPr="00DC050B" w:rsidRDefault="002069A7" w:rsidP="002069A7">
      <w:pPr>
        <w:widowControl w:val="0"/>
        <w:tabs>
          <w:tab w:val="left" w:pos="450"/>
        </w:tabs>
        <w:autoSpaceDE w:val="0"/>
        <w:autoSpaceDN w:val="0"/>
        <w:adjustRightInd w:val="0"/>
        <w:spacing w:before="13" w:after="240" w:line="240" w:lineRule="auto"/>
        <w:jc w:val="both"/>
        <w:rPr>
          <w:rFonts w:asciiTheme="minorHAnsi" w:hAnsiTheme="minorHAnsi" w:cstheme="minorHAnsi"/>
          <w:b/>
        </w:rPr>
      </w:pPr>
      <w:r w:rsidRPr="00BD4A16">
        <w:rPr>
          <w:rFonts w:asciiTheme="minorHAnsi" w:hAnsiTheme="minorHAnsi" w:cstheme="minorHAnsi"/>
          <w:b/>
        </w:rPr>
        <w:t xml:space="preserve">(i) </w:t>
      </w:r>
      <w:r w:rsidR="00D34981" w:rsidRPr="00DC050B">
        <w:rPr>
          <w:rFonts w:asciiTheme="minorHAnsi" w:hAnsiTheme="minorHAnsi" w:cstheme="minorHAnsi"/>
          <w:b/>
        </w:rPr>
        <w:t>Fiscal Framework:</w:t>
      </w:r>
    </w:p>
    <w:p w14:paraId="2F3E733C" w14:textId="39F99F20" w:rsidR="0057387C" w:rsidRPr="00A20F63" w:rsidRDefault="00CF60D9" w:rsidP="00B644BB">
      <w:pPr>
        <w:pStyle w:val="ListParagraph"/>
        <w:widowControl w:val="0"/>
        <w:numPr>
          <w:ilvl w:val="0"/>
          <w:numId w:val="17"/>
        </w:numPr>
        <w:tabs>
          <w:tab w:val="left" w:pos="450"/>
        </w:tabs>
        <w:autoSpaceDE w:val="0"/>
        <w:autoSpaceDN w:val="0"/>
        <w:adjustRightInd w:val="0"/>
        <w:spacing w:before="13" w:after="240" w:line="240" w:lineRule="auto"/>
        <w:ind w:left="360"/>
        <w:jc w:val="both"/>
        <w:rPr>
          <w:rFonts w:asciiTheme="minorHAnsi" w:hAnsiTheme="minorHAnsi" w:cstheme="minorHAnsi"/>
        </w:rPr>
      </w:pPr>
      <w:r w:rsidRPr="00DC050B">
        <w:rPr>
          <w:rFonts w:asciiTheme="minorHAnsi" w:hAnsiTheme="minorHAnsi" w:cstheme="minorHAnsi"/>
          <w:b/>
        </w:rPr>
        <w:t xml:space="preserve">Tax administration reforms are included in the </w:t>
      </w:r>
      <w:r w:rsidR="00B25E08" w:rsidRPr="00DC050B">
        <w:rPr>
          <w:rFonts w:asciiTheme="minorHAnsi" w:hAnsiTheme="minorHAnsi" w:cstheme="minorHAnsi"/>
          <w:b/>
        </w:rPr>
        <w:t xml:space="preserve">national </w:t>
      </w:r>
      <w:r w:rsidR="00D34981" w:rsidRPr="00DC050B">
        <w:rPr>
          <w:rFonts w:asciiTheme="minorHAnsi" w:hAnsiTheme="minorHAnsi" w:cstheme="minorHAnsi"/>
          <w:b/>
        </w:rPr>
        <w:t xml:space="preserve">PFM </w:t>
      </w:r>
      <w:r w:rsidRPr="00DC050B">
        <w:rPr>
          <w:rFonts w:asciiTheme="minorHAnsi" w:hAnsiTheme="minorHAnsi" w:cstheme="minorHAnsi"/>
          <w:b/>
        </w:rPr>
        <w:t>Modernizati</w:t>
      </w:r>
      <w:r w:rsidRPr="006C66C2">
        <w:rPr>
          <w:rFonts w:asciiTheme="minorHAnsi" w:hAnsiTheme="minorHAnsi" w:cstheme="minorHAnsi"/>
          <w:b/>
        </w:rPr>
        <w:t>on Strategy</w:t>
      </w:r>
      <w:r w:rsidR="001E43D3" w:rsidRPr="006C66C2">
        <w:rPr>
          <w:rFonts w:asciiTheme="minorHAnsi" w:hAnsiTheme="minorHAnsi" w:cstheme="minorHAnsi"/>
          <w:b/>
        </w:rPr>
        <w:t xml:space="preserve">. </w:t>
      </w:r>
      <w:r w:rsidR="001E43D3" w:rsidRPr="006C66C2">
        <w:rPr>
          <w:rFonts w:asciiTheme="minorHAnsi" w:hAnsiTheme="minorHAnsi" w:cstheme="minorHAnsi"/>
        </w:rPr>
        <w:t>Reforms i</w:t>
      </w:r>
      <w:r w:rsidRPr="006C66C2">
        <w:rPr>
          <w:rFonts w:asciiTheme="minorHAnsi" w:hAnsiTheme="minorHAnsi" w:cstheme="minorHAnsi"/>
        </w:rPr>
        <w:t>nclude</w:t>
      </w:r>
      <w:r w:rsidR="001D69C6" w:rsidRPr="006C66C2">
        <w:rPr>
          <w:rFonts w:asciiTheme="minorHAnsi" w:hAnsiTheme="minorHAnsi" w:cstheme="minorHAnsi"/>
        </w:rPr>
        <w:t>:</w:t>
      </w:r>
      <w:r w:rsidR="00AF4B21" w:rsidRPr="006C66C2">
        <w:rPr>
          <w:rFonts w:asciiTheme="minorHAnsi" w:hAnsiTheme="minorHAnsi" w:cstheme="minorHAnsi"/>
        </w:rPr>
        <w:t xml:space="preserve"> (i)</w:t>
      </w:r>
      <w:r w:rsidR="005328C7" w:rsidRPr="006C66C2">
        <w:rPr>
          <w:rFonts w:asciiTheme="minorHAnsi" w:hAnsiTheme="minorHAnsi" w:cstheme="minorHAnsi"/>
        </w:rPr>
        <w:t xml:space="preserve"> </w:t>
      </w:r>
      <w:r w:rsidRPr="006C66C2">
        <w:rPr>
          <w:rFonts w:asciiTheme="minorHAnsi" w:hAnsiTheme="minorHAnsi" w:cstheme="minorHAnsi"/>
        </w:rPr>
        <w:t xml:space="preserve">using a new Tax Identification Number throughout all departments of the </w:t>
      </w:r>
      <w:r w:rsidR="00440484" w:rsidRPr="006C66C2">
        <w:rPr>
          <w:rFonts w:asciiTheme="minorHAnsi" w:hAnsiTheme="minorHAnsi" w:cstheme="minorHAnsi"/>
        </w:rPr>
        <w:t>Ministry of Finance and Budget (</w:t>
      </w:r>
      <w:r w:rsidRPr="006C66C2">
        <w:rPr>
          <w:rFonts w:asciiTheme="minorHAnsi" w:hAnsiTheme="minorHAnsi" w:cstheme="minorHAnsi"/>
        </w:rPr>
        <w:t>MFB</w:t>
      </w:r>
      <w:r w:rsidR="00440484" w:rsidRPr="006C66C2">
        <w:rPr>
          <w:rFonts w:asciiTheme="minorHAnsi" w:hAnsiTheme="minorHAnsi" w:cstheme="minorHAnsi"/>
        </w:rPr>
        <w:t>)</w:t>
      </w:r>
      <w:r w:rsidRPr="006C66C2">
        <w:rPr>
          <w:rFonts w:asciiTheme="minorHAnsi" w:hAnsiTheme="minorHAnsi" w:cstheme="minorHAnsi"/>
        </w:rPr>
        <w:t xml:space="preserve"> and</w:t>
      </w:r>
      <w:r w:rsidR="0057387C" w:rsidRPr="006C66C2">
        <w:rPr>
          <w:rFonts w:asciiTheme="minorHAnsi" w:hAnsiTheme="minorHAnsi" w:cstheme="minorHAnsi"/>
        </w:rPr>
        <w:t xml:space="preserve"> </w:t>
      </w:r>
      <w:hyperlink r:id="rId15" w:history="1">
        <w:r w:rsidR="0057387C" w:rsidRPr="00C10686">
          <w:rPr>
            <w:rStyle w:val="Hyperlink"/>
            <w:rFonts w:asciiTheme="minorHAnsi" w:hAnsiTheme="minorHAnsi" w:cstheme="minorHAnsi"/>
            <w:bCs/>
            <w:i/>
            <w:color w:val="auto"/>
            <w:u w:val="none"/>
          </w:rPr>
          <w:t>Caisse Nationale de Prévoyance Sociale pour le secteur privé</w:t>
        </w:r>
      </w:hyperlink>
      <w:r w:rsidR="0057387C" w:rsidRPr="00B66802">
        <w:rPr>
          <w:rFonts w:asciiTheme="minorHAnsi" w:hAnsiTheme="minorHAnsi" w:cstheme="minorHAnsi"/>
        </w:rPr>
        <w:t xml:space="preserve"> (</w:t>
      </w:r>
      <w:r w:rsidRPr="00B66802">
        <w:rPr>
          <w:rFonts w:asciiTheme="minorHAnsi" w:hAnsiTheme="minorHAnsi" w:cstheme="minorHAnsi"/>
        </w:rPr>
        <w:t>the private sector insurance fund</w:t>
      </w:r>
      <w:r w:rsidR="0057387C" w:rsidRPr="00B66802">
        <w:rPr>
          <w:rFonts w:asciiTheme="minorHAnsi" w:hAnsiTheme="minorHAnsi" w:cstheme="minorHAnsi"/>
        </w:rPr>
        <w:t xml:space="preserve"> - CNAPS</w:t>
      </w:r>
      <w:r w:rsidRPr="00B66802">
        <w:rPr>
          <w:rFonts w:asciiTheme="minorHAnsi" w:hAnsiTheme="minorHAnsi" w:cstheme="minorHAnsi"/>
        </w:rPr>
        <w:t>)</w:t>
      </w:r>
      <w:r w:rsidR="001D69C6" w:rsidRPr="00BD4A16">
        <w:rPr>
          <w:rFonts w:asciiTheme="minorHAnsi" w:hAnsiTheme="minorHAnsi" w:cstheme="minorHAnsi"/>
        </w:rPr>
        <w:t xml:space="preserve">. This measure is benefitting from TA under the World Bank’s </w:t>
      </w:r>
      <w:r w:rsidR="009A7F34" w:rsidRPr="00DC050B">
        <w:rPr>
          <w:rFonts w:asciiTheme="minorHAnsi" w:hAnsiTheme="minorHAnsi" w:cstheme="minorHAnsi"/>
        </w:rPr>
        <w:t xml:space="preserve">Public Sector </w:t>
      </w:r>
      <w:r w:rsidR="002069A7" w:rsidRPr="00DC050B">
        <w:rPr>
          <w:rFonts w:asciiTheme="minorHAnsi" w:hAnsiTheme="minorHAnsi" w:cstheme="minorHAnsi"/>
        </w:rPr>
        <w:t xml:space="preserve">Performance </w:t>
      </w:r>
      <w:r w:rsidR="009A7F34" w:rsidRPr="00DC050B">
        <w:rPr>
          <w:rFonts w:asciiTheme="minorHAnsi" w:hAnsiTheme="minorHAnsi" w:cstheme="minorHAnsi"/>
        </w:rPr>
        <w:t>Project (P150116)</w:t>
      </w:r>
      <w:r w:rsidR="001D69C6" w:rsidRPr="00DC050B">
        <w:rPr>
          <w:rFonts w:asciiTheme="minorHAnsi" w:hAnsiTheme="minorHAnsi" w:cstheme="minorHAnsi"/>
        </w:rPr>
        <w:t xml:space="preserve"> </w:t>
      </w:r>
      <w:r w:rsidR="00D11234" w:rsidRPr="00DC050B">
        <w:rPr>
          <w:rFonts w:asciiTheme="minorHAnsi" w:hAnsiTheme="minorHAnsi" w:cstheme="minorHAnsi"/>
        </w:rPr>
        <w:t>and is also included in the IMF’s ECF program;</w:t>
      </w:r>
      <w:r w:rsidR="008A4AB8" w:rsidRPr="006C66C2">
        <w:rPr>
          <w:rFonts w:asciiTheme="minorHAnsi" w:hAnsiTheme="minorHAnsi" w:cstheme="minorHAnsi"/>
        </w:rPr>
        <w:t xml:space="preserve"> (ii) improving the exchange of information between banks and the authorities to support the recovery of unpaid taxes; (iii) modernization of payment systems at the </w:t>
      </w:r>
      <w:r w:rsidR="00C83C79" w:rsidRPr="006C66C2">
        <w:rPr>
          <w:rFonts w:asciiTheme="minorHAnsi" w:hAnsiTheme="minorHAnsi" w:cstheme="minorHAnsi"/>
        </w:rPr>
        <w:t xml:space="preserve">central and regional levels, through </w:t>
      </w:r>
      <w:r w:rsidR="008A4AB8" w:rsidRPr="00A20F63">
        <w:rPr>
          <w:rFonts w:asciiTheme="minorHAnsi" w:hAnsiTheme="minorHAnsi" w:cstheme="minorHAnsi"/>
        </w:rPr>
        <w:t xml:space="preserve">online </w:t>
      </w:r>
      <w:r w:rsidR="00C83C79" w:rsidRPr="00A20F63">
        <w:rPr>
          <w:rFonts w:asciiTheme="minorHAnsi" w:hAnsiTheme="minorHAnsi" w:cstheme="minorHAnsi"/>
        </w:rPr>
        <w:t xml:space="preserve">and mobile </w:t>
      </w:r>
      <w:r w:rsidR="008A4AB8" w:rsidRPr="00A20F63">
        <w:rPr>
          <w:rFonts w:asciiTheme="minorHAnsi" w:hAnsiTheme="minorHAnsi" w:cstheme="minorHAnsi"/>
        </w:rPr>
        <w:t xml:space="preserve">payments; (iv) </w:t>
      </w:r>
      <w:r w:rsidR="00C83C79" w:rsidRPr="00A20F63">
        <w:rPr>
          <w:rFonts w:asciiTheme="minorHAnsi" w:hAnsiTheme="minorHAnsi" w:cstheme="minorHAnsi"/>
        </w:rPr>
        <w:t>establishing a Tax Policy Unit at MFB</w:t>
      </w:r>
      <w:r w:rsidR="00D11234" w:rsidRPr="00A20F63">
        <w:rPr>
          <w:rFonts w:asciiTheme="minorHAnsi" w:hAnsiTheme="minorHAnsi" w:cstheme="minorHAnsi"/>
        </w:rPr>
        <w:t xml:space="preserve"> (included in the IMF’s ECF program)</w:t>
      </w:r>
      <w:r w:rsidR="00C83C79" w:rsidRPr="00A20F63">
        <w:rPr>
          <w:rFonts w:asciiTheme="minorHAnsi" w:hAnsiTheme="minorHAnsi" w:cstheme="minorHAnsi"/>
        </w:rPr>
        <w:t>; and (v) extending performance contracts to the anti-fraud service at customs</w:t>
      </w:r>
      <w:r w:rsidR="00D11234" w:rsidRPr="00A20F63">
        <w:rPr>
          <w:rFonts w:asciiTheme="minorHAnsi" w:hAnsiTheme="minorHAnsi" w:cstheme="minorHAnsi"/>
        </w:rPr>
        <w:t xml:space="preserve"> (part of the IMF’s ECF program</w:t>
      </w:r>
      <w:r w:rsidR="002069A7" w:rsidRPr="00A20F63">
        <w:rPr>
          <w:rFonts w:asciiTheme="minorHAnsi" w:hAnsiTheme="minorHAnsi" w:cstheme="minorHAnsi"/>
        </w:rPr>
        <w:t xml:space="preserve"> and the Public Sector Performance Project (P150116)</w:t>
      </w:r>
      <w:r w:rsidR="00D11234" w:rsidRPr="00A20F63">
        <w:rPr>
          <w:rFonts w:asciiTheme="minorHAnsi" w:hAnsiTheme="minorHAnsi" w:cstheme="minorHAnsi"/>
        </w:rPr>
        <w:t>)</w:t>
      </w:r>
      <w:r w:rsidR="00C83C79" w:rsidRPr="00A20F63">
        <w:rPr>
          <w:rFonts w:asciiTheme="minorHAnsi" w:hAnsiTheme="minorHAnsi" w:cstheme="minorHAnsi"/>
        </w:rPr>
        <w:t xml:space="preserve">. </w:t>
      </w:r>
    </w:p>
    <w:p w14:paraId="38A1FE08" w14:textId="1960D25D" w:rsidR="007271A7" w:rsidRPr="006C66C2" w:rsidRDefault="00974F7D" w:rsidP="008312F0">
      <w:pPr>
        <w:pStyle w:val="ListParagraph"/>
        <w:widowControl w:val="0"/>
        <w:numPr>
          <w:ilvl w:val="0"/>
          <w:numId w:val="17"/>
        </w:numPr>
        <w:tabs>
          <w:tab w:val="left" w:pos="450"/>
        </w:tabs>
        <w:autoSpaceDE w:val="0"/>
        <w:autoSpaceDN w:val="0"/>
        <w:adjustRightInd w:val="0"/>
        <w:spacing w:before="13" w:after="240" w:line="240" w:lineRule="auto"/>
        <w:ind w:left="360"/>
        <w:jc w:val="both"/>
        <w:rPr>
          <w:rFonts w:asciiTheme="minorHAnsi" w:hAnsiTheme="minorHAnsi" w:cstheme="minorHAnsi"/>
        </w:rPr>
      </w:pPr>
      <w:r w:rsidRPr="00A20F63">
        <w:rPr>
          <w:rFonts w:asciiTheme="minorHAnsi" w:hAnsiTheme="minorHAnsi" w:cstheme="minorHAnsi"/>
          <w:b/>
        </w:rPr>
        <w:lastRenderedPageBreak/>
        <w:t>Pensions</w:t>
      </w:r>
      <w:r w:rsidR="00403406" w:rsidRPr="00A20F63">
        <w:rPr>
          <w:rFonts w:asciiTheme="minorHAnsi" w:hAnsiTheme="minorHAnsi" w:cstheme="minorHAnsi"/>
          <w:b/>
        </w:rPr>
        <w:t xml:space="preserve"> reforms are included in the PFM Modernization Strategy</w:t>
      </w:r>
      <w:r w:rsidRPr="00A20F63">
        <w:rPr>
          <w:rFonts w:asciiTheme="minorHAnsi" w:hAnsiTheme="minorHAnsi" w:cstheme="minorHAnsi"/>
          <w:b/>
        </w:rPr>
        <w:t xml:space="preserve">: </w:t>
      </w:r>
      <w:r w:rsidR="00427E40" w:rsidRPr="00A20F63">
        <w:rPr>
          <w:rFonts w:asciiTheme="minorHAnsi" w:hAnsiTheme="minorHAnsi" w:cstheme="minorHAnsi"/>
        </w:rPr>
        <w:t>Pensions in Madagascar are financed on</w:t>
      </w:r>
      <w:r w:rsidR="00427E40" w:rsidRPr="00406280">
        <w:rPr>
          <w:rFonts w:asciiTheme="minorHAnsi" w:hAnsiTheme="minorHAnsi" w:cstheme="minorHAnsi"/>
        </w:rPr>
        <w:t xml:space="preserve"> a pay-as-you-go basis, where contributions from current employees and employers are used to pay benefits of existing pensioners, and deficits are financed by the budget through a transfer to the Pension Fund.</w:t>
      </w:r>
      <w:r w:rsidR="00427E40" w:rsidRPr="00B66802">
        <w:rPr>
          <w:rStyle w:val="FootnoteReference"/>
          <w:rFonts w:asciiTheme="minorHAnsi" w:hAnsiTheme="minorHAnsi" w:cstheme="minorHAnsi"/>
        </w:rPr>
        <w:footnoteReference w:id="22"/>
      </w:r>
      <w:r w:rsidR="0057387C" w:rsidRPr="00B66802">
        <w:rPr>
          <w:rFonts w:asciiTheme="minorHAnsi" w:hAnsiTheme="minorHAnsi" w:cstheme="minorHAnsi"/>
        </w:rPr>
        <w:t xml:space="preserve"> </w:t>
      </w:r>
      <w:r w:rsidR="00427E40" w:rsidRPr="00B66802">
        <w:rPr>
          <w:rFonts w:asciiTheme="minorHAnsi" w:hAnsiTheme="minorHAnsi" w:cstheme="minorHAnsi"/>
        </w:rPr>
        <w:t xml:space="preserve">To reduce the transfer to the Pension Fund by an annual target of MGA 50 billion (0.14 percent of GDP in 2017), </w:t>
      </w:r>
      <w:r w:rsidR="00427E40" w:rsidRPr="00BD4A16">
        <w:rPr>
          <w:rFonts w:asciiTheme="minorHAnsi" w:hAnsiTheme="minorHAnsi" w:cstheme="minorHAnsi"/>
        </w:rPr>
        <w:t>the authorities have implemented administrative reforms in the management of the pensions fund since 2016 including</w:t>
      </w:r>
      <w:r w:rsidR="008E04AF">
        <w:rPr>
          <w:rFonts w:asciiTheme="minorHAnsi" w:hAnsiTheme="minorHAnsi" w:cstheme="minorHAnsi"/>
        </w:rPr>
        <w:t xml:space="preserve"> the</w:t>
      </w:r>
      <w:r w:rsidR="0057387C" w:rsidRPr="00DC050B">
        <w:rPr>
          <w:rFonts w:asciiTheme="minorHAnsi" w:hAnsiTheme="minorHAnsi" w:cstheme="minorHAnsi"/>
        </w:rPr>
        <w:t>: (i)</w:t>
      </w:r>
      <w:r w:rsidR="00427E40" w:rsidRPr="00DC050B">
        <w:rPr>
          <w:rFonts w:asciiTheme="minorHAnsi" w:hAnsiTheme="minorHAnsi" w:cstheme="minorHAnsi"/>
        </w:rPr>
        <w:t xml:space="preserve"> clean-up of the rosters of beneficiaries</w:t>
      </w:r>
      <w:r w:rsidR="0057387C" w:rsidRPr="00DC050B">
        <w:rPr>
          <w:rFonts w:asciiTheme="minorHAnsi" w:hAnsiTheme="minorHAnsi" w:cstheme="minorHAnsi"/>
        </w:rPr>
        <w:t xml:space="preserve">; (ii) </w:t>
      </w:r>
      <w:r w:rsidR="00427E40" w:rsidRPr="00DC050B">
        <w:rPr>
          <w:rFonts w:asciiTheme="minorHAnsi" w:hAnsiTheme="minorHAnsi" w:cstheme="minorHAnsi"/>
        </w:rPr>
        <w:t>harmonization of the contributions to the two pension funds in preparation of their future merging</w:t>
      </w:r>
      <w:r w:rsidR="0057387C" w:rsidRPr="006C66C2">
        <w:rPr>
          <w:rFonts w:asciiTheme="minorHAnsi" w:hAnsiTheme="minorHAnsi" w:cstheme="minorHAnsi"/>
        </w:rPr>
        <w:t xml:space="preserve">; and (iii) </w:t>
      </w:r>
      <w:r w:rsidR="00D06670" w:rsidRPr="006C66C2">
        <w:rPr>
          <w:rFonts w:asciiTheme="minorHAnsi" w:hAnsiTheme="minorHAnsi" w:cstheme="minorHAnsi"/>
        </w:rPr>
        <w:t>increas</w:t>
      </w:r>
      <w:r w:rsidR="008E04AF">
        <w:rPr>
          <w:rFonts w:asciiTheme="minorHAnsi" w:hAnsiTheme="minorHAnsi" w:cstheme="minorHAnsi"/>
        </w:rPr>
        <w:t>e</w:t>
      </w:r>
      <w:r w:rsidR="00427E40" w:rsidRPr="006C66C2">
        <w:rPr>
          <w:rFonts w:asciiTheme="minorHAnsi" w:hAnsiTheme="minorHAnsi" w:cstheme="minorHAnsi"/>
        </w:rPr>
        <w:t xml:space="preserve"> </w:t>
      </w:r>
      <w:r w:rsidR="00C10686">
        <w:rPr>
          <w:rFonts w:asciiTheme="minorHAnsi" w:hAnsiTheme="minorHAnsi" w:cstheme="minorHAnsi"/>
        </w:rPr>
        <w:t xml:space="preserve">in </w:t>
      </w:r>
      <w:r w:rsidR="00427E40" w:rsidRPr="006C66C2">
        <w:rPr>
          <w:rFonts w:asciiTheme="minorHAnsi" w:hAnsiTheme="minorHAnsi" w:cstheme="minorHAnsi"/>
        </w:rPr>
        <w:t>contribution rates in 2017. Selected pensions reforms are being supported in this DPO series, and through World Bank TA.</w:t>
      </w:r>
    </w:p>
    <w:p w14:paraId="08A79998" w14:textId="77777777" w:rsidR="008312F0" w:rsidRPr="00A20F63" w:rsidRDefault="008312F0" w:rsidP="008312F0">
      <w:pPr>
        <w:pStyle w:val="ListParagraph"/>
        <w:rPr>
          <w:rFonts w:asciiTheme="minorHAnsi" w:hAnsiTheme="minorHAnsi" w:cstheme="minorHAnsi"/>
        </w:rPr>
      </w:pPr>
    </w:p>
    <w:p w14:paraId="17478349" w14:textId="4BAA1E4E" w:rsidR="002E6E9D" w:rsidRPr="006C66C2" w:rsidRDefault="002E6E9D" w:rsidP="00AB5C09">
      <w:pPr>
        <w:pStyle w:val="ListParagraph"/>
        <w:widowControl w:val="0"/>
        <w:numPr>
          <w:ilvl w:val="0"/>
          <w:numId w:val="17"/>
        </w:numPr>
        <w:tabs>
          <w:tab w:val="left" w:pos="450"/>
        </w:tabs>
        <w:autoSpaceDE w:val="0"/>
        <w:autoSpaceDN w:val="0"/>
        <w:adjustRightInd w:val="0"/>
        <w:spacing w:before="13" w:after="240" w:line="240" w:lineRule="auto"/>
        <w:ind w:left="360"/>
        <w:jc w:val="both"/>
        <w:rPr>
          <w:rFonts w:asciiTheme="minorHAnsi" w:hAnsiTheme="minorHAnsi" w:cstheme="minorHAnsi"/>
        </w:rPr>
      </w:pPr>
      <w:r w:rsidRPr="00A20F63">
        <w:rPr>
          <w:rFonts w:asciiTheme="minorHAnsi" w:hAnsiTheme="minorHAnsi" w:cstheme="minorHAnsi"/>
          <w:b/>
        </w:rPr>
        <w:t>Roadmap on the review of the fuel pricing mechanism</w:t>
      </w:r>
      <w:r w:rsidR="00A1286D" w:rsidRPr="00A20F63">
        <w:rPr>
          <w:rFonts w:asciiTheme="minorHAnsi" w:hAnsiTheme="minorHAnsi" w:cstheme="minorHAnsi"/>
          <w:b/>
        </w:rPr>
        <w:t xml:space="preserve">. </w:t>
      </w:r>
      <w:r w:rsidR="00A1286D" w:rsidRPr="00A20F63">
        <w:rPr>
          <w:rFonts w:asciiTheme="minorHAnsi" w:hAnsiTheme="minorHAnsi" w:cstheme="minorHAnsi"/>
        </w:rPr>
        <w:t xml:space="preserve">While Madagascar’s petroleum sector is formally liberalized, the Government introduced ceilings to </w:t>
      </w:r>
      <w:r w:rsidR="00A1286D" w:rsidRPr="00A20F63">
        <w:rPr>
          <w:rFonts w:asciiTheme="minorHAnsi" w:hAnsiTheme="minorHAnsi" w:cstheme="minorHAnsi"/>
          <w:bCs/>
        </w:rPr>
        <w:t xml:space="preserve">pump prices </w:t>
      </w:r>
      <w:r w:rsidR="00A1286D" w:rsidRPr="00A20F63">
        <w:rPr>
          <w:rFonts w:asciiTheme="minorHAnsi" w:hAnsiTheme="minorHAnsi" w:cstheme="minorHAnsi"/>
        </w:rPr>
        <w:t>in 2010</w:t>
      </w:r>
      <w:r w:rsidR="001E43D3" w:rsidRPr="00A20F63">
        <w:rPr>
          <w:rFonts w:asciiTheme="minorHAnsi" w:hAnsiTheme="minorHAnsi" w:cstheme="minorHAnsi"/>
        </w:rPr>
        <w:t>, in the context of rising oil prices</w:t>
      </w:r>
      <w:r w:rsidR="00A1286D" w:rsidRPr="00A20F63">
        <w:rPr>
          <w:rFonts w:asciiTheme="minorHAnsi" w:hAnsiTheme="minorHAnsi" w:cstheme="minorHAnsi"/>
        </w:rPr>
        <w:t xml:space="preserve">. </w:t>
      </w:r>
      <w:r w:rsidR="00C74501" w:rsidRPr="00A20F63">
        <w:rPr>
          <w:rFonts w:asciiTheme="minorHAnsi" w:hAnsiTheme="minorHAnsi" w:cstheme="minorHAnsi"/>
        </w:rPr>
        <w:t>Fuel subsidies were paid to petroleum companies, based on the difference between a fuel reference price structure for petroleum products and pump prices</w:t>
      </w:r>
      <w:r w:rsidR="00FD13C4" w:rsidRPr="00A20F63">
        <w:rPr>
          <w:rFonts w:asciiTheme="minorHAnsi" w:hAnsiTheme="minorHAnsi" w:cstheme="minorHAnsi"/>
        </w:rPr>
        <w:t xml:space="preserve">. </w:t>
      </w:r>
      <w:r w:rsidR="00427E40" w:rsidRPr="00A20F63">
        <w:rPr>
          <w:rFonts w:asciiTheme="minorHAnsi" w:hAnsiTheme="minorHAnsi" w:cstheme="minorHAnsi"/>
        </w:rPr>
        <w:t>Between 2012 and 2015, pump prices of fuel were subsidized, with an annual average cost of 1.3 percent of GDP in 2013-2014.</w:t>
      </w:r>
      <w:r w:rsidR="00427E40" w:rsidRPr="00B66802">
        <w:rPr>
          <w:rStyle w:val="FootnoteReference"/>
          <w:rFonts w:asciiTheme="minorHAnsi" w:hAnsiTheme="minorHAnsi" w:cstheme="minorHAnsi"/>
        </w:rPr>
        <w:footnoteReference w:id="23"/>
      </w:r>
      <w:r w:rsidR="00427E40" w:rsidRPr="00B66802">
        <w:rPr>
          <w:rFonts w:asciiTheme="minorHAnsi" w:hAnsiTheme="minorHAnsi" w:cstheme="minorHAnsi"/>
        </w:rPr>
        <w:t xml:space="preserve"> A</w:t>
      </w:r>
      <w:r w:rsidR="00FD13C4" w:rsidRPr="00B66802">
        <w:rPr>
          <w:rFonts w:asciiTheme="minorHAnsi" w:hAnsiTheme="minorHAnsi" w:cstheme="minorHAnsi"/>
        </w:rPr>
        <w:t xml:space="preserve">rrears were accumulated when </w:t>
      </w:r>
      <w:r w:rsidR="00427E40" w:rsidRPr="00B66802">
        <w:rPr>
          <w:rFonts w:asciiTheme="minorHAnsi" w:hAnsiTheme="minorHAnsi" w:cstheme="minorHAnsi"/>
        </w:rPr>
        <w:t xml:space="preserve">subsidies </w:t>
      </w:r>
      <w:r w:rsidR="00FD13C4" w:rsidRPr="00BD4A16">
        <w:rPr>
          <w:rFonts w:asciiTheme="minorHAnsi" w:hAnsiTheme="minorHAnsi" w:cstheme="minorHAnsi"/>
        </w:rPr>
        <w:t>could</w:t>
      </w:r>
      <w:r w:rsidR="00FD13C4" w:rsidRPr="00DC050B">
        <w:rPr>
          <w:rFonts w:asciiTheme="minorHAnsi" w:hAnsiTheme="minorHAnsi" w:cstheme="minorHAnsi"/>
        </w:rPr>
        <w:t xml:space="preserve"> not be paid. </w:t>
      </w:r>
      <w:r w:rsidR="009935D6" w:rsidRPr="00DC050B">
        <w:rPr>
          <w:rFonts w:asciiTheme="minorHAnsi" w:hAnsiTheme="minorHAnsi" w:cstheme="minorHAnsi"/>
        </w:rPr>
        <w:t xml:space="preserve">Following reforms supported under the Re-engagement DPO in 2014, </w:t>
      </w:r>
      <w:r w:rsidR="00941F1C" w:rsidRPr="00DC050B">
        <w:rPr>
          <w:rFonts w:asciiTheme="minorHAnsi" w:hAnsiTheme="minorHAnsi" w:cstheme="minorHAnsi"/>
        </w:rPr>
        <w:t xml:space="preserve">arrears were cleared. And since November 2015, </w:t>
      </w:r>
      <w:r w:rsidR="00A1286D" w:rsidRPr="00DC050B">
        <w:rPr>
          <w:rFonts w:asciiTheme="minorHAnsi" w:hAnsiTheme="minorHAnsi" w:cstheme="minorHAnsi"/>
        </w:rPr>
        <w:t xml:space="preserve">fuel subsidies have been </w:t>
      </w:r>
      <w:r w:rsidR="00190ABB" w:rsidRPr="00DC050B">
        <w:rPr>
          <w:rFonts w:asciiTheme="minorHAnsi" w:hAnsiTheme="minorHAnsi" w:cstheme="minorHAnsi"/>
        </w:rPr>
        <w:t>eliminated</w:t>
      </w:r>
      <w:r w:rsidR="00A1286D" w:rsidRPr="006C66C2">
        <w:rPr>
          <w:rFonts w:asciiTheme="minorHAnsi" w:hAnsiTheme="minorHAnsi" w:cstheme="minorHAnsi"/>
        </w:rPr>
        <w:t xml:space="preserve">. </w:t>
      </w:r>
      <w:r w:rsidR="00941F1C" w:rsidRPr="006C66C2">
        <w:rPr>
          <w:rFonts w:asciiTheme="minorHAnsi" w:hAnsiTheme="minorHAnsi" w:cstheme="minorHAnsi"/>
        </w:rPr>
        <w:t>A Roadmap has been agreed to update the fuel reference price structure, following a diagnostic study undertaken with support from W</w:t>
      </w:r>
      <w:r w:rsidR="008E04AF">
        <w:rPr>
          <w:rFonts w:asciiTheme="minorHAnsi" w:hAnsiTheme="minorHAnsi" w:cstheme="minorHAnsi"/>
        </w:rPr>
        <w:t xml:space="preserve">orld </w:t>
      </w:r>
      <w:r w:rsidR="00941F1C" w:rsidRPr="006C66C2">
        <w:rPr>
          <w:rFonts w:asciiTheme="minorHAnsi" w:hAnsiTheme="minorHAnsi" w:cstheme="minorHAnsi"/>
        </w:rPr>
        <w:t>B</w:t>
      </w:r>
      <w:r w:rsidR="008E04AF">
        <w:rPr>
          <w:rFonts w:asciiTheme="minorHAnsi" w:hAnsiTheme="minorHAnsi" w:cstheme="minorHAnsi"/>
        </w:rPr>
        <w:t xml:space="preserve">ank </w:t>
      </w:r>
      <w:r w:rsidR="00941F1C" w:rsidRPr="006C66C2">
        <w:rPr>
          <w:rFonts w:asciiTheme="minorHAnsi" w:hAnsiTheme="minorHAnsi" w:cstheme="minorHAnsi"/>
        </w:rPr>
        <w:t xml:space="preserve">TA. </w:t>
      </w:r>
    </w:p>
    <w:p w14:paraId="39989D2F" w14:textId="77777777" w:rsidR="005328C7" w:rsidRPr="00A20F63" w:rsidRDefault="005328C7" w:rsidP="00AB5C09">
      <w:pPr>
        <w:pStyle w:val="ListParagraph"/>
        <w:widowControl w:val="0"/>
        <w:tabs>
          <w:tab w:val="left" w:pos="450"/>
        </w:tabs>
        <w:autoSpaceDE w:val="0"/>
        <w:autoSpaceDN w:val="0"/>
        <w:adjustRightInd w:val="0"/>
        <w:spacing w:before="13" w:after="240" w:line="240" w:lineRule="auto"/>
        <w:ind w:left="360"/>
        <w:jc w:val="both"/>
        <w:rPr>
          <w:rFonts w:asciiTheme="minorHAnsi" w:hAnsiTheme="minorHAnsi" w:cstheme="minorHAnsi"/>
        </w:rPr>
      </w:pPr>
    </w:p>
    <w:p w14:paraId="3CB50FFF" w14:textId="7B61F24F" w:rsidR="002E6E9D" w:rsidRPr="0085470E" w:rsidRDefault="008F3400" w:rsidP="00AB5C09">
      <w:pPr>
        <w:pStyle w:val="ListParagraph"/>
        <w:widowControl w:val="0"/>
        <w:numPr>
          <w:ilvl w:val="0"/>
          <w:numId w:val="17"/>
        </w:numPr>
        <w:tabs>
          <w:tab w:val="left" w:pos="450"/>
        </w:tabs>
        <w:autoSpaceDE w:val="0"/>
        <w:autoSpaceDN w:val="0"/>
        <w:adjustRightInd w:val="0"/>
        <w:spacing w:before="13" w:after="240" w:line="240" w:lineRule="auto"/>
        <w:ind w:left="360"/>
        <w:jc w:val="both"/>
        <w:rPr>
          <w:rFonts w:asciiTheme="minorHAnsi" w:hAnsiTheme="minorHAnsi" w:cstheme="minorHAnsi"/>
        </w:rPr>
      </w:pPr>
      <w:r w:rsidRPr="00A20F63">
        <w:rPr>
          <w:rFonts w:asciiTheme="minorHAnsi" w:hAnsiTheme="minorHAnsi" w:cstheme="minorHAnsi"/>
          <w:b/>
        </w:rPr>
        <w:t xml:space="preserve">The </w:t>
      </w:r>
      <w:r w:rsidR="00C62D25" w:rsidRPr="00A20F63">
        <w:rPr>
          <w:rFonts w:asciiTheme="minorHAnsi" w:hAnsiTheme="minorHAnsi" w:cstheme="minorHAnsi"/>
          <w:b/>
        </w:rPr>
        <w:t>PAP for Public Investments</w:t>
      </w:r>
      <w:r w:rsidR="001E43D3" w:rsidRPr="00A20F63">
        <w:rPr>
          <w:rFonts w:asciiTheme="minorHAnsi" w:hAnsiTheme="minorHAnsi" w:cstheme="minorHAnsi"/>
          <w:b/>
        </w:rPr>
        <w:t xml:space="preserve">. </w:t>
      </w:r>
      <w:r w:rsidR="008A7A8C" w:rsidRPr="00A20F63">
        <w:rPr>
          <w:rFonts w:asciiTheme="minorHAnsi" w:hAnsiTheme="minorHAnsi" w:cstheme="minorHAnsi"/>
        </w:rPr>
        <w:t>This</w:t>
      </w:r>
      <w:r w:rsidR="00C74501" w:rsidRPr="00A20F63">
        <w:rPr>
          <w:rFonts w:asciiTheme="minorHAnsi" w:hAnsiTheme="minorHAnsi" w:cstheme="minorHAnsi"/>
        </w:rPr>
        <w:t xml:space="preserve"> strategic document </w:t>
      </w:r>
      <w:r w:rsidR="002E6E9D" w:rsidRPr="00A20F63">
        <w:rPr>
          <w:rFonts w:asciiTheme="minorHAnsi" w:hAnsiTheme="minorHAnsi" w:cstheme="minorHAnsi"/>
        </w:rPr>
        <w:t xml:space="preserve">aims </w:t>
      </w:r>
      <w:r w:rsidR="00C62D25" w:rsidRPr="00A20F63">
        <w:rPr>
          <w:rFonts w:asciiTheme="minorHAnsi" w:hAnsiTheme="minorHAnsi" w:cstheme="minorHAnsi"/>
        </w:rPr>
        <w:t>to improve the selection, budgeting and monitoring of public investment</w:t>
      </w:r>
      <w:r w:rsidR="00C74501" w:rsidRPr="00A20F63">
        <w:rPr>
          <w:rFonts w:asciiTheme="minorHAnsi" w:hAnsiTheme="minorHAnsi" w:cstheme="minorHAnsi"/>
        </w:rPr>
        <w:t xml:space="preserve"> and </w:t>
      </w:r>
      <w:r w:rsidR="007966FB" w:rsidRPr="00A20F63">
        <w:rPr>
          <w:rFonts w:asciiTheme="minorHAnsi" w:hAnsiTheme="minorHAnsi" w:cstheme="minorHAnsi"/>
        </w:rPr>
        <w:t>strengthen the institutional framework for the management of public expenditures</w:t>
      </w:r>
      <w:r w:rsidR="00607DBF" w:rsidRPr="00A20F63">
        <w:rPr>
          <w:rFonts w:asciiTheme="minorHAnsi" w:hAnsiTheme="minorHAnsi" w:cstheme="minorHAnsi"/>
        </w:rPr>
        <w:t>, given the Government’s intentions to scale-up public investments</w:t>
      </w:r>
      <w:r w:rsidR="007966FB" w:rsidRPr="00A20F63">
        <w:rPr>
          <w:rFonts w:asciiTheme="minorHAnsi" w:hAnsiTheme="minorHAnsi" w:cstheme="minorHAnsi"/>
        </w:rPr>
        <w:t xml:space="preserve">. </w:t>
      </w:r>
      <w:r w:rsidR="002E6E9D" w:rsidRPr="00A20F63">
        <w:rPr>
          <w:rFonts w:asciiTheme="minorHAnsi" w:hAnsiTheme="minorHAnsi" w:cstheme="minorHAnsi"/>
        </w:rPr>
        <w:t xml:space="preserve">The PAP </w:t>
      </w:r>
      <w:r w:rsidR="008A7A8C" w:rsidRPr="00A20F63">
        <w:rPr>
          <w:rFonts w:asciiTheme="minorHAnsi" w:hAnsiTheme="minorHAnsi" w:cstheme="minorHAnsi"/>
        </w:rPr>
        <w:t xml:space="preserve">has benefited from IMF TA and </w:t>
      </w:r>
      <w:r w:rsidR="00C74501" w:rsidRPr="00A20F63">
        <w:rPr>
          <w:rFonts w:asciiTheme="minorHAnsi" w:hAnsiTheme="minorHAnsi" w:cstheme="minorHAnsi"/>
        </w:rPr>
        <w:t xml:space="preserve">responds to the recommendations in the </w:t>
      </w:r>
      <w:r w:rsidR="002E6E9D" w:rsidRPr="00A20F63">
        <w:rPr>
          <w:rFonts w:asciiTheme="minorHAnsi" w:hAnsiTheme="minorHAnsi" w:cstheme="minorHAnsi"/>
        </w:rPr>
        <w:t xml:space="preserve">joint IMF-WB PIM Assessment. </w:t>
      </w:r>
      <w:r w:rsidR="00215E01" w:rsidRPr="00A20F63">
        <w:rPr>
          <w:rFonts w:asciiTheme="minorHAnsi" w:hAnsiTheme="minorHAnsi" w:cstheme="minorHAnsi"/>
        </w:rPr>
        <w:t xml:space="preserve">Given low levels of domestic resource mobilization the authorities are actively </w:t>
      </w:r>
      <w:r w:rsidR="00663DF4" w:rsidRPr="00406280">
        <w:rPr>
          <w:rFonts w:asciiTheme="minorHAnsi" w:hAnsiTheme="minorHAnsi" w:cstheme="minorHAnsi"/>
        </w:rPr>
        <w:t xml:space="preserve">pursuing various initiatives to </w:t>
      </w:r>
      <w:r w:rsidR="00233C8C" w:rsidRPr="00406280">
        <w:rPr>
          <w:rFonts w:asciiTheme="minorHAnsi" w:hAnsiTheme="minorHAnsi" w:cstheme="minorHAnsi"/>
        </w:rPr>
        <w:t xml:space="preserve">attract external financing, which is well-aligned with the </w:t>
      </w:r>
      <w:r w:rsidR="00406280">
        <w:rPr>
          <w:rFonts w:asciiTheme="minorHAnsi" w:hAnsiTheme="minorHAnsi" w:cstheme="minorHAnsi"/>
        </w:rPr>
        <w:t xml:space="preserve">World </w:t>
      </w:r>
      <w:r w:rsidR="00233C8C" w:rsidRPr="00406280">
        <w:rPr>
          <w:rFonts w:asciiTheme="minorHAnsi" w:hAnsiTheme="minorHAnsi" w:cstheme="minorHAnsi"/>
        </w:rPr>
        <w:t xml:space="preserve">Bank’s cascade approach. To this end, a </w:t>
      </w:r>
      <w:r w:rsidR="002E6E9D" w:rsidRPr="00406280">
        <w:rPr>
          <w:rFonts w:asciiTheme="minorHAnsi" w:hAnsiTheme="minorHAnsi" w:cstheme="minorHAnsi"/>
        </w:rPr>
        <w:t xml:space="preserve">new decree has been passed that establishes </w:t>
      </w:r>
      <w:r w:rsidR="007966FB" w:rsidRPr="00406280">
        <w:rPr>
          <w:rFonts w:asciiTheme="minorHAnsi" w:hAnsiTheme="minorHAnsi" w:cstheme="minorHAnsi"/>
        </w:rPr>
        <w:t xml:space="preserve">the Organization for the Coordination and Monitoring of </w:t>
      </w:r>
      <w:r w:rsidR="00443A36" w:rsidRPr="00406280">
        <w:rPr>
          <w:rFonts w:asciiTheme="minorHAnsi" w:hAnsiTheme="minorHAnsi" w:cstheme="minorHAnsi"/>
        </w:rPr>
        <w:t>Investments and their Financing, which intends to follow-up on financing pledged during the Donors and Investors Conference</w:t>
      </w:r>
      <w:r w:rsidR="00233C8C" w:rsidRPr="00406280">
        <w:rPr>
          <w:rFonts w:asciiTheme="minorHAnsi" w:hAnsiTheme="minorHAnsi" w:cstheme="minorHAnsi"/>
        </w:rPr>
        <w:t>, as well as</w:t>
      </w:r>
      <w:r w:rsidR="00BA3C68" w:rsidRPr="00406280">
        <w:rPr>
          <w:rFonts w:asciiTheme="minorHAnsi" w:hAnsiTheme="minorHAnsi" w:cstheme="minorHAnsi"/>
        </w:rPr>
        <w:t xml:space="preserve"> ensuring effective project execution</w:t>
      </w:r>
      <w:r w:rsidR="00233C8C" w:rsidRPr="00601B29">
        <w:rPr>
          <w:rFonts w:asciiTheme="minorHAnsi" w:hAnsiTheme="minorHAnsi" w:cstheme="minorHAnsi"/>
        </w:rPr>
        <w:t xml:space="preserve">. </w:t>
      </w:r>
    </w:p>
    <w:p w14:paraId="12B7A24F" w14:textId="77777777" w:rsidR="008312F0" w:rsidRPr="00A46F16" w:rsidRDefault="008312F0" w:rsidP="008312F0">
      <w:pPr>
        <w:pStyle w:val="ListParagraph"/>
        <w:rPr>
          <w:rFonts w:asciiTheme="minorHAnsi" w:hAnsiTheme="minorHAnsi" w:cstheme="minorHAnsi"/>
        </w:rPr>
      </w:pPr>
    </w:p>
    <w:p w14:paraId="03A22E55" w14:textId="14FA00F2" w:rsidR="005328C7" w:rsidRPr="00051ABB" w:rsidRDefault="005328C7" w:rsidP="008312F0">
      <w:pPr>
        <w:pStyle w:val="ListParagraph"/>
        <w:widowControl w:val="0"/>
        <w:numPr>
          <w:ilvl w:val="0"/>
          <w:numId w:val="17"/>
        </w:numPr>
        <w:tabs>
          <w:tab w:val="left" w:pos="450"/>
        </w:tabs>
        <w:autoSpaceDE w:val="0"/>
        <w:autoSpaceDN w:val="0"/>
        <w:adjustRightInd w:val="0"/>
        <w:spacing w:before="13" w:after="240" w:line="240" w:lineRule="auto"/>
        <w:ind w:left="360"/>
        <w:jc w:val="both"/>
        <w:rPr>
          <w:rFonts w:asciiTheme="minorHAnsi" w:hAnsiTheme="minorHAnsi" w:cstheme="minorHAnsi"/>
        </w:rPr>
      </w:pPr>
      <w:r w:rsidRPr="00A46F16">
        <w:rPr>
          <w:rFonts w:asciiTheme="minorHAnsi" w:hAnsiTheme="minorHAnsi" w:cstheme="minorHAnsi"/>
          <w:b/>
        </w:rPr>
        <w:t>The increased fiscal space generated by the reforms supported in this operation are expected to support the implementation of key strategies in social sectors,</w:t>
      </w:r>
      <w:r w:rsidRPr="00805BA2">
        <w:rPr>
          <w:rFonts w:asciiTheme="minorHAnsi" w:hAnsiTheme="minorHAnsi" w:cstheme="minorHAnsi"/>
        </w:rPr>
        <w:t xml:space="preserve"> </w:t>
      </w:r>
      <w:r w:rsidR="006F1FBA" w:rsidRPr="00805BA2">
        <w:rPr>
          <w:rFonts w:asciiTheme="minorHAnsi" w:hAnsiTheme="minorHAnsi" w:cstheme="minorHAnsi"/>
        </w:rPr>
        <w:t>such as in Social Protection, the Health Development Plan (2015-2019)</w:t>
      </w:r>
      <w:r w:rsidR="002B4976" w:rsidRPr="00805BA2">
        <w:rPr>
          <w:rFonts w:asciiTheme="minorHAnsi" w:hAnsiTheme="minorHAnsi" w:cstheme="minorHAnsi"/>
        </w:rPr>
        <w:t>,</w:t>
      </w:r>
      <w:r w:rsidR="006F1FBA" w:rsidRPr="00805BA2">
        <w:rPr>
          <w:rFonts w:asciiTheme="minorHAnsi" w:hAnsiTheme="minorHAnsi" w:cstheme="minorHAnsi"/>
        </w:rPr>
        <w:t xml:space="preserve"> the Education Sector Plan (2018-2022)</w:t>
      </w:r>
      <w:r w:rsidR="002B4976" w:rsidRPr="00805BA2">
        <w:rPr>
          <w:rFonts w:asciiTheme="minorHAnsi" w:hAnsiTheme="minorHAnsi" w:cstheme="minorHAnsi"/>
        </w:rPr>
        <w:t>, and the Third National Action Plan for Nutrition (2017-202</w:t>
      </w:r>
      <w:r w:rsidR="007D729A" w:rsidRPr="00805BA2">
        <w:rPr>
          <w:rFonts w:asciiTheme="minorHAnsi" w:hAnsiTheme="minorHAnsi" w:cstheme="minorHAnsi"/>
        </w:rPr>
        <w:t>1</w:t>
      </w:r>
      <w:r w:rsidR="002B4976" w:rsidRPr="00805BA2">
        <w:rPr>
          <w:rFonts w:asciiTheme="minorHAnsi" w:hAnsiTheme="minorHAnsi" w:cstheme="minorHAnsi"/>
        </w:rPr>
        <w:t>)</w:t>
      </w:r>
      <w:r w:rsidR="006F1FBA" w:rsidRPr="00805BA2">
        <w:rPr>
          <w:rFonts w:asciiTheme="minorHAnsi" w:hAnsiTheme="minorHAnsi" w:cstheme="minorHAnsi"/>
        </w:rPr>
        <w:t xml:space="preserve">. The improved composition of expenditures supported in this DPO series </w:t>
      </w:r>
      <w:r w:rsidR="00343E87" w:rsidRPr="00051ABB">
        <w:rPr>
          <w:rFonts w:asciiTheme="minorHAnsi" w:hAnsiTheme="minorHAnsi" w:cstheme="minorHAnsi"/>
        </w:rPr>
        <w:t>will help provide the resources needed for the implementation</w:t>
      </w:r>
      <w:r w:rsidR="006F1FBA" w:rsidRPr="00051ABB">
        <w:rPr>
          <w:rFonts w:asciiTheme="minorHAnsi" w:hAnsiTheme="minorHAnsi" w:cstheme="minorHAnsi"/>
        </w:rPr>
        <w:t xml:space="preserve"> of these strategies. The achievement of the objectives of these strategies are also backed by the reforms under the Inclusive and Resilient Growth DPO, such as those aiming to increase access to basic public services and </w:t>
      </w:r>
      <w:r w:rsidR="007F56CB" w:rsidRPr="00051ABB">
        <w:rPr>
          <w:rFonts w:asciiTheme="minorHAnsi" w:hAnsiTheme="minorHAnsi" w:cstheme="minorHAnsi"/>
        </w:rPr>
        <w:t>i</w:t>
      </w:r>
      <w:r w:rsidR="006F1FBA" w:rsidRPr="00051ABB">
        <w:rPr>
          <w:rFonts w:asciiTheme="minorHAnsi" w:hAnsiTheme="minorHAnsi" w:cstheme="minorHAnsi"/>
        </w:rPr>
        <w:t>nfrastructure.</w:t>
      </w:r>
    </w:p>
    <w:p w14:paraId="676812EF" w14:textId="0A1D3BB9" w:rsidR="00CC0435" w:rsidRDefault="00CC0435" w:rsidP="008E7BAC">
      <w:pPr>
        <w:widowControl w:val="0"/>
        <w:tabs>
          <w:tab w:val="left" w:pos="450"/>
        </w:tabs>
        <w:autoSpaceDE w:val="0"/>
        <w:autoSpaceDN w:val="0"/>
        <w:adjustRightInd w:val="0"/>
        <w:spacing w:before="13" w:after="240" w:line="240" w:lineRule="auto"/>
        <w:jc w:val="both"/>
        <w:rPr>
          <w:rFonts w:asciiTheme="minorHAnsi" w:hAnsiTheme="minorHAnsi" w:cstheme="minorHAnsi"/>
          <w:b/>
        </w:rPr>
      </w:pPr>
    </w:p>
    <w:p w14:paraId="1E88E08E" w14:textId="77777777" w:rsidR="002A4AFE" w:rsidRDefault="002A4AFE" w:rsidP="008E7BAC">
      <w:pPr>
        <w:widowControl w:val="0"/>
        <w:tabs>
          <w:tab w:val="left" w:pos="450"/>
        </w:tabs>
        <w:autoSpaceDE w:val="0"/>
        <w:autoSpaceDN w:val="0"/>
        <w:adjustRightInd w:val="0"/>
        <w:spacing w:before="13" w:after="240" w:line="240" w:lineRule="auto"/>
        <w:jc w:val="both"/>
        <w:rPr>
          <w:rFonts w:asciiTheme="minorHAnsi" w:hAnsiTheme="minorHAnsi" w:cstheme="minorHAnsi"/>
          <w:b/>
        </w:rPr>
      </w:pPr>
    </w:p>
    <w:p w14:paraId="456D5416" w14:textId="4EBDEE34" w:rsidR="008E7BAC" w:rsidRPr="00E36113" w:rsidRDefault="002069A7" w:rsidP="008E7BAC">
      <w:pPr>
        <w:widowControl w:val="0"/>
        <w:tabs>
          <w:tab w:val="left" w:pos="450"/>
        </w:tabs>
        <w:autoSpaceDE w:val="0"/>
        <w:autoSpaceDN w:val="0"/>
        <w:adjustRightInd w:val="0"/>
        <w:spacing w:before="13" w:after="240" w:line="240" w:lineRule="auto"/>
        <w:jc w:val="both"/>
        <w:rPr>
          <w:rFonts w:asciiTheme="minorHAnsi" w:hAnsiTheme="minorHAnsi" w:cstheme="minorHAnsi"/>
          <w:b/>
        </w:rPr>
      </w:pPr>
      <w:r w:rsidRPr="00E36113">
        <w:rPr>
          <w:rFonts w:asciiTheme="minorHAnsi" w:hAnsiTheme="minorHAnsi" w:cstheme="minorHAnsi"/>
          <w:b/>
        </w:rPr>
        <w:lastRenderedPageBreak/>
        <w:t xml:space="preserve">(ii) </w:t>
      </w:r>
      <w:r w:rsidR="008E7BAC" w:rsidRPr="00E36113">
        <w:rPr>
          <w:rFonts w:asciiTheme="minorHAnsi" w:hAnsiTheme="minorHAnsi" w:cstheme="minorHAnsi"/>
          <w:b/>
        </w:rPr>
        <w:t xml:space="preserve">Investment Climate: </w:t>
      </w:r>
    </w:p>
    <w:p w14:paraId="7A863CEF" w14:textId="32E1BFEF" w:rsidR="008E7BAC" w:rsidRPr="00A20F63" w:rsidRDefault="00AF4B21" w:rsidP="008312F0">
      <w:pPr>
        <w:pStyle w:val="ListParagraph"/>
        <w:widowControl w:val="0"/>
        <w:numPr>
          <w:ilvl w:val="0"/>
          <w:numId w:val="17"/>
        </w:numPr>
        <w:tabs>
          <w:tab w:val="left" w:pos="450"/>
        </w:tabs>
        <w:autoSpaceDE w:val="0"/>
        <w:autoSpaceDN w:val="0"/>
        <w:adjustRightInd w:val="0"/>
        <w:spacing w:before="13" w:after="240" w:line="240" w:lineRule="auto"/>
        <w:ind w:left="360"/>
        <w:jc w:val="both"/>
        <w:rPr>
          <w:rFonts w:asciiTheme="minorHAnsi" w:hAnsiTheme="minorHAnsi" w:cstheme="minorHAnsi"/>
        </w:rPr>
      </w:pPr>
      <w:r w:rsidRPr="00E36113">
        <w:rPr>
          <w:rFonts w:asciiTheme="minorHAnsi" w:hAnsiTheme="minorHAnsi" w:cstheme="minorHAnsi"/>
          <w:b/>
        </w:rPr>
        <w:t>The Letter of New Energy Policy</w:t>
      </w:r>
      <w:r w:rsidR="00A20F63">
        <w:rPr>
          <w:rFonts w:asciiTheme="minorHAnsi" w:hAnsiTheme="minorHAnsi" w:cstheme="minorHAnsi"/>
          <w:b/>
        </w:rPr>
        <w:t xml:space="preserve"> </w:t>
      </w:r>
      <w:r w:rsidRPr="00A20F63">
        <w:rPr>
          <w:rFonts w:asciiTheme="minorHAnsi" w:hAnsiTheme="minorHAnsi" w:cstheme="minorHAnsi"/>
          <w:b/>
        </w:rPr>
        <w:t>(2015-2019)</w:t>
      </w:r>
      <w:r w:rsidRPr="00A20F63">
        <w:rPr>
          <w:rFonts w:asciiTheme="minorHAnsi" w:hAnsiTheme="minorHAnsi" w:cstheme="minorHAnsi"/>
        </w:rPr>
        <w:t xml:space="preserve"> aims to increase access to electricity from 14 percent in 2010 to 70 percent in 2030. </w:t>
      </w:r>
      <w:r w:rsidR="002D1BCE">
        <w:rPr>
          <w:rFonts w:asciiTheme="minorHAnsi" w:hAnsiTheme="minorHAnsi" w:cstheme="minorHAnsi"/>
        </w:rPr>
        <w:t>T</w:t>
      </w:r>
      <w:r w:rsidRPr="00A20F63">
        <w:rPr>
          <w:rFonts w:asciiTheme="minorHAnsi" w:hAnsiTheme="minorHAnsi" w:cstheme="minorHAnsi"/>
        </w:rPr>
        <w:t>o achieve this target and to improve power supply, a Business Plan for JIRAMA was approved in April 2017 that seeks to operationalize governance reforms including the recruitment of a new management through a competitive process, and improving JIRAMA’s financial performance. To this end, JIRAMA increased its tariff rates in July 2017. The approval of JIRAMA’s business plan is a prior action in the IMF’s ECF program.</w:t>
      </w:r>
    </w:p>
    <w:p w14:paraId="109325A1" w14:textId="77777777" w:rsidR="00D454A2" w:rsidRPr="00A20F63" w:rsidRDefault="00D454A2" w:rsidP="00D454A2">
      <w:pPr>
        <w:pStyle w:val="ListParagraph"/>
        <w:widowControl w:val="0"/>
        <w:tabs>
          <w:tab w:val="left" w:pos="450"/>
        </w:tabs>
        <w:autoSpaceDE w:val="0"/>
        <w:autoSpaceDN w:val="0"/>
        <w:adjustRightInd w:val="0"/>
        <w:spacing w:before="13" w:after="240" w:line="240" w:lineRule="auto"/>
        <w:jc w:val="both"/>
        <w:rPr>
          <w:rFonts w:asciiTheme="minorHAnsi" w:hAnsiTheme="minorHAnsi" w:cstheme="minorHAnsi"/>
        </w:rPr>
      </w:pPr>
    </w:p>
    <w:p w14:paraId="34F47A6B" w14:textId="77777777" w:rsidR="00416AB4" w:rsidRDefault="00332C30" w:rsidP="00C10686">
      <w:pPr>
        <w:pStyle w:val="ListParagraph"/>
        <w:widowControl w:val="0"/>
        <w:numPr>
          <w:ilvl w:val="0"/>
          <w:numId w:val="17"/>
        </w:numPr>
        <w:tabs>
          <w:tab w:val="left" w:pos="450"/>
        </w:tabs>
        <w:autoSpaceDE w:val="0"/>
        <w:autoSpaceDN w:val="0"/>
        <w:adjustRightInd w:val="0"/>
        <w:spacing w:after="0" w:line="240" w:lineRule="auto"/>
        <w:ind w:left="360"/>
        <w:jc w:val="both"/>
        <w:rPr>
          <w:rFonts w:asciiTheme="minorHAnsi" w:hAnsiTheme="minorHAnsi" w:cstheme="minorHAnsi"/>
        </w:rPr>
      </w:pPr>
      <w:r w:rsidRPr="00477E48">
        <w:rPr>
          <w:rFonts w:asciiTheme="minorHAnsi" w:hAnsiTheme="minorHAnsi" w:cstheme="minorHAnsi"/>
          <w:b/>
        </w:rPr>
        <w:t xml:space="preserve">Improvement of </w:t>
      </w:r>
      <w:r w:rsidR="005328C7" w:rsidRPr="00477E48">
        <w:rPr>
          <w:rFonts w:asciiTheme="minorHAnsi" w:hAnsiTheme="minorHAnsi" w:cstheme="minorHAnsi"/>
          <w:b/>
        </w:rPr>
        <w:t>Commercial Justice</w:t>
      </w:r>
      <w:r w:rsidRPr="00477E48">
        <w:rPr>
          <w:rFonts w:asciiTheme="minorHAnsi" w:hAnsiTheme="minorHAnsi" w:cstheme="minorHAnsi"/>
          <w:b/>
        </w:rPr>
        <w:t xml:space="preserve"> Diagnostic</w:t>
      </w:r>
      <w:r w:rsidR="000127D1" w:rsidRPr="00477E48">
        <w:rPr>
          <w:rFonts w:asciiTheme="minorHAnsi" w:hAnsiTheme="minorHAnsi" w:cstheme="minorHAnsi"/>
          <w:b/>
        </w:rPr>
        <w:t xml:space="preserve"> </w:t>
      </w:r>
      <w:r w:rsidR="00C447A9" w:rsidRPr="00477E48">
        <w:rPr>
          <w:rFonts w:asciiTheme="minorHAnsi" w:hAnsiTheme="minorHAnsi" w:cstheme="minorHAnsi"/>
          <w:b/>
        </w:rPr>
        <w:t xml:space="preserve">(2016) </w:t>
      </w:r>
      <w:r w:rsidR="000127D1" w:rsidRPr="00477E48">
        <w:rPr>
          <w:rFonts w:asciiTheme="minorHAnsi" w:hAnsiTheme="minorHAnsi" w:cstheme="minorHAnsi"/>
        </w:rPr>
        <w:t xml:space="preserve">sets </w:t>
      </w:r>
      <w:r w:rsidRPr="00477E48">
        <w:rPr>
          <w:rFonts w:asciiTheme="minorHAnsi" w:hAnsiTheme="minorHAnsi" w:cstheme="minorHAnsi"/>
        </w:rPr>
        <w:t xml:space="preserve">out </w:t>
      </w:r>
      <w:r w:rsidR="000127D1" w:rsidRPr="00477E48">
        <w:rPr>
          <w:rFonts w:asciiTheme="minorHAnsi" w:hAnsiTheme="minorHAnsi" w:cstheme="minorHAnsi"/>
        </w:rPr>
        <w:t xml:space="preserve">a </w:t>
      </w:r>
      <w:r w:rsidR="005328C7" w:rsidRPr="00477E48">
        <w:rPr>
          <w:rFonts w:asciiTheme="minorHAnsi" w:hAnsiTheme="minorHAnsi" w:cstheme="minorHAnsi"/>
        </w:rPr>
        <w:t xml:space="preserve">reform </w:t>
      </w:r>
      <w:r w:rsidR="000127D1" w:rsidRPr="00477E48">
        <w:rPr>
          <w:rFonts w:asciiTheme="minorHAnsi" w:hAnsiTheme="minorHAnsi" w:cstheme="minorHAnsi"/>
        </w:rPr>
        <w:t xml:space="preserve">pathway for the </w:t>
      </w:r>
      <w:r w:rsidRPr="00477E48">
        <w:rPr>
          <w:rFonts w:asciiTheme="minorHAnsi" w:hAnsiTheme="minorHAnsi" w:cstheme="minorHAnsi"/>
        </w:rPr>
        <w:t>sector, including updates t</w:t>
      </w:r>
      <w:r w:rsidR="000E72D6" w:rsidRPr="00477E48">
        <w:rPr>
          <w:rFonts w:asciiTheme="minorHAnsi" w:hAnsiTheme="minorHAnsi" w:cstheme="minorHAnsi"/>
        </w:rPr>
        <w:t>o the legal framework, enhancement of administrative procedures, capacity building,</w:t>
      </w:r>
      <w:r w:rsidR="002069A7" w:rsidRPr="00477E48">
        <w:rPr>
          <w:rFonts w:asciiTheme="minorHAnsi" w:hAnsiTheme="minorHAnsi" w:cstheme="minorHAnsi"/>
        </w:rPr>
        <w:t xml:space="preserve"> and modernization of IT system</w:t>
      </w:r>
      <w:r w:rsidR="000E72D6" w:rsidRPr="00477E48">
        <w:rPr>
          <w:rFonts w:asciiTheme="minorHAnsi" w:hAnsiTheme="minorHAnsi" w:cstheme="minorHAnsi"/>
        </w:rPr>
        <w:t xml:space="preserve">s. </w:t>
      </w:r>
      <w:r w:rsidR="00E70BF3" w:rsidRPr="00477E48">
        <w:rPr>
          <w:rFonts w:asciiTheme="minorHAnsi" w:hAnsiTheme="minorHAnsi" w:cstheme="minorHAnsi"/>
        </w:rPr>
        <w:t xml:space="preserve">The diagnostic discusses the importance of randomizing the allocation of cases </w:t>
      </w:r>
      <w:r w:rsidR="00C4073B" w:rsidRPr="00477E48">
        <w:rPr>
          <w:rFonts w:asciiTheme="minorHAnsi" w:hAnsiTheme="minorHAnsi" w:cstheme="minorHAnsi"/>
        </w:rPr>
        <w:t xml:space="preserve">and reducing delays in the </w:t>
      </w:r>
      <w:r w:rsidR="00640F35" w:rsidRPr="00477E48">
        <w:rPr>
          <w:rFonts w:asciiTheme="minorHAnsi" w:hAnsiTheme="minorHAnsi" w:cstheme="minorHAnsi"/>
        </w:rPr>
        <w:t xml:space="preserve">treatment of commercial cases. The </w:t>
      </w:r>
      <w:r w:rsidR="00F41CA2" w:rsidRPr="00477E48">
        <w:rPr>
          <w:rFonts w:asciiTheme="minorHAnsi" w:hAnsiTheme="minorHAnsi" w:cstheme="minorHAnsi"/>
        </w:rPr>
        <w:t>strategy was prepared with support from the W</w:t>
      </w:r>
      <w:r w:rsidR="00525BCF" w:rsidRPr="00477E48">
        <w:rPr>
          <w:rFonts w:asciiTheme="minorHAnsi" w:hAnsiTheme="minorHAnsi" w:cstheme="minorHAnsi"/>
        </w:rPr>
        <w:t xml:space="preserve">orld </w:t>
      </w:r>
      <w:r w:rsidR="00F41CA2" w:rsidRPr="00477E48">
        <w:rPr>
          <w:rFonts w:asciiTheme="minorHAnsi" w:hAnsiTheme="minorHAnsi" w:cstheme="minorHAnsi"/>
        </w:rPr>
        <w:t>B</w:t>
      </w:r>
      <w:r w:rsidR="00525BCF" w:rsidRPr="00477E48">
        <w:rPr>
          <w:rFonts w:asciiTheme="minorHAnsi" w:hAnsiTheme="minorHAnsi" w:cstheme="minorHAnsi"/>
        </w:rPr>
        <w:t>ank</w:t>
      </w:r>
      <w:r w:rsidR="00F41CA2" w:rsidRPr="00477E48">
        <w:rPr>
          <w:rFonts w:asciiTheme="minorHAnsi" w:hAnsiTheme="minorHAnsi" w:cstheme="minorHAnsi"/>
        </w:rPr>
        <w:t xml:space="preserve"> </w:t>
      </w:r>
      <w:r w:rsidR="00BE01BE" w:rsidRPr="00C10686">
        <w:rPr>
          <w:rFonts w:asciiTheme="minorHAnsi" w:hAnsiTheme="minorHAnsi" w:cstheme="minorHAnsi"/>
        </w:rPr>
        <w:t>Integrated Growth Poles and Corridor Project (P083351)</w:t>
      </w:r>
      <w:r w:rsidR="00343683" w:rsidRPr="00477E48">
        <w:rPr>
          <w:rFonts w:asciiTheme="minorHAnsi" w:hAnsiTheme="minorHAnsi" w:cstheme="minorHAnsi"/>
        </w:rPr>
        <w:t>, and is part of a wider package of reforms for improving the investment climate that are being implemented by the Economic Development Board of Madagascar.</w:t>
      </w:r>
    </w:p>
    <w:p w14:paraId="0D8A43C4" w14:textId="77777777" w:rsidR="00416AB4" w:rsidRPr="00C10686" w:rsidRDefault="00416AB4" w:rsidP="00C10686">
      <w:pPr>
        <w:pStyle w:val="ListParagraph"/>
        <w:rPr>
          <w:rFonts w:asciiTheme="minorHAnsi" w:hAnsiTheme="minorHAnsi" w:cstheme="minorHAnsi"/>
        </w:rPr>
      </w:pPr>
    </w:p>
    <w:p w14:paraId="17FB7E5B" w14:textId="6767795A" w:rsidR="00D83A0C" w:rsidRPr="00C10686" w:rsidRDefault="00416AB4" w:rsidP="00C10686">
      <w:pPr>
        <w:pStyle w:val="ListParagraph"/>
        <w:widowControl w:val="0"/>
        <w:numPr>
          <w:ilvl w:val="0"/>
          <w:numId w:val="17"/>
        </w:numPr>
        <w:tabs>
          <w:tab w:val="left" w:pos="450"/>
        </w:tabs>
        <w:autoSpaceDE w:val="0"/>
        <w:autoSpaceDN w:val="0"/>
        <w:adjustRightInd w:val="0"/>
        <w:spacing w:after="0" w:line="240" w:lineRule="auto"/>
        <w:ind w:left="360"/>
        <w:jc w:val="both"/>
        <w:rPr>
          <w:rFonts w:asciiTheme="minorHAnsi" w:hAnsiTheme="minorHAnsi" w:cstheme="minorHAnsi"/>
        </w:rPr>
      </w:pPr>
      <w:r w:rsidRPr="00E7293A">
        <w:rPr>
          <w:rFonts w:asciiTheme="minorHAnsi" w:hAnsiTheme="minorHAnsi" w:cstheme="minorHAnsi"/>
          <w:b/>
        </w:rPr>
        <w:t>The Financial System Stability Assessment</w:t>
      </w:r>
      <w:r w:rsidRPr="00E7293A">
        <w:rPr>
          <w:rFonts w:asciiTheme="minorHAnsi" w:hAnsiTheme="minorHAnsi" w:cstheme="minorHAnsi"/>
        </w:rPr>
        <w:t xml:space="preserve"> published in December 2016 provides recommendations aiming to preserve the stability of the financial system with a clear timeline. The microfinance sector plays a critical role in reaching underserved segments of the population and it has been growing rapidly over the past years.</w:t>
      </w:r>
      <w:r w:rsidRPr="00E7293A">
        <w:footnoteReference w:id="24"/>
      </w:r>
      <w:r w:rsidRPr="00E7293A">
        <w:rPr>
          <w:rFonts w:asciiTheme="minorHAnsi" w:hAnsiTheme="minorHAnsi" w:cstheme="minorHAnsi"/>
        </w:rPr>
        <w:t xml:space="preserve"> However, the rapid growth of the sector has come with a deterioration of credit portfolio quality at some MFIs and a poor control of certain operational and governance risks. The reforms include strengthening the capacity of the Malagasy financial sector supervisory agency, </w:t>
      </w:r>
      <w:r w:rsidRPr="006D0B4E">
        <w:rPr>
          <w:rFonts w:asciiTheme="minorHAnsi" w:hAnsiTheme="minorHAnsi" w:cstheme="minorHAnsi"/>
          <w:i/>
        </w:rPr>
        <w:t>Commission de Supervision Bancaire et Financière</w:t>
      </w:r>
      <w:r w:rsidRPr="00E7293A">
        <w:rPr>
          <w:rFonts w:asciiTheme="minorHAnsi" w:hAnsiTheme="minorHAnsi" w:cstheme="minorHAnsi"/>
        </w:rPr>
        <w:t xml:space="preserve"> (Commission for Banking and Financial Supervision - CSBF</w:t>
      </w:r>
      <w:r w:rsidR="006D0B4E" w:rsidRPr="00E7293A">
        <w:rPr>
          <w:rFonts w:asciiTheme="minorHAnsi" w:hAnsiTheme="minorHAnsi" w:cstheme="minorHAnsi"/>
        </w:rPr>
        <w:t>)</w:t>
      </w:r>
      <w:r w:rsidRPr="00E7293A">
        <w:rPr>
          <w:rFonts w:asciiTheme="minorHAnsi" w:hAnsiTheme="minorHAnsi" w:cstheme="minorHAnsi"/>
        </w:rPr>
        <w:t>, and of the regulatory framework to preserve stability and the confidence of customers</w:t>
      </w:r>
      <w:r w:rsidR="006D0B4E">
        <w:rPr>
          <w:rFonts w:asciiTheme="minorHAnsi" w:hAnsiTheme="minorHAnsi" w:cstheme="minorHAnsi"/>
        </w:rPr>
        <w:t>.</w:t>
      </w:r>
    </w:p>
    <w:p w14:paraId="5EC89400" w14:textId="2F254BDE" w:rsidR="00D83A0C" w:rsidRDefault="00D83A0C" w:rsidP="00C10686">
      <w:pPr>
        <w:pStyle w:val="ListParagraph"/>
        <w:spacing w:after="0" w:line="240" w:lineRule="auto"/>
        <w:ind w:left="0"/>
        <w:rPr>
          <w:rFonts w:asciiTheme="minorHAnsi" w:hAnsiTheme="minorHAnsi" w:cstheme="minorHAnsi"/>
        </w:rPr>
      </w:pPr>
    </w:p>
    <w:p w14:paraId="44DC5745" w14:textId="41F9A670" w:rsidR="00416AB4" w:rsidRDefault="00416AB4" w:rsidP="00C10686">
      <w:pPr>
        <w:pStyle w:val="ListParagraph"/>
        <w:spacing w:after="0" w:line="240" w:lineRule="auto"/>
        <w:ind w:left="0"/>
        <w:jc w:val="both"/>
        <w:rPr>
          <w:rFonts w:asciiTheme="minorHAnsi" w:hAnsiTheme="minorHAnsi" w:cstheme="minorHAnsi"/>
        </w:rPr>
      </w:pPr>
      <w:r>
        <w:rPr>
          <w:rFonts w:asciiTheme="minorHAnsi" w:hAnsiTheme="minorHAnsi" w:cstheme="minorHAnsi"/>
        </w:rPr>
        <w:t xml:space="preserve">33. </w:t>
      </w:r>
      <w:r>
        <w:rPr>
          <w:rFonts w:asciiTheme="minorHAnsi" w:hAnsiTheme="minorHAnsi" w:cstheme="minorHAnsi"/>
        </w:rPr>
        <w:tab/>
      </w:r>
      <w:r w:rsidRPr="00C10686">
        <w:rPr>
          <w:rFonts w:asciiTheme="minorHAnsi" w:hAnsiTheme="minorHAnsi" w:cstheme="minorHAnsi"/>
          <w:b/>
        </w:rPr>
        <w:t>The Government’s commitment to reforms is further emphasized under the IMF ECF arrangement.</w:t>
      </w:r>
      <w:r w:rsidRPr="00CD4D5E">
        <w:rPr>
          <w:rFonts w:asciiTheme="minorHAnsi" w:hAnsiTheme="minorHAnsi" w:cstheme="minorHAnsi"/>
        </w:rPr>
        <w:t xml:space="preserve"> Government reforms supported under this program aim to reinforce macroeconomic stability and to promote sustainable and inclusive growth. The key topics addressed by the ECF program are aligned and complementary to this programmatic DPO, reflecting the criticality of the reforms. Complementary areas in the program include: (i) revenue mobilization where the ECF program has a component on enforcing the collection of tax arrears, while this DPO is supporting other tax administration measures; (ii) support to fuel subsidy removal, where the ECF program is focused on continuous implementation of the automatic pricing formula, while this DPO is focused on improving the underlying institutional framework; (iii) PPPs, where the ECF has a continuous benchmark to publish the terms and conditions of all contracts, while this DPO series is supporting the adoption of a new institutional framework for PPPs and ensuring that all contracts are properly tendered in line with the law; and (iv) JIRAMA where the ECF and DPO series both focus on procurement related reforms although emphasizing different aspects, in recognition of the criticality of this reform measure for improving cost-effective electricity supply.</w:t>
      </w:r>
      <w:r>
        <w:rPr>
          <w:rFonts w:asciiTheme="minorHAnsi" w:hAnsiTheme="minorHAnsi" w:cstheme="minorHAnsi"/>
        </w:rPr>
        <w:tab/>
      </w:r>
    </w:p>
    <w:p w14:paraId="7AD32978" w14:textId="77777777" w:rsidR="00416AB4" w:rsidRDefault="00416AB4">
      <w:pPr>
        <w:spacing w:after="0" w:line="240" w:lineRule="auto"/>
        <w:rPr>
          <w:rFonts w:asciiTheme="minorHAnsi" w:eastAsia="MS Gothic" w:hAnsiTheme="minorHAnsi" w:cstheme="minorHAnsi"/>
          <w:b/>
          <w:bCs/>
          <w:szCs w:val="28"/>
        </w:rPr>
      </w:pPr>
      <w:r>
        <w:rPr>
          <w:rFonts w:asciiTheme="minorHAnsi" w:hAnsiTheme="minorHAnsi" w:cstheme="minorHAnsi"/>
        </w:rPr>
        <w:br w:type="page"/>
      </w:r>
    </w:p>
    <w:p w14:paraId="72153833" w14:textId="3768D8A9" w:rsidR="00E175E5" w:rsidRPr="00C8795A" w:rsidRDefault="00E175E5" w:rsidP="00C8795A">
      <w:pPr>
        <w:pStyle w:val="Heading1"/>
        <w:numPr>
          <w:ilvl w:val="0"/>
          <w:numId w:val="39"/>
        </w:numPr>
        <w:rPr>
          <w:rFonts w:asciiTheme="minorHAnsi" w:hAnsiTheme="minorHAnsi" w:cstheme="minorHAnsi"/>
          <w:szCs w:val="22"/>
        </w:rPr>
      </w:pPr>
      <w:bookmarkStart w:id="8" w:name="_Toc496204246"/>
      <w:r w:rsidRPr="00C8795A">
        <w:rPr>
          <w:rFonts w:asciiTheme="minorHAnsi" w:hAnsiTheme="minorHAnsi" w:cstheme="minorHAnsi"/>
          <w:szCs w:val="22"/>
        </w:rPr>
        <w:lastRenderedPageBreak/>
        <w:t>THE PROPOSED OPERATION</w:t>
      </w:r>
      <w:bookmarkEnd w:id="8"/>
    </w:p>
    <w:p w14:paraId="3319F9FF" w14:textId="6F681072" w:rsidR="00E175E5" w:rsidRDefault="00E175E5" w:rsidP="006F4D33">
      <w:pPr>
        <w:pStyle w:val="Heading2"/>
        <w:ind w:left="720" w:hanging="720"/>
        <w:rPr>
          <w:rFonts w:asciiTheme="minorHAnsi" w:hAnsiTheme="minorHAnsi" w:cstheme="minorHAnsi"/>
          <w:szCs w:val="22"/>
        </w:rPr>
      </w:pPr>
      <w:bookmarkStart w:id="9" w:name="_Toc496204247"/>
      <w:r w:rsidRPr="0085470E">
        <w:rPr>
          <w:rFonts w:asciiTheme="minorHAnsi" w:hAnsiTheme="minorHAnsi" w:cstheme="minorHAnsi"/>
          <w:szCs w:val="22"/>
        </w:rPr>
        <w:t>LINK TO GOVERNMENT PROGRAM AND OPERATION DESCRIPTION</w:t>
      </w:r>
      <w:bookmarkEnd w:id="9"/>
      <w:r w:rsidRPr="0085470E">
        <w:rPr>
          <w:rFonts w:asciiTheme="minorHAnsi" w:hAnsiTheme="minorHAnsi" w:cstheme="minorHAnsi"/>
          <w:szCs w:val="22"/>
        </w:rPr>
        <w:t xml:space="preserve"> </w:t>
      </w:r>
    </w:p>
    <w:p w14:paraId="14CB1CB0" w14:textId="68CE9E68" w:rsidR="004D3A28" w:rsidRDefault="00882BB1" w:rsidP="00641C5D">
      <w:pPr>
        <w:spacing w:line="240" w:lineRule="auto"/>
        <w:jc w:val="both"/>
        <w:rPr>
          <w:rFonts w:asciiTheme="minorHAnsi" w:hAnsiTheme="minorHAnsi" w:cstheme="minorHAnsi"/>
          <w:b/>
        </w:rPr>
      </w:pPr>
      <w:r>
        <w:rPr>
          <w:rFonts w:asciiTheme="minorHAnsi" w:hAnsiTheme="minorHAnsi" w:cstheme="minorHAnsi"/>
          <w:b/>
          <w:bCs/>
        </w:rPr>
        <w:t>34</w:t>
      </w:r>
      <w:r w:rsidR="00416AB4">
        <w:rPr>
          <w:rFonts w:asciiTheme="minorHAnsi" w:hAnsiTheme="minorHAnsi" w:cstheme="minorHAnsi"/>
          <w:b/>
          <w:bCs/>
        </w:rPr>
        <w:t xml:space="preserve">. </w:t>
      </w:r>
      <w:r w:rsidR="00416AB4" w:rsidRPr="004D3A28">
        <w:rPr>
          <w:rFonts w:asciiTheme="minorHAnsi" w:hAnsiTheme="minorHAnsi" w:cstheme="minorHAnsi"/>
          <w:bCs/>
        </w:rPr>
        <w:tab/>
      </w:r>
      <w:r w:rsidR="00E175E5" w:rsidRPr="004D3A28">
        <w:rPr>
          <w:rFonts w:asciiTheme="minorHAnsi" w:hAnsiTheme="minorHAnsi" w:cstheme="minorHAnsi"/>
          <w:b/>
          <w:bCs/>
        </w:rPr>
        <w:t xml:space="preserve">The </w:t>
      </w:r>
      <w:r w:rsidR="00A9438C" w:rsidRPr="004D3A28">
        <w:rPr>
          <w:rFonts w:asciiTheme="minorHAnsi" w:hAnsiTheme="minorHAnsi" w:cstheme="minorHAnsi"/>
          <w:b/>
          <w:bCs/>
        </w:rPr>
        <w:t xml:space="preserve">program </w:t>
      </w:r>
      <w:r w:rsidR="00E175E5" w:rsidRPr="004D3A28">
        <w:rPr>
          <w:rFonts w:asciiTheme="minorHAnsi" w:hAnsiTheme="minorHAnsi" w:cstheme="minorHAnsi"/>
          <w:b/>
          <w:bCs/>
        </w:rPr>
        <w:t xml:space="preserve">development objectives of </w:t>
      </w:r>
      <w:r w:rsidR="00594C71" w:rsidRPr="004D3A28">
        <w:rPr>
          <w:rFonts w:asciiTheme="minorHAnsi" w:hAnsiTheme="minorHAnsi" w:cstheme="minorHAnsi"/>
          <w:b/>
          <w:bCs/>
        </w:rPr>
        <w:t>this</w:t>
      </w:r>
      <w:r w:rsidR="00E175E5" w:rsidRPr="004D3A28">
        <w:rPr>
          <w:rFonts w:asciiTheme="minorHAnsi" w:hAnsiTheme="minorHAnsi" w:cstheme="minorHAnsi"/>
          <w:b/>
          <w:bCs/>
        </w:rPr>
        <w:t xml:space="preserve"> </w:t>
      </w:r>
      <w:r w:rsidR="00594C71" w:rsidRPr="004D3A28">
        <w:rPr>
          <w:rFonts w:asciiTheme="minorHAnsi" w:hAnsiTheme="minorHAnsi" w:cstheme="minorHAnsi"/>
          <w:b/>
          <w:bCs/>
        </w:rPr>
        <w:t xml:space="preserve">programmatic operation </w:t>
      </w:r>
      <w:r w:rsidR="00E175E5" w:rsidRPr="004D3A28">
        <w:rPr>
          <w:rFonts w:asciiTheme="minorHAnsi" w:hAnsiTheme="minorHAnsi" w:cstheme="minorHAnsi"/>
          <w:b/>
          <w:bCs/>
        </w:rPr>
        <w:t>are to</w:t>
      </w:r>
      <w:r w:rsidR="002A3DEF" w:rsidRPr="004D3A28">
        <w:rPr>
          <w:rFonts w:asciiTheme="minorHAnsi" w:hAnsiTheme="minorHAnsi" w:cstheme="minorHAnsi"/>
          <w:b/>
          <w:bCs/>
        </w:rPr>
        <w:t>: (</w:t>
      </w:r>
      <w:r w:rsidR="0054490C" w:rsidRPr="004D3A28">
        <w:rPr>
          <w:rFonts w:asciiTheme="minorHAnsi" w:hAnsiTheme="minorHAnsi" w:cstheme="minorHAnsi"/>
          <w:b/>
          <w:bCs/>
        </w:rPr>
        <w:t xml:space="preserve">i) strengthen the fiscal framework </w:t>
      </w:r>
      <w:r w:rsidR="006E4234" w:rsidRPr="004D3A28">
        <w:rPr>
          <w:rFonts w:asciiTheme="minorHAnsi" w:hAnsiTheme="minorHAnsi" w:cstheme="minorHAnsi"/>
          <w:b/>
          <w:bCs/>
        </w:rPr>
        <w:t>by creating fiscal space to support priority expenditures</w:t>
      </w:r>
      <w:r w:rsidR="0054490C" w:rsidRPr="004D3A28">
        <w:rPr>
          <w:rFonts w:asciiTheme="minorHAnsi" w:hAnsiTheme="minorHAnsi" w:cstheme="minorHAnsi"/>
          <w:b/>
          <w:bCs/>
        </w:rPr>
        <w:t>; and (ii) improve the environment for investment</w:t>
      </w:r>
      <w:r w:rsidR="00E175E5" w:rsidRPr="004D3A28">
        <w:rPr>
          <w:rFonts w:asciiTheme="minorHAnsi" w:hAnsiTheme="minorHAnsi" w:cstheme="minorHAnsi"/>
          <w:b/>
          <w:bCs/>
        </w:rPr>
        <w:t>.</w:t>
      </w:r>
      <w:r w:rsidR="00E175E5" w:rsidRPr="004D3A28">
        <w:rPr>
          <w:rFonts w:asciiTheme="minorHAnsi" w:hAnsiTheme="minorHAnsi" w:cstheme="minorHAnsi"/>
          <w:bCs/>
        </w:rPr>
        <w:t xml:space="preserve"> </w:t>
      </w:r>
      <w:r w:rsidR="001A6F15" w:rsidRPr="004D3A28">
        <w:rPr>
          <w:rFonts w:asciiTheme="minorHAnsi" w:hAnsiTheme="minorHAnsi" w:cstheme="minorHAnsi"/>
          <w:bCs/>
        </w:rPr>
        <w:t xml:space="preserve">The </w:t>
      </w:r>
      <w:r w:rsidR="00E97152" w:rsidRPr="004D3A28">
        <w:rPr>
          <w:rFonts w:asciiTheme="minorHAnsi" w:hAnsiTheme="minorHAnsi" w:cstheme="minorHAnsi"/>
        </w:rPr>
        <w:t xml:space="preserve">first development objective has been </w:t>
      </w:r>
      <w:r w:rsidR="00F95BC2" w:rsidRPr="004D3A28">
        <w:rPr>
          <w:rFonts w:asciiTheme="minorHAnsi" w:hAnsiTheme="minorHAnsi" w:cstheme="minorHAnsi"/>
        </w:rPr>
        <w:t>more tightly focused</w:t>
      </w:r>
      <w:r w:rsidR="00E97152" w:rsidRPr="004D3A28">
        <w:rPr>
          <w:rFonts w:asciiTheme="minorHAnsi" w:hAnsiTheme="minorHAnsi" w:cstheme="minorHAnsi"/>
        </w:rPr>
        <w:t xml:space="preserve"> </w:t>
      </w:r>
      <w:r w:rsidR="00113C4B" w:rsidRPr="004D3A28">
        <w:rPr>
          <w:rFonts w:asciiTheme="minorHAnsi" w:hAnsiTheme="minorHAnsi" w:cstheme="minorHAnsi"/>
        </w:rPr>
        <w:t xml:space="preserve">compared with DPO1 </w:t>
      </w:r>
      <w:r w:rsidR="009655B6" w:rsidRPr="004D3A28">
        <w:rPr>
          <w:rFonts w:asciiTheme="minorHAnsi" w:hAnsiTheme="minorHAnsi" w:cstheme="minorHAnsi"/>
        </w:rPr>
        <w:t xml:space="preserve">to emphasize that improvements to the fiscal framework are intended to increase </w:t>
      </w:r>
      <w:r w:rsidR="006E4234" w:rsidRPr="004D3A28">
        <w:rPr>
          <w:rFonts w:asciiTheme="minorHAnsi" w:hAnsiTheme="minorHAnsi" w:cstheme="minorHAnsi"/>
        </w:rPr>
        <w:t>priority expenditures</w:t>
      </w:r>
      <w:r w:rsidR="00EE2A12" w:rsidRPr="004D3A28">
        <w:rPr>
          <w:rFonts w:asciiTheme="minorHAnsi" w:hAnsiTheme="minorHAnsi" w:cstheme="minorHAnsi"/>
        </w:rPr>
        <w:t>.</w:t>
      </w:r>
      <w:r w:rsidR="001D48AA" w:rsidRPr="004D3A28">
        <w:rPr>
          <w:rFonts w:asciiTheme="minorHAnsi" w:hAnsiTheme="minorHAnsi" w:cstheme="minorHAnsi"/>
        </w:rPr>
        <w:footnoteReference w:id="25"/>
      </w:r>
      <w:r w:rsidR="009655B6" w:rsidRPr="004D3A28">
        <w:rPr>
          <w:rFonts w:asciiTheme="minorHAnsi" w:hAnsiTheme="minorHAnsi" w:cstheme="minorHAnsi"/>
        </w:rPr>
        <w:t xml:space="preserve"> </w:t>
      </w:r>
      <w:r w:rsidR="00127B51" w:rsidRPr="004D3A28">
        <w:rPr>
          <w:rFonts w:asciiTheme="minorHAnsi" w:hAnsiTheme="minorHAnsi" w:cstheme="minorHAnsi"/>
        </w:rPr>
        <w:t>T</w:t>
      </w:r>
      <w:r w:rsidR="00594C71" w:rsidRPr="004D3A28">
        <w:rPr>
          <w:rFonts w:asciiTheme="minorHAnsi" w:hAnsiTheme="minorHAnsi" w:cstheme="minorHAnsi"/>
        </w:rPr>
        <w:t>he proposed</w:t>
      </w:r>
      <w:r w:rsidR="00127B51" w:rsidRPr="004D3A28">
        <w:rPr>
          <w:rFonts w:asciiTheme="minorHAnsi" w:hAnsiTheme="minorHAnsi" w:cstheme="minorHAnsi"/>
        </w:rPr>
        <w:t xml:space="preserve"> operation is </w:t>
      </w:r>
      <w:r w:rsidR="0070198F" w:rsidRPr="004D3A28">
        <w:rPr>
          <w:rFonts w:asciiTheme="minorHAnsi" w:hAnsiTheme="minorHAnsi" w:cstheme="minorHAnsi"/>
        </w:rPr>
        <w:t xml:space="preserve">the </w:t>
      </w:r>
      <w:r w:rsidR="00127B51" w:rsidRPr="004D3A28">
        <w:rPr>
          <w:rFonts w:asciiTheme="minorHAnsi" w:hAnsiTheme="minorHAnsi" w:cstheme="minorHAnsi"/>
        </w:rPr>
        <w:t>second in a series of two</w:t>
      </w:r>
      <w:r w:rsidR="007A78EF" w:rsidRPr="004D3A28">
        <w:rPr>
          <w:rFonts w:asciiTheme="minorHAnsi" w:hAnsiTheme="minorHAnsi" w:cstheme="minorHAnsi"/>
        </w:rPr>
        <w:t xml:space="preserve"> </w:t>
      </w:r>
      <w:r w:rsidR="00C338C9" w:rsidRPr="004D3A28">
        <w:rPr>
          <w:rFonts w:asciiTheme="minorHAnsi" w:hAnsiTheme="minorHAnsi" w:cstheme="minorHAnsi"/>
        </w:rPr>
        <w:t xml:space="preserve">programmatic operations aiming at </w:t>
      </w:r>
      <w:r w:rsidR="00594C71" w:rsidRPr="004D3A28">
        <w:rPr>
          <w:rFonts w:asciiTheme="minorHAnsi" w:hAnsiTheme="minorHAnsi" w:cstheme="minorHAnsi"/>
        </w:rPr>
        <w:t xml:space="preserve">supporting the </w:t>
      </w:r>
      <w:r w:rsidR="0085470E" w:rsidRPr="004D3A28">
        <w:rPr>
          <w:rFonts w:asciiTheme="minorHAnsi" w:hAnsiTheme="minorHAnsi" w:cstheme="minorHAnsi"/>
        </w:rPr>
        <w:t>G</w:t>
      </w:r>
      <w:r w:rsidR="00594C71" w:rsidRPr="004D3A28">
        <w:rPr>
          <w:rFonts w:asciiTheme="minorHAnsi" w:hAnsiTheme="minorHAnsi" w:cstheme="minorHAnsi"/>
        </w:rPr>
        <w:t>overnment in its goal of accelerating growth and reducing poverty.</w:t>
      </w:r>
      <w:r w:rsidR="00594C71" w:rsidRPr="00C8795A">
        <w:rPr>
          <w:rFonts w:asciiTheme="minorHAnsi" w:hAnsiTheme="minorHAnsi" w:cstheme="minorHAnsi"/>
          <w:b/>
          <w:bCs/>
        </w:rPr>
        <w:t xml:space="preserve"> </w:t>
      </w:r>
    </w:p>
    <w:p w14:paraId="3DDF52A4" w14:textId="60255F6F" w:rsidR="00DA213F" w:rsidRDefault="00882BB1" w:rsidP="00C8795A">
      <w:pPr>
        <w:widowControl w:val="0"/>
        <w:autoSpaceDE w:val="0"/>
        <w:autoSpaceDN w:val="0"/>
        <w:adjustRightInd w:val="0"/>
        <w:spacing w:before="13" w:after="0" w:line="240" w:lineRule="auto"/>
        <w:jc w:val="both"/>
        <w:rPr>
          <w:rFonts w:asciiTheme="minorHAnsi" w:hAnsiTheme="minorHAnsi" w:cstheme="minorHAnsi"/>
        </w:rPr>
      </w:pPr>
      <w:r>
        <w:rPr>
          <w:rFonts w:asciiTheme="minorHAnsi" w:hAnsiTheme="minorHAnsi" w:cstheme="minorHAnsi"/>
          <w:b/>
        </w:rPr>
        <w:t>35</w:t>
      </w:r>
      <w:r w:rsidR="00416AB4">
        <w:rPr>
          <w:rFonts w:asciiTheme="minorHAnsi" w:hAnsiTheme="minorHAnsi" w:cstheme="minorHAnsi"/>
          <w:b/>
        </w:rPr>
        <w:t>.</w:t>
      </w:r>
      <w:r w:rsidR="00416AB4">
        <w:rPr>
          <w:rFonts w:asciiTheme="minorHAnsi" w:hAnsiTheme="minorHAnsi" w:cstheme="minorHAnsi"/>
          <w:b/>
        </w:rPr>
        <w:tab/>
      </w:r>
      <w:r w:rsidR="00594C71" w:rsidRPr="00A20F63">
        <w:rPr>
          <w:rFonts w:asciiTheme="minorHAnsi" w:hAnsiTheme="minorHAnsi" w:cstheme="minorHAnsi"/>
          <w:b/>
        </w:rPr>
        <w:t xml:space="preserve">The DPO1 (P160866) supported the first layers of reforms to achieve the PDO. </w:t>
      </w:r>
      <w:r w:rsidR="00594C71" w:rsidRPr="00A20F63">
        <w:rPr>
          <w:rFonts w:asciiTheme="minorHAnsi" w:hAnsiTheme="minorHAnsi" w:cstheme="minorHAnsi"/>
        </w:rPr>
        <w:t xml:space="preserve">Key reforms </w:t>
      </w:r>
      <w:r w:rsidR="00226193" w:rsidRPr="00A20F63">
        <w:rPr>
          <w:rFonts w:asciiTheme="minorHAnsi" w:hAnsiTheme="minorHAnsi" w:cstheme="minorHAnsi"/>
        </w:rPr>
        <w:t xml:space="preserve">to strengthen the fiscal framework included: </w:t>
      </w:r>
      <w:r w:rsidR="00DA213F" w:rsidRPr="00A20F63">
        <w:rPr>
          <w:rFonts w:asciiTheme="minorHAnsi" w:hAnsiTheme="minorHAnsi" w:cstheme="minorHAnsi"/>
        </w:rPr>
        <w:t>increasing customs revenue collection through restricting the scope of exemptions,</w:t>
      </w:r>
      <w:r w:rsidR="00B85361" w:rsidRPr="00A20F63">
        <w:rPr>
          <w:rFonts w:asciiTheme="minorHAnsi" w:hAnsiTheme="minorHAnsi" w:cstheme="minorHAnsi"/>
        </w:rPr>
        <w:t xml:space="preserve"> introducing a risk-based approach to screening customs goods to reduce fraud and</w:t>
      </w:r>
      <w:r w:rsidR="00DA213F" w:rsidRPr="00A20F63">
        <w:rPr>
          <w:rFonts w:asciiTheme="minorHAnsi" w:hAnsiTheme="minorHAnsi" w:cstheme="minorHAnsi"/>
        </w:rPr>
        <w:t xml:space="preserve"> establishing performance contracts for customs agents; </w:t>
      </w:r>
      <w:r w:rsidR="0033393B" w:rsidRPr="00A20F63">
        <w:rPr>
          <w:rFonts w:asciiTheme="minorHAnsi" w:hAnsiTheme="minorHAnsi" w:cstheme="minorHAnsi"/>
        </w:rPr>
        <w:t>eliminating</w:t>
      </w:r>
      <w:r w:rsidR="00DA213F" w:rsidRPr="00A20F63">
        <w:rPr>
          <w:rFonts w:asciiTheme="minorHAnsi" w:hAnsiTheme="minorHAnsi" w:cstheme="minorHAnsi"/>
        </w:rPr>
        <w:t xml:space="preserve"> the fuel subsidy through transiting to a flexible fuel pricing mechanism</w:t>
      </w:r>
      <w:r w:rsidR="00B85361" w:rsidRPr="00A20F63">
        <w:rPr>
          <w:rFonts w:asciiTheme="minorHAnsi" w:hAnsiTheme="minorHAnsi" w:cstheme="minorHAnsi"/>
        </w:rPr>
        <w:t xml:space="preserve">; and removing ineligible beneficiaries from the pensions roster in urban areas. </w:t>
      </w:r>
      <w:r w:rsidR="005554B8" w:rsidRPr="00406280">
        <w:rPr>
          <w:rFonts w:asciiTheme="minorHAnsi" w:hAnsiTheme="minorHAnsi" w:cstheme="minorHAnsi"/>
        </w:rPr>
        <w:t>Reforms to the investment climate pillar included</w:t>
      </w:r>
      <w:r w:rsidR="0033393B" w:rsidRPr="00406280">
        <w:rPr>
          <w:rFonts w:asciiTheme="minorHAnsi" w:hAnsiTheme="minorHAnsi" w:cstheme="minorHAnsi"/>
        </w:rPr>
        <w:t xml:space="preserve">: </w:t>
      </w:r>
      <w:r w:rsidR="00AA1167" w:rsidRPr="00406280">
        <w:rPr>
          <w:rFonts w:asciiTheme="minorHAnsi" w:hAnsiTheme="minorHAnsi" w:cstheme="minorHAnsi"/>
        </w:rPr>
        <w:t xml:space="preserve">improving procurement procedures for JIRAMA and transparency of electricity supply costs; </w:t>
      </w:r>
      <w:r w:rsidR="00101096" w:rsidRPr="00406280">
        <w:rPr>
          <w:rFonts w:asciiTheme="minorHAnsi" w:hAnsiTheme="minorHAnsi" w:cstheme="minorHAnsi"/>
        </w:rPr>
        <w:t>improving the management of commercial cases</w:t>
      </w:r>
      <w:r w:rsidR="00AA1167" w:rsidRPr="00406280">
        <w:rPr>
          <w:rFonts w:asciiTheme="minorHAnsi" w:hAnsiTheme="minorHAnsi" w:cstheme="minorHAnsi"/>
        </w:rPr>
        <w:t xml:space="preserve">; and completing four on-site supervision visits of large banks to reinforce the stability of the banking sector. </w:t>
      </w:r>
    </w:p>
    <w:p w14:paraId="4970FD7C" w14:textId="77777777" w:rsidR="00416AB4" w:rsidRPr="00601B29" w:rsidRDefault="00416AB4" w:rsidP="00C8795A">
      <w:pPr>
        <w:widowControl w:val="0"/>
        <w:tabs>
          <w:tab w:val="left" w:pos="450"/>
        </w:tabs>
        <w:autoSpaceDE w:val="0"/>
        <w:autoSpaceDN w:val="0"/>
        <w:adjustRightInd w:val="0"/>
        <w:spacing w:before="13" w:after="0" w:line="240" w:lineRule="auto"/>
        <w:jc w:val="both"/>
        <w:rPr>
          <w:rFonts w:asciiTheme="minorHAnsi" w:hAnsiTheme="minorHAnsi" w:cstheme="minorHAnsi"/>
        </w:rPr>
      </w:pPr>
    </w:p>
    <w:p w14:paraId="6DD3F600" w14:textId="59E5918D" w:rsidR="00641C5D" w:rsidRDefault="00882BB1" w:rsidP="00641C5D">
      <w:pPr>
        <w:widowControl w:val="0"/>
        <w:autoSpaceDE w:val="0"/>
        <w:autoSpaceDN w:val="0"/>
        <w:adjustRightInd w:val="0"/>
        <w:spacing w:before="13" w:after="0" w:line="240" w:lineRule="auto"/>
        <w:jc w:val="both"/>
        <w:rPr>
          <w:rFonts w:asciiTheme="minorHAnsi" w:hAnsiTheme="minorHAnsi" w:cstheme="minorHAnsi"/>
        </w:rPr>
      </w:pPr>
      <w:r>
        <w:rPr>
          <w:rFonts w:asciiTheme="minorHAnsi" w:hAnsiTheme="minorHAnsi" w:cstheme="minorHAnsi"/>
          <w:b/>
        </w:rPr>
        <w:t>36</w:t>
      </w:r>
      <w:r w:rsidR="00416AB4">
        <w:rPr>
          <w:rFonts w:asciiTheme="minorHAnsi" w:hAnsiTheme="minorHAnsi" w:cstheme="minorHAnsi"/>
          <w:b/>
        </w:rPr>
        <w:t>.</w:t>
      </w:r>
      <w:r w:rsidR="00416AB4">
        <w:rPr>
          <w:rFonts w:asciiTheme="minorHAnsi" w:hAnsiTheme="minorHAnsi" w:cstheme="minorHAnsi"/>
          <w:b/>
        </w:rPr>
        <w:tab/>
      </w:r>
      <w:r w:rsidR="00502075" w:rsidRPr="00A46F16">
        <w:rPr>
          <w:rFonts w:asciiTheme="minorHAnsi" w:hAnsiTheme="minorHAnsi" w:cstheme="minorHAnsi"/>
          <w:b/>
        </w:rPr>
        <w:t xml:space="preserve">The proposed series DPO2 seeks to </w:t>
      </w:r>
      <w:r w:rsidR="00730DBC" w:rsidRPr="00A46F16">
        <w:rPr>
          <w:rFonts w:asciiTheme="minorHAnsi" w:hAnsiTheme="minorHAnsi" w:cstheme="minorHAnsi"/>
          <w:b/>
        </w:rPr>
        <w:t xml:space="preserve">deepen and </w:t>
      </w:r>
      <w:r w:rsidR="00502075" w:rsidRPr="00A46F16">
        <w:rPr>
          <w:rFonts w:asciiTheme="minorHAnsi" w:hAnsiTheme="minorHAnsi" w:cstheme="minorHAnsi"/>
          <w:b/>
        </w:rPr>
        <w:t>consolidate the reforms in the first year of the operation</w:t>
      </w:r>
      <w:r w:rsidR="00B97CF0" w:rsidRPr="00805BA2">
        <w:rPr>
          <w:rFonts w:asciiTheme="minorHAnsi" w:hAnsiTheme="minorHAnsi" w:cstheme="minorHAnsi"/>
          <w:b/>
        </w:rPr>
        <w:t>.</w:t>
      </w:r>
      <w:r w:rsidR="00991770" w:rsidRPr="00805BA2">
        <w:rPr>
          <w:rFonts w:asciiTheme="minorHAnsi" w:hAnsiTheme="minorHAnsi" w:cstheme="minorHAnsi"/>
          <w:b/>
        </w:rPr>
        <w:t xml:space="preserve"> </w:t>
      </w:r>
      <w:r w:rsidR="00101096" w:rsidRPr="00805BA2">
        <w:rPr>
          <w:rFonts w:asciiTheme="minorHAnsi" w:hAnsiTheme="minorHAnsi" w:cstheme="minorHAnsi"/>
        </w:rPr>
        <w:t xml:space="preserve">The reforms to the fiscal </w:t>
      </w:r>
      <w:r w:rsidR="00D82110" w:rsidRPr="00805BA2">
        <w:rPr>
          <w:rFonts w:asciiTheme="minorHAnsi" w:hAnsiTheme="minorHAnsi" w:cstheme="minorHAnsi"/>
        </w:rPr>
        <w:t xml:space="preserve">framework are being deepened by: increasing transparency of tax expenditures and eliminating </w:t>
      </w:r>
      <w:r w:rsidR="003D49FD" w:rsidRPr="00805BA2">
        <w:rPr>
          <w:rFonts w:asciiTheme="minorHAnsi" w:hAnsiTheme="minorHAnsi" w:cstheme="minorHAnsi"/>
        </w:rPr>
        <w:t>those that d</w:t>
      </w:r>
      <w:r w:rsidR="002F516D" w:rsidRPr="00805BA2">
        <w:rPr>
          <w:rFonts w:asciiTheme="minorHAnsi" w:hAnsiTheme="minorHAnsi" w:cstheme="minorHAnsi"/>
        </w:rPr>
        <w:t>o not have an economic,</w:t>
      </w:r>
      <w:r w:rsidR="003D49FD" w:rsidRPr="00805BA2">
        <w:rPr>
          <w:rFonts w:asciiTheme="minorHAnsi" w:hAnsiTheme="minorHAnsi" w:cstheme="minorHAnsi"/>
        </w:rPr>
        <w:t xml:space="preserve"> social</w:t>
      </w:r>
      <w:r w:rsidR="002F516D" w:rsidRPr="00805BA2">
        <w:rPr>
          <w:rFonts w:asciiTheme="minorHAnsi" w:hAnsiTheme="minorHAnsi" w:cstheme="minorHAnsi"/>
        </w:rPr>
        <w:t xml:space="preserve"> or environmental</w:t>
      </w:r>
      <w:r w:rsidR="003D49FD" w:rsidRPr="00805BA2">
        <w:rPr>
          <w:rFonts w:asciiTheme="minorHAnsi" w:hAnsiTheme="minorHAnsi" w:cstheme="minorHAnsi"/>
        </w:rPr>
        <w:t xml:space="preserve"> benefit; </w:t>
      </w:r>
      <w:r w:rsidR="00E5597F" w:rsidRPr="00805BA2">
        <w:rPr>
          <w:rFonts w:asciiTheme="minorHAnsi" w:hAnsiTheme="minorHAnsi" w:cstheme="minorHAnsi"/>
        </w:rPr>
        <w:t>taking a risk-based approach to reducing fraud through</w:t>
      </w:r>
      <w:r w:rsidR="008B7A7F" w:rsidRPr="00051ABB">
        <w:rPr>
          <w:rFonts w:asciiTheme="minorHAnsi" w:hAnsiTheme="minorHAnsi" w:cstheme="minorHAnsi"/>
        </w:rPr>
        <w:t xml:space="preserve"> auditing customs and tax data for large economic operators; updating the institutional framework to eliminate fuel price subsidies</w:t>
      </w:r>
      <w:r w:rsidR="008423CE" w:rsidRPr="00051ABB">
        <w:rPr>
          <w:rFonts w:asciiTheme="minorHAnsi" w:hAnsiTheme="minorHAnsi" w:cstheme="minorHAnsi"/>
        </w:rPr>
        <w:t xml:space="preserve">; completing the removal of ineligible pensions beneficiaries; and </w:t>
      </w:r>
      <w:r w:rsidR="00541F1C" w:rsidRPr="00051ABB">
        <w:rPr>
          <w:rFonts w:asciiTheme="minorHAnsi" w:hAnsiTheme="minorHAnsi" w:cstheme="minorHAnsi"/>
        </w:rPr>
        <w:t>reforming the institutional framework for PIM to better use domestic resources and crowd-in private investments. R</w:t>
      </w:r>
      <w:r w:rsidR="008F3CF2" w:rsidRPr="00E36113">
        <w:rPr>
          <w:rFonts w:asciiTheme="minorHAnsi" w:hAnsiTheme="minorHAnsi" w:cstheme="minorHAnsi"/>
        </w:rPr>
        <w:t xml:space="preserve">eforms to the investment climate are being strengthened through </w:t>
      </w:r>
      <w:r w:rsidR="00AF094D" w:rsidRPr="00E36113">
        <w:rPr>
          <w:rFonts w:asciiTheme="minorHAnsi" w:hAnsiTheme="minorHAnsi" w:cstheme="minorHAnsi"/>
        </w:rPr>
        <w:t xml:space="preserve">continued improvements to </w:t>
      </w:r>
      <w:r w:rsidR="005307FD" w:rsidRPr="00E36113">
        <w:rPr>
          <w:rFonts w:asciiTheme="minorHAnsi" w:hAnsiTheme="minorHAnsi" w:cstheme="minorHAnsi"/>
        </w:rPr>
        <w:t xml:space="preserve">JIRAMA’s </w:t>
      </w:r>
      <w:r w:rsidR="00AF094D" w:rsidRPr="00E36113">
        <w:rPr>
          <w:rFonts w:asciiTheme="minorHAnsi" w:hAnsiTheme="minorHAnsi" w:cstheme="minorHAnsi"/>
        </w:rPr>
        <w:t>procurement procedures</w:t>
      </w:r>
      <w:r w:rsidR="005307FD" w:rsidRPr="00E36113">
        <w:rPr>
          <w:rFonts w:asciiTheme="minorHAnsi" w:hAnsiTheme="minorHAnsi" w:cstheme="minorHAnsi"/>
        </w:rPr>
        <w:t xml:space="preserve">; updating the legal framework </w:t>
      </w:r>
      <w:r w:rsidR="00736826" w:rsidRPr="00E36113">
        <w:rPr>
          <w:rFonts w:asciiTheme="minorHAnsi" w:hAnsiTheme="minorHAnsi" w:cstheme="minorHAnsi"/>
        </w:rPr>
        <w:t xml:space="preserve">to incorporate reforms on the management of commercial cases; and </w:t>
      </w:r>
      <w:r w:rsidR="003E7B20" w:rsidRPr="00E36113">
        <w:rPr>
          <w:rFonts w:asciiTheme="minorHAnsi" w:hAnsiTheme="minorHAnsi" w:cstheme="minorHAnsi"/>
        </w:rPr>
        <w:t>strengthening the stability of the microfinance sector</w:t>
      </w:r>
      <w:r w:rsidR="007B749A" w:rsidRPr="00E36113">
        <w:rPr>
          <w:rFonts w:asciiTheme="minorHAnsi" w:hAnsiTheme="minorHAnsi" w:cstheme="minorHAnsi"/>
        </w:rPr>
        <w:t xml:space="preserve">, following previous microfinance institutional failures. </w:t>
      </w:r>
    </w:p>
    <w:p w14:paraId="570DB0E7" w14:textId="77777777" w:rsidR="00641C5D" w:rsidRDefault="00641C5D" w:rsidP="00641C5D">
      <w:pPr>
        <w:widowControl w:val="0"/>
        <w:autoSpaceDE w:val="0"/>
        <w:autoSpaceDN w:val="0"/>
        <w:adjustRightInd w:val="0"/>
        <w:spacing w:before="13" w:after="0" w:line="240" w:lineRule="auto"/>
        <w:jc w:val="both"/>
        <w:rPr>
          <w:rFonts w:asciiTheme="minorHAnsi" w:hAnsiTheme="minorHAnsi" w:cstheme="minorHAnsi"/>
          <w:b/>
        </w:rPr>
      </w:pPr>
    </w:p>
    <w:p w14:paraId="2C1DA8AD" w14:textId="6B3BBD24" w:rsidR="00C10F1D" w:rsidRPr="00C8795A" w:rsidRDefault="00641C5D" w:rsidP="00641C5D">
      <w:pPr>
        <w:spacing w:line="240" w:lineRule="auto"/>
        <w:jc w:val="both"/>
      </w:pPr>
      <w:r w:rsidRPr="00641C5D">
        <w:rPr>
          <w:rFonts w:asciiTheme="minorHAnsi" w:hAnsiTheme="minorHAnsi" w:cstheme="minorHAnsi"/>
          <w:b/>
        </w:rPr>
        <w:t>37</w:t>
      </w:r>
      <w:r w:rsidRPr="00641C5D">
        <w:t xml:space="preserve">. </w:t>
      </w:r>
      <w:r w:rsidR="004F488A" w:rsidRPr="00641C5D">
        <w:rPr>
          <w:b/>
        </w:rPr>
        <w:t>The programmatic DPO builds on the achievements in two stand-alone DPOs in 2014 and 2015.</w:t>
      </w:r>
      <w:r w:rsidR="004F488A" w:rsidRPr="00641C5D">
        <w:t xml:space="preserve"> </w:t>
      </w:r>
      <w:r w:rsidR="004F488A" w:rsidRPr="00641C5D">
        <w:rPr>
          <w:bCs/>
        </w:rPr>
        <w:t xml:space="preserve">These two operations put a strong focus on improving the fiscal framework through supporting transparency in the management of public finances, spending on social priorities, improving governance practices of JIRAMA, and </w:t>
      </w:r>
      <w:r w:rsidR="00147BC5" w:rsidRPr="00641C5D">
        <w:rPr>
          <w:bCs/>
        </w:rPr>
        <w:t>enhancing</w:t>
      </w:r>
      <w:r w:rsidR="004F488A" w:rsidRPr="00641C5D">
        <w:rPr>
          <w:bCs/>
        </w:rPr>
        <w:t xml:space="preserve"> the investment climate. </w:t>
      </w:r>
      <w:r w:rsidR="00C10F1D" w:rsidRPr="00641C5D">
        <w:rPr>
          <w:bCs/>
        </w:rPr>
        <w:t xml:space="preserve">Specific </w:t>
      </w:r>
      <w:r w:rsidR="00235DBA" w:rsidRPr="00641C5D">
        <w:rPr>
          <w:bCs/>
        </w:rPr>
        <w:t>achievements related to reforms to t</w:t>
      </w:r>
      <w:r w:rsidR="00F408FF" w:rsidRPr="00641C5D">
        <w:rPr>
          <w:bCs/>
        </w:rPr>
        <w:t xml:space="preserve">he fiscal framework and the investment climate under the two stand-alone DPOs are </w:t>
      </w:r>
      <w:r w:rsidR="00C10F1D" w:rsidRPr="00641C5D">
        <w:rPr>
          <w:bCs/>
        </w:rPr>
        <w:t>outlined below:</w:t>
      </w:r>
    </w:p>
    <w:p w14:paraId="722F62A2" w14:textId="28C73B32" w:rsidR="00C10F1D" w:rsidRPr="00C8795A" w:rsidRDefault="00C10F1D" w:rsidP="00812E02">
      <w:pPr>
        <w:pStyle w:val="ListParagraph"/>
        <w:ind w:left="0"/>
        <w:rPr>
          <w:rFonts w:asciiTheme="minorHAnsi" w:hAnsiTheme="minorHAnsi" w:cstheme="minorHAnsi"/>
          <w:b/>
        </w:rPr>
      </w:pPr>
      <w:r w:rsidRPr="00C8795A">
        <w:rPr>
          <w:rFonts w:asciiTheme="minorHAnsi" w:hAnsiTheme="minorHAnsi" w:cstheme="minorHAnsi"/>
          <w:b/>
        </w:rPr>
        <w:t>Reengagement DPO</w:t>
      </w:r>
      <w:r w:rsidR="001A18E4">
        <w:rPr>
          <w:rFonts w:asciiTheme="minorHAnsi" w:hAnsiTheme="minorHAnsi" w:cstheme="minorHAnsi"/>
          <w:b/>
        </w:rPr>
        <w:t xml:space="preserve"> </w:t>
      </w:r>
      <w:r w:rsidR="001A18E4" w:rsidRPr="00C8795A">
        <w:rPr>
          <w:rFonts w:asciiTheme="minorHAnsi" w:hAnsiTheme="minorHAnsi" w:cstheme="minorHAnsi"/>
          <w:b/>
        </w:rPr>
        <w:t>(P150503)</w:t>
      </w:r>
      <w:r w:rsidR="00DA28F0" w:rsidRPr="00C8795A">
        <w:rPr>
          <w:rFonts w:asciiTheme="minorHAnsi" w:hAnsiTheme="minorHAnsi" w:cstheme="minorHAnsi"/>
          <w:b/>
        </w:rPr>
        <w:t>:</w:t>
      </w:r>
      <w:r w:rsidR="00DA28F0" w:rsidRPr="00C8795A">
        <w:rPr>
          <w:rStyle w:val="FootnoteReference"/>
          <w:rFonts w:asciiTheme="minorHAnsi" w:hAnsiTheme="minorHAnsi" w:cstheme="minorHAnsi"/>
          <w:b/>
        </w:rPr>
        <w:footnoteReference w:id="26"/>
      </w:r>
      <w:r w:rsidRPr="00C8795A">
        <w:rPr>
          <w:rFonts w:asciiTheme="minorHAnsi" w:hAnsiTheme="minorHAnsi" w:cstheme="minorHAnsi"/>
          <w:b/>
        </w:rPr>
        <w:t xml:space="preserve"> </w:t>
      </w:r>
    </w:p>
    <w:p w14:paraId="17E322EE" w14:textId="0F1644F6" w:rsidR="00C10F1D" w:rsidRPr="00C8795A" w:rsidRDefault="00812E02" w:rsidP="00812E02">
      <w:pPr>
        <w:pStyle w:val="ListParagraph"/>
        <w:numPr>
          <w:ilvl w:val="0"/>
          <w:numId w:val="29"/>
        </w:numPr>
        <w:jc w:val="both"/>
        <w:rPr>
          <w:rFonts w:asciiTheme="minorHAnsi" w:hAnsiTheme="minorHAnsi" w:cstheme="minorHAnsi"/>
        </w:rPr>
      </w:pPr>
      <w:r w:rsidRPr="00C8795A">
        <w:rPr>
          <w:rFonts w:asciiTheme="minorHAnsi" w:hAnsiTheme="minorHAnsi" w:cstheme="minorHAnsi"/>
        </w:rPr>
        <w:t xml:space="preserve">Reduction of domestic arrears, which are expected to be fully cleared by 2021. Specifically, the clearance of arrears payments to petroleum companies during the political crisis period has set the basis for removing the fuel subsidy, and strengthening the supporting legal framework. </w:t>
      </w:r>
    </w:p>
    <w:p w14:paraId="64604F8E" w14:textId="4B0B9C57" w:rsidR="00812E02" w:rsidRPr="00C8795A" w:rsidRDefault="00812E02" w:rsidP="00812E02">
      <w:pPr>
        <w:pStyle w:val="ListParagraph"/>
        <w:numPr>
          <w:ilvl w:val="0"/>
          <w:numId w:val="29"/>
        </w:numPr>
        <w:jc w:val="both"/>
        <w:rPr>
          <w:rFonts w:asciiTheme="minorHAnsi" w:hAnsiTheme="minorHAnsi" w:cstheme="minorHAnsi"/>
        </w:rPr>
      </w:pPr>
      <w:r w:rsidRPr="00C8795A">
        <w:rPr>
          <w:rFonts w:asciiTheme="minorHAnsi" w:hAnsiTheme="minorHAnsi" w:cstheme="minorHAnsi"/>
        </w:rPr>
        <w:t xml:space="preserve">Increase in pro-poor expenditures, from </w:t>
      </w:r>
      <w:r w:rsidR="00FB6693" w:rsidRPr="00114507">
        <w:rPr>
          <w:rFonts w:asciiTheme="minorHAnsi" w:hAnsiTheme="minorHAnsi" w:cstheme="minorHAnsi"/>
        </w:rPr>
        <w:t xml:space="preserve">MGA </w:t>
      </w:r>
      <w:r w:rsidRPr="00C8795A">
        <w:rPr>
          <w:rFonts w:asciiTheme="minorHAnsi" w:hAnsiTheme="minorHAnsi" w:cstheme="minorHAnsi"/>
        </w:rPr>
        <w:t xml:space="preserve">71.7 billion in 2014 to </w:t>
      </w:r>
      <w:r w:rsidR="00FB6693" w:rsidRPr="005C7F7F">
        <w:rPr>
          <w:rFonts w:asciiTheme="minorHAnsi" w:hAnsiTheme="minorHAnsi" w:cstheme="minorHAnsi"/>
        </w:rPr>
        <w:t>MGA</w:t>
      </w:r>
      <w:r w:rsidR="00FB6693" w:rsidRPr="00FB6693">
        <w:rPr>
          <w:rFonts w:asciiTheme="minorHAnsi" w:hAnsiTheme="minorHAnsi" w:cstheme="minorHAnsi"/>
        </w:rPr>
        <w:t xml:space="preserve"> </w:t>
      </w:r>
      <w:r w:rsidRPr="00C8795A">
        <w:rPr>
          <w:rFonts w:asciiTheme="minorHAnsi" w:hAnsiTheme="minorHAnsi" w:cstheme="minorHAnsi"/>
        </w:rPr>
        <w:t xml:space="preserve">197 billion in 2015 with a 98 percent execution rate (exceeding a program target of </w:t>
      </w:r>
      <w:r w:rsidR="00FB6693" w:rsidRPr="00D76E87">
        <w:rPr>
          <w:rFonts w:asciiTheme="minorHAnsi" w:hAnsiTheme="minorHAnsi" w:cstheme="minorHAnsi"/>
        </w:rPr>
        <w:t>MGA</w:t>
      </w:r>
      <w:r w:rsidR="00FB6693">
        <w:rPr>
          <w:rFonts w:asciiTheme="minorHAnsi" w:hAnsiTheme="minorHAnsi" w:cstheme="minorHAnsi"/>
        </w:rPr>
        <w:t xml:space="preserve"> </w:t>
      </w:r>
      <w:r w:rsidRPr="00C8795A">
        <w:rPr>
          <w:rFonts w:asciiTheme="minorHAnsi" w:hAnsiTheme="minorHAnsi" w:cstheme="minorHAnsi"/>
        </w:rPr>
        <w:t>139.4 billion</w:t>
      </w:r>
      <w:r w:rsidR="00FB6693">
        <w:rPr>
          <w:rFonts w:asciiTheme="minorHAnsi" w:hAnsiTheme="minorHAnsi" w:cstheme="minorHAnsi"/>
        </w:rPr>
        <w:t>)</w:t>
      </w:r>
      <w:r w:rsidRPr="00C8795A">
        <w:rPr>
          <w:rFonts w:asciiTheme="minorHAnsi" w:hAnsiTheme="minorHAnsi" w:cstheme="minorHAnsi"/>
        </w:rPr>
        <w:t xml:space="preserve">. </w:t>
      </w:r>
    </w:p>
    <w:p w14:paraId="14005318" w14:textId="489F2637" w:rsidR="00235DBA" w:rsidRPr="00C8795A" w:rsidRDefault="00235DBA" w:rsidP="00812E02">
      <w:pPr>
        <w:pStyle w:val="ListParagraph"/>
        <w:numPr>
          <w:ilvl w:val="0"/>
          <w:numId w:val="29"/>
        </w:numPr>
        <w:jc w:val="both"/>
        <w:rPr>
          <w:rFonts w:asciiTheme="minorHAnsi" w:hAnsiTheme="minorHAnsi" w:cstheme="minorHAnsi"/>
        </w:rPr>
      </w:pPr>
      <w:r w:rsidRPr="00C8795A">
        <w:rPr>
          <w:rFonts w:asciiTheme="minorHAnsi" w:hAnsiTheme="minorHAnsi" w:cstheme="minorHAnsi"/>
        </w:rPr>
        <w:lastRenderedPageBreak/>
        <w:t>Efforts to reduce system losses at JIRAMA through a revenue protection program, where 8,500 smart meters are being installed in large consumer premises to monitor consumption to reduce non-technical losses, presenting a permanent way to increase sales and the collection ratio.</w:t>
      </w:r>
    </w:p>
    <w:p w14:paraId="76328EBF" w14:textId="18621B7A" w:rsidR="00235DBA" w:rsidRPr="00C8795A" w:rsidRDefault="00235DBA" w:rsidP="00812E02">
      <w:pPr>
        <w:pStyle w:val="ListParagraph"/>
        <w:numPr>
          <w:ilvl w:val="0"/>
          <w:numId w:val="29"/>
        </w:numPr>
        <w:jc w:val="both"/>
        <w:rPr>
          <w:rFonts w:asciiTheme="minorHAnsi" w:hAnsiTheme="minorHAnsi" w:cstheme="minorHAnsi"/>
        </w:rPr>
      </w:pPr>
      <w:r w:rsidRPr="00C8795A">
        <w:rPr>
          <w:rFonts w:asciiTheme="minorHAnsi" w:hAnsiTheme="minorHAnsi" w:cstheme="minorHAnsi"/>
        </w:rPr>
        <w:t xml:space="preserve">The adoption of a law on public debt has set the basis for ensuring the planned scaled-up of public investments does not compromise debt sustainability. </w:t>
      </w:r>
    </w:p>
    <w:p w14:paraId="06C4C9FA" w14:textId="19E2E0B3" w:rsidR="00235DBA" w:rsidRPr="00C8795A" w:rsidRDefault="00235DBA" w:rsidP="00235DBA">
      <w:pPr>
        <w:jc w:val="both"/>
        <w:rPr>
          <w:rFonts w:asciiTheme="minorHAnsi" w:hAnsiTheme="minorHAnsi" w:cstheme="minorHAnsi"/>
          <w:b/>
        </w:rPr>
      </w:pPr>
      <w:r w:rsidRPr="00C8795A">
        <w:rPr>
          <w:rFonts w:asciiTheme="minorHAnsi" w:hAnsiTheme="minorHAnsi" w:cstheme="minorHAnsi"/>
          <w:b/>
        </w:rPr>
        <w:t>Resilience DPO</w:t>
      </w:r>
      <w:r w:rsidR="001A18E4">
        <w:rPr>
          <w:rFonts w:asciiTheme="minorHAnsi" w:hAnsiTheme="minorHAnsi" w:cstheme="minorHAnsi"/>
          <w:b/>
        </w:rPr>
        <w:t xml:space="preserve"> </w:t>
      </w:r>
      <w:r w:rsidR="001A18E4" w:rsidRPr="00C8795A">
        <w:rPr>
          <w:rFonts w:asciiTheme="minorHAnsi" w:hAnsiTheme="minorHAnsi" w:cstheme="minorHAnsi"/>
          <w:b/>
        </w:rPr>
        <w:t>(P153084)</w:t>
      </w:r>
      <w:r w:rsidRPr="00C8795A">
        <w:rPr>
          <w:rFonts w:asciiTheme="minorHAnsi" w:hAnsiTheme="minorHAnsi" w:cstheme="minorHAnsi"/>
          <w:b/>
        </w:rPr>
        <w:t>:</w:t>
      </w:r>
      <w:r w:rsidR="00DA28F0" w:rsidRPr="00C8795A">
        <w:rPr>
          <w:rStyle w:val="FootnoteReference"/>
          <w:rFonts w:asciiTheme="minorHAnsi" w:hAnsiTheme="minorHAnsi" w:cstheme="minorHAnsi"/>
          <w:b/>
        </w:rPr>
        <w:footnoteReference w:id="27"/>
      </w:r>
    </w:p>
    <w:p w14:paraId="06A04ECE" w14:textId="75099961" w:rsidR="00235DBA" w:rsidRPr="00C8795A" w:rsidRDefault="00C95E90" w:rsidP="00BA6283">
      <w:pPr>
        <w:pStyle w:val="ListParagraph"/>
        <w:numPr>
          <w:ilvl w:val="0"/>
          <w:numId w:val="30"/>
        </w:numPr>
        <w:jc w:val="both"/>
        <w:rPr>
          <w:rFonts w:asciiTheme="minorHAnsi" w:hAnsiTheme="minorHAnsi" w:cstheme="minorHAnsi"/>
        </w:rPr>
      </w:pPr>
      <w:r w:rsidRPr="00C8795A">
        <w:rPr>
          <w:rFonts w:asciiTheme="minorHAnsi" w:hAnsiTheme="minorHAnsi" w:cstheme="minorHAnsi"/>
        </w:rPr>
        <w:t xml:space="preserve">Removal of ineligible beneficiaries from the payroll roster, setting the foundation for the elimination of ineligible pensions beneficiaries supported under this programmatic DPO series. </w:t>
      </w:r>
    </w:p>
    <w:p w14:paraId="0C4E0F9C" w14:textId="3AE5187C" w:rsidR="00C95E90" w:rsidRPr="00C8795A" w:rsidRDefault="00C95E90" w:rsidP="00BA6283">
      <w:pPr>
        <w:pStyle w:val="ListParagraph"/>
        <w:numPr>
          <w:ilvl w:val="0"/>
          <w:numId w:val="30"/>
        </w:numPr>
        <w:jc w:val="both"/>
        <w:rPr>
          <w:rFonts w:asciiTheme="minorHAnsi" w:hAnsiTheme="minorHAnsi" w:cstheme="minorHAnsi"/>
        </w:rPr>
      </w:pPr>
      <w:r w:rsidRPr="00C8795A">
        <w:rPr>
          <w:rFonts w:asciiTheme="minorHAnsi" w:hAnsiTheme="minorHAnsi" w:cstheme="minorHAnsi"/>
        </w:rPr>
        <w:t>Publication of monthly statistics on the delivery of diesel by JIRAMA</w:t>
      </w:r>
      <w:r w:rsidR="00D43B80" w:rsidRPr="00C8795A">
        <w:rPr>
          <w:rFonts w:asciiTheme="minorHAnsi" w:hAnsiTheme="minorHAnsi" w:cstheme="minorHAnsi"/>
        </w:rPr>
        <w:t xml:space="preserve">. </w:t>
      </w:r>
      <w:r w:rsidR="00BA6283" w:rsidRPr="00C8795A">
        <w:rPr>
          <w:rFonts w:asciiTheme="minorHAnsi" w:hAnsiTheme="minorHAnsi" w:cstheme="minorHAnsi"/>
        </w:rPr>
        <w:t>The ratio of diesel consumption to electricity generation is progressively declining from 0.2 in December 2015 to 0.</w:t>
      </w:r>
      <w:r w:rsidR="001A18E4">
        <w:rPr>
          <w:rFonts w:asciiTheme="minorHAnsi" w:hAnsiTheme="minorHAnsi" w:cstheme="minorHAnsi"/>
        </w:rPr>
        <w:t>2</w:t>
      </w:r>
      <w:r w:rsidR="00BA6283" w:rsidRPr="00C8795A">
        <w:rPr>
          <w:rFonts w:asciiTheme="minorHAnsi" w:hAnsiTheme="minorHAnsi" w:cstheme="minorHAnsi"/>
        </w:rPr>
        <w:t xml:space="preserve"> in June 2017. </w:t>
      </w:r>
      <w:r w:rsidR="00D43B80" w:rsidRPr="00C8795A">
        <w:rPr>
          <w:rFonts w:asciiTheme="minorHAnsi" w:hAnsiTheme="minorHAnsi" w:cstheme="minorHAnsi"/>
        </w:rPr>
        <w:t>This</w:t>
      </w:r>
      <w:r w:rsidRPr="00C8795A">
        <w:rPr>
          <w:rFonts w:asciiTheme="minorHAnsi" w:hAnsiTheme="minorHAnsi" w:cstheme="minorHAnsi"/>
        </w:rPr>
        <w:t xml:space="preserve"> set the basis </w:t>
      </w:r>
      <w:r w:rsidR="00D43B80" w:rsidRPr="00C8795A">
        <w:rPr>
          <w:rFonts w:asciiTheme="minorHAnsi" w:hAnsiTheme="minorHAnsi" w:cstheme="minorHAnsi"/>
        </w:rPr>
        <w:t xml:space="preserve">for the enhanced transparency measures in the first year of this programmatic DPO series, where JIRAMA has published statistics on the cost of existing power supply contracts. </w:t>
      </w:r>
    </w:p>
    <w:p w14:paraId="0830D038" w14:textId="6F4E07CD" w:rsidR="00D43B80" w:rsidRPr="00C8795A" w:rsidRDefault="00D43B80" w:rsidP="00BA6283">
      <w:pPr>
        <w:pStyle w:val="ListParagraph"/>
        <w:numPr>
          <w:ilvl w:val="0"/>
          <w:numId w:val="30"/>
        </w:numPr>
        <w:jc w:val="both"/>
        <w:rPr>
          <w:rFonts w:asciiTheme="minorHAnsi" w:hAnsiTheme="minorHAnsi" w:cstheme="minorHAnsi"/>
        </w:rPr>
      </w:pPr>
      <w:r w:rsidRPr="00C8795A">
        <w:rPr>
          <w:rFonts w:asciiTheme="minorHAnsi" w:hAnsiTheme="minorHAnsi" w:cstheme="minorHAnsi"/>
        </w:rPr>
        <w:t xml:space="preserve">Publication of companies that receive benefits under the Free Zone Regime, setting the basis </w:t>
      </w:r>
      <w:r w:rsidR="00686715" w:rsidRPr="00C8795A">
        <w:rPr>
          <w:rFonts w:asciiTheme="minorHAnsi" w:hAnsiTheme="minorHAnsi" w:cstheme="minorHAnsi"/>
        </w:rPr>
        <w:t xml:space="preserve">for </w:t>
      </w:r>
      <w:r w:rsidRPr="00C8795A">
        <w:rPr>
          <w:rFonts w:asciiTheme="minorHAnsi" w:hAnsiTheme="minorHAnsi" w:cstheme="minorHAnsi"/>
        </w:rPr>
        <w:t>systematic publication of tax expenditures under the second year of this programmatic DPO series</w:t>
      </w:r>
      <w:r w:rsidR="00903A2B" w:rsidRPr="00C8795A">
        <w:rPr>
          <w:rFonts w:asciiTheme="minorHAnsi" w:hAnsiTheme="minorHAnsi" w:cstheme="minorHAnsi"/>
        </w:rPr>
        <w:t xml:space="preserve">, and the elimination of </w:t>
      </w:r>
      <w:r w:rsidR="00686715" w:rsidRPr="00C8795A">
        <w:rPr>
          <w:rFonts w:asciiTheme="minorHAnsi" w:hAnsiTheme="minorHAnsi" w:cstheme="minorHAnsi"/>
        </w:rPr>
        <w:t xml:space="preserve">selected </w:t>
      </w:r>
      <w:r w:rsidR="00903A2B" w:rsidRPr="00C8795A">
        <w:rPr>
          <w:rFonts w:asciiTheme="minorHAnsi" w:hAnsiTheme="minorHAnsi" w:cstheme="minorHAnsi"/>
        </w:rPr>
        <w:t>tax expenditures as a results indicator</w:t>
      </w:r>
      <w:r w:rsidRPr="00C8795A">
        <w:rPr>
          <w:rFonts w:asciiTheme="minorHAnsi" w:hAnsiTheme="minorHAnsi" w:cstheme="minorHAnsi"/>
        </w:rPr>
        <w:t xml:space="preserve">. </w:t>
      </w:r>
    </w:p>
    <w:p w14:paraId="73D60EE9" w14:textId="28034216" w:rsidR="001B69D5" w:rsidRPr="00C8795A" w:rsidRDefault="001B69D5" w:rsidP="00BA6283">
      <w:pPr>
        <w:pStyle w:val="ListParagraph"/>
        <w:numPr>
          <w:ilvl w:val="0"/>
          <w:numId w:val="30"/>
        </w:numPr>
        <w:jc w:val="both"/>
        <w:rPr>
          <w:rFonts w:asciiTheme="minorHAnsi" w:hAnsiTheme="minorHAnsi" w:cstheme="minorHAnsi"/>
        </w:rPr>
      </w:pPr>
      <w:r w:rsidRPr="00C8795A">
        <w:rPr>
          <w:rFonts w:asciiTheme="minorHAnsi" w:hAnsiTheme="minorHAnsi" w:cstheme="minorHAnsi"/>
        </w:rPr>
        <w:t>Other reforms to strengthen the fiscal framework focused on the Treasury Single Account, the timely submission of audited accounts to Parliament</w:t>
      </w:r>
      <w:r w:rsidR="00BA6283" w:rsidRPr="00C8795A">
        <w:rPr>
          <w:rFonts w:asciiTheme="minorHAnsi" w:hAnsiTheme="minorHAnsi" w:cstheme="minorHAnsi"/>
        </w:rPr>
        <w:t xml:space="preserve"> (which is the first time in the country’s history that the public financial management law has been respected),</w:t>
      </w:r>
      <w:r w:rsidRPr="00C8795A">
        <w:rPr>
          <w:rFonts w:asciiTheme="minorHAnsi" w:hAnsiTheme="minorHAnsi" w:cstheme="minorHAnsi"/>
        </w:rPr>
        <w:t xml:space="preserve"> and the publication of in-year budget execution reports. </w:t>
      </w:r>
      <w:r w:rsidR="00903A2B" w:rsidRPr="00C8795A">
        <w:rPr>
          <w:rFonts w:asciiTheme="minorHAnsi" w:hAnsiTheme="minorHAnsi" w:cstheme="minorHAnsi"/>
        </w:rPr>
        <w:t xml:space="preserve">These measures further strengthened the fiduciary control environment. </w:t>
      </w:r>
    </w:p>
    <w:p w14:paraId="5D31D395" w14:textId="782F7009" w:rsidR="009F7231" w:rsidRDefault="005F6CEC" w:rsidP="00C8795A">
      <w:pPr>
        <w:widowControl w:val="0"/>
        <w:autoSpaceDE w:val="0"/>
        <w:autoSpaceDN w:val="0"/>
        <w:adjustRightInd w:val="0"/>
        <w:spacing w:before="13" w:after="0" w:line="240" w:lineRule="auto"/>
        <w:jc w:val="both"/>
        <w:rPr>
          <w:rFonts w:asciiTheme="minorHAnsi" w:hAnsiTheme="minorHAnsi" w:cstheme="minorHAnsi"/>
        </w:rPr>
      </w:pPr>
      <w:r>
        <w:rPr>
          <w:rFonts w:asciiTheme="minorHAnsi" w:hAnsiTheme="minorHAnsi" w:cstheme="minorHAnsi"/>
          <w:b/>
        </w:rPr>
        <w:t xml:space="preserve">38. </w:t>
      </w:r>
      <w:r w:rsidR="00B95D0C">
        <w:rPr>
          <w:rFonts w:asciiTheme="minorHAnsi" w:hAnsiTheme="minorHAnsi" w:cstheme="minorHAnsi"/>
          <w:b/>
        </w:rPr>
        <w:tab/>
      </w:r>
      <w:r w:rsidR="00E175E5" w:rsidRPr="00B66802">
        <w:rPr>
          <w:rFonts w:asciiTheme="minorHAnsi" w:hAnsiTheme="minorHAnsi" w:cstheme="minorHAnsi"/>
          <w:b/>
        </w:rPr>
        <w:t xml:space="preserve">This </w:t>
      </w:r>
      <w:r w:rsidR="00C465AE" w:rsidRPr="00B66802">
        <w:rPr>
          <w:rFonts w:asciiTheme="minorHAnsi" w:hAnsiTheme="minorHAnsi" w:cstheme="minorHAnsi"/>
          <w:b/>
        </w:rPr>
        <w:t xml:space="preserve">programmatic </w:t>
      </w:r>
      <w:r w:rsidR="00E175E5" w:rsidRPr="00B66802">
        <w:rPr>
          <w:rFonts w:asciiTheme="minorHAnsi" w:hAnsiTheme="minorHAnsi" w:cstheme="minorHAnsi"/>
          <w:b/>
        </w:rPr>
        <w:t xml:space="preserve">operation builds on the lessons emerging from </w:t>
      </w:r>
      <w:r w:rsidR="002827E0" w:rsidRPr="00B66802">
        <w:rPr>
          <w:rFonts w:asciiTheme="minorHAnsi" w:hAnsiTheme="minorHAnsi" w:cstheme="minorHAnsi"/>
          <w:b/>
        </w:rPr>
        <w:t>previous</w:t>
      </w:r>
      <w:r w:rsidR="00E175E5" w:rsidRPr="00BD4A16">
        <w:rPr>
          <w:rFonts w:asciiTheme="minorHAnsi" w:hAnsiTheme="minorHAnsi" w:cstheme="minorHAnsi"/>
          <w:b/>
        </w:rPr>
        <w:t xml:space="preserve"> DPO</w:t>
      </w:r>
      <w:r w:rsidR="002827E0" w:rsidRPr="00DC050B">
        <w:rPr>
          <w:rFonts w:asciiTheme="minorHAnsi" w:hAnsiTheme="minorHAnsi" w:cstheme="minorHAnsi"/>
          <w:b/>
        </w:rPr>
        <w:t>s</w:t>
      </w:r>
      <w:r w:rsidR="00E175E5" w:rsidRPr="00DC050B">
        <w:rPr>
          <w:rFonts w:asciiTheme="minorHAnsi" w:hAnsiTheme="minorHAnsi" w:cstheme="minorHAnsi"/>
          <w:b/>
        </w:rPr>
        <w:t>.</w:t>
      </w:r>
      <w:r w:rsidR="00E175E5" w:rsidRPr="00DC050B">
        <w:rPr>
          <w:rFonts w:asciiTheme="minorHAnsi" w:hAnsiTheme="minorHAnsi" w:cstheme="minorHAnsi"/>
        </w:rPr>
        <w:t xml:space="preserve"> </w:t>
      </w:r>
      <w:r w:rsidR="00E07F55" w:rsidRPr="00DC050B">
        <w:rPr>
          <w:rFonts w:asciiTheme="minorHAnsi" w:hAnsiTheme="minorHAnsi" w:cstheme="minorHAnsi"/>
        </w:rPr>
        <w:t>As discussed in the Implementation Completion Report</w:t>
      </w:r>
      <w:r w:rsidR="00322E68" w:rsidRPr="00DC050B">
        <w:rPr>
          <w:rFonts w:asciiTheme="minorHAnsi" w:hAnsiTheme="minorHAnsi" w:cstheme="minorHAnsi"/>
        </w:rPr>
        <w:t xml:space="preserve"> </w:t>
      </w:r>
      <w:r w:rsidR="00A741A3" w:rsidRPr="006C66C2">
        <w:rPr>
          <w:rFonts w:asciiTheme="minorHAnsi" w:hAnsiTheme="minorHAnsi" w:cstheme="minorHAnsi"/>
        </w:rPr>
        <w:t>for</w:t>
      </w:r>
      <w:r w:rsidR="00E07F55" w:rsidRPr="006C66C2">
        <w:rPr>
          <w:rFonts w:asciiTheme="minorHAnsi" w:hAnsiTheme="minorHAnsi" w:cstheme="minorHAnsi"/>
        </w:rPr>
        <w:t xml:space="preserve"> the Reengagement DPO</w:t>
      </w:r>
      <w:r w:rsidR="00235939" w:rsidRPr="006C66C2">
        <w:rPr>
          <w:rFonts w:asciiTheme="minorHAnsi" w:hAnsiTheme="minorHAnsi" w:cstheme="minorHAnsi"/>
        </w:rPr>
        <w:t xml:space="preserve"> (P150503)</w:t>
      </w:r>
      <w:r w:rsidR="00C8795A">
        <w:rPr>
          <w:rStyle w:val="FootnoteReference"/>
          <w:rFonts w:asciiTheme="minorHAnsi" w:hAnsiTheme="minorHAnsi" w:cstheme="minorHAnsi"/>
        </w:rPr>
        <w:footnoteReference w:id="28"/>
      </w:r>
      <w:r w:rsidR="00E07F55" w:rsidRPr="006C66C2">
        <w:rPr>
          <w:rFonts w:asciiTheme="minorHAnsi" w:hAnsiTheme="minorHAnsi" w:cstheme="minorHAnsi"/>
        </w:rPr>
        <w:t xml:space="preserve">, </w:t>
      </w:r>
      <w:r w:rsidR="00A52B5B" w:rsidRPr="006C66C2">
        <w:rPr>
          <w:rFonts w:asciiTheme="minorHAnsi" w:hAnsiTheme="minorHAnsi" w:cstheme="minorHAnsi"/>
        </w:rPr>
        <w:t xml:space="preserve">a </w:t>
      </w:r>
      <w:r w:rsidR="00E07F55" w:rsidRPr="006C66C2">
        <w:rPr>
          <w:rFonts w:asciiTheme="minorHAnsi" w:hAnsiTheme="minorHAnsi" w:cstheme="minorHAnsi"/>
        </w:rPr>
        <w:t xml:space="preserve">key lesson </w:t>
      </w:r>
      <w:r w:rsidR="00D94B68" w:rsidRPr="006C66C2">
        <w:rPr>
          <w:rFonts w:asciiTheme="minorHAnsi" w:hAnsiTheme="minorHAnsi" w:cstheme="minorHAnsi"/>
        </w:rPr>
        <w:t>is to ensure</w:t>
      </w:r>
      <w:r w:rsidR="00003436" w:rsidRPr="006C66C2">
        <w:rPr>
          <w:rFonts w:asciiTheme="minorHAnsi" w:hAnsiTheme="minorHAnsi" w:cstheme="minorHAnsi"/>
        </w:rPr>
        <w:t xml:space="preserve"> </w:t>
      </w:r>
      <w:r w:rsidR="00E975F7" w:rsidRPr="006C66C2">
        <w:rPr>
          <w:rFonts w:asciiTheme="minorHAnsi" w:hAnsiTheme="minorHAnsi" w:cstheme="minorHAnsi"/>
        </w:rPr>
        <w:t xml:space="preserve">close coordination between </w:t>
      </w:r>
      <w:r w:rsidR="00E07F55" w:rsidRPr="006C66C2">
        <w:rPr>
          <w:rFonts w:asciiTheme="minorHAnsi" w:hAnsiTheme="minorHAnsi" w:cstheme="minorHAnsi"/>
        </w:rPr>
        <w:t xml:space="preserve">DPOs </w:t>
      </w:r>
      <w:r w:rsidR="00E975F7" w:rsidRPr="006C66C2">
        <w:rPr>
          <w:rFonts w:asciiTheme="minorHAnsi" w:hAnsiTheme="minorHAnsi" w:cstheme="minorHAnsi"/>
        </w:rPr>
        <w:t xml:space="preserve">and investment projects to </w:t>
      </w:r>
      <w:r w:rsidR="007127FD" w:rsidRPr="00A20F63">
        <w:rPr>
          <w:rFonts w:asciiTheme="minorHAnsi" w:hAnsiTheme="minorHAnsi" w:cstheme="minorHAnsi"/>
        </w:rPr>
        <w:t>maintain continuity in the policy dialogue</w:t>
      </w:r>
      <w:r w:rsidR="00ED5C4B" w:rsidRPr="00A20F63">
        <w:rPr>
          <w:rFonts w:asciiTheme="minorHAnsi" w:hAnsiTheme="minorHAnsi" w:cstheme="minorHAnsi"/>
        </w:rPr>
        <w:t xml:space="preserve">. </w:t>
      </w:r>
      <w:r w:rsidR="007127FD" w:rsidRPr="00A20F63">
        <w:rPr>
          <w:rFonts w:asciiTheme="minorHAnsi" w:hAnsiTheme="minorHAnsi" w:cstheme="minorHAnsi"/>
        </w:rPr>
        <w:t xml:space="preserve">Other lessons learned </w:t>
      </w:r>
      <w:r w:rsidR="009537C8" w:rsidRPr="00A20F63">
        <w:rPr>
          <w:rFonts w:asciiTheme="minorHAnsi" w:hAnsiTheme="minorHAnsi" w:cstheme="minorHAnsi"/>
        </w:rPr>
        <w:t xml:space="preserve">from the Reengagement DPO and the Resilience DPO </w:t>
      </w:r>
      <w:r w:rsidR="007127FD" w:rsidRPr="00A20F63">
        <w:rPr>
          <w:rFonts w:asciiTheme="minorHAnsi" w:hAnsiTheme="minorHAnsi" w:cstheme="minorHAnsi"/>
        </w:rPr>
        <w:t>include engaging early on with decision-makers on the reform</w:t>
      </w:r>
      <w:r w:rsidR="00B43E65" w:rsidRPr="00A20F63">
        <w:rPr>
          <w:rFonts w:asciiTheme="minorHAnsi" w:hAnsiTheme="minorHAnsi" w:cstheme="minorHAnsi"/>
        </w:rPr>
        <w:t>s</w:t>
      </w:r>
      <w:r w:rsidR="007127FD" w:rsidRPr="00A20F63">
        <w:rPr>
          <w:rFonts w:asciiTheme="minorHAnsi" w:hAnsiTheme="minorHAnsi" w:cstheme="minorHAnsi"/>
        </w:rPr>
        <w:t>, focusing on selected reforms that balance ambition with realism, and leveraging ongoing</w:t>
      </w:r>
      <w:r w:rsidR="002F6E8B" w:rsidRPr="00A20F63">
        <w:rPr>
          <w:rFonts w:asciiTheme="minorHAnsi" w:hAnsiTheme="minorHAnsi" w:cstheme="minorHAnsi"/>
        </w:rPr>
        <w:t xml:space="preserve"> </w:t>
      </w:r>
      <w:r w:rsidR="00B43E65" w:rsidRPr="00A20F63">
        <w:rPr>
          <w:rFonts w:asciiTheme="minorHAnsi" w:hAnsiTheme="minorHAnsi" w:cstheme="minorHAnsi"/>
        </w:rPr>
        <w:t>TA</w:t>
      </w:r>
      <w:r w:rsidR="007127FD" w:rsidRPr="00A20F63">
        <w:rPr>
          <w:rFonts w:asciiTheme="minorHAnsi" w:hAnsiTheme="minorHAnsi" w:cstheme="minorHAnsi"/>
        </w:rPr>
        <w:t xml:space="preserve">. </w:t>
      </w:r>
      <w:r w:rsidR="00F12DAC" w:rsidRPr="00A20F63">
        <w:rPr>
          <w:rFonts w:asciiTheme="minorHAnsi" w:hAnsiTheme="minorHAnsi" w:cstheme="minorHAnsi"/>
        </w:rPr>
        <w:t>Several</w:t>
      </w:r>
      <w:r w:rsidR="002F6E8B" w:rsidRPr="00A20F63">
        <w:rPr>
          <w:rFonts w:asciiTheme="minorHAnsi" w:hAnsiTheme="minorHAnsi" w:cstheme="minorHAnsi"/>
        </w:rPr>
        <w:t xml:space="preserve"> of the</w:t>
      </w:r>
      <w:r w:rsidR="00A741A3" w:rsidRPr="00A20F63">
        <w:rPr>
          <w:rFonts w:asciiTheme="minorHAnsi" w:hAnsiTheme="minorHAnsi" w:cstheme="minorHAnsi"/>
        </w:rPr>
        <w:t xml:space="preserve"> reforms supported in this DPO are linked </w:t>
      </w:r>
      <w:r w:rsidR="002F6E8B" w:rsidRPr="00A20F63">
        <w:rPr>
          <w:rFonts w:asciiTheme="minorHAnsi" w:hAnsiTheme="minorHAnsi" w:cstheme="minorHAnsi"/>
        </w:rPr>
        <w:t>to</w:t>
      </w:r>
      <w:r w:rsidR="00A741A3" w:rsidRPr="00A20F63">
        <w:rPr>
          <w:rFonts w:asciiTheme="minorHAnsi" w:hAnsiTheme="minorHAnsi" w:cstheme="minorHAnsi"/>
        </w:rPr>
        <w:t xml:space="preserve"> the </w:t>
      </w:r>
      <w:r w:rsidR="002F6E8B" w:rsidRPr="00A20F63">
        <w:rPr>
          <w:rFonts w:asciiTheme="minorHAnsi" w:hAnsiTheme="minorHAnsi" w:cstheme="minorHAnsi"/>
        </w:rPr>
        <w:t xml:space="preserve">World </w:t>
      </w:r>
      <w:r w:rsidR="00A741A3" w:rsidRPr="00A20F63">
        <w:rPr>
          <w:rFonts w:asciiTheme="minorHAnsi" w:hAnsiTheme="minorHAnsi" w:cstheme="minorHAnsi"/>
        </w:rPr>
        <w:t xml:space="preserve">Bank’s investment projects and are supported with </w:t>
      </w:r>
      <w:r w:rsidR="00B43E65" w:rsidRPr="00A20F63">
        <w:rPr>
          <w:rFonts w:asciiTheme="minorHAnsi" w:hAnsiTheme="minorHAnsi" w:cstheme="minorHAnsi"/>
        </w:rPr>
        <w:t>TA</w:t>
      </w:r>
      <w:r w:rsidR="00A741A3" w:rsidRPr="00A20F63">
        <w:rPr>
          <w:rFonts w:asciiTheme="minorHAnsi" w:hAnsiTheme="minorHAnsi" w:cstheme="minorHAnsi"/>
        </w:rPr>
        <w:t xml:space="preserve">. </w:t>
      </w:r>
      <w:r w:rsidR="007127FD" w:rsidRPr="00406280">
        <w:rPr>
          <w:rFonts w:asciiTheme="minorHAnsi" w:hAnsiTheme="minorHAnsi" w:cstheme="minorHAnsi"/>
        </w:rPr>
        <w:t xml:space="preserve">These lessons learned are </w:t>
      </w:r>
      <w:r w:rsidR="002F6E8B" w:rsidRPr="00406280">
        <w:rPr>
          <w:rFonts w:asciiTheme="minorHAnsi" w:hAnsiTheme="minorHAnsi" w:cstheme="minorHAnsi"/>
        </w:rPr>
        <w:t xml:space="preserve">also </w:t>
      </w:r>
      <w:r w:rsidR="007127FD" w:rsidRPr="00406280">
        <w:rPr>
          <w:rFonts w:asciiTheme="minorHAnsi" w:hAnsiTheme="minorHAnsi" w:cstheme="minorHAnsi"/>
        </w:rPr>
        <w:t xml:space="preserve">consistent with the </w:t>
      </w:r>
      <w:r w:rsidR="00E175E5" w:rsidRPr="00406280">
        <w:rPr>
          <w:rFonts w:asciiTheme="minorHAnsi" w:hAnsiTheme="minorHAnsi" w:cstheme="minorHAnsi"/>
          <w:i/>
        </w:rPr>
        <w:t>World Development Report (2011), Conflict, Security and Development</w:t>
      </w:r>
      <w:r w:rsidR="00C8795A">
        <w:rPr>
          <w:rStyle w:val="FootnoteReference"/>
          <w:rFonts w:asciiTheme="minorHAnsi" w:hAnsiTheme="minorHAnsi" w:cstheme="minorHAnsi"/>
          <w:i/>
        </w:rPr>
        <w:footnoteReference w:id="29"/>
      </w:r>
      <w:r w:rsidR="00E175E5" w:rsidRPr="00406280">
        <w:rPr>
          <w:rFonts w:asciiTheme="minorHAnsi" w:hAnsiTheme="minorHAnsi" w:cstheme="minorHAnsi"/>
        </w:rPr>
        <w:t xml:space="preserve"> and an </w:t>
      </w:r>
      <w:r w:rsidR="00E175E5" w:rsidRPr="00C8795A">
        <w:rPr>
          <w:rFonts w:asciiTheme="minorHAnsi" w:hAnsiTheme="minorHAnsi" w:cstheme="minorHAnsi"/>
          <w:i/>
        </w:rPr>
        <w:t>Independent Evaluation Group (IEG) report</w:t>
      </w:r>
      <w:r w:rsidR="00E175E5" w:rsidRPr="00406280">
        <w:rPr>
          <w:rFonts w:asciiTheme="minorHAnsi" w:hAnsiTheme="minorHAnsi" w:cstheme="minorHAnsi"/>
        </w:rPr>
        <w:t xml:space="preserve"> on engaging with fragile states</w:t>
      </w:r>
      <w:r w:rsidR="002F6E8B" w:rsidRPr="00406280">
        <w:rPr>
          <w:rFonts w:asciiTheme="minorHAnsi" w:hAnsiTheme="minorHAnsi" w:cstheme="minorHAnsi"/>
        </w:rPr>
        <w:t>, which emphasized closely integrating reforms with investment projects, being realistic on the reform agenda and using</w:t>
      </w:r>
      <w:r w:rsidR="00B0604B" w:rsidRPr="00406280">
        <w:rPr>
          <w:rFonts w:asciiTheme="minorHAnsi" w:hAnsiTheme="minorHAnsi" w:cstheme="minorHAnsi"/>
        </w:rPr>
        <w:t xml:space="preserve"> TA</w:t>
      </w:r>
      <w:r w:rsidR="00381160" w:rsidRPr="00406280">
        <w:rPr>
          <w:rFonts w:asciiTheme="minorHAnsi" w:hAnsiTheme="minorHAnsi" w:cstheme="minorHAnsi"/>
        </w:rPr>
        <w:t xml:space="preserve"> effectively</w:t>
      </w:r>
      <w:r w:rsidR="00E175E5" w:rsidRPr="00406280">
        <w:rPr>
          <w:rFonts w:asciiTheme="minorHAnsi" w:hAnsiTheme="minorHAnsi" w:cstheme="minorHAnsi"/>
        </w:rPr>
        <w:t>.</w:t>
      </w:r>
      <w:r w:rsidR="00E175E5" w:rsidRPr="00C8795A">
        <w:rPr>
          <w:rFonts w:asciiTheme="minorHAnsi" w:hAnsiTheme="minorHAnsi" w:cstheme="minorHAnsi"/>
          <w:vertAlign w:val="superscript"/>
        </w:rPr>
        <w:footnoteReference w:id="30"/>
      </w:r>
      <w:r w:rsidR="00E175E5" w:rsidRPr="00B66802">
        <w:rPr>
          <w:rFonts w:asciiTheme="minorHAnsi" w:hAnsiTheme="minorHAnsi" w:cstheme="minorHAnsi"/>
        </w:rPr>
        <w:t xml:space="preserve"> </w:t>
      </w:r>
    </w:p>
    <w:p w14:paraId="4EE9FA09" w14:textId="766C1D1C" w:rsidR="00CC0435" w:rsidRDefault="00CC0435" w:rsidP="00C8795A">
      <w:pPr>
        <w:widowControl w:val="0"/>
        <w:autoSpaceDE w:val="0"/>
        <w:autoSpaceDN w:val="0"/>
        <w:adjustRightInd w:val="0"/>
        <w:spacing w:before="13" w:after="0" w:line="240" w:lineRule="auto"/>
        <w:jc w:val="both"/>
        <w:rPr>
          <w:rFonts w:asciiTheme="minorHAnsi" w:hAnsiTheme="minorHAnsi" w:cstheme="minorHAnsi"/>
        </w:rPr>
      </w:pPr>
    </w:p>
    <w:p w14:paraId="2CA59FBA" w14:textId="52B4F652" w:rsidR="00CC0435" w:rsidRDefault="00CC0435" w:rsidP="00C8795A">
      <w:pPr>
        <w:widowControl w:val="0"/>
        <w:autoSpaceDE w:val="0"/>
        <w:autoSpaceDN w:val="0"/>
        <w:adjustRightInd w:val="0"/>
        <w:spacing w:before="13" w:after="0" w:line="240" w:lineRule="auto"/>
        <w:jc w:val="both"/>
        <w:rPr>
          <w:rFonts w:asciiTheme="minorHAnsi" w:hAnsiTheme="minorHAnsi" w:cstheme="minorHAnsi"/>
        </w:rPr>
      </w:pPr>
    </w:p>
    <w:p w14:paraId="035A9C9B" w14:textId="6838B122" w:rsidR="00CC0435" w:rsidRDefault="00CC0435" w:rsidP="00C8795A">
      <w:pPr>
        <w:widowControl w:val="0"/>
        <w:autoSpaceDE w:val="0"/>
        <w:autoSpaceDN w:val="0"/>
        <w:adjustRightInd w:val="0"/>
        <w:spacing w:before="13" w:after="0" w:line="240" w:lineRule="auto"/>
        <w:jc w:val="both"/>
        <w:rPr>
          <w:rFonts w:asciiTheme="minorHAnsi" w:hAnsiTheme="minorHAnsi" w:cstheme="minorHAnsi"/>
        </w:rPr>
      </w:pPr>
    </w:p>
    <w:p w14:paraId="61F06241" w14:textId="5C231453" w:rsidR="00CC0435" w:rsidRDefault="00CC0435" w:rsidP="00C8795A">
      <w:pPr>
        <w:widowControl w:val="0"/>
        <w:autoSpaceDE w:val="0"/>
        <w:autoSpaceDN w:val="0"/>
        <w:adjustRightInd w:val="0"/>
        <w:spacing w:before="13" w:after="0" w:line="240" w:lineRule="auto"/>
        <w:jc w:val="both"/>
        <w:rPr>
          <w:rFonts w:asciiTheme="minorHAnsi" w:hAnsiTheme="minorHAnsi" w:cstheme="minorHAnsi"/>
        </w:rPr>
      </w:pPr>
    </w:p>
    <w:p w14:paraId="48CF90C3" w14:textId="77777777" w:rsidR="00CC0435" w:rsidRPr="00B66802" w:rsidRDefault="00CC0435" w:rsidP="00C8795A">
      <w:pPr>
        <w:widowControl w:val="0"/>
        <w:autoSpaceDE w:val="0"/>
        <w:autoSpaceDN w:val="0"/>
        <w:adjustRightInd w:val="0"/>
        <w:spacing w:before="13" w:after="0" w:line="240" w:lineRule="auto"/>
        <w:jc w:val="both"/>
        <w:rPr>
          <w:rFonts w:asciiTheme="minorHAnsi" w:hAnsiTheme="minorHAnsi" w:cstheme="minorHAnsi"/>
        </w:rPr>
      </w:pPr>
    </w:p>
    <w:p w14:paraId="5B8EDA96" w14:textId="551A8A45" w:rsidR="00797F52" w:rsidRPr="00C8795A" w:rsidRDefault="00D35BC4" w:rsidP="008E0F4E">
      <w:pPr>
        <w:pStyle w:val="Heading2"/>
      </w:pPr>
      <w:bookmarkStart w:id="10" w:name="_Toc496204248"/>
      <w:r w:rsidRPr="00C8795A">
        <w:lastRenderedPageBreak/>
        <w:t xml:space="preserve">PRIOR ACTIONS, RESULTS </w:t>
      </w:r>
      <w:r w:rsidR="00647662" w:rsidRPr="00C8795A">
        <w:t xml:space="preserve">AND </w:t>
      </w:r>
      <w:r w:rsidRPr="00C8795A">
        <w:t>ANALYTICAL UNDERPINNINGS</w:t>
      </w:r>
      <w:bookmarkEnd w:id="10"/>
      <w:r w:rsidRPr="00C8795A">
        <w:t xml:space="preserve"> </w:t>
      </w:r>
    </w:p>
    <w:p w14:paraId="12649612" w14:textId="74834C0E" w:rsidR="00E818FC" w:rsidRPr="00B66802" w:rsidRDefault="00E818FC" w:rsidP="00E818FC">
      <w:pPr>
        <w:spacing w:after="0" w:line="240" w:lineRule="auto"/>
        <w:jc w:val="both"/>
        <w:rPr>
          <w:rFonts w:asciiTheme="minorHAnsi" w:hAnsiTheme="minorHAnsi" w:cstheme="minorHAnsi"/>
          <w:b/>
        </w:rPr>
      </w:pPr>
      <w:r w:rsidRPr="00DC050B">
        <w:rPr>
          <w:rFonts w:asciiTheme="minorHAnsi" w:hAnsiTheme="minorHAnsi" w:cstheme="minorHAnsi"/>
          <w:b/>
          <w:bCs/>
          <w:iCs/>
        </w:rPr>
        <w:t>P</w:t>
      </w:r>
      <w:r w:rsidRPr="00DC050B">
        <w:rPr>
          <w:rFonts w:asciiTheme="minorHAnsi" w:hAnsiTheme="minorHAnsi" w:cstheme="minorHAnsi"/>
          <w:b/>
          <w:bCs/>
          <w:iCs/>
          <w:spacing w:val="1"/>
        </w:rPr>
        <w:t>i</w:t>
      </w:r>
      <w:r w:rsidRPr="00DC050B">
        <w:rPr>
          <w:rFonts w:asciiTheme="minorHAnsi" w:hAnsiTheme="minorHAnsi" w:cstheme="minorHAnsi"/>
          <w:b/>
          <w:bCs/>
          <w:iCs/>
          <w:spacing w:val="-1"/>
        </w:rPr>
        <w:t>l</w:t>
      </w:r>
      <w:r w:rsidRPr="006C66C2">
        <w:rPr>
          <w:rFonts w:asciiTheme="minorHAnsi" w:hAnsiTheme="minorHAnsi" w:cstheme="minorHAnsi"/>
          <w:b/>
          <w:bCs/>
          <w:iCs/>
          <w:spacing w:val="1"/>
        </w:rPr>
        <w:t>l</w:t>
      </w:r>
      <w:r w:rsidRPr="006C66C2">
        <w:rPr>
          <w:rFonts w:asciiTheme="minorHAnsi" w:hAnsiTheme="minorHAnsi" w:cstheme="minorHAnsi"/>
          <w:b/>
          <w:bCs/>
          <w:iCs/>
        </w:rPr>
        <w:t>ar</w:t>
      </w:r>
      <w:r w:rsidRPr="006C66C2">
        <w:rPr>
          <w:rFonts w:asciiTheme="minorHAnsi" w:hAnsiTheme="minorHAnsi" w:cstheme="minorHAnsi"/>
          <w:b/>
          <w:bCs/>
          <w:iCs/>
          <w:spacing w:val="1"/>
        </w:rPr>
        <w:t xml:space="preserve"> </w:t>
      </w:r>
      <w:r w:rsidRPr="006C66C2">
        <w:rPr>
          <w:rFonts w:asciiTheme="minorHAnsi" w:hAnsiTheme="minorHAnsi" w:cstheme="minorHAnsi"/>
          <w:b/>
          <w:bCs/>
          <w:iCs/>
          <w:spacing w:val="-1"/>
        </w:rPr>
        <w:t>A:</w:t>
      </w:r>
      <w:r w:rsidRPr="006C66C2">
        <w:rPr>
          <w:rFonts w:asciiTheme="minorHAnsi" w:hAnsiTheme="minorHAnsi" w:cstheme="minorHAnsi"/>
          <w:b/>
          <w:bCs/>
          <w:iCs/>
          <w:spacing w:val="-2"/>
        </w:rPr>
        <w:t xml:space="preserve"> </w:t>
      </w:r>
      <w:r w:rsidR="003C3393">
        <w:rPr>
          <w:rFonts w:asciiTheme="minorHAnsi" w:hAnsiTheme="minorHAnsi" w:cstheme="minorHAnsi"/>
          <w:b/>
          <w:bCs/>
          <w:iCs/>
          <w:spacing w:val="-2"/>
        </w:rPr>
        <w:t>S</w:t>
      </w:r>
      <w:r w:rsidR="003C3393" w:rsidRPr="00C8795A">
        <w:rPr>
          <w:rFonts w:asciiTheme="minorHAnsi" w:hAnsiTheme="minorHAnsi" w:cstheme="minorHAnsi"/>
          <w:b/>
        </w:rPr>
        <w:t>trengthen the fiscal framework by creating fiscal space to support priority expenditures</w:t>
      </w:r>
    </w:p>
    <w:p w14:paraId="37DDE165" w14:textId="77777777" w:rsidR="00E818FC" w:rsidRPr="00BD4A16" w:rsidRDefault="00E818FC" w:rsidP="00797F52">
      <w:pPr>
        <w:spacing w:after="0" w:line="240" w:lineRule="auto"/>
        <w:rPr>
          <w:rFonts w:asciiTheme="minorHAnsi" w:hAnsiTheme="minorHAnsi" w:cstheme="minorHAnsi"/>
          <w:b/>
          <w:i/>
          <w:lang w:eastAsia="ja-JP"/>
        </w:rPr>
      </w:pPr>
    </w:p>
    <w:p w14:paraId="561CA3A6" w14:textId="77777777" w:rsidR="00797F52" w:rsidRPr="00DC050B" w:rsidRDefault="003D6FF9" w:rsidP="00797F52">
      <w:pPr>
        <w:spacing w:after="0" w:line="240" w:lineRule="auto"/>
        <w:rPr>
          <w:rFonts w:asciiTheme="minorHAnsi" w:hAnsiTheme="minorHAnsi" w:cstheme="minorHAnsi"/>
          <w:b/>
          <w:i/>
          <w:lang w:eastAsia="ja-JP"/>
        </w:rPr>
      </w:pPr>
      <w:r w:rsidRPr="00DC050B">
        <w:rPr>
          <w:rFonts w:asciiTheme="minorHAnsi" w:hAnsiTheme="minorHAnsi" w:cstheme="minorHAnsi"/>
          <w:b/>
          <w:i/>
          <w:lang w:eastAsia="ja-JP"/>
        </w:rPr>
        <w:t xml:space="preserve">Increasing </w:t>
      </w:r>
      <w:r w:rsidR="00840E66" w:rsidRPr="00DC050B">
        <w:rPr>
          <w:rFonts w:asciiTheme="minorHAnsi" w:hAnsiTheme="minorHAnsi" w:cstheme="minorHAnsi"/>
          <w:b/>
          <w:i/>
          <w:lang w:eastAsia="ja-JP"/>
        </w:rPr>
        <w:t>tax</w:t>
      </w:r>
      <w:r w:rsidR="00797F52" w:rsidRPr="00DC050B">
        <w:rPr>
          <w:rFonts w:asciiTheme="minorHAnsi" w:hAnsiTheme="minorHAnsi" w:cstheme="minorHAnsi"/>
          <w:b/>
          <w:i/>
          <w:lang w:eastAsia="ja-JP"/>
        </w:rPr>
        <w:t xml:space="preserve"> revenues</w:t>
      </w:r>
    </w:p>
    <w:p w14:paraId="23BF0DD8" w14:textId="77777777" w:rsidR="00797F52" w:rsidRPr="00DC050B" w:rsidRDefault="00797F52" w:rsidP="00797F52">
      <w:pPr>
        <w:spacing w:after="0" w:line="240" w:lineRule="auto"/>
        <w:rPr>
          <w:rFonts w:asciiTheme="minorHAnsi" w:hAnsiTheme="minorHAnsi" w:cstheme="minorHAnsi"/>
          <w:b/>
          <w:i/>
          <w:lang w:eastAsia="ja-JP"/>
        </w:rPr>
      </w:pPr>
    </w:p>
    <w:p w14:paraId="28930578" w14:textId="42206420" w:rsidR="0059246A" w:rsidRPr="00DC050B" w:rsidRDefault="001F1239" w:rsidP="003C3393">
      <w:pPr>
        <w:pStyle w:val="ListParagraph"/>
        <w:numPr>
          <w:ilvl w:val="0"/>
          <w:numId w:val="44"/>
        </w:numPr>
        <w:tabs>
          <w:tab w:val="clear" w:pos="360"/>
        </w:tabs>
        <w:spacing w:after="120" w:line="240" w:lineRule="auto"/>
        <w:ind w:left="0" w:firstLine="0"/>
        <w:jc w:val="both"/>
        <w:rPr>
          <w:rFonts w:asciiTheme="minorHAnsi" w:hAnsiTheme="minorHAnsi" w:cstheme="minorHAnsi"/>
          <w:b/>
        </w:rPr>
      </w:pPr>
      <w:r w:rsidRPr="006C66C2">
        <w:rPr>
          <w:rFonts w:asciiTheme="minorHAnsi" w:hAnsiTheme="minorHAnsi" w:cstheme="minorHAnsi"/>
          <w:b/>
          <w:bCs/>
        </w:rPr>
        <w:t>Rationale</w:t>
      </w:r>
      <w:r w:rsidRPr="006C66C2">
        <w:rPr>
          <w:rFonts w:asciiTheme="minorHAnsi" w:hAnsiTheme="minorHAnsi" w:cstheme="minorHAnsi"/>
        </w:rPr>
        <w:t>.</w:t>
      </w:r>
      <w:r w:rsidR="00294CEB" w:rsidRPr="006C66C2">
        <w:rPr>
          <w:rFonts w:asciiTheme="minorHAnsi" w:hAnsiTheme="minorHAnsi" w:cstheme="minorHAnsi"/>
        </w:rPr>
        <w:t xml:space="preserve"> </w:t>
      </w:r>
      <w:r w:rsidR="002A0963" w:rsidRPr="006C66C2">
        <w:rPr>
          <w:rFonts w:asciiTheme="minorHAnsi" w:hAnsiTheme="minorHAnsi" w:cstheme="minorHAnsi"/>
        </w:rPr>
        <w:t xml:space="preserve">Madagascar has one of the lowest tax-to-GDP ratios in the world, at 10.9 percent in 2016 compared with a sub-Saharan average of 16.8 percent. Low levels of domestic tax collection constrain fiscal space available for spending on social sectors and public investments that could benefit the poor. </w:t>
      </w:r>
      <w:r w:rsidR="00F447F7" w:rsidRPr="006C66C2">
        <w:rPr>
          <w:rFonts w:asciiTheme="minorHAnsi" w:hAnsiTheme="minorHAnsi" w:cstheme="minorHAnsi"/>
        </w:rPr>
        <w:t>Current tax administration practices favor well</w:t>
      </w:r>
      <w:r w:rsidR="00B67341" w:rsidRPr="006C66C2">
        <w:rPr>
          <w:rFonts w:asciiTheme="minorHAnsi" w:hAnsiTheme="minorHAnsi" w:cstheme="minorHAnsi"/>
        </w:rPr>
        <w:t>-connected private enterprises</w:t>
      </w:r>
      <w:r w:rsidR="003C1D54" w:rsidRPr="00A20F63">
        <w:rPr>
          <w:rFonts w:asciiTheme="minorHAnsi" w:hAnsiTheme="minorHAnsi" w:cstheme="minorHAnsi"/>
        </w:rPr>
        <w:t xml:space="preserve">, </w:t>
      </w:r>
      <w:r w:rsidR="00F447F7" w:rsidRPr="00A20F63">
        <w:rPr>
          <w:rFonts w:asciiTheme="minorHAnsi" w:hAnsiTheme="minorHAnsi" w:cstheme="minorHAnsi"/>
        </w:rPr>
        <w:t xml:space="preserve">which </w:t>
      </w:r>
      <w:r w:rsidR="003C1D54" w:rsidRPr="00A20F63">
        <w:rPr>
          <w:rFonts w:asciiTheme="minorHAnsi" w:hAnsiTheme="minorHAnsi" w:cstheme="minorHAnsi"/>
        </w:rPr>
        <w:t>compromis</w:t>
      </w:r>
      <w:r w:rsidR="00F447F7" w:rsidRPr="00A20F63">
        <w:rPr>
          <w:rFonts w:asciiTheme="minorHAnsi" w:hAnsiTheme="minorHAnsi" w:cstheme="minorHAnsi"/>
        </w:rPr>
        <w:t>es</w:t>
      </w:r>
      <w:r w:rsidR="003C1D54" w:rsidRPr="00A20F63">
        <w:rPr>
          <w:rFonts w:asciiTheme="minorHAnsi" w:hAnsiTheme="minorHAnsi" w:cstheme="minorHAnsi"/>
        </w:rPr>
        <w:t xml:space="preserve"> revenue collection</w:t>
      </w:r>
      <w:r w:rsidR="00E05C3E" w:rsidRPr="00A20F63">
        <w:rPr>
          <w:rFonts w:asciiTheme="minorHAnsi" w:hAnsiTheme="minorHAnsi" w:cstheme="minorHAnsi"/>
        </w:rPr>
        <w:t xml:space="preserve">. </w:t>
      </w:r>
      <w:r w:rsidR="00334A79" w:rsidRPr="00A20F63">
        <w:rPr>
          <w:rFonts w:asciiTheme="minorHAnsi" w:hAnsiTheme="minorHAnsi" w:cstheme="minorHAnsi"/>
        </w:rPr>
        <w:t>Madagascar’s tax-to-GDP ratio is low in part due to generous exemptions to tax regimes</w:t>
      </w:r>
      <w:r w:rsidR="00B65D2D" w:rsidRPr="00A20F63">
        <w:rPr>
          <w:rFonts w:asciiTheme="minorHAnsi" w:hAnsiTheme="minorHAnsi" w:cstheme="minorHAnsi"/>
        </w:rPr>
        <w:t>, including for goods</w:t>
      </w:r>
      <w:r w:rsidR="00334A79" w:rsidRPr="00A20F63">
        <w:rPr>
          <w:rFonts w:asciiTheme="minorHAnsi" w:hAnsiTheme="minorHAnsi" w:cstheme="minorHAnsi"/>
        </w:rPr>
        <w:t xml:space="preserve"> that do not have a dir</w:t>
      </w:r>
      <w:r w:rsidR="00B65D2D" w:rsidRPr="00A20F63">
        <w:rPr>
          <w:rFonts w:asciiTheme="minorHAnsi" w:hAnsiTheme="minorHAnsi" w:cstheme="minorHAnsi"/>
        </w:rPr>
        <w:t>ect social or economic benefit,</w:t>
      </w:r>
      <w:r w:rsidR="00334A79" w:rsidRPr="00B66802">
        <w:rPr>
          <w:rStyle w:val="FootnoteReference"/>
          <w:rFonts w:asciiTheme="minorHAnsi" w:hAnsiTheme="minorHAnsi" w:cstheme="minorHAnsi"/>
        </w:rPr>
        <w:footnoteReference w:id="31"/>
      </w:r>
      <w:r w:rsidR="00334A79" w:rsidRPr="00B66802">
        <w:rPr>
          <w:rFonts w:asciiTheme="minorHAnsi" w:hAnsiTheme="minorHAnsi" w:cstheme="minorHAnsi"/>
        </w:rPr>
        <w:t xml:space="preserve"> low levels of compliance and widespread tax evasion. Tax evasion often goes undetected in Madagascar due to lack of controls that consider economic activity and levels of risk. A lack of transparency regarding the magnitude of tax revenue foregone due to </w:t>
      </w:r>
      <w:r w:rsidR="00334A79" w:rsidRPr="00BD4A16">
        <w:rPr>
          <w:rFonts w:asciiTheme="minorHAnsi" w:hAnsiTheme="minorHAnsi" w:cstheme="minorHAnsi"/>
        </w:rPr>
        <w:t xml:space="preserve">the granting of tax expenditure provisions has constrained decision-making on the importance of reforming the current exemptions scheme. </w:t>
      </w:r>
    </w:p>
    <w:p w14:paraId="084D1309" w14:textId="77777777" w:rsidR="0059246A" w:rsidRPr="00DC050B" w:rsidRDefault="0059246A" w:rsidP="0059246A">
      <w:pPr>
        <w:pStyle w:val="ListParagraph"/>
        <w:rPr>
          <w:rFonts w:asciiTheme="minorHAnsi" w:hAnsiTheme="minorHAnsi" w:cstheme="minorHAnsi"/>
        </w:rPr>
      </w:pPr>
    </w:p>
    <w:p w14:paraId="26D78DA3" w14:textId="39F700B2" w:rsidR="00835BD7" w:rsidRPr="00DC050B" w:rsidRDefault="006A12A0" w:rsidP="003C3393">
      <w:pPr>
        <w:pStyle w:val="ListParagraph"/>
        <w:numPr>
          <w:ilvl w:val="0"/>
          <w:numId w:val="44"/>
        </w:numPr>
        <w:tabs>
          <w:tab w:val="clear" w:pos="360"/>
        </w:tabs>
        <w:spacing w:after="120" w:line="240" w:lineRule="auto"/>
        <w:ind w:left="0" w:firstLine="0"/>
        <w:jc w:val="both"/>
        <w:rPr>
          <w:rFonts w:asciiTheme="minorHAnsi" w:hAnsiTheme="minorHAnsi" w:cstheme="minorHAnsi"/>
          <w:b/>
        </w:rPr>
      </w:pPr>
      <w:r w:rsidRPr="00DC050B">
        <w:rPr>
          <w:rFonts w:asciiTheme="minorHAnsi" w:hAnsiTheme="minorHAnsi" w:cstheme="minorHAnsi"/>
          <w:b/>
        </w:rPr>
        <w:t xml:space="preserve">Reforms: </w:t>
      </w:r>
      <w:r w:rsidR="00334A79" w:rsidRPr="006C66C2">
        <w:rPr>
          <w:rFonts w:asciiTheme="minorHAnsi" w:hAnsiTheme="minorHAnsi" w:cstheme="minorHAnsi"/>
          <w:b/>
        </w:rPr>
        <w:t>To address</w:t>
      </w:r>
      <w:r w:rsidR="00D7187F" w:rsidRPr="006C66C2">
        <w:rPr>
          <w:rFonts w:asciiTheme="minorHAnsi" w:hAnsiTheme="minorHAnsi" w:cstheme="minorHAnsi"/>
          <w:b/>
        </w:rPr>
        <w:t xml:space="preserve"> the issues around tax expenditures</w:t>
      </w:r>
      <w:r w:rsidR="00334A79" w:rsidRPr="006C66C2">
        <w:rPr>
          <w:rFonts w:asciiTheme="minorHAnsi" w:hAnsiTheme="minorHAnsi" w:cstheme="minorHAnsi"/>
          <w:b/>
        </w:rPr>
        <w:t>, t</w:t>
      </w:r>
      <w:r w:rsidR="00195C0D" w:rsidRPr="006C66C2">
        <w:rPr>
          <w:rFonts w:asciiTheme="minorHAnsi" w:eastAsia="Calibri" w:hAnsiTheme="minorHAnsi" w:cstheme="minorHAnsi"/>
          <w:b/>
        </w:rPr>
        <w:t>he reforms in</w:t>
      </w:r>
      <w:r w:rsidR="00305CF6" w:rsidRPr="006C66C2">
        <w:rPr>
          <w:rFonts w:asciiTheme="minorHAnsi" w:eastAsia="Calibri" w:hAnsiTheme="minorHAnsi" w:cstheme="minorHAnsi"/>
          <w:b/>
        </w:rPr>
        <w:t xml:space="preserve"> this programmatic DPO series have focused on strengthening controls and improving transparency.</w:t>
      </w:r>
      <w:r w:rsidR="00195C0D" w:rsidRPr="006C66C2">
        <w:rPr>
          <w:rFonts w:asciiTheme="minorHAnsi" w:eastAsia="Calibri" w:hAnsiTheme="minorHAnsi" w:cstheme="minorHAnsi"/>
        </w:rPr>
        <w:t xml:space="preserve"> </w:t>
      </w:r>
      <w:r w:rsidR="0059246A" w:rsidRPr="006C66C2">
        <w:rPr>
          <w:rFonts w:asciiTheme="minorHAnsi" w:eastAsia="Calibri" w:hAnsiTheme="minorHAnsi" w:cstheme="minorHAnsi"/>
        </w:rPr>
        <w:t>DPO1</w:t>
      </w:r>
      <w:r w:rsidR="00195C0D" w:rsidRPr="00A20F63">
        <w:rPr>
          <w:rFonts w:asciiTheme="minorHAnsi" w:eastAsia="Calibri" w:hAnsiTheme="minorHAnsi" w:cstheme="minorHAnsi"/>
        </w:rPr>
        <w:t xml:space="preserve"> focused on </w:t>
      </w:r>
      <w:r w:rsidR="004113BE" w:rsidRPr="00A20F63">
        <w:rPr>
          <w:rFonts w:asciiTheme="minorHAnsi" w:eastAsia="Calibri" w:hAnsiTheme="minorHAnsi" w:cstheme="minorHAnsi"/>
        </w:rPr>
        <w:t xml:space="preserve">strengthening </w:t>
      </w:r>
      <w:r w:rsidR="00195C0D" w:rsidRPr="00A20F63">
        <w:rPr>
          <w:rFonts w:asciiTheme="minorHAnsi" w:eastAsia="Calibri" w:hAnsiTheme="minorHAnsi" w:cstheme="minorHAnsi"/>
        </w:rPr>
        <w:t xml:space="preserve">customs administration </w:t>
      </w:r>
      <w:r w:rsidR="006D109B" w:rsidRPr="00A20F63">
        <w:rPr>
          <w:rFonts w:asciiTheme="minorHAnsi" w:eastAsia="Calibri" w:hAnsiTheme="minorHAnsi" w:cstheme="minorHAnsi"/>
        </w:rPr>
        <w:t>through</w:t>
      </w:r>
      <w:r w:rsidR="004113BE" w:rsidRPr="00A20F63">
        <w:rPr>
          <w:rFonts w:asciiTheme="minorHAnsi" w:eastAsia="Calibri" w:hAnsiTheme="minorHAnsi" w:cstheme="minorHAnsi"/>
        </w:rPr>
        <w:t xml:space="preserve"> rationalizing the scope of customs exemption</w:t>
      </w:r>
      <w:r w:rsidR="008A6EE3" w:rsidRPr="00A20F63">
        <w:rPr>
          <w:rFonts w:asciiTheme="minorHAnsi" w:eastAsia="Calibri" w:hAnsiTheme="minorHAnsi" w:cstheme="minorHAnsi"/>
        </w:rPr>
        <w:t>s</w:t>
      </w:r>
      <w:r w:rsidR="004D60E1" w:rsidRPr="00A20F63">
        <w:rPr>
          <w:rFonts w:asciiTheme="minorHAnsi" w:eastAsia="Calibri" w:hAnsiTheme="minorHAnsi" w:cstheme="minorHAnsi"/>
        </w:rPr>
        <w:t xml:space="preserve">, </w:t>
      </w:r>
      <w:r w:rsidR="00195C0D" w:rsidRPr="00A20F63">
        <w:rPr>
          <w:rFonts w:asciiTheme="minorHAnsi" w:eastAsia="Calibri" w:hAnsiTheme="minorHAnsi" w:cstheme="minorHAnsi"/>
        </w:rPr>
        <w:t xml:space="preserve">expediting </w:t>
      </w:r>
      <w:r w:rsidR="007C7D1C" w:rsidRPr="00A20F63">
        <w:rPr>
          <w:rFonts w:asciiTheme="minorHAnsi" w:eastAsia="Calibri" w:hAnsiTheme="minorHAnsi" w:cstheme="minorHAnsi"/>
        </w:rPr>
        <w:t>customs clearance process</w:t>
      </w:r>
      <w:r w:rsidR="00195C0D" w:rsidRPr="00A20F63">
        <w:rPr>
          <w:rFonts w:asciiTheme="minorHAnsi" w:eastAsia="Calibri" w:hAnsiTheme="minorHAnsi" w:cstheme="minorHAnsi"/>
        </w:rPr>
        <w:t>es</w:t>
      </w:r>
      <w:r w:rsidR="007C7D1C" w:rsidRPr="00A20F63">
        <w:rPr>
          <w:rFonts w:asciiTheme="minorHAnsi" w:eastAsia="Calibri" w:hAnsiTheme="minorHAnsi" w:cstheme="minorHAnsi"/>
        </w:rPr>
        <w:t xml:space="preserve"> based on objective measures</w:t>
      </w:r>
      <w:r w:rsidR="00195C0D" w:rsidRPr="00A20F63">
        <w:rPr>
          <w:rFonts w:asciiTheme="minorHAnsi" w:eastAsia="Calibri" w:hAnsiTheme="minorHAnsi" w:cstheme="minorHAnsi"/>
        </w:rPr>
        <w:t>,</w:t>
      </w:r>
      <w:r w:rsidR="007C7D1C" w:rsidRPr="00B66802">
        <w:rPr>
          <w:rStyle w:val="FootnoteReference"/>
          <w:rFonts w:asciiTheme="minorHAnsi" w:eastAsia="Calibri" w:hAnsiTheme="minorHAnsi" w:cstheme="minorHAnsi"/>
        </w:rPr>
        <w:footnoteReference w:id="32"/>
      </w:r>
      <w:r w:rsidR="00EC1BBC" w:rsidRPr="00B66802">
        <w:rPr>
          <w:rFonts w:asciiTheme="minorHAnsi" w:eastAsia="Calibri" w:hAnsiTheme="minorHAnsi" w:cstheme="minorHAnsi"/>
        </w:rPr>
        <w:t xml:space="preserve"> </w:t>
      </w:r>
      <w:r w:rsidR="007C7D1C" w:rsidRPr="00B66802">
        <w:rPr>
          <w:rFonts w:asciiTheme="minorHAnsi" w:eastAsia="Calibri" w:hAnsiTheme="minorHAnsi" w:cstheme="minorHAnsi"/>
        </w:rPr>
        <w:t xml:space="preserve">and </w:t>
      </w:r>
      <w:r w:rsidR="00790A94" w:rsidRPr="00B66802">
        <w:rPr>
          <w:rFonts w:asciiTheme="minorHAnsi" w:eastAsia="Calibri" w:hAnsiTheme="minorHAnsi" w:cstheme="minorHAnsi"/>
        </w:rPr>
        <w:t xml:space="preserve">establishing performance contracts for customs inspectors at the </w:t>
      </w:r>
      <w:r w:rsidR="004113BE" w:rsidRPr="00BD4A16">
        <w:rPr>
          <w:rFonts w:asciiTheme="minorHAnsi" w:eastAsia="Calibri" w:hAnsiTheme="minorHAnsi" w:cstheme="minorHAnsi"/>
        </w:rPr>
        <w:t>P</w:t>
      </w:r>
      <w:r w:rsidR="00790A94" w:rsidRPr="00DC050B">
        <w:rPr>
          <w:rFonts w:asciiTheme="minorHAnsi" w:eastAsia="Calibri" w:hAnsiTheme="minorHAnsi" w:cstheme="minorHAnsi"/>
        </w:rPr>
        <w:t>ort of Toamasina (prior action</w:t>
      </w:r>
      <w:r w:rsidR="002D6AED" w:rsidRPr="00DC050B">
        <w:rPr>
          <w:rFonts w:asciiTheme="minorHAnsi" w:eastAsia="Calibri" w:hAnsiTheme="minorHAnsi" w:cstheme="minorHAnsi"/>
        </w:rPr>
        <w:t xml:space="preserve"> – DPO 1</w:t>
      </w:r>
      <w:r w:rsidR="00790A94" w:rsidRPr="00DC050B">
        <w:rPr>
          <w:rFonts w:asciiTheme="minorHAnsi" w:eastAsia="Calibri" w:hAnsiTheme="minorHAnsi" w:cstheme="minorHAnsi"/>
        </w:rPr>
        <w:t xml:space="preserve">). </w:t>
      </w:r>
      <w:r w:rsidR="005A2EA3" w:rsidRPr="00DC050B">
        <w:rPr>
          <w:rFonts w:asciiTheme="minorHAnsi" w:eastAsia="Calibri" w:hAnsiTheme="minorHAnsi" w:cstheme="minorHAnsi"/>
        </w:rPr>
        <w:t>In DPO2</w:t>
      </w:r>
      <w:r w:rsidR="001A18E4">
        <w:rPr>
          <w:rFonts w:asciiTheme="minorHAnsi" w:eastAsia="Calibri" w:hAnsiTheme="minorHAnsi" w:cstheme="minorHAnsi"/>
        </w:rPr>
        <w:t>,</w:t>
      </w:r>
      <w:r w:rsidR="005A2EA3" w:rsidRPr="00DC050B">
        <w:rPr>
          <w:rFonts w:asciiTheme="minorHAnsi" w:eastAsia="Calibri" w:hAnsiTheme="minorHAnsi" w:cstheme="minorHAnsi"/>
        </w:rPr>
        <w:t xml:space="preserve"> the reforms intend to increase transparency </w:t>
      </w:r>
      <w:r w:rsidR="008940EA" w:rsidRPr="00DC050B">
        <w:rPr>
          <w:rFonts w:asciiTheme="minorHAnsi" w:eastAsia="Calibri" w:hAnsiTheme="minorHAnsi" w:cstheme="minorHAnsi"/>
        </w:rPr>
        <w:t xml:space="preserve">on tax expenditures, through the publication of </w:t>
      </w:r>
      <w:r w:rsidR="003D1E1B" w:rsidRPr="006C66C2">
        <w:rPr>
          <w:rFonts w:asciiTheme="minorHAnsi" w:eastAsia="Calibri" w:hAnsiTheme="minorHAnsi" w:cstheme="minorHAnsi"/>
        </w:rPr>
        <w:t>a</w:t>
      </w:r>
      <w:r w:rsidR="0059246A" w:rsidRPr="006C66C2">
        <w:rPr>
          <w:rFonts w:asciiTheme="minorHAnsi" w:eastAsia="Calibri" w:hAnsiTheme="minorHAnsi" w:cstheme="minorHAnsi"/>
        </w:rPr>
        <w:t xml:space="preserve"> statement summarizing all tax expenditures, </w:t>
      </w:r>
      <w:r w:rsidR="008940EA" w:rsidRPr="006C66C2">
        <w:rPr>
          <w:rFonts w:asciiTheme="minorHAnsi" w:eastAsia="Calibri" w:hAnsiTheme="minorHAnsi" w:cstheme="minorHAnsi"/>
        </w:rPr>
        <w:t>which should be incorporated in the annual budget law</w:t>
      </w:r>
      <w:r w:rsidR="00950CF3" w:rsidRPr="006C66C2">
        <w:rPr>
          <w:rFonts w:asciiTheme="minorHAnsi" w:eastAsia="Calibri" w:hAnsiTheme="minorHAnsi" w:cstheme="minorHAnsi"/>
        </w:rPr>
        <w:t xml:space="preserve"> for subsequent years</w:t>
      </w:r>
      <w:r w:rsidR="008940EA" w:rsidRPr="00A20F63">
        <w:rPr>
          <w:rFonts w:asciiTheme="minorHAnsi" w:eastAsia="Calibri" w:hAnsiTheme="minorHAnsi" w:cstheme="minorHAnsi"/>
        </w:rPr>
        <w:t>. Going further,</w:t>
      </w:r>
      <w:r w:rsidR="00592F94" w:rsidRPr="00A20F63">
        <w:rPr>
          <w:rFonts w:asciiTheme="minorHAnsi" w:eastAsia="Calibri" w:hAnsiTheme="minorHAnsi" w:cstheme="minorHAnsi"/>
        </w:rPr>
        <w:t xml:space="preserve"> the authorities have committed to </w:t>
      </w:r>
      <w:r w:rsidR="008969CA" w:rsidRPr="00A20F63">
        <w:rPr>
          <w:rFonts w:asciiTheme="minorHAnsi" w:eastAsia="Calibri" w:hAnsiTheme="minorHAnsi" w:cstheme="minorHAnsi"/>
        </w:rPr>
        <w:t xml:space="preserve">cancelling tax expenditures </w:t>
      </w:r>
      <w:r w:rsidR="00314121" w:rsidRPr="00A20F63">
        <w:rPr>
          <w:rFonts w:asciiTheme="minorHAnsi" w:eastAsia="Calibri" w:hAnsiTheme="minorHAnsi" w:cstheme="minorHAnsi"/>
        </w:rPr>
        <w:t>for certain items</w:t>
      </w:r>
      <w:r w:rsidR="001B34D8" w:rsidRPr="00A20F63">
        <w:rPr>
          <w:rFonts w:asciiTheme="minorHAnsi" w:eastAsia="Calibri" w:hAnsiTheme="minorHAnsi" w:cstheme="minorHAnsi"/>
        </w:rPr>
        <w:t xml:space="preserve">, where the social and economic benefits were </w:t>
      </w:r>
      <w:r w:rsidR="00314121" w:rsidRPr="00A20F63">
        <w:rPr>
          <w:rFonts w:asciiTheme="minorHAnsi" w:eastAsia="Calibri" w:hAnsiTheme="minorHAnsi" w:cstheme="minorHAnsi"/>
        </w:rPr>
        <w:t>not proven</w:t>
      </w:r>
      <w:r w:rsidR="001B34D8" w:rsidRPr="00A20F63">
        <w:rPr>
          <w:rFonts w:asciiTheme="minorHAnsi" w:eastAsia="Calibri" w:hAnsiTheme="minorHAnsi" w:cstheme="minorHAnsi"/>
        </w:rPr>
        <w:t>.</w:t>
      </w:r>
      <w:r w:rsidR="006C6F2D" w:rsidRPr="00B66802">
        <w:rPr>
          <w:rStyle w:val="FootnoteReference"/>
          <w:rFonts w:asciiTheme="minorHAnsi" w:eastAsia="Calibri" w:hAnsiTheme="minorHAnsi" w:cstheme="minorHAnsi"/>
        </w:rPr>
        <w:footnoteReference w:id="33"/>
      </w:r>
      <w:r w:rsidR="006C6F2D" w:rsidRPr="00B66802">
        <w:rPr>
          <w:rFonts w:asciiTheme="minorHAnsi" w:eastAsia="Calibri" w:hAnsiTheme="minorHAnsi" w:cstheme="minorHAnsi"/>
        </w:rPr>
        <w:t xml:space="preserve"> </w:t>
      </w:r>
      <w:r w:rsidR="00B242ED" w:rsidRPr="00B66802">
        <w:rPr>
          <w:rFonts w:asciiTheme="minorHAnsi" w:eastAsia="Calibri" w:hAnsiTheme="minorHAnsi" w:cstheme="minorHAnsi"/>
        </w:rPr>
        <w:t>In addition, a further reform has bee</w:t>
      </w:r>
      <w:r w:rsidR="00FB18E1" w:rsidRPr="00BD4A16">
        <w:rPr>
          <w:rFonts w:asciiTheme="minorHAnsi" w:eastAsia="Calibri" w:hAnsiTheme="minorHAnsi" w:cstheme="minorHAnsi"/>
        </w:rPr>
        <w:t>n added to DPO2, which seeks to increase the tax base by taking a risk-based approach</w:t>
      </w:r>
      <w:r w:rsidR="00977EB0" w:rsidRPr="00DC050B">
        <w:rPr>
          <w:rFonts w:asciiTheme="minorHAnsi" w:eastAsia="Calibri" w:hAnsiTheme="minorHAnsi" w:cstheme="minorHAnsi"/>
        </w:rPr>
        <w:t xml:space="preserve"> </w:t>
      </w:r>
      <w:r w:rsidR="00FB18E1" w:rsidRPr="00DC050B">
        <w:rPr>
          <w:rFonts w:asciiTheme="minorHAnsi" w:eastAsia="Calibri" w:hAnsiTheme="minorHAnsi" w:cstheme="minorHAnsi"/>
        </w:rPr>
        <w:t xml:space="preserve">to verifying tax payments at customs and </w:t>
      </w:r>
      <w:r w:rsidR="00775521" w:rsidRPr="00DC050B">
        <w:rPr>
          <w:rFonts w:asciiTheme="minorHAnsi" w:eastAsia="Calibri" w:hAnsiTheme="minorHAnsi" w:cstheme="minorHAnsi"/>
        </w:rPr>
        <w:t xml:space="preserve">tax offices. </w:t>
      </w:r>
    </w:p>
    <w:p w14:paraId="51769475" w14:textId="77777777" w:rsidR="00B44C7C" w:rsidRPr="006C66C2" w:rsidRDefault="00B44C7C" w:rsidP="00B44C7C">
      <w:pPr>
        <w:pStyle w:val="ListParagraph"/>
        <w:rPr>
          <w:rFonts w:asciiTheme="minorHAnsi" w:hAnsiTheme="minorHAnsi" w:cstheme="minorHAnsi"/>
          <w:b/>
        </w:rPr>
      </w:pPr>
    </w:p>
    <w:p w14:paraId="7ADBA502" w14:textId="61D0C741" w:rsidR="007B1BE8" w:rsidRPr="00136BFE" w:rsidRDefault="000A2E8C" w:rsidP="007B1BE8">
      <w:pPr>
        <w:pStyle w:val="ListParagraph"/>
        <w:numPr>
          <w:ilvl w:val="0"/>
          <w:numId w:val="32"/>
        </w:numPr>
        <w:spacing w:after="0" w:line="240" w:lineRule="auto"/>
        <w:jc w:val="both"/>
        <w:rPr>
          <w:rFonts w:asciiTheme="minorHAnsi" w:hAnsiTheme="minorHAnsi" w:cstheme="minorHAnsi"/>
          <w:bCs/>
          <w:iCs/>
        </w:rPr>
      </w:pPr>
      <w:r w:rsidRPr="006C66C2">
        <w:rPr>
          <w:rFonts w:asciiTheme="minorHAnsi" w:hAnsiTheme="minorHAnsi" w:cstheme="minorHAnsi"/>
          <w:b/>
          <w:i/>
        </w:rPr>
        <w:t>Prior action</w:t>
      </w:r>
      <w:r w:rsidR="00B148BC" w:rsidRPr="006C66C2">
        <w:rPr>
          <w:rFonts w:asciiTheme="minorHAnsi" w:hAnsiTheme="minorHAnsi" w:cstheme="minorHAnsi"/>
          <w:b/>
          <w:i/>
        </w:rPr>
        <w:t xml:space="preserve"> 1</w:t>
      </w:r>
      <w:r w:rsidRPr="006C66C2">
        <w:rPr>
          <w:rFonts w:asciiTheme="minorHAnsi" w:hAnsiTheme="minorHAnsi" w:cstheme="minorHAnsi"/>
          <w:b/>
          <w:i/>
        </w:rPr>
        <w:t>:</w:t>
      </w:r>
      <w:r w:rsidRPr="006C66C2">
        <w:rPr>
          <w:rFonts w:asciiTheme="minorHAnsi" w:hAnsiTheme="minorHAnsi" w:cstheme="minorHAnsi"/>
          <w:b/>
        </w:rPr>
        <w:t xml:space="preserve"> </w:t>
      </w:r>
      <w:r w:rsidR="007B1BE8" w:rsidRPr="00136BFE">
        <w:rPr>
          <w:rFonts w:asciiTheme="minorHAnsi" w:hAnsiTheme="minorHAnsi" w:cstheme="minorHAnsi"/>
          <w:bCs/>
          <w:iCs/>
        </w:rPr>
        <w:t xml:space="preserve">The Recipient has, through its </w:t>
      </w:r>
      <w:r w:rsidR="00A20F63">
        <w:rPr>
          <w:rFonts w:asciiTheme="minorHAnsi" w:hAnsiTheme="minorHAnsi" w:cstheme="minorHAnsi"/>
          <w:bCs/>
          <w:iCs/>
        </w:rPr>
        <w:t>MFB</w:t>
      </w:r>
      <w:r w:rsidR="007B1BE8" w:rsidRPr="00136BFE">
        <w:rPr>
          <w:rFonts w:asciiTheme="minorHAnsi" w:hAnsiTheme="minorHAnsi" w:cstheme="minorHAnsi"/>
          <w:bCs/>
          <w:iCs/>
        </w:rPr>
        <w:t>, published the first annual tax expenditure statement.</w:t>
      </w:r>
    </w:p>
    <w:p w14:paraId="1D2CC32B" w14:textId="1FABCA40" w:rsidR="007B1BE8" w:rsidRPr="00B66802" w:rsidRDefault="006B56D0" w:rsidP="007B1BE8">
      <w:pPr>
        <w:pStyle w:val="ListParagraph"/>
        <w:numPr>
          <w:ilvl w:val="0"/>
          <w:numId w:val="21"/>
        </w:numPr>
        <w:spacing w:after="0" w:line="240" w:lineRule="auto"/>
        <w:ind w:right="115"/>
        <w:jc w:val="both"/>
        <w:rPr>
          <w:rFonts w:asciiTheme="minorHAnsi" w:hAnsiTheme="minorHAnsi" w:cstheme="minorHAnsi"/>
        </w:rPr>
      </w:pPr>
      <w:r w:rsidRPr="00B66802">
        <w:rPr>
          <w:rFonts w:asciiTheme="minorHAnsi" w:hAnsiTheme="minorHAnsi" w:cstheme="minorHAnsi"/>
          <w:b/>
          <w:i/>
        </w:rPr>
        <w:t>Prior action 2:</w:t>
      </w:r>
      <w:r w:rsidRPr="00B66802">
        <w:rPr>
          <w:rFonts w:asciiTheme="minorHAnsi" w:hAnsiTheme="minorHAnsi" w:cstheme="minorHAnsi"/>
        </w:rPr>
        <w:t xml:space="preserve"> </w:t>
      </w:r>
      <w:r w:rsidR="007B1BE8" w:rsidRPr="00136BFE">
        <w:rPr>
          <w:rFonts w:asciiTheme="minorHAnsi" w:hAnsiTheme="minorHAnsi" w:cstheme="minorHAnsi"/>
          <w:bCs/>
          <w:iCs/>
        </w:rPr>
        <w:t xml:space="preserve">The Recipient has, through its customs and tax directorates, issued a </w:t>
      </w:r>
      <w:r w:rsidR="007B1BE8" w:rsidRPr="00136BFE">
        <w:rPr>
          <w:rFonts w:asciiTheme="minorHAnsi" w:hAnsiTheme="minorHAnsi" w:cstheme="minorHAnsi"/>
          <w:bCs/>
          <w:i/>
          <w:iCs/>
        </w:rPr>
        <w:t>Protocole d’Accord</w:t>
      </w:r>
      <w:r w:rsidR="007B1BE8" w:rsidRPr="00136BFE">
        <w:rPr>
          <w:rFonts w:asciiTheme="minorHAnsi" w:hAnsiTheme="minorHAnsi" w:cstheme="minorHAnsi"/>
          <w:bCs/>
          <w:iCs/>
        </w:rPr>
        <w:t xml:space="preserve"> establishing procedures for verifying customs and tax data for 20 large, high risk importers and exporters, following a risk based approach to reducing fraud and expanding the tax base.</w:t>
      </w:r>
    </w:p>
    <w:p w14:paraId="2FE4DA11" w14:textId="77777777" w:rsidR="00517FD4" w:rsidRPr="00BD4A16" w:rsidRDefault="00517FD4" w:rsidP="006B56D0">
      <w:pPr>
        <w:spacing w:after="0" w:line="240" w:lineRule="auto"/>
        <w:ind w:left="187" w:right="115"/>
        <w:jc w:val="both"/>
        <w:rPr>
          <w:rFonts w:asciiTheme="minorHAnsi" w:hAnsiTheme="minorHAnsi" w:cstheme="minorHAnsi"/>
          <w:sz w:val="20"/>
          <w:szCs w:val="20"/>
        </w:rPr>
      </w:pPr>
    </w:p>
    <w:p w14:paraId="47FF7EBD" w14:textId="3D9CDD0A" w:rsidR="00E752A6" w:rsidRPr="00B66802" w:rsidRDefault="005905A3" w:rsidP="00136BFE">
      <w:pPr>
        <w:numPr>
          <w:ilvl w:val="0"/>
          <w:numId w:val="44"/>
        </w:numPr>
        <w:tabs>
          <w:tab w:val="clear" w:pos="360"/>
        </w:tabs>
        <w:autoSpaceDE w:val="0"/>
        <w:autoSpaceDN w:val="0"/>
        <w:adjustRightInd w:val="0"/>
        <w:spacing w:after="0" w:line="240" w:lineRule="auto"/>
        <w:ind w:left="0" w:firstLine="0"/>
        <w:jc w:val="both"/>
        <w:rPr>
          <w:rFonts w:asciiTheme="minorHAnsi" w:hAnsiTheme="minorHAnsi" w:cstheme="minorHAnsi"/>
        </w:rPr>
      </w:pPr>
      <w:r w:rsidRPr="00BD4A16">
        <w:rPr>
          <w:rFonts w:asciiTheme="minorHAnsi" w:hAnsiTheme="minorHAnsi" w:cstheme="minorHAnsi"/>
          <w:b/>
        </w:rPr>
        <w:t>Results</w:t>
      </w:r>
      <w:r w:rsidR="00144E2D" w:rsidRPr="00DC050B">
        <w:rPr>
          <w:rFonts w:asciiTheme="minorHAnsi" w:hAnsiTheme="minorHAnsi" w:cstheme="minorHAnsi"/>
        </w:rPr>
        <w:t>.</w:t>
      </w:r>
      <w:r w:rsidR="001266AC" w:rsidRPr="00DC050B">
        <w:rPr>
          <w:rFonts w:asciiTheme="minorHAnsi" w:eastAsia="Calibri" w:hAnsiTheme="minorHAnsi" w:cstheme="minorHAnsi"/>
        </w:rPr>
        <w:t xml:space="preserve"> </w:t>
      </w:r>
      <w:r w:rsidR="00A64685" w:rsidRPr="00DC050B">
        <w:rPr>
          <w:rFonts w:asciiTheme="minorHAnsi" w:eastAsia="Calibri" w:hAnsiTheme="minorHAnsi" w:cstheme="minorHAnsi"/>
        </w:rPr>
        <w:t xml:space="preserve">The </w:t>
      </w:r>
      <w:r w:rsidR="00A64685" w:rsidRPr="00DC050B">
        <w:rPr>
          <w:rFonts w:asciiTheme="minorHAnsi" w:hAnsiTheme="minorHAnsi" w:cstheme="minorHAnsi"/>
        </w:rPr>
        <w:t>i</w:t>
      </w:r>
      <w:r w:rsidR="002F1B1D" w:rsidRPr="00DC050B">
        <w:rPr>
          <w:rFonts w:asciiTheme="minorHAnsi" w:hAnsiTheme="minorHAnsi" w:cstheme="minorHAnsi"/>
        </w:rPr>
        <w:t xml:space="preserve">mprovements to </w:t>
      </w:r>
      <w:r w:rsidR="002235D6" w:rsidRPr="00DC050B">
        <w:rPr>
          <w:rFonts w:asciiTheme="minorHAnsi" w:hAnsiTheme="minorHAnsi" w:cstheme="minorHAnsi"/>
        </w:rPr>
        <w:t xml:space="preserve">tax administration </w:t>
      </w:r>
      <w:r w:rsidR="00A64685" w:rsidRPr="006C66C2">
        <w:rPr>
          <w:rFonts w:asciiTheme="minorHAnsi" w:hAnsiTheme="minorHAnsi" w:cstheme="minorHAnsi"/>
        </w:rPr>
        <w:t xml:space="preserve">supported by this operation are part of </w:t>
      </w:r>
      <w:r w:rsidR="00227E00" w:rsidRPr="006C66C2">
        <w:rPr>
          <w:rFonts w:asciiTheme="minorHAnsi" w:hAnsiTheme="minorHAnsi" w:cstheme="minorHAnsi"/>
        </w:rPr>
        <w:t>a</w:t>
      </w:r>
      <w:r w:rsidR="00A64685" w:rsidRPr="006C66C2">
        <w:rPr>
          <w:rFonts w:asciiTheme="minorHAnsi" w:hAnsiTheme="minorHAnsi" w:cstheme="minorHAnsi"/>
        </w:rPr>
        <w:t xml:space="preserve"> package of reforms </w:t>
      </w:r>
      <w:r w:rsidR="00227E00" w:rsidRPr="006C66C2">
        <w:rPr>
          <w:rFonts w:asciiTheme="minorHAnsi" w:hAnsiTheme="minorHAnsi" w:cstheme="minorHAnsi"/>
        </w:rPr>
        <w:t xml:space="preserve">implemented by </w:t>
      </w:r>
      <w:r w:rsidR="00A64685" w:rsidRPr="006C66C2">
        <w:rPr>
          <w:rFonts w:asciiTheme="minorHAnsi" w:hAnsiTheme="minorHAnsi" w:cstheme="minorHAnsi"/>
        </w:rPr>
        <w:t xml:space="preserve">the </w:t>
      </w:r>
      <w:r w:rsidR="00227E00" w:rsidRPr="006C66C2">
        <w:rPr>
          <w:rFonts w:asciiTheme="minorHAnsi" w:hAnsiTheme="minorHAnsi" w:cstheme="minorHAnsi"/>
        </w:rPr>
        <w:t xml:space="preserve">Government </w:t>
      </w:r>
      <w:r w:rsidR="00170EC6" w:rsidRPr="00A20F63">
        <w:rPr>
          <w:rFonts w:asciiTheme="minorHAnsi" w:hAnsiTheme="minorHAnsi" w:cstheme="minorHAnsi"/>
        </w:rPr>
        <w:t>to achieve its</w:t>
      </w:r>
      <w:r w:rsidR="00A64685" w:rsidRPr="00A20F63">
        <w:rPr>
          <w:rFonts w:asciiTheme="minorHAnsi" w:hAnsiTheme="minorHAnsi" w:cstheme="minorHAnsi"/>
        </w:rPr>
        <w:t xml:space="preserve"> </w:t>
      </w:r>
      <w:r w:rsidR="00227E00" w:rsidRPr="00A20F63">
        <w:rPr>
          <w:rFonts w:asciiTheme="minorHAnsi" w:hAnsiTheme="minorHAnsi" w:cstheme="minorHAnsi"/>
        </w:rPr>
        <w:t>target</w:t>
      </w:r>
      <w:r w:rsidR="00A64685" w:rsidRPr="00A20F63">
        <w:rPr>
          <w:rFonts w:asciiTheme="minorHAnsi" w:hAnsiTheme="minorHAnsi" w:cstheme="minorHAnsi"/>
        </w:rPr>
        <w:t xml:space="preserve"> of increasing revenues from</w:t>
      </w:r>
      <w:r w:rsidR="000F5CEB" w:rsidRPr="00A20F63">
        <w:rPr>
          <w:rFonts w:asciiTheme="minorHAnsi" w:hAnsiTheme="minorHAnsi" w:cstheme="minorHAnsi"/>
        </w:rPr>
        <w:t xml:space="preserve"> 10.</w:t>
      </w:r>
      <w:r w:rsidR="00415739" w:rsidRPr="00A20F63">
        <w:rPr>
          <w:rFonts w:asciiTheme="minorHAnsi" w:hAnsiTheme="minorHAnsi" w:cstheme="minorHAnsi"/>
        </w:rPr>
        <w:t>1</w:t>
      </w:r>
      <w:r w:rsidR="000F5CEB" w:rsidRPr="00A20F63">
        <w:rPr>
          <w:rFonts w:asciiTheme="minorHAnsi" w:hAnsiTheme="minorHAnsi" w:cstheme="minorHAnsi"/>
        </w:rPr>
        <w:t xml:space="preserve"> percent of GDP in 2015 to 12 percent of GDP in 2019</w:t>
      </w:r>
      <w:r w:rsidR="00570E36" w:rsidRPr="00A20F63">
        <w:rPr>
          <w:rFonts w:asciiTheme="minorHAnsi" w:hAnsiTheme="minorHAnsi" w:cstheme="minorHAnsi"/>
        </w:rPr>
        <w:t xml:space="preserve">. </w:t>
      </w:r>
      <w:r w:rsidR="00BA2C3A" w:rsidRPr="00A20F63">
        <w:rPr>
          <w:rFonts w:asciiTheme="minorHAnsi" w:hAnsiTheme="minorHAnsi" w:cstheme="minorHAnsi"/>
        </w:rPr>
        <w:t xml:space="preserve">This target is an </w:t>
      </w:r>
      <w:r w:rsidR="000773F5" w:rsidRPr="00A20F63">
        <w:rPr>
          <w:rFonts w:asciiTheme="minorHAnsi" w:hAnsiTheme="minorHAnsi" w:cstheme="minorHAnsi"/>
        </w:rPr>
        <w:t>important step to realizing Madagascar’s tax potential, estimated at 17 percent of GDP.</w:t>
      </w:r>
      <w:r w:rsidR="002F1B1D" w:rsidRPr="00B66802">
        <w:rPr>
          <w:rStyle w:val="FootnoteReference"/>
          <w:rFonts w:asciiTheme="minorHAnsi" w:hAnsiTheme="minorHAnsi" w:cstheme="minorHAnsi"/>
        </w:rPr>
        <w:footnoteReference w:id="34"/>
      </w:r>
      <w:r w:rsidR="00170EC6" w:rsidRPr="00B66802">
        <w:rPr>
          <w:rFonts w:asciiTheme="minorHAnsi" w:hAnsiTheme="minorHAnsi" w:cstheme="minorHAnsi"/>
        </w:rPr>
        <w:t xml:space="preserve"> </w:t>
      </w:r>
    </w:p>
    <w:p w14:paraId="45D8AA30" w14:textId="77777777" w:rsidR="00E752A6" w:rsidRPr="00BD4A16" w:rsidRDefault="00E752A6" w:rsidP="00E752A6">
      <w:pPr>
        <w:tabs>
          <w:tab w:val="left" w:pos="450"/>
        </w:tabs>
        <w:autoSpaceDE w:val="0"/>
        <w:autoSpaceDN w:val="0"/>
        <w:adjustRightInd w:val="0"/>
        <w:spacing w:after="0" w:line="240" w:lineRule="auto"/>
        <w:jc w:val="both"/>
        <w:rPr>
          <w:rFonts w:asciiTheme="minorHAnsi" w:hAnsiTheme="minorHAnsi" w:cstheme="minorHAnsi"/>
        </w:rPr>
      </w:pPr>
    </w:p>
    <w:p w14:paraId="7C97DC85" w14:textId="43C850BF" w:rsidR="00DC61D1" w:rsidRPr="00B66802" w:rsidRDefault="00170EC6" w:rsidP="00136BFE">
      <w:pPr>
        <w:numPr>
          <w:ilvl w:val="0"/>
          <w:numId w:val="44"/>
        </w:numPr>
        <w:tabs>
          <w:tab w:val="clear" w:pos="360"/>
        </w:tabs>
        <w:autoSpaceDE w:val="0"/>
        <w:autoSpaceDN w:val="0"/>
        <w:adjustRightInd w:val="0"/>
        <w:spacing w:after="0" w:line="240" w:lineRule="auto"/>
        <w:ind w:left="0" w:firstLine="0"/>
        <w:jc w:val="both"/>
        <w:rPr>
          <w:rFonts w:asciiTheme="minorHAnsi" w:hAnsiTheme="minorHAnsi" w:cstheme="minorHAnsi"/>
        </w:rPr>
      </w:pPr>
      <w:r w:rsidRPr="00DC050B">
        <w:rPr>
          <w:rFonts w:asciiTheme="minorHAnsi" w:hAnsiTheme="minorHAnsi" w:cstheme="minorHAnsi"/>
          <w:b/>
        </w:rPr>
        <w:lastRenderedPageBreak/>
        <w:t>The</w:t>
      </w:r>
      <w:r w:rsidR="00E752A6" w:rsidRPr="00DC050B">
        <w:rPr>
          <w:rFonts w:asciiTheme="minorHAnsi" w:hAnsiTheme="minorHAnsi" w:cstheme="minorHAnsi"/>
          <w:b/>
        </w:rPr>
        <w:t xml:space="preserve"> customs-related</w:t>
      </w:r>
      <w:r w:rsidRPr="00DC050B">
        <w:rPr>
          <w:rFonts w:asciiTheme="minorHAnsi" w:hAnsiTheme="minorHAnsi" w:cstheme="minorHAnsi"/>
          <w:b/>
        </w:rPr>
        <w:t xml:space="preserve"> reform</w:t>
      </w:r>
      <w:r w:rsidR="00E752A6" w:rsidRPr="00DC050B">
        <w:rPr>
          <w:rFonts w:asciiTheme="minorHAnsi" w:hAnsiTheme="minorHAnsi" w:cstheme="minorHAnsi"/>
          <w:b/>
        </w:rPr>
        <w:t>s</w:t>
      </w:r>
      <w:r w:rsidRPr="006C66C2">
        <w:rPr>
          <w:rFonts w:asciiTheme="minorHAnsi" w:hAnsiTheme="minorHAnsi" w:cstheme="minorHAnsi"/>
          <w:b/>
        </w:rPr>
        <w:t xml:space="preserve"> initiated in 2016 </w:t>
      </w:r>
      <w:r w:rsidR="00E752A6" w:rsidRPr="006C66C2">
        <w:rPr>
          <w:rFonts w:asciiTheme="minorHAnsi" w:hAnsiTheme="minorHAnsi" w:cstheme="minorHAnsi"/>
          <w:b/>
        </w:rPr>
        <w:t xml:space="preserve">under DPO1 are expected to have increased customs revenues. </w:t>
      </w:r>
      <w:r w:rsidR="00E752A6" w:rsidRPr="006C66C2">
        <w:rPr>
          <w:rFonts w:asciiTheme="minorHAnsi" w:hAnsiTheme="minorHAnsi" w:cstheme="minorHAnsi"/>
        </w:rPr>
        <w:t xml:space="preserve">Specifically, efforts </w:t>
      </w:r>
      <w:r w:rsidRPr="006C66C2">
        <w:rPr>
          <w:rFonts w:asciiTheme="minorHAnsi" w:hAnsiTheme="minorHAnsi" w:cstheme="minorHAnsi"/>
        </w:rPr>
        <w:t>to t</w:t>
      </w:r>
      <w:r w:rsidR="001B34D8" w:rsidRPr="00A20F63">
        <w:rPr>
          <w:rFonts w:asciiTheme="minorHAnsi" w:hAnsiTheme="minorHAnsi" w:cstheme="minorHAnsi"/>
        </w:rPr>
        <w:t xml:space="preserve">ighten </w:t>
      </w:r>
      <w:r w:rsidR="00887F2C" w:rsidRPr="00A20F63">
        <w:rPr>
          <w:rFonts w:asciiTheme="minorHAnsi" w:hAnsiTheme="minorHAnsi" w:cstheme="minorHAnsi"/>
        </w:rPr>
        <w:t xml:space="preserve">the </w:t>
      </w:r>
      <w:r w:rsidR="001B34D8" w:rsidRPr="00A20F63">
        <w:rPr>
          <w:rFonts w:asciiTheme="minorHAnsi" w:hAnsiTheme="minorHAnsi" w:cstheme="minorHAnsi"/>
        </w:rPr>
        <w:t xml:space="preserve">exemptions regime </w:t>
      </w:r>
      <w:r w:rsidR="00E752A6" w:rsidRPr="00A20F63">
        <w:rPr>
          <w:rFonts w:asciiTheme="minorHAnsi" w:hAnsiTheme="minorHAnsi" w:cstheme="minorHAnsi"/>
        </w:rPr>
        <w:t>are</w:t>
      </w:r>
      <w:r w:rsidR="001B34D8" w:rsidRPr="00A20F63">
        <w:rPr>
          <w:rFonts w:asciiTheme="minorHAnsi" w:hAnsiTheme="minorHAnsi" w:cstheme="minorHAnsi"/>
        </w:rPr>
        <w:t xml:space="preserve"> expected to have increased </w:t>
      </w:r>
      <w:r w:rsidR="00E718CC" w:rsidRPr="00A20F63">
        <w:rPr>
          <w:rFonts w:asciiTheme="minorHAnsi" w:hAnsiTheme="minorHAnsi" w:cstheme="minorHAnsi"/>
        </w:rPr>
        <w:t xml:space="preserve">customs tax receipts by </w:t>
      </w:r>
      <w:r w:rsidR="0045301D" w:rsidRPr="00A20F63">
        <w:rPr>
          <w:rFonts w:asciiTheme="minorHAnsi" w:hAnsiTheme="minorHAnsi" w:cstheme="minorHAnsi"/>
        </w:rPr>
        <w:t xml:space="preserve">MGA </w:t>
      </w:r>
      <w:r w:rsidR="00E718CC" w:rsidRPr="00A20F63">
        <w:rPr>
          <w:rFonts w:asciiTheme="minorHAnsi" w:hAnsiTheme="minorHAnsi" w:cstheme="minorHAnsi"/>
        </w:rPr>
        <w:t xml:space="preserve">106 billion, equivalent to a 15 percent increase in tax receipts and </w:t>
      </w:r>
      <w:r w:rsidR="00234C3A" w:rsidRPr="00A20F63">
        <w:rPr>
          <w:rFonts w:asciiTheme="minorHAnsi" w:hAnsiTheme="minorHAnsi" w:cstheme="minorHAnsi"/>
        </w:rPr>
        <w:t xml:space="preserve">0.3 percent of GDP. </w:t>
      </w:r>
      <w:r w:rsidR="004209CC" w:rsidRPr="00A20F63">
        <w:rPr>
          <w:rFonts w:asciiTheme="minorHAnsi" w:hAnsiTheme="minorHAnsi" w:cstheme="minorHAnsi"/>
        </w:rPr>
        <w:t xml:space="preserve">The screening of customs goods and </w:t>
      </w:r>
      <w:r w:rsidR="007F424B" w:rsidRPr="00A20F63">
        <w:rPr>
          <w:rFonts w:asciiTheme="minorHAnsi" w:hAnsiTheme="minorHAnsi" w:cstheme="minorHAnsi"/>
        </w:rPr>
        <w:t xml:space="preserve">performance contracts for customs agents have </w:t>
      </w:r>
      <w:r w:rsidR="00A64685" w:rsidRPr="00A20F63">
        <w:rPr>
          <w:rFonts w:asciiTheme="minorHAnsi" w:hAnsiTheme="minorHAnsi" w:cstheme="minorHAnsi"/>
        </w:rPr>
        <w:t>induced behavioral change among custom agents</w:t>
      </w:r>
      <w:r w:rsidRPr="00A20F63">
        <w:rPr>
          <w:rFonts w:asciiTheme="minorHAnsi" w:hAnsiTheme="minorHAnsi" w:cstheme="minorHAnsi"/>
        </w:rPr>
        <w:t xml:space="preserve">. More </w:t>
      </w:r>
      <w:r w:rsidR="00957140" w:rsidRPr="00A20F63">
        <w:rPr>
          <w:rFonts w:asciiTheme="minorHAnsi" w:hAnsiTheme="minorHAnsi" w:cstheme="minorHAnsi"/>
        </w:rPr>
        <w:t xml:space="preserve">scrupulous control of tax declarations </w:t>
      </w:r>
      <w:r w:rsidR="00227E00" w:rsidRPr="00A20F63">
        <w:rPr>
          <w:rFonts w:asciiTheme="minorHAnsi" w:hAnsiTheme="minorHAnsi" w:cstheme="minorHAnsi"/>
        </w:rPr>
        <w:t xml:space="preserve">has </w:t>
      </w:r>
      <w:r w:rsidR="000C31B2" w:rsidRPr="00A20F63">
        <w:rPr>
          <w:rFonts w:asciiTheme="minorHAnsi" w:hAnsiTheme="minorHAnsi" w:cstheme="minorHAnsi"/>
        </w:rPr>
        <w:t>led</w:t>
      </w:r>
      <w:r w:rsidR="00887F2C" w:rsidRPr="00A20F63">
        <w:rPr>
          <w:rFonts w:asciiTheme="minorHAnsi" w:hAnsiTheme="minorHAnsi" w:cstheme="minorHAnsi"/>
        </w:rPr>
        <w:t xml:space="preserve"> to</w:t>
      </w:r>
      <w:r w:rsidR="000C31B2" w:rsidRPr="00A20F63">
        <w:rPr>
          <w:rFonts w:asciiTheme="minorHAnsi" w:hAnsiTheme="minorHAnsi" w:cstheme="minorHAnsi"/>
        </w:rPr>
        <w:t xml:space="preserve"> </w:t>
      </w:r>
      <w:r w:rsidR="00227E00" w:rsidRPr="00A20F63">
        <w:rPr>
          <w:rFonts w:asciiTheme="minorHAnsi" w:hAnsiTheme="minorHAnsi" w:cstheme="minorHAnsi"/>
        </w:rPr>
        <w:t>improved tax revenue collection</w:t>
      </w:r>
      <w:r w:rsidR="002D7B0E" w:rsidRPr="00A20F63">
        <w:rPr>
          <w:rFonts w:asciiTheme="minorHAnsi" w:hAnsiTheme="minorHAnsi" w:cstheme="minorHAnsi"/>
        </w:rPr>
        <w:t xml:space="preserve">. The risk-based screening process </w:t>
      </w:r>
      <w:r w:rsidR="00227E00" w:rsidRPr="00A20F63">
        <w:rPr>
          <w:rFonts w:asciiTheme="minorHAnsi" w:hAnsiTheme="minorHAnsi" w:cstheme="minorHAnsi"/>
        </w:rPr>
        <w:t xml:space="preserve">has reduced </w:t>
      </w:r>
      <w:r w:rsidR="002D7B0E" w:rsidRPr="00406280">
        <w:rPr>
          <w:rFonts w:asciiTheme="minorHAnsi" w:hAnsiTheme="minorHAnsi" w:cstheme="minorHAnsi"/>
        </w:rPr>
        <w:t>the processing time for files under the green channel</w:t>
      </w:r>
      <w:r w:rsidR="00E47D92" w:rsidRPr="00406280">
        <w:rPr>
          <w:rFonts w:asciiTheme="minorHAnsi" w:hAnsiTheme="minorHAnsi" w:cstheme="minorHAnsi"/>
        </w:rPr>
        <w:t xml:space="preserve">. </w:t>
      </w:r>
      <w:r w:rsidR="00AE294E" w:rsidRPr="00406280">
        <w:rPr>
          <w:rFonts w:asciiTheme="minorHAnsi" w:hAnsiTheme="minorHAnsi" w:cstheme="minorHAnsi"/>
        </w:rPr>
        <w:t xml:space="preserve">These </w:t>
      </w:r>
      <w:r w:rsidR="00227E00" w:rsidRPr="00406280">
        <w:rPr>
          <w:rFonts w:asciiTheme="minorHAnsi" w:hAnsiTheme="minorHAnsi" w:cstheme="minorHAnsi"/>
        </w:rPr>
        <w:t xml:space="preserve">developments have led to a </w:t>
      </w:r>
      <w:r w:rsidR="00AE294E" w:rsidRPr="00406280">
        <w:rPr>
          <w:rFonts w:asciiTheme="minorHAnsi" w:hAnsiTheme="minorHAnsi" w:cstheme="minorHAnsi"/>
        </w:rPr>
        <w:t xml:space="preserve">reduction in </w:t>
      </w:r>
      <w:r w:rsidR="007F424B" w:rsidRPr="00406280">
        <w:rPr>
          <w:rFonts w:asciiTheme="minorHAnsi" w:hAnsiTheme="minorHAnsi" w:cstheme="minorHAnsi"/>
        </w:rPr>
        <w:t xml:space="preserve">fraud, </w:t>
      </w:r>
      <w:r w:rsidR="00B82801" w:rsidRPr="00406280">
        <w:rPr>
          <w:rFonts w:asciiTheme="minorHAnsi" w:hAnsiTheme="minorHAnsi" w:cstheme="minorHAnsi"/>
        </w:rPr>
        <w:t xml:space="preserve">contributing to an increase in customs tax revenues </w:t>
      </w:r>
      <w:r w:rsidR="002F7811" w:rsidRPr="00601B29">
        <w:rPr>
          <w:rFonts w:asciiTheme="minorHAnsi" w:hAnsiTheme="minorHAnsi" w:cstheme="minorHAnsi"/>
        </w:rPr>
        <w:t xml:space="preserve">of </w:t>
      </w:r>
      <w:r w:rsidR="00FB6693" w:rsidRPr="00601B29">
        <w:rPr>
          <w:rFonts w:asciiTheme="minorHAnsi" w:hAnsiTheme="minorHAnsi" w:cstheme="minorHAnsi"/>
        </w:rPr>
        <w:t xml:space="preserve">MGA </w:t>
      </w:r>
      <w:r w:rsidR="002F7811" w:rsidRPr="00601B29">
        <w:rPr>
          <w:rFonts w:asciiTheme="minorHAnsi" w:hAnsiTheme="minorHAnsi" w:cstheme="minorHAnsi"/>
        </w:rPr>
        <w:t xml:space="preserve">63 billion, an increase </w:t>
      </w:r>
      <w:r w:rsidR="00B82801" w:rsidRPr="0085470E">
        <w:rPr>
          <w:rFonts w:asciiTheme="minorHAnsi" w:hAnsiTheme="minorHAnsi" w:cstheme="minorHAnsi"/>
        </w:rPr>
        <w:t>from 5.1 percent of GDP in 2015 to 5.3 percent of GDP i</w:t>
      </w:r>
      <w:r w:rsidR="00B82801" w:rsidRPr="00A46F16">
        <w:rPr>
          <w:rFonts w:asciiTheme="minorHAnsi" w:hAnsiTheme="minorHAnsi" w:cstheme="minorHAnsi"/>
        </w:rPr>
        <w:t>n 2016.</w:t>
      </w:r>
      <w:r w:rsidR="00B82801" w:rsidRPr="00B66802">
        <w:rPr>
          <w:rStyle w:val="FootnoteReference"/>
          <w:rFonts w:asciiTheme="minorHAnsi" w:hAnsiTheme="minorHAnsi" w:cstheme="minorHAnsi"/>
        </w:rPr>
        <w:footnoteReference w:id="35"/>
      </w:r>
      <w:r w:rsidR="007F424B" w:rsidRPr="00B66802">
        <w:rPr>
          <w:rFonts w:asciiTheme="minorHAnsi" w:hAnsiTheme="minorHAnsi" w:cstheme="minorHAnsi"/>
        </w:rPr>
        <w:t xml:space="preserve"> </w:t>
      </w:r>
    </w:p>
    <w:p w14:paraId="7F93D20C" w14:textId="77777777" w:rsidR="00DC61D1" w:rsidRPr="00BD4A16" w:rsidRDefault="00DC61D1" w:rsidP="00DC61D1">
      <w:pPr>
        <w:tabs>
          <w:tab w:val="left" w:pos="450"/>
        </w:tabs>
        <w:autoSpaceDE w:val="0"/>
        <w:autoSpaceDN w:val="0"/>
        <w:adjustRightInd w:val="0"/>
        <w:spacing w:after="0" w:line="240" w:lineRule="auto"/>
        <w:jc w:val="both"/>
        <w:rPr>
          <w:rFonts w:asciiTheme="minorHAnsi" w:hAnsiTheme="minorHAnsi" w:cstheme="minorHAnsi"/>
        </w:rPr>
      </w:pPr>
    </w:p>
    <w:p w14:paraId="651C38BB" w14:textId="0D543EF8" w:rsidR="002235D6" w:rsidRPr="000C77CE" w:rsidRDefault="00DC22B0" w:rsidP="00136BFE">
      <w:pPr>
        <w:numPr>
          <w:ilvl w:val="0"/>
          <w:numId w:val="44"/>
        </w:numPr>
        <w:tabs>
          <w:tab w:val="clear" w:pos="360"/>
        </w:tabs>
        <w:autoSpaceDE w:val="0"/>
        <w:autoSpaceDN w:val="0"/>
        <w:adjustRightInd w:val="0"/>
        <w:spacing w:after="0" w:line="240" w:lineRule="auto"/>
        <w:ind w:left="0" w:firstLine="0"/>
        <w:jc w:val="both"/>
        <w:rPr>
          <w:rFonts w:asciiTheme="minorHAnsi" w:hAnsiTheme="minorHAnsi" w:cstheme="minorHAnsi"/>
        </w:rPr>
      </w:pPr>
      <w:r w:rsidRPr="00DC050B">
        <w:rPr>
          <w:rFonts w:asciiTheme="minorHAnsi" w:eastAsia="Calibri" w:hAnsiTheme="minorHAnsi" w:cstheme="minorHAnsi"/>
          <w:b/>
        </w:rPr>
        <w:t xml:space="preserve">The reforms in DPO2 are expected </w:t>
      </w:r>
      <w:r w:rsidR="008A31FD" w:rsidRPr="00DC050B">
        <w:rPr>
          <w:rFonts w:asciiTheme="minorHAnsi" w:eastAsia="Calibri" w:hAnsiTheme="minorHAnsi" w:cstheme="minorHAnsi"/>
          <w:b/>
        </w:rPr>
        <w:t>to</w:t>
      </w:r>
      <w:r w:rsidR="001A3190" w:rsidRPr="00DC050B">
        <w:rPr>
          <w:rFonts w:asciiTheme="minorHAnsi" w:eastAsia="Calibri" w:hAnsiTheme="minorHAnsi" w:cstheme="minorHAnsi"/>
          <w:b/>
        </w:rPr>
        <w:t xml:space="preserve"> improve transparency</w:t>
      </w:r>
      <w:r w:rsidR="00AE6817" w:rsidRPr="006C66C2">
        <w:rPr>
          <w:rFonts w:asciiTheme="minorHAnsi" w:eastAsia="Calibri" w:hAnsiTheme="minorHAnsi" w:cstheme="minorHAnsi"/>
          <w:b/>
        </w:rPr>
        <w:t>, and reduce fraud through joint auditing procedures</w:t>
      </w:r>
      <w:r w:rsidR="00950CF3" w:rsidRPr="006C66C2">
        <w:rPr>
          <w:rFonts w:asciiTheme="minorHAnsi" w:eastAsia="Calibri" w:hAnsiTheme="minorHAnsi" w:cstheme="minorHAnsi"/>
          <w:b/>
        </w:rPr>
        <w:t>.</w:t>
      </w:r>
      <w:r w:rsidR="00950CF3" w:rsidRPr="006C66C2">
        <w:rPr>
          <w:rFonts w:asciiTheme="minorHAnsi" w:eastAsia="Calibri" w:hAnsiTheme="minorHAnsi" w:cstheme="minorHAnsi"/>
        </w:rPr>
        <w:t xml:space="preserve"> </w:t>
      </w:r>
      <w:r w:rsidR="00F8166E" w:rsidRPr="006C66C2">
        <w:rPr>
          <w:rFonts w:asciiTheme="minorHAnsi" w:eastAsia="Calibri" w:hAnsiTheme="minorHAnsi" w:cstheme="minorHAnsi"/>
        </w:rPr>
        <w:t xml:space="preserve">Following the publication of </w:t>
      </w:r>
      <w:r w:rsidR="00D33675" w:rsidRPr="00A20F63">
        <w:rPr>
          <w:rFonts w:asciiTheme="minorHAnsi" w:eastAsia="Calibri" w:hAnsiTheme="minorHAnsi" w:cstheme="minorHAnsi"/>
        </w:rPr>
        <w:t xml:space="preserve">a </w:t>
      </w:r>
      <w:r w:rsidR="00F8166E" w:rsidRPr="00A20F63">
        <w:rPr>
          <w:rFonts w:asciiTheme="minorHAnsi" w:eastAsia="Calibri" w:hAnsiTheme="minorHAnsi" w:cstheme="minorHAnsi"/>
        </w:rPr>
        <w:t>tax expenditures statement, t</w:t>
      </w:r>
      <w:r w:rsidR="00950CF3" w:rsidRPr="00A20F63">
        <w:rPr>
          <w:rFonts w:asciiTheme="minorHAnsi" w:eastAsia="Calibri" w:hAnsiTheme="minorHAnsi" w:cstheme="minorHAnsi"/>
        </w:rPr>
        <w:t xml:space="preserve">he </w:t>
      </w:r>
      <w:r w:rsidR="008F323F" w:rsidRPr="00A20F63">
        <w:rPr>
          <w:rFonts w:asciiTheme="minorHAnsi" w:eastAsia="Calibri" w:hAnsiTheme="minorHAnsi" w:cstheme="minorHAnsi"/>
        </w:rPr>
        <w:t>Government has</w:t>
      </w:r>
      <w:r w:rsidR="00950CF3" w:rsidRPr="00A20F63">
        <w:rPr>
          <w:rFonts w:asciiTheme="minorHAnsi" w:eastAsia="Calibri" w:hAnsiTheme="minorHAnsi" w:cstheme="minorHAnsi"/>
        </w:rPr>
        <w:t xml:space="preserve"> committed to cancelling </w:t>
      </w:r>
      <w:r w:rsidR="002D7B0E" w:rsidRPr="00A20F63">
        <w:rPr>
          <w:rFonts w:asciiTheme="minorHAnsi" w:eastAsia="Calibri" w:hAnsiTheme="minorHAnsi" w:cstheme="minorHAnsi"/>
        </w:rPr>
        <w:t xml:space="preserve">selected </w:t>
      </w:r>
      <w:r w:rsidR="00950CF3" w:rsidRPr="00A20F63">
        <w:rPr>
          <w:rFonts w:asciiTheme="minorHAnsi" w:eastAsia="Calibri" w:hAnsiTheme="minorHAnsi" w:cstheme="minorHAnsi"/>
        </w:rPr>
        <w:t>tax expe</w:t>
      </w:r>
      <w:r w:rsidR="00440ED9" w:rsidRPr="00A20F63">
        <w:rPr>
          <w:rFonts w:asciiTheme="minorHAnsi" w:eastAsia="Calibri" w:hAnsiTheme="minorHAnsi" w:cstheme="minorHAnsi"/>
        </w:rPr>
        <w:t>nditures</w:t>
      </w:r>
      <w:r w:rsidR="006B3EA4" w:rsidRPr="00A20F63">
        <w:rPr>
          <w:rFonts w:asciiTheme="minorHAnsi" w:eastAsia="Calibri" w:hAnsiTheme="minorHAnsi" w:cstheme="minorHAnsi"/>
        </w:rPr>
        <w:t xml:space="preserve"> that were approved on an exceptional basis, outside of the legal framework</w:t>
      </w:r>
      <w:r w:rsidR="00440ED9" w:rsidRPr="00A20F63">
        <w:rPr>
          <w:rFonts w:asciiTheme="minorHAnsi" w:eastAsia="Calibri" w:hAnsiTheme="minorHAnsi" w:cstheme="minorHAnsi"/>
        </w:rPr>
        <w:t xml:space="preserve">, </w:t>
      </w:r>
      <w:r w:rsidR="006B3EA4" w:rsidRPr="00A20F63">
        <w:rPr>
          <w:rFonts w:asciiTheme="minorHAnsi" w:eastAsia="Calibri" w:hAnsiTheme="minorHAnsi" w:cstheme="minorHAnsi"/>
        </w:rPr>
        <w:t xml:space="preserve">to the value of </w:t>
      </w:r>
      <w:r w:rsidR="00FB6693" w:rsidRPr="00A20F63">
        <w:rPr>
          <w:rFonts w:asciiTheme="minorHAnsi" w:eastAsia="Calibri" w:hAnsiTheme="minorHAnsi" w:cstheme="minorHAnsi"/>
        </w:rPr>
        <w:t xml:space="preserve">MGA </w:t>
      </w:r>
      <w:r w:rsidR="00440ED9" w:rsidRPr="00A20F63">
        <w:rPr>
          <w:rFonts w:asciiTheme="minorHAnsi" w:eastAsia="Calibri" w:hAnsiTheme="minorHAnsi" w:cstheme="minorHAnsi"/>
        </w:rPr>
        <w:t>70</w:t>
      </w:r>
      <w:r w:rsidR="00FB6693">
        <w:rPr>
          <w:rFonts w:asciiTheme="minorHAnsi" w:eastAsia="Calibri" w:hAnsiTheme="minorHAnsi" w:cstheme="minorHAnsi"/>
        </w:rPr>
        <w:t xml:space="preserve"> </w:t>
      </w:r>
      <w:r w:rsidR="00440ED9" w:rsidRPr="00A20F63">
        <w:rPr>
          <w:rFonts w:asciiTheme="minorHAnsi" w:eastAsia="Calibri" w:hAnsiTheme="minorHAnsi" w:cstheme="minorHAnsi"/>
        </w:rPr>
        <w:t>b</w:t>
      </w:r>
      <w:r w:rsidR="00FB6693">
        <w:rPr>
          <w:rFonts w:asciiTheme="minorHAnsi" w:eastAsia="Calibri" w:hAnsiTheme="minorHAnsi" w:cstheme="minorHAnsi"/>
        </w:rPr>
        <w:t>illio</w:t>
      </w:r>
      <w:r w:rsidR="00440ED9" w:rsidRPr="00A20F63">
        <w:rPr>
          <w:rFonts w:asciiTheme="minorHAnsi" w:eastAsia="Calibri" w:hAnsiTheme="minorHAnsi" w:cstheme="minorHAnsi"/>
        </w:rPr>
        <w:t xml:space="preserve">n </w:t>
      </w:r>
      <w:r w:rsidR="0031151A" w:rsidRPr="00A20F63">
        <w:rPr>
          <w:rFonts w:asciiTheme="minorHAnsi" w:eastAsia="Calibri" w:hAnsiTheme="minorHAnsi" w:cstheme="minorHAnsi"/>
        </w:rPr>
        <w:t>by 2019</w:t>
      </w:r>
      <w:r w:rsidR="0069646D" w:rsidRPr="00A20F63">
        <w:rPr>
          <w:rFonts w:asciiTheme="minorHAnsi" w:eastAsia="Calibri" w:hAnsiTheme="minorHAnsi" w:cstheme="minorHAnsi"/>
        </w:rPr>
        <w:t xml:space="preserve">, </w:t>
      </w:r>
      <w:r w:rsidR="006B3EA4" w:rsidRPr="00A20F63">
        <w:rPr>
          <w:rFonts w:asciiTheme="minorHAnsi" w:eastAsia="Calibri" w:hAnsiTheme="minorHAnsi" w:cstheme="minorHAnsi"/>
        </w:rPr>
        <w:t xml:space="preserve">an </w:t>
      </w:r>
      <w:r w:rsidR="0069646D" w:rsidRPr="00A20F63">
        <w:rPr>
          <w:rFonts w:asciiTheme="minorHAnsi" w:eastAsia="Calibri" w:hAnsiTheme="minorHAnsi" w:cstheme="minorHAnsi"/>
        </w:rPr>
        <w:t>estimated</w:t>
      </w:r>
      <w:r w:rsidR="006B3EA4" w:rsidRPr="00A20F63">
        <w:rPr>
          <w:rFonts w:asciiTheme="minorHAnsi" w:eastAsia="Calibri" w:hAnsiTheme="minorHAnsi" w:cstheme="minorHAnsi"/>
        </w:rPr>
        <w:t xml:space="preserve"> 0</w:t>
      </w:r>
      <w:r w:rsidR="0069646D" w:rsidRPr="00A20F63">
        <w:rPr>
          <w:rFonts w:asciiTheme="minorHAnsi" w:eastAsia="Calibri" w:hAnsiTheme="minorHAnsi" w:cstheme="minorHAnsi"/>
        </w:rPr>
        <w:t>.15 percent of GDP in 2019</w:t>
      </w:r>
      <w:r w:rsidR="00F8166E" w:rsidRPr="00A20F63">
        <w:rPr>
          <w:rFonts w:asciiTheme="minorHAnsi" w:eastAsia="Calibri" w:hAnsiTheme="minorHAnsi" w:cstheme="minorHAnsi"/>
        </w:rPr>
        <w:t xml:space="preserve">, which is </w:t>
      </w:r>
      <w:r w:rsidR="00A31D69" w:rsidRPr="00A20F63">
        <w:rPr>
          <w:rFonts w:asciiTheme="minorHAnsi" w:eastAsia="Calibri" w:hAnsiTheme="minorHAnsi" w:cstheme="minorHAnsi"/>
        </w:rPr>
        <w:t xml:space="preserve">being </w:t>
      </w:r>
      <w:r w:rsidR="00F8166E" w:rsidRPr="00A20F63">
        <w:rPr>
          <w:rFonts w:asciiTheme="minorHAnsi" w:eastAsia="Calibri" w:hAnsiTheme="minorHAnsi" w:cstheme="minorHAnsi"/>
        </w:rPr>
        <w:t>monitored under this operation</w:t>
      </w:r>
      <w:r w:rsidR="00440ED9" w:rsidRPr="00A20F63">
        <w:rPr>
          <w:rFonts w:asciiTheme="minorHAnsi" w:eastAsia="Calibri" w:hAnsiTheme="minorHAnsi" w:cstheme="minorHAnsi"/>
        </w:rPr>
        <w:t xml:space="preserve">. </w:t>
      </w:r>
      <w:r w:rsidR="00854F09" w:rsidRPr="00406280">
        <w:rPr>
          <w:rFonts w:asciiTheme="minorHAnsi" w:eastAsia="Calibri" w:hAnsiTheme="minorHAnsi" w:cstheme="minorHAnsi"/>
        </w:rPr>
        <w:t xml:space="preserve">The </w:t>
      </w:r>
      <w:r w:rsidR="007114C8" w:rsidRPr="00406280">
        <w:rPr>
          <w:rFonts w:asciiTheme="minorHAnsi" w:eastAsia="Calibri" w:hAnsiTheme="minorHAnsi" w:cstheme="minorHAnsi"/>
        </w:rPr>
        <w:t xml:space="preserve">reforms </w:t>
      </w:r>
      <w:r w:rsidR="003D6979" w:rsidRPr="00406280">
        <w:rPr>
          <w:rFonts w:asciiTheme="minorHAnsi" w:eastAsia="Calibri" w:hAnsiTheme="minorHAnsi" w:cstheme="minorHAnsi"/>
        </w:rPr>
        <w:t xml:space="preserve">on the transparency of tax expenditures </w:t>
      </w:r>
      <w:r w:rsidR="00EF69AF" w:rsidRPr="00406280">
        <w:rPr>
          <w:rFonts w:asciiTheme="minorHAnsi" w:eastAsia="Calibri" w:hAnsiTheme="minorHAnsi" w:cstheme="minorHAnsi"/>
        </w:rPr>
        <w:t xml:space="preserve">have benefited from TA from the </w:t>
      </w:r>
      <w:r w:rsidR="00EF69AF" w:rsidRPr="00406280">
        <w:rPr>
          <w:rFonts w:asciiTheme="minorHAnsi" w:hAnsiTheme="minorHAnsi" w:cstheme="minorHAnsi"/>
        </w:rPr>
        <w:t xml:space="preserve">World Bank’s Public Sector </w:t>
      </w:r>
      <w:r w:rsidR="00561C13" w:rsidRPr="00406280">
        <w:rPr>
          <w:rFonts w:asciiTheme="minorHAnsi" w:hAnsiTheme="minorHAnsi" w:cstheme="minorHAnsi"/>
        </w:rPr>
        <w:t xml:space="preserve">Performance </w:t>
      </w:r>
      <w:r w:rsidR="00EF69AF" w:rsidRPr="00406280">
        <w:rPr>
          <w:rFonts w:asciiTheme="minorHAnsi" w:hAnsiTheme="minorHAnsi" w:cstheme="minorHAnsi"/>
        </w:rPr>
        <w:t xml:space="preserve">Project (P150116). The </w:t>
      </w:r>
      <w:r w:rsidR="00146AA1" w:rsidRPr="00406280">
        <w:rPr>
          <w:rFonts w:asciiTheme="minorHAnsi" w:hAnsiTheme="minorHAnsi" w:cstheme="minorHAnsi"/>
        </w:rPr>
        <w:t xml:space="preserve">risk-based auditing reforms undertaken by tax and customs directorates </w:t>
      </w:r>
      <w:r w:rsidR="006B3EA4" w:rsidRPr="00601B29">
        <w:rPr>
          <w:rFonts w:asciiTheme="minorHAnsi" w:hAnsiTheme="minorHAnsi" w:cstheme="minorHAnsi"/>
        </w:rPr>
        <w:t xml:space="preserve">are projected to contribute to additional revenues of 0.1 percent of GDP in 2017. This risk-based auditing reform </w:t>
      </w:r>
      <w:r w:rsidR="00292139" w:rsidRPr="0085470E">
        <w:rPr>
          <w:rFonts w:asciiTheme="minorHAnsi" w:hAnsiTheme="minorHAnsi" w:cstheme="minorHAnsi"/>
        </w:rPr>
        <w:t xml:space="preserve">with tax and customs directorates </w:t>
      </w:r>
      <w:r w:rsidR="006B3EA4" w:rsidRPr="0085470E">
        <w:rPr>
          <w:rFonts w:asciiTheme="minorHAnsi" w:hAnsiTheme="minorHAnsi" w:cstheme="minorHAnsi"/>
        </w:rPr>
        <w:t xml:space="preserve">has </w:t>
      </w:r>
      <w:r w:rsidR="00146AA1" w:rsidRPr="00A46F16">
        <w:rPr>
          <w:rFonts w:asciiTheme="minorHAnsi" w:hAnsiTheme="minorHAnsi" w:cstheme="minorHAnsi"/>
        </w:rPr>
        <w:t xml:space="preserve">benefited from IMF TA </w:t>
      </w:r>
      <w:r w:rsidR="00FB6693" w:rsidRPr="006C66C2">
        <w:rPr>
          <w:rFonts w:asciiTheme="minorHAnsi" w:eastAsia="Times New Roman" w:hAnsiTheme="minorHAnsi" w:cstheme="minorHAnsi"/>
        </w:rPr>
        <w:t xml:space="preserve">Center for Southern Africa </w:t>
      </w:r>
      <w:r w:rsidR="00FB6693">
        <w:rPr>
          <w:rFonts w:asciiTheme="minorHAnsi" w:hAnsiTheme="minorHAnsi" w:cstheme="minorHAnsi"/>
        </w:rPr>
        <w:t>(</w:t>
      </w:r>
      <w:r w:rsidR="00146AA1" w:rsidRPr="00A46F16">
        <w:rPr>
          <w:rFonts w:asciiTheme="minorHAnsi" w:hAnsiTheme="minorHAnsi" w:cstheme="minorHAnsi"/>
        </w:rPr>
        <w:t>AFRITAC South</w:t>
      </w:r>
      <w:r w:rsidR="00FB6693">
        <w:rPr>
          <w:rFonts w:asciiTheme="minorHAnsi" w:hAnsiTheme="minorHAnsi" w:cstheme="minorHAnsi"/>
        </w:rPr>
        <w:t>)</w:t>
      </w:r>
      <w:r w:rsidR="006B3EA4" w:rsidRPr="00A46F16">
        <w:rPr>
          <w:rFonts w:asciiTheme="minorHAnsi" w:hAnsiTheme="minorHAnsi" w:cstheme="minorHAnsi"/>
        </w:rPr>
        <w:t xml:space="preserve">. These </w:t>
      </w:r>
      <w:r w:rsidR="0045213F" w:rsidRPr="00805BA2">
        <w:rPr>
          <w:rFonts w:asciiTheme="minorHAnsi" w:hAnsiTheme="minorHAnsi" w:cstheme="minorHAnsi"/>
        </w:rPr>
        <w:t xml:space="preserve">measures to raise </w:t>
      </w:r>
      <w:r w:rsidR="006B3EA4" w:rsidRPr="00805BA2">
        <w:rPr>
          <w:rFonts w:asciiTheme="minorHAnsi" w:hAnsiTheme="minorHAnsi" w:cstheme="minorHAnsi"/>
        </w:rPr>
        <w:t>revenue</w:t>
      </w:r>
      <w:r w:rsidR="0045213F" w:rsidRPr="00805BA2">
        <w:rPr>
          <w:rFonts w:asciiTheme="minorHAnsi" w:hAnsiTheme="minorHAnsi" w:cstheme="minorHAnsi"/>
        </w:rPr>
        <w:t>s</w:t>
      </w:r>
      <w:r w:rsidR="006B3EA4" w:rsidRPr="00805BA2">
        <w:rPr>
          <w:rFonts w:asciiTheme="minorHAnsi" w:hAnsiTheme="minorHAnsi" w:cstheme="minorHAnsi"/>
        </w:rPr>
        <w:t xml:space="preserve"> </w:t>
      </w:r>
      <w:r w:rsidR="00954BC8" w:rsidRPr="00805BA2">
        <w:rPr>
          <w:rFonts w:asciiTheme="minorHAnsi" w:hAnsiTheme="minorHAnsi" w:cstheme="minorHAnsi"/>
        </w:rPr>
        <w:t xml:space="preserve">are </w:t>
      </w:r>
      <w:r w:rsidR="00484C75" w:rsidRPr="00805BA2">
        <w:rPr>
          <w:rFonts w:asciiTheme="minorHAnsi" w:hAnsiTheme="minorHAnsi" w:cstheme="minorHAnsi"/>
        </w:rPr>
        <w:t xml:space="preserve">consistent with </w:t>
      </w:r>
      <w:r w:rsidR="00954BC8" w:rsidRPr="00051ABB">
        <w:rPr>
          <w:rFonts w:asciiTheme="minorHAnsi" w:hAnsiTheme="minorHAnsi" w:cstheme="minorHAnsi"/>
        </w:rPr>
        <w:t>the recently approved P</w:t>
      </w:r>
      <w:r w:rsidR="00DA7577" w:rsidRPr="00051ABB">
        <w:rPr>
          <w:rFonts w:asciiTheme="minorHAnsi" w:hAnsiTheme="minorHAnsi" w:cstheme="minorHAnsi"/>
        </w:rPr>
        <w:t>FM</w:t>
      </w:r>
      <w:r w:rsidR="00954BC8" w:rsidRPr="00051ABB">
        <w:rPr>
          <w:rFonts w:asciiTheme="minorHAnsi" w:hAnsiTheme="minorHAnsi" w:cstheme="minorHAnsi"/>
        </w:rPr>
        <w:t xml:space="preserve"> </w:t>
      </w:r>
      <w:r w:rsidR="00265541">
        <w:rPr>
          <w:rFonts w:asciiTheme="minorHAnsi" w:hAnsiTheme="minorHAnsi" w:cstheme="minorHAnsi"/>
        </w:rPr>
        <w:t>Modernization</w:t>
      </w:r>
      <w:r w:rsidR="00265541" w:rsidRPr="00051ABB">
        <w:rPr>
          <w:rFonts w:asciiTheme="minorHAnsi" w:hAnsiTheme="minorHAnsi" w:cstheme="minorHAnsi"/>
        </w:rPr>
        <w:t xml:space="preserve"> </w:t>
      </w:r>
      <w:r w:rsidR="00954BC8" w:rsidRPr="00051ABB">
        <w:rPr>
          <w:rFonts w:asciiTheme="minorHAnsi" w:hAnsiTheme="minorHAnsi" w:cstheme="minorHAnsi"/>
        </w:rPr>
        <w:t xml:space="preserve">Strategy. </w:t>
      </w:r>
    </w:p>
    <w:p w14:paraId="06B93B86" w14:textId="77777777" w:rsidR="002235D6" w:rsidRPr="00E36113" w:rsidRDefault="002235D6" w:rsidP="002235D6">
      <w:pPr>
        <w:tabs>
          <w:tab w:val="left" w:pos="450"/>
        </w:tabs>
        <w:autoSpaceDE w:val="0"/>
        <w:autoSpaceDN w:val="0"/>
        <w:adjustRightInd w:val="0"/>
        <w:spacing w:after="0" w:line="240" w:lineRule="auto"/>
        <w:jc w:val="both"/>
        <w:rPr>
          <w:rFonts w:asciiTheme="minorHAnsi" w:hAnsiTheme="minorHAnsi" w:cstheme="minorHAnsi"/>
        </w:rPr>
      </w:pPr>
    </w:p>
    <w:p w14:paraId="0B2D3224" w14:textId="3DB577EA" w:rsidR="00420BD6" w:rsidRPr="00E36113" w:rsidRDefault="003D6FF9" w:rsidP="00420BD6">
      <w:pPr>
        <w:tabs>
          <w:tab w:val="left" w:pos="450"/>
        </w:tabs>
        <w:autoSpaceDE w:val="0"/>
        <w:autoSpaceDN w:val="0"/>
        <w:adjustRightInd w:val="0"/>
        <w:spacing w:after="0" w:line="240" w:lineRule="auto"/>
        <w:jc w:val="both"/>
        <w:rPr>
          <w:rFonts w:asciiTheme="minorHAnsi" w:hAnsiTheme="minorHAnsi" w:cstheme="minorHAnsi"/>
          <w:b/>
          <w:i/>
          <w:lang w:eastAsia="ja-JP"/>
        </w:rPr>
      </w:pPr>
      <w:r w:rsidRPr="00E36113">
        <w:rPr>
          <w:rFonts w:asciiTheme="minorHAnsi" w:hAnsiTheme="minorHAnsi" w:cstheme="minorHAnsi"/>
          <w:b/>
          <w:i/>
          <w:lang w:eastAsia="ja-JP"/>
        </w:rPr>
        <w:t xml:space="preserve">Reducing the cost of </w:t>
      </w:r>
      <w:r w:rsidR="00F21740" w:rsidRPr="00E36113">
        <w:rPr>
          <w:rFonts w:asciiTheme="minorHAnsi" w:hAnsiTheme="minorHAnsi" w:cstheme="minorHAnsi"/>
          <w:b/>
          <w:i/>
          <w:lang w:eastAsia="ja-JP"/>
        </w:rPr>
        <w:t>selected</w:t>
      </w:r>
      <w:r w:rsidRPr="00E36113">
        <w:rPr>
          <w:rFonts w:asciiTheme="minorHAnsi" w:hAnsiTheme="minorHAnsi" w:cstheme="minorHAnsi"/>
          <w:b/>
          <w:i/>
          <w:lang w:eastAsia="ja-JP"/>
        </w:rPr>
        <w:t xml:space="preserve"> </w:t>
      </w:r>
      <w:r w:rsidR="00FF50C0">
        <w:rPr>
          <w:rFonts w:asciiTheme="minorHAnsi" w:hAnsiTheme="minorHAnsi" w:cstheme="minorHAnsi"/>
          <w:b/>
          <w:i/>
          <w:lang w:eastAsia="ja-JP"/>
        </w:rPr>
        <w:t>transfers</w:t>
      </w:r>
    </w:p>
    <w:p w14:paraId="5FE933DE" w14:textId="77777777" w:rsidR="00BB2244" w:rsidRPr="00E36113" w:rsidRDefault="00BB2244" w:rsidP="00420BD6">
      <w:pPr>
        <w:tabs>
          <w:tab w:val="left" w:pos="450"/>
        </w:tabs>
        <w:autoSpaceDE w:val="0"/>
        <w:autoSpaceDN w:val="0"/>
        <w:adjustRightInd w:val="0"/>
        <w:spacing w:after="0" w:line="240" w:lineRule="auto"/>
        <w:jc w:val="both"/>
        <w:rPr>
          <w:rFonts w:asciiTheme="minorHAnsi" w:hAnsiTheme="minorHAnsi" w:cstheme="minorHAnsi"/>
          <w:b/>
          <w:i/>
          <w:lang w:eastAsia="ja-JP"/>
        </w:rPr>
      </w:pPr>
    </w:p>
    <w:p w14:paraId="3CB27249" w14:textId="1595E675" w:rsidR="00843146" w:rsidRPr="00E36113" w:rsidRDefault="00E818FC" w:rsidP="00136BFE">
      <w:pPr>
        <w:numPr>
          <w:ilvl w:val="0"/>
          <w:numId w:val="44"/>
        </w:numPr>
        <w:tabs>
          <w:tab w:val="clear" w:pos="360"/>
        </w:tabs>
        <w:autoSpaceDE w:val="0"/>
        <w:autoSpaceDN w:val="0"/>
        <w:adjustRightInd w:val="0"/>
        <w:spacing w:after="0" w:line="240" w:lineRule="auto"/>
        <w:ind w:left="0" w:firstLine="0"/>
        <w:jc w:val="both"/>
        <w:rPr>
          <w:rFonts w:asciiTheme="minorHAnsi" w:hAnsiTheme="minorHAnsi" w:cstheme="minorHAnsi"/>
          <w:b/>
          <w:i/>
          <w:lang w:eastAsia="ja-JP"/>
        </w:rPr>
      </w:pPr>
      <w:r w:rsidRPr="00E36113">
        <w:rPr>
          <w:rFonts w:asciiTheme="minorHAnsi" w:hAnsiTheme="minorHAnsi" w:cstheme="minorHAnsi"/>
          <w:b/>
        </w:rPr>
        <w:t>Rationale</w:t>
      </w:r>
      <w:r w:rsidRPr="00E36113">
        <w:rPr>
          <w:rFonts w:asciiTheme="minorHAnsi" w:hAnsiTheme="minorHAnsi" w:cstheme="minorHAnsi"/>
        </w:rPr>
        <w:t xml:space="preserve">. </w:t>
      </w:r>
      <w:r w:rsidR="00843146" w:rsidRPr="00E36113">
        <w:rPr>
          <w:rFonts w:asciiTheme="minorHAnsi" w:hAnsiTheme="minorHAnsi" w:cstheme="minorHAnsi"/>
        </w:rPr>
        <w:t xml:space="preserve">Selected transfers such as fuel subsidies and contributions to the Pension Fund have resulted in significant </w:t>
      </w:r>
      <w:r w:rsidR="00EE4623" w:rsidRPr="00E36113">
        <w:rPr>
          <w:rFonts w:asciiTheme="minorHAnsi" w:hAnsiTheme="minorHAnsi" w:cstheme="minorHAnsi"/>
        </w:rPr>
        <w:t>levels</w:t>
      </w:r>
      <w:r w:rsidR="00843146" w:rsidRPr="00E36113">
        <w:rPr>
          <w:rFonts w:asciiTheme="minorHAnsi" w:hAnsiTheme="minorHAnsi" w:cstheme="minorHAnsi"/>
        </w:rPr>
        <w:t xml:space="preserve"> of regressive spending as </w:t>
      </w:r>
      <w:r w:rsidR="00230780" w:rsidRPr="00E36113">
        <w:rPr>
          <w:rFonts w:asciiTheme="minorHAnsi" w:hAnsiTheme="minorHAnsi" w:cstheme="minorHAnsi"/>
        </w:rPr>
        <w:t xml:space="preserve">a proportion </w:t>
      </w:r>
      <w:r w:rsidR="00843146" w:rsidRPr="00E36113">
        <w:rPr>
          <w:rFonts w:asciiTheme="minorHAnsi" w:hAnsiTheme="minorHAnsi" w:cstheme="minorHAnsi"/>
        </w:rPr>
        <w:t>of total spending</w:t>
      </w:r>
      <w:r w:rsidR="00B41EE0" w:rsidRPr="00E36113">
        <w:rPr>
          <w:rFonts w:asciiTheme="minorHAnsi" w:hAnsiTheme="minorHAnsi" w:cstheme="minorHAnsi"/>
        </w:rPr>
        <w:t xml:space="preserve">, estimated at </w:t>
      </w:r>
      <w:r w:rsidR="0070745B" w:rsidRPr="00E36113">
        <w:rPr>
          <w:rFonts w:asciiTheme="minorHAnsi" w:hAnsiTheme="minorHAnsi" w:cstheme="minorHAnsi"/>
        </w:rPr>
        <w:t>7.6 percent in 2015</w:t>
      </w:r>
      <w:r w:rsidR="00843146" w:rsidRPr="00E36113">
        <w:rPr>
          <w:rFonts w:asciiTheme="minorHAnsi" w:hAnsiTheme="minorHAnsi" w:cstheme="minorHAnsi"/>
        </w:rPr>
        <w:t>. Social expenditures need to be recalibrated to benefit the poor more.</w:t>
      </w:r>
    </w:p>
    <w:p w14:paraId="5A2591CB" w14:textId="77777777" w:rsidR="00E93752" w:rsidRPr="00E36113" w:rsidRDefault="00E93752" w:rsidP="00E93752">
      <w:pPr>
        <w:tabs>
          <w:tab w:val="left" w:pos="450"/>
        </w:tabs>
        <w:autoSpaceDE w:val="0"/>
        <w:autoSpaceDN w:val="0"/>
        <w:adjustRightInd w:val="0"/>
        <w:spacing w:after="0" w:line="240" w:lineRule="auto"/>
        <w:jc w:val="both"/>
        <w:rPr>
          <w:rFonts w:asciiTheme="minorHAnsi" w:hAnsiTheme="minorHAnsi" w:cstheme="minorHAnsi"/>
          <w:b/>
          <w:i/>
          <w:lang w:eastAsia="ja-JP"/>
        </w:rPr>
      </w:pPr>
    </w:p>
    <w:p w14:paraId="1B977972" w14:textId="77777777" w:rsidR="004B2B25" w:rsidRPr="00E36113" w:rsidRDefault="00E818FC" w:rsidP="00136BFE">
      <w:pPr>
        <w:numPr>
          <w:ilvl w:val="0"/>
          <w:numId w:val="44"/>
        </w:numPr>
        <w:tabs>
          <w:tab w:val="clear" w:pos="360"/>
        </w:tabs>
        <w:autoSpaceDE w:val="0"/>
        <w:autoSpaceDN w:val="0"/>
        <w:adjustRightInd w:val="0"/>
        <w:spacing w:after="0" w:line="240" w:lineRule="auto"/>
        <w:ind w:left="0" w:firstLine="0"/>
        <w:jc w:val="both"/>
        <w:rPr>
          <w:rFonts w:asciiTheme="minorHAnsi" w:hAnsiTheme="minorHAnsi" w:cstheme="minorHAnsi"/>
        </w:rPr>
      </w:pPr>
      <w:r w:rsidRPr="00E36113">
        <w:rPr>
          <w:rFonts w:asciiTheme="minorHAnsi" w:hAnsiTheme="minorHAnsi" w:cstheme="minorHAnsi"/>
          <w:b/>
        </w:rPr>
        <w:t>Reform</w:t>
      </w:r>
      <w:r w:rsidR="001267DA" w:rsidRPr="00E36113">
        <w:rPr>
          <w:rFonts w:asciiTheme="minorHAnsi" w:hAnsiTheme="minorHAnsi" w:cstheme="minorHAnsi"/>
          <w:b/>
        </w:rPr>
        <w:t>s</w:t>
      </w:r>
      <w:r w:rsidRPr="00E36113">
        <w:rPr>
          <w:rFonts w:asciiTheme="minorHAnsi" w:hAnsiTheme="minorHAnsi" w:cstheme="minorHAnsi"/>
        </w:rPr>
        <w:t>.</w:t>
      </w:r>
      <w:r w:rsidRPr="00E36113">
        <w:rPr>
          <w:rFonts w:asciiTheme="minorHAnsi" w:eastAsia="Calibri" w:hAnsiTheme="minorHAnsi" w:cstheme="minorHAnsi"/>
        </w:rPr>
        <w:t xml:space="preserve"> </w:t>
      </w:r>
    </w:p>
    <w:p w14:paraId="17F66228" w14:textId="36A78C9D" w:rsidR="00C1476A" w:rsidRPr="00136BFE" w:rsidRDefault="004B2B25" w:rsidP="00C1476A">
      <w:pPr>
        <w:autoSpaceDE w:val="0"/>
        <w:autoSpaceDN w:val="0"/>
        <w:spacing w:after="0" w:line="240" w:lineRule="auto"/>
        <w:jc w:val="both"/>
        <w:rPr>
          <w:rFonts w:asciiTheme="minorHAnsi" w:hAnsiTheme="minorHAnsi" w:cstheme="minorHAnsi"/>
        </w:rPr>
      </w:pPr>
      <w:r w:rsidRPr="00E36113">
        <w:rPr>
          <w:rFonts w:asciiTheme="minorHAnsi" w:hAnsiTheme="minorHAnsi" w:cstheme="minorHAnsi"/>
          <w:b/>
          <w:i/>
        </w:rPr>
        <w:t>Fuel subsidies:</w:t>
      </w:r>
      <w:r w:rsidRPr="00E36113">
        <w:rPr>
          <w:rFonts w:asciiTheme="minorHAnsi" w:hAnsiTheme="minorHAnsi" w:cstheme="minorHAnsi"/>
        </w:rPr>
        <w:t xml:space="preserve"> </w:t>
      </w:r>
      <w:r w:rsidR="00C1476A" w:rsidRPr="00136BFE">
        <w:rPr>
          <w:rFonts w:asciiTheme="minorHAnsi" w:hAnsiTheme="minorHAnsi" w:cstheme="minorHAnsi"/>
        </w:rPr>
        <w:t xml:space="preserve">While </w:t>
      </w:r>
      <w:r w:rsidR="007240EB" w:rsidRPr="00136BFE">
        <w:rPr>
          <w:rFonts w:asciiTheme="minorHAnsi" w:hAnsiTheme="minorHAnsi" w:cstheme="minorHAnsi"/>
        </w:rPr>
        <w:t xml:space="preserve">the downstream petroleum sector </w:t>
      </w:r>
      <w:r w:rsidR="00C1476A" w:rsidRPr="00136BFE">
        <w:rPr>
          <w:rFonts w:asciiTheme="minorHAnsi" w:hAnsiTheme="minorHAnsi" w:cstheme="minorHAnsi"/>
        </w:rPr>
        <w:t>law</w:t>
      </w:r>
      <w:r w:rsidR="001066A4" w:rsidRPr="00136BFE">
        <w:rPr>
          <w:rStyle w:val="FootnoteReference"/>
          <w:rFonts w:asciiTheme="minorHAnsi" w:hAnsiTheme="minorHAnsi" w:cstheme="minorHAnsi"/>
        </w:rPr>
        <w:footnoteReference w:id="36"/>
      </w:r>
      <w:r w:rsidR="00C1476A" w:rsidRPr="00136BFE">
        <w:rPr>
          <w:rFonts w:asciiTheme="minorHAnsi" w:hAnsiTheme="minorHAnsi" w:cstheme="minorHAnsi"/>
        </w:rPr>
        <w:t xml:space="preserve"> </w:t>
      </w:r>
      <w:r w:rsidR="00544E09" w:rsidRPr="00136BFE">
        <w:rPr>
          <w:rFonts w:asciiTheme="minorHAnsi" w:hAnsiTheme="minorHAnsi" w:cstheme="minorHAnsi"/>
        </w:rPr>
        <w:t xml:space="preserve">liberalizes the </w:t>
      </w:r>
      <w:r w:rsidR="00C1476A" w:rsidRPr="00136BFE">
        <w:rPr>
          <w:rFonts w:asciiTheme="minorHAnsi" w:hAnsiTheme="minorHAnsi" w:cstheme="minorHAnsi"/>
        </w:rPr>
        <w:t xml:space="preserve">petroleum </w:t>
      </w:r>
      <w:r w:rsidR="00544E09" w:rsidRPr="00136BFE">
        <w:rPr>
          <w:rFonts w:asciiTheme="minorHAnsi" w:hAnsiTheme="minorHAnsi" w:cstheme="minorHAnsi"/>
        </w:rPr>
        <w:t>sector</w:t>
      </w:r>
      <w:r w:rsidR="00C1476A" w:rsidRPr="00136BFE">
        <w:rPr>
          <w:rFonts w:asciiTheme="minorHAnsi" w:hAnsiTheme="minorHAnsi" w:cstheme="minorHAnsi"/>
        </w:rPr>
        <w:t>, fuel prices charged to consumers have in practice been capped by the Government since 2010. This policy resulted in a fuel subsidy being paid to</w:t>
      </w:r>
      <w:r w:rsidR="001066A4" w:rsidRPr="00136BFE">
        <w:rPr>
          <w:rFonts w:asciiTheme="minorHAnsi" w:hAnsiTheme="minorHAnsi" w:cstheme="minorHAnsi"/>
        </w:rPr>
        <w:t xml:space="preserve"> petroleum companies. Under DPO</w:t>
      </w:r>
      <w:r w:rsidR="00C1476A" w:rsidRPr="00136BFE">
        <w:rPr>
          <w:rFonts w:asciiTheme="minorHAnsi" w:hAnsiTheme="minorHAnsi" w:cstheme="minorHAnsi"/>
        </w:rPr>
        <w:t>1, the reform supported an increased pass-through of global oil prices to consumers</w:t>
      </w:r>
      <w:r w:rsidR="00ED6DA1" w:rsidRPr="00136BFE">
        <w:rPr>
          <w:rFonts w:asciiTheme="minorHAnsi" w:hAnsiTheme="minorHAnsi" w:cstheme="minorHAnsi"/>
        </w:rPr>
        <w:t>,</w:t>
      </w:r>
      <w:r w:rsidR="00C1476A" w:rsidRPr="00136BFE">
        <w:rPr>
          <w:rFonts w:asciiTheme="minorHAnsi" w:hAnsiTheme="minorHAnsi" w:cstheme="minorHAnsi"/>
        </w:rPr>
        <w:t xml:space="preserve"> which eliminated the need for </w:t>
      </w:r>
      <w:r w:rsidR="001066A4" w:rsidRPr="00136BFE">
        <w:rPr>
          <w:rFonts w:asciiTheme="minorHAnsi" w:hAnsiTheme="minorHAnsi" w:cstheme="minorHAnsi"/>
        </w:rPr>
        <w:t xml:space="preserve">a </w:t>
      </w:r>
      <w:r w:rsidR="00C1476A" w:rsidRPr="00136BFE">
        <w:rPr>
          <w:rFonts w:asciiTheme="minorHAnsi" w:hAnsiTheme="minorHAnsi" w:cstheme="minorHAnsi"/>
        </w:rPr>
        <w:t>subsidy payment from the budget to petroleum companies. This ref</w:t>
      </w:r>
      <w:r w:rsidR="001066A4" w:rsidRPr="00136BFE">
        <w:rPr>
          <w:rFonts w:asciiTheme="minorHAnsi" w:hAnsiTheme="minorHAnsi" w:cstheme="minorHAnsi"/>
        </w:rPr>
        <w:t xml:space="preserve">orm partially benefitted from </w:t>
      </w:r>
      <w:r w:rsidR="00C1476A" w:rsidRPr="00136BFE">
        <w:rPr>
          <w:rFonts w:asciiTheme="minorHAnsi" w:hAnsiTheme="minorHAnsi" w:cstheme="minorHAnsi"/>
        </w:rPr>
        <w:t xml:space="preserve">lower </w:t>
      </w:r>
      <w:r w:rsidR="001066A4" w:rsidRPr="00136BFE">
        <w:rPr>
          <w:rFonts w:asciiTheme="minorHAnsi" w:hAnsiTheme="minorHAnsi" w:cstheme="minorHAnsi"/>
        </w:rPr>
        <w:t>global oil</w:t>
      </w:r>
      <w:r w:rsidR="00C1476A" w:rsidRPr="00136BFE">
        <w:rPr>
          <w:rFonts w:asciiTheme="minorHAnsi" w:hAnsiTheme="minorHAnsi" w:cstheme="minorHAnsi"/>
        </w:rPr>
        <w:t xml:space="preserve"> prices and favorable exchange rates</w:t>
      </w:r>
      <w:r w:rsidR="001066A4" w:rsidRPr="00136BFE">
        <w:rPr>
          <w:rFonts w:asciiTheme="minorHAnsi" w:hAnsiTheme="minorHAnsi" w:cstheme="minorHAnsi"/>
        </w:rPr>
        <w:t>, risking the possibility of being reversed if oil prices increased</w:t>
      </w:r>
      <w:r w:rsidR="00C1476A" w:rsidRPr="00136BFE">
        <w:rPr>
          <w:rFonts w:asciiTheme="minorHAnsi" w:hAnsiTheme="minorHAnsi" w:cstheme="minorHAnsi"/>
        </w:rPr>
        <w:t xml:space="preserve">. DPO2 addresses this sustainability risk by supporting the passing of a decree </w:t>
      </w:r>
      <w:r w:rsidR="00ED6DA1" w:rsidRPr="00136BFE">
        <w:rPr>
          <w:rFonts w:asciiTheme="minorHAnsi" w:hAnsiTheme="minorHAnsi" w:cstheme="minorHAnsi"/>
        </w:rPr>
        <w:t>which</w:t>
      </w:r>
      <w:r w:rsidR="00C1476A" w:rsidRPr="00136BFE">
        <w:rPr>
          <w:rFonts w:asciiTheme="minorHAnsi" w:hAnsiTheme="minorHAnsi" w:cstheme="minorHAnsi"/>
        </w:rPr>
        <w:t xml:space="preserve"> states that fuel prices will be determined without recourse to a subsidy. </w:t>
      </w:r>
      <w:r w:rsidR="00544E09" w:rsidRPr="00136BFE">
        <w:rPr>
          <w:rFonts w:asciiTheme="minorHAnsi" w:hAnsiTheme="minorHAnsi" w:cstheme="minorHAnsi"/>
        </w:rPr>
        <w:t>Fuel prices follow trends in global oil prices, although a price smoothing mechanism has been applied to protect consumers from market volatility</w:t>
      </w:r>
      <w:r w:rsidR="00925BE1" w:rsidRPr="00136BFE">
        <w:rPr>
          <w:rFonts w:asciiTheme="minorHAnsi" w:hAnsiTheme="minorHAnsi" w:cstheme="minorHAnsi"/>
        </w:rPr>
        <w:t>, without any implementation of a fuel subsidy</w:t>
      </w:r>
      <w:r w:rsidR="00544E09" w:rsidRPr="00136BFE">
        <w:rPr>
          <w:rFonts w:asciiTheme="minorHAnsi" w:hAnsiTheme="minorHAnsi" w:cstheme="minorHAnsi"/>
        </w:rPr>
        <w:t xml:space="preserve">. </w:t>
      </w:r>
      <w:r w:rsidR="00C1476A" w:rsidRPr="00136BFE">
        <w:rPr>
          <w:rFonts w:asciiTheme="minorHAnsi" w:hAnsiTheme="minorHAnsi" w:cstheme="minorHAnsi"/>
        </w:rPr>
        <w:t xml:space="preserve">This reform complements the IMF ECF program which supports full cost-recovery of fuel prices, by improving the legal framework. </w:t>
      </w:r>
    </w:p>
    <w:p w14:paraId="5F3C4931" w14:textId="7FCA2730" w:rsidR="005E5F4A" w:rsidRPr="00B66802" w:rsidRDefault="005E5F4A" w:rsidP="004B2B25">
      <w:pPr>
        <w:tabs>
          <w:tab w:val="left" w:pos="450"/>
        </w:tabs>
        <w:autoSpaceDE w:val="0"/>
        <w:autoSpaceDN w:val="0"/>
        <w:adjustRightInd w:val="0"/>
        <w:spacing w:after="0" w:line="240" w:lineRule="auto"/>
        <w:jc w:val="both"/>
        <w:rPr>
          <w:rFonts w:asciiTheme="minorHAnsi" w:hAnsiTheme="minorHAnsi" w:cstheme="minorHAnsi"/>
        </w:rPr>
      </w:pPr>
    </w:p>
    <w:p w14:paraId="04C692FC" w14:textId="4418DBA7" w:rsidR="00EE4155" w:rsidRPr="006C66C2" w:rsidRDefault="005E5F4A" w:rsidP="0084590A">
      <w:pPr>
        <w:tabs>
          <w:tab w:val="left" w:pos="450"/>
        </w:tabs>
        <w:autoSpaceDE w:val="0"/>
        <w:autoSpaceDN w:val="0"/>
        <w:adjustRightInd w:val="0"/>
        <w:spacing w:after="0" w:line="240" w:lineRule="auto"/>
        <w:jc w:val="both"/>
        <w:rPr>
          <w:rFonts w:asciiTheme="minorHAnsi" w:hAnsiTheme="minorHAnsi" w:cstheme="minorHAnsi"/>
        </w:rPr>
      </w:pPr>
      <w:r w:rsidRPr="00BD4A16">
        <w:rPr>
          <w:rFonts w:asciiTheme="minorHAnsi" w:hAnsiTheme="minorHAnsi" w:cstheme="minorHAnsi"/>
          <w:b/>
          <w:i/>
        </w:rPr>
        <w:t>Pension Contributions:</w:t>
      </w:r>
      <w:r w:rsidRPr="00DC050B">
        <w:rPr>
          <w:rFonts w:asciiTheme="minorHAnsi" w:hAnsiTheme="minorHAnsi" w:cstheme="minorHAnsi"/>
        </w:rPr>
        <w:t xml:space="preserve"> Contributions from the budget to</w:t>
      </w:r>
      <w:r w:rsidR="00F62E4B" w:rsidRPr="00DC050B">
        <w:rPr>
          <w:rFonts w:asciiTheme="minorHAnsi" w:hAnsiTheme="minorHAnsi" w:cstheme="minorHAnsi"/>
        </w:rPr>
        <w:t xml:space="preserve"> the</w:t>
      </w:r>
      <w:r w:rsidRPr="00DC050B">
        <w:rPr>
          <w:rFonts w:asciiTheme="minorHAnsi" w:hAnsiTheme="minorHAnsi" w:cstheme="minorHAnsi"/>
        </w:rPr>
        <w:t xml:space="preserve"> pension fund were in the order of 0.9 percent to GDP in 2015 and 2016, benefitting an estimated </w:t>
      </w:r>
      <w:r w:rsidRPr="00136BFE">
        <w:rPr>
          <w:rFonts w:asciiTheme="minorHAnsi" w:hAnsiTheme="minorHAnsi" w:cstheme="minorHAnsi"/>
          <w:iCs/>
        </w:rPr>
        <w:t xml:space="preserve">110,000 </w:t>
      </w:r>
      <w:r w:rsidRPr="00B66802">
        <w:rPr>
          <w:rFonts w:asciiTheme="minorHAnsi" w:hAnsiTheme="minorHAnsi" w:cstheme="minorHAnsi"/>
        </w:rPr>
        <w:t xml:space="preserve">public servants </w:t>
      </w:r>
      <w:r w:rsidRPr="00136BFE">
        <w:rPr>
          <w:rFonts w:asciiTheme="minorHAnsi" w:hAnsiTheme="minorHAnsi" w:cstheme="minorHAnsi"/>
          <w:iCs/>
        </w:rPr>
        <w:t>in 2016</w:t>
      </w:r>
      <w:r w:rsidRPr="00B66802">
        <w:rPr>
          <w:rFonts w:asciiTheme="minorHAnsi" w:hAnsiTheme="minorHAnsi" w:cstheme="minorHAnsi"/>
        </w:rPr>
        <w:t xml:space="preserve"> or 0.9 percent </w:t>
      </w:r>
      <w:r w:rsidRPr="00B66802">
        <w:rPr>
          <w:rFonts w:asciiTheme="minorHAnsi" w:hAnsiTheme="minorHAnsi" w:cstheme="minorHAnsi"/>
        </w:rPr>
        <w:lastRenderedPageBreak/>
        <w:t>of Madagascar’s labor force. The Government is currently seeking to i</w:t>
      </w:r>
      <w:r w:rsidRPr="00BD4A16">
        <w:rPr>
          <w:rFonts w:asciiTheme="minorHAnsi" w:hAnsiTheme="minorHAnsi" w:cstheme="minorHAnsi"/>
        </w:rPr>
        <w:t xml:space="preserve">mprove controls on the number of beneficiaries. In DPO1 the MFB completed the verification of all pension beneficiaries in urban areas, </w:t>
      </w:r>
      <w:r w:rsidR="00143EED" w:rsidRPr="00DC050B">
        <w:rPr>
          <w:rFonts w:asciiTheme="minorHAnsi" w:hAnsiTheme="minorHAnsi" w:cstheme="minorHAnsi"/>
        </w:rPr>
        <w:t>where approxi</w:t>
      </w:r>
      <w:r w:rsidRPr="00DC050B">
        <w:rPr>
          <w:rFonts w:asciiTheme="minorHAnsi" w:hAnsiTheme="minorHAnsi" w:cstheme="minorHAnsi"/>
        </w:rPr>
        <w:t xml:space="preserve">mately </w:t>
      </w:r>
      <w:r w:rsidR="00854183" w:rsidRPr="00DC050B">
        <w:rPr>
          <w:rFonts w:asciiTheme="minorHAnsi" w:hAnsiTheme="minorHAnsi" w:cstheme="minorHAnsi"/>
        </w:rPr>
        <w:t>8534 ineligible beneficiaries were eliminated</w:t>
      </w:r>
      <w:r w:rsidR="00143EED" w:rsidRPr="00DC050B">
        <w:rPr>
          <w:rFonts w:asciiTheme="minorHAnsi" w:hAnsiTheme="minorHAnsi" w:cstheme="minorHAnsi"/>
        </w:rPr>
        <w:t xml:space="preserve">, 8 </w:t>
      </w:r>
      <w:r w:rsidRPr="00DC050B">
        <w:rPr>
          <w:rFonts w:asciiTheme="minorHAnsi" w:hAnsiTheme="minorHAnsi" w:cstheme="minorHAnsi"/>
        </w:rPr>
        <w:t>percent of all beneficiaries.</w:t>
      </w:r>
      <w:r w:rsidR="00143EED" w:rsidRPr="00B66802">
        <w:rPr>
          <w:rStyle w:val="FootnoteReference"/>
          <w:rFonts w:asciiTheme="minorHAnsi" w:hAnsiTheme="minorHAnsi" w:cstheme="minorHAnsi"/>
        </w:rPr>
        <w:footnoteReference w:id="37"/>
      </w:r>
      <w:r w:rsidRPr="00B66802">
        <w:rPr>
          <w:rFonts w:asciiTheme="minorHAnsi" w:hAnsiTheme="minorHAnsi" w:cstheme="minorHAnsi"/>
        </w:rPr>
        <w:t xml:space="preserve"> In DPO2 th</w:t>
      </w:r>
      <w:r w:rsidRPr="00BD4A16">
        <w:rPr>
          <w:rFonts w:asciiTheme="minorHAnsi" w:hAnsiTheme="minorHAnsi" w:cstheme="minorHAnsi"/>
        </w:rPr>
        <w:t>is reform is extended to beneficiaries in rural areas. A further measure has been added to ensure that</w:t>
      </w:r>
      <w:r w:rsidR="0084590A" w:rsidRPr="00DC050B">
        <w:rPr>
          <w:rFonts w:asciiTheme="minorHAnsi" w:hAnsiTheme="minorHAnsi" w:cstheme="minorHAnsi"/>
        </w:rPr>
        <w:t xml:space="preserve"> officials from 45 public entities in Antananarivo pay contributions on time, instead of only upon retirement as per current practice, to reduce the accumulation of arrears that could result in further transfers to the Pension Fund. </w:t>
      </w:r>
      <w:r w:rsidRPr="00DC050B">
        <w:rPr>
          <w:rFonts w:asciiTheme="minorHAnsi" w:hAnsiTheme="minorHAnsi" w:cstheme="minorHAnsi"/>
        </w:rPr>
        <w:t xml:space="preserve">These arrears are in the order of </w:t>
      </w:r>
      <w:r w:rsidR="00FB6693" w:rsidRPr="006C66C2">
        <w:rPr>
          <w:rFonts w:asciiTheme="minorHAnsi" w:hAnsiTheme="minorHAnsi" w:cstheme="minorHAnsi"/>
        </w:rPr>
        <w:t xml:space="preserve">MGA </w:t>
      </w:r>
      <w:r w:rsidR="00AF6CD5" w:rsidRPr="006C66C2">
        <w:rPr>
          <w:rFonts w:asciiTheme="minorHAnsi" w:hAnsiTheme="minorHAnsi" w:cstheme="minorHAnsi"/>
        </w:rPr>
        <w:t>8</w:t>
      </w:r>
      <w:r w:rsidR="00FB6693">
        <w:rPr>
          <w:rFonts w:asciiTheme="minorHAnsi" w:hAnsiTheme="minorHAnsi" w:cstheme="minorHAnsi"/>
        </w:rPr>
        <w:t xml:space="preserve"> </w:t>
      </w:r>
      <w:r w:rsidR="00AF6CD5" w:rsidRPr="006C66C2">
        <w:rPr>
          <w:rFonts w:asciiTheme="minorHAnsi" w:hAnsiTheme="minorHAnsi" w:cstheme="minorHAnsi"/>
        </w:rPr>
        <w:t>b</w:t>
      </w:r>
      <w:r w:rsidR="00FB6693">
        <w:rPr>
          <w:rFonts w:asciiTheme="minorHAnsi" w:hAnsiTheme="minorHAnsi" w:cstheme="minorHAnsi"/>
        </w:rPr>
        <w:t>illio</w:t>
      </w:r>
      <w:r w:rsidR="00AF6CD5" w:rsidRPr="006C66C2">
        <w:rPr>
          <w:rFonts w:asciiTheme="minorHAnsi" w:hAnsiTheme="minorHAnsi" w:cstheme="minorHAnsi"/>
        </w:rPr>
        <w:t>n (0.02 percent of GDP)</w:t>
      </w:r>
      <w:r w:rsidRPr="006C66C2">
        <w:rPr>
          <w:rFonts w:asciiTheme="minorHAnsi" w:hAnsiTheme="minorHAnsi" w:cstheme="minorHAnsi"/>
        </w:rPr>
        <w:t xml:space="preserve">. </w:t>
      </w:r>
    </w:p>
    <w:p w14:paraId="1CED0559" w14:textId="28FB8F4A" w:rsidR="008312F0" w:rsidRPr="006C66C2" w:rsidRDefault="008312F0" w:rsidP="004B2B25">
      <w:pPr>
        <w:tabs>
          <w:tab w:val="left" w:pos="450"/>
        </w:tabs>
        <w:autoSpaceDE w:val="0"/>
        <w:autoSpaceDN w:val="0"/>
        <w:adjustRightInd w:val="0"/>
        <w:spacing w:after="0" w:line="240" w:lineRule="auto"/>
        <w:jc w:val="both"/>
        <w:rPr>
          <w:rFonts w:asciiTheme="minorHAnsi" w:hAnsiTheme="minorHAnsi" w:cstheme="minorHAnsi"/>
        </w:rPr>
      </w:pPr>
    </w:p>
    <w:p w14:paraId="2AAC0F7E" w14:textId="08AF676B" w:rsidR="00FB6693" w:rsidRPr="00B66802" w:rsidRDefault="00B44C7C" w:rsidP="008B00C1">
      <w:pPr>
        <w:pStyle w:val="ListParagraph"/>
        <w:numPr>
          <w:ilvl w:val="0"/>
          <w:numId w:val="22"/>
        </w:numPr>
        <w:spacing w:after="0" w:line="240" w:lineRule="auto"/>
        <w:ind w:right="115"/>
        <w:rPr>
          <w:rFonts w:asciiTheme="minorHAnsi" w:hAnsiTheme="minorHAnsi" w:cstheme="minorHAnsi"/>
          <w:b/>
        </w:rPr>
      </w:pPr>
      <w:r w:rsidRPr="00A20F63">
        <w:rPr>
          <w:rFonts w:asciiTheme="minorHAnsi" w:hAnsiTheme="minorHAnsi" w:cstheme="minorHAnsi"/>
          <w:b/>
        </w:rPr>
        <w:t>Prior Action 3:</w:t>
      </w:r>
      <w:r w:rsidR="00386A54" w:rsidRPr="00A20F63">
        <w:rPr>
          <w:rFonts w:asciiTheme="minorHAnsi" w:hAnsiTheme="minorHAnsi" w:cstheme="minorHAnsi"/>
        </w:rPr>
        <w:t xml:space="preserve"> The Recipient has passed </w:t>
      </w:r>
      <w:r w:rsidR="00386A54" w:rsidRPr="00136BFE">
        <w:rPr>
          <w:rFonts w:asciiTheme="minorHAnsi" w:hAnsiTheme="minorHAnsi" w:cstheme="minorHAnsi"/>
          <w:i/>
        </w:rPr>
        <w:t>Décret n°2017- 472 portant fixation des prix maxima affichés à la pompe,</w:t>
      </w:r>
      <w:r w:rsidR="00386A54" w:rsidRPr="00B66802">
        <w:rPr>
          <w:rFonts w:asciiTheme="minorHAnsi" w:hAnsiTheme="minorHAnsi" w:cstheme="minorHAnsi"/>
        </w:rPr>
        <w:t xml:space="preserve"> </w:t>
      </w:r>
      <w:r w:rsidR="007B1BE8" w:rsidRPr="00B66802">
        <w:rPr>
          <w:rFonts w:asciiTheme="minorHAnsi" w:hAnsiTheme="minorHAnsi" w:cstheme="minorHAnsi"/>
        </w:rPr>
        <w:t xml:space="preserve">a decree </w:t>
      </w:r>
      <w:r w:rsidR="00386A54" w:rsidRPr="00B66802">
        <w:rPr>
          <w:rFonts w:asciiTheme="minorHAnsi" w:hAnsiTheme="minorHAnsi" w:cstheme="minorHAnsi"/>
        </w:rPr>
        <w:t xml:space="preserve">which </w:t>
      </w:r>
      <w:r w:rsidR="00A02398" w:rsidRPr="00BD4A16">
        <w:rPr>
          <w:rFonts w:asciiTheme="minorHAnsi" w:hAnsiTheme="minorHAnsi" w:cstheme="minorHAnsi"/>
        </w:rPr>
        <w:t xml:space="preserve">eliminates the </w:t>
      </w:r>
      <w:r w:rsidR="00386A54" w:rsidRPr="00DC050B">
        <w:rPr>
          <w:rFonts w:asciiTheme="minorHAnsi" w:hAnsiTheme="minorHAnsi" w:cstheme="minorHAnsi"/>
        </w:rPr>
        <w:t>fuel subsidy.</w:t>
      </w:r>
      <w:r w:rsidR="00A02398" w:rsidRPr="00B66802">
        <w:rPr>
          <w:rStyle w:val="FootnoteReference"/>
          <w:rFonts w:asciiTheme="minorHAnsi" w:hAnsiTheme="minorHAnsi" w:cstheme="minorHAnsi"/>
        </w:rPr>
        <w:footnoteReference w:id="38"/>
      </w:r>
      <w:r w:rsidR="00386A54" w:rsidRPr="00B66802">
        <w:rPr>
          <w:rFonts w:asciiTheme="minorHAnsi" w:hAnsiTheme="minorHAnsi" w:cstheme="minorHAnsi"/>
        </w:rPr>
        <w:t xml:space="preserve">   </w:t>
      </w:r>
    </w:p>
    <w:p w14:paraId="2F4359B3" w14:textId="62D0C9FA" w:rsidR="00D67BC0" w:rsidRPr="00FB6693" w:rsidRDefault="00386A54" w:rsidP="00136BFE">
      <w:pPr>
        <w:pStyle w:val="ListParagraph"/>
        <w:numPr>
          <w:ilvl w:val="0"/>
          <w:numId w:val="22"/>
        </w:numPr>
        <w:spacing w:after="0" w:line="240" w:lineRule="auto"/>
        <w:ind w:right="115"/>
        <w:rPr>
          <w:bCs/>
          <w:iCs/>
        </w:rPr>
      </w:pPr>
      <w:r w:rsidRPr="00136BFE">
        <w:rPr>
          <w:rFonts w:asciiTheme="minorHAnsi" w:hAnsiTheme="minorHAnsi" w:cstheme="minorHAnsi"/>
          <w:b/>
        </w:rPr>
        <w:t>P</w:t>
      </w:r>
      <w:r w:rsidR="00B44C7C" w:rsidRPr="00136BFE">
        <w:rPr>
          <w:rFonts w:asciiTheme="minorHAnsi" w:hAnsiTheme="minorHAnsi" w:cstheme="minorHAnsi"/>
          <w:b/>
        </w:rPr>
        <w:t xml:space="preserve">rior Action </w:t>
      </w:r>
      <w:r w:rsidRPr="00136BFE">
        <w:rPr>
          <w:rFonts w:asciiTheme="minorHAnsi" w:hAnsiTheme="minorHAnsi" w:cstheme="minorHAnsi"/>
          <w:b/>
        </w:rPr>
        <w:t>4</w:t>
      </w:r>
      <w:r w:rsidR="00B44C7C" w:rsidRPr="00136BFE">
        <w:rPr>
          <w:rFonts w:asciiTheme="minorHAnsi" w:hAnsiTheme="minorHAnsi" w:cstheme="minorHAnsi"/>
          <w:b/>
        </w:rPr>
        <w:t>:</w:t>
      </w:r>
      <w:r w:rsidRPr="00136BFE">
        <w:rPr>
          <w:rFonts w:asciiTheme="minorHAnsi" w:hAnsiTheme="minorHAnsi" w:cstheme="minorHAnsi"/>
        </w:rPr>
        <w:t xml:space="preserve"> The Recipient has</w:t>
      </w:r>
      <w:r w:rsidR="00D40BFD" w:rsidRPr="00136BFE">
        <w:rPr>
          <w:rFonts w:asciiTheme="minorHAnsi" w:hAnsiTheme="minorHAnsi" w:cstheme="minorHAnsi"/>
        </w:rPr>
        <w:t>:</w:t>
      </w:r>
      <w:r w:rsidR="00FB6693" w:rsidRPr="00136BFE">
        <w:rPr>
          <w:rFonts w:asciiTheme="minorHAnsi" w:hAnsiTheme="minorHAnsi" w:cstheme="minorHAnsi"/>
        </w:rPr>
        <w:t xml:space="preserve"> (i)</w:t>
      </w:r>
      <w:r w:rsidR="00FB6693" w:rsidRPr="00FB6693">
        <w:rPr>
          <w:bCs/>
          <w:iCs/>
        </w:rPr>
        <w:t xml:space="preserve"> c</w:t>
      </w:r>
      <w:r w:rsidR="007B1BE8" w:rsidRPr="00FB6693">
        <w:rPr>
          <w:bCs/>
          <w:iCs/>
        </w:rPr>
        <w:t>ompleted a verification of the roster of pension beneficiaries in rural collectives to remove ineligible beneficiaries;</w:t>
      </w:r>
      <w:r w:rsidRPr="00FB6693">
        <w:t xml:space="preserve"> and </w:t>
      </w:r>
      <w:r w:rsidR="00FB6693" w:rsidRPr="00FB6693">
        <w:t xml:space="preserve">(ii) </w:t>
      </w:r>
      <w:r w:rsidR="00FB6693">
        <w:rPr>
          <w:bCs/>
          <w:iCs/>
        </w:rPr>
        <w:t>i</w:t>
      </w:r>
      <w:r w:rsidR="00D67BC0" w:rsidRPr="00FB6693">
        <w:rPr>
          <w:bCs/>
          <w:iCs/>
        </w:rPr>
        <w:t xml:space="preserve">ssued </w:t>
      </w:r>
      <w:r w:rsidR="00D67BC0" w:rsidRPr="00FB6693">
        <w:rPr>
          <w:bCs/>
          <w:i/>
          <w:iCs/>
        </w:rPr>
        <w:t>Circulaire no. 475-2017 du 9 août relative à la Standardisation des procédures de versement de cotisations à la Caisse de Prévoyance des Retraites et à la Caisse de Retraite Civile et Militaires,</w:t>
      </w:r>
      <w:r w:rsidR="00D67BC0" w:rsidRPr="00FB6693">
        <w:rPr>
          <w:bCs/>
          <w:iCs/>
        </w:rPr>
        <w:t xml:space="preserve"> establishing the obligations and process related to the payment of contributions, and sanctions in the case of non-compliance, in order to reduce the transfers to the Pension Fund.</w:t>
      </w:r>
    </w:p>
    <w:p w14:paraId="1722BAC4" w14:textId="77777777" w:rsidR="0087795B" w:rsidRPr="00B66802" w:rsidRDefault="0087795B" w:rsidP="005C31C8">
      <w:pPr>
        <w:pStyle w:val="ListParagraph"/>
        <w:spacing w:after="60" w:line="240" w:lineRule="auto"/>
        <w:ind w:left="360"/>
        <w:jc w:val="both"/>
        <w:rPr>
          <w:rFonts w:asciiTheme="minorHAnsi" w:hAnsiTheme="minorHAnsi" w:cstheme="minorHAnsi"/>
        </w:rPr>
      </w:pPr>
    </w:p>
    <w:p w14:paraId="34F897AA" w14:textId="3B8473C3" w:rsidR="003C4E96" w:rsidRDefault="00E818FC" w:rsidP="003C4E96">
      <w:pPr>
        <w:pStyle w:val="ListParagraph"/>
        <w:numPr>
          <w:ilvl w:val="0"/>
          <w:numId w:val="44"/>
        </w:numPr>
        <w:tabs>
          <w:tab w:val="clear" w:pos="360"/>
        </w:tabs>
        <w:autoSpaceDE w:val="0"/>
        <w:autoSpaceDN w:val="0"/>
        <w:adjustRightInd w:val="0"/>
        <w:spacing w:after="240" w:line="240" w:lineRule="auto"/>
        <w:ind w:left="0" w:firstLine="0"/>
        <w:jc w:val="both"/>
        <w:rPr>
          <w:rFonts w:asciiTheme="minorHAnsi" w:eastAsia="Calibri" w:hAnsiTheme="minorHAnsi" w:cstheme="minorHAnsi"/>
        </w:rPr>
      </w:pPr>
      <w:r w:rsidRPr="00BD4A16">
        <w:rPr>
          <w:rFonts w:asciiTheme="minorHAnsi" w:hAnsiTheme="minorHAnsi" w:cstheme="minorHAnsi"/>
          <w:b/>
        </w:rPr>
        <w:t>Results</w:t>
      </w:r>
      <w:r w:rsidRPr="00DC050B">
        <w:rPr>
          <w:rFonts w:asciiTheme="minorHAnsi" w:hAnsiTheme="minorHAnsi" w:cstheme="minorHAnsi"/>
        </w:rPr>
        <w:t xml:space="preserve">. </w:t>
      </w:r>
      <w:r w:rsidRPr="00DC050B">
        <w:rPr>
          <w:rFonts w:asciiTheme="minorHAnsi" w:eastAsia="Calibri" w:hAnsiTheme="minorHAnsi" w:cstheme="minorHAnsi"/>
        </w:rPr>
        <w:t xml:space="preserve">The </w:t>
      </w:r>
      <w:r w:rsidR="00123D58" w:rsidRPr="00DC050B">
        <w:rPr>
          <w:rFonts w:asciiTheme="minorHAnsi" w:eastAsia="Calibri" w:hAnsiTheme="minorHAnsi" w:cstheme="minorHAnsi"/>
        </w:rPr>
        <w:t xml:space="preserve">fiscal </w:t>
      </w:r>
      <w:r w:rsidRPr="00DC050B">
        <w:rPr>
          <w:rFonts w:asciiTheme="minorHAnsi" w:eastAsia="Calibri" w:hAnsiTheme="minorHAnsi" w:cstheme="minorHAnsi"/>
        </w:rPr>
        <w:t>manageme</w:t>
      </w:r>
      <w:r w:rsidR="0078352E" w:rsidRPr="00DC050B">
        <w:rPr>
          <w:rFonts w:asciiTheme="minorHAnsi" w:eastAsia="Calibri" w:hAnsiTheme="minorHAnsi" w:cstheme="minorHAnsi"/>
        </w:rPr>
        <w:t>nt reforms supported by this DPO</w:t>
      </w:r>
      <w:r w:rsidRPr="00DC050B">
        <w:rPr>
          <w:rFonts w:asciiTheme="minorHAnsi" w:eastAsia="Calibri" w:hAnsiTheme="minorHAnsi" w:cstheme="minorHAnsi"/>
        </w:rPr>
        <w:t xml:space="preserve"> </w:t>
      </w:r>
      <w:r w:rsidR="009F7231" w:rsidRPr="006C66C2">
        <w:rPr>
          <w:rFonts w:asciiTheme="minorHAnsi" w:eastAsia="Calibri" w:hAnsiTheme="minorHAnsi" w:cstheme="minorHAnsi"/>
        </w:rPr>
        <w:t xml:space="preserve">series </w:t>
      </w:r>
      <w:r w:rsidRPr="006C66C2">
        <w:rPr>
          <w:rFonts w:asciiTheme="minorHAnsi" w:eastAsia="Calibri" w:hAnsiTheme="minorHAnsi" w:cstheme="minorHAnsi"/>
        </w:rPr>
        <w:t xml:space="preserve">are expected to </w:t>
      </w:r>
      <w:r w:rsidR="0078352E" w:rsidRPr="006C66C2">
        <w:rPr>
          <w:rFonts w:asciiTheme="minorHAnsi" w:eastAsia="Calibri" w:hAnsiTheme="minorHAnsi" w:cstheme="minorHAnsi"/>
        </w:rPr>
        <w:t xml:space="preserve">reduce </w:t>
      </w:r>
      <w:r w:rsidR="00683B8B" w:rsidRPr="006C66C2">
        <w:rPr>
          <w:rFonts w:asciiTheme="minorHAnsi" w:eastAsia="Calibri" w:hAnsiTheme="minorHAnsi" w:cstheme="minorHAnsi"/>
        </w:rPr>
        <w:t>selected</w:t>
      </w:r>
      <w:r w:rsidR="00C0742D" w:rsidRPr="006C66C2">
        <w:rPr>
          <w:rFonts w:asciiTheme="minorHAnsi" w:eastAsia="Calibri" w:hAnsiTheme="minorHAnsi" w:cstheme="minorHAnsi"/>
        </w:rPr>
        <w:t xml:space="preserve"> </w:t>
      </w:r>
      <w:r w:rsidR="000F6529" w:rsidRPr="006C66C2">
        <w:rPr>
          <w:rFonts w:asciiTheme="minorHAnsi" w:eastAsia="Calibri" w:hAnsiTheme="minorHAnsi" w:cstheme="minorHAnsi"/>
        </w:rPr>
        <w:t>transfers as a share of to</w:t>
      </w:r>
      <w:r w:rsidR="000F6529" w:rsidRPr="00A20F63">
        <w:rPr>
          <w:rFonts w:asciiTheme="minorHAnsi" w:eastAsia="Calibri" w:hAnsiTheme="minorHAnsi" w:cstheme="minorHAnsi"/>
        </w:rPr>
        <w:t xml:space="preserve">tal </w:t>
      </w:r>
      <w:r w:rsidR="00C0742D" w:rsidRPr="00A20F63">
        <w:rPr>
          <w:rFonts w:asciiTheme="minorHAnsi" w:eastAsia="Calibri" w:hAnsiTheme="minorHAnsi" w:cstheme="minorHAnsi"/>
        </w:rPr>
        <w:t>expenditures</w:t>
      </w:r>
      <w:r w:rsidR="00940312" w:rsidRPr="00A20F63">
        <w:rPr>
          <w:rFonts w:asciiTheme="minorHAnsi" w:eastAsia="Calibri" w:hAnsiTheme="minorHAnsi" w:cstheme="minorHAnsi"/>
        </w:rPr>
        <w:t xml:space="preserve"> that are regressive in nature</w:t>
      </w:r>
      <w:r w:rsidR="00895FBB" w:rsidRPr="00A20F63">
        <w:rPr>
          <w:rFonts w:asciiTheme="minorHAnsi" w:eastAsia="Calibri" w:hAnsiTheme="minorHAnsi" w:cstheme="minorHAnsi"/>
        </w:rPr>
        <w:t>, to increase much needed fiscal space for priority social spending</w:t>
      </w:r>
      <w:r w:rsidR="00E81DDB" w:rsidRPr="00A20F63">
        <w:rPr>
          <w:rFonts w:asciiTheme="minorHAnsi" w:eastAsia="Calibri" w:hAnsiTheme="minorHAnsi" w:cstheme="minorHAnsi"/>
        </w:rPr>
        <w:t xml:space="preserve"> </w:t>
      </w:r>
      <w:r w:rsidR="00895FBB" w:rsidRPr="00A20F63">
        <w:rPr>
          <w:rFonts w:asciiTheme="minorHAnsi" w:eastAsia="Calibri" w:hAnsiTheme="minorHAnsi" w:cstheme="minorHAnsi"/>
        </w:rPr>
        <w:t>and investment</w:t>
      </w:r>
      <w:r w:rsidR="00904514" w:rsidRPr="00A20F63">
        <w:rPr>
          <w:rFonts w:asciiTheme="minorHAnsi" w:eastAsia="Calibri" w:hAnsiTheme="minorHAnsi" w:cstheme="minorHAnsi"/>
        </w:rPr>
        <w:t>.</w:t>
      </w:r>
      <w:r w:rsidR="00E81DDB" w:rsidRPr="00B66802">
        <w:rPr>
          <w:rStyle w:val="FootnoteReference"/>
          <w:rFonts w:asciiTheme="minorHAnsi" w:eastAsia="Calibri" w:hAnsiTheme="minorHAnsi" w:cstheme="minorHAnsi"/>
        </w:rPr>
        <w:footnoteReference w:id="39"/>
      </w:r>
      <w:r w:rsidR="00DE02A4" w:rsidRPr="00B66802">
        <w:rPr>
          <w:rFonts w:asciiTheme="minorHAnsi" w:eastAsia="Calibri" w:hAnsiTheme="minorHAnsi" w:cstheme="minorHAnsi"/>
        </w:rPr>
        <w:t xml:space="preserve"> </w:t>
      </w:r>
      <w:r w:rsidR="00DA0572" w:rsidRPr="00A20F63">
        <w:rPr>
          <w:rFonts w:asciiTheme="minorHAnsi" w:hAnsiTheme="minorHAnsi" w:cstheme="minorHAnsi"/>
        </w:rPr>
        <w:t>This programmatic operation also tracks priority social spending, which has been increasing from 0.7 percent of GDP in 2017 to 0.8 percent of GDP in 2018, demonstrating that progress is on track. This indicator is also a quantitative performance target that is tracked under the IMF’s ECF program.</w:t>
      </w:r>
    </w:p>
    <w:p w14:paraId="5D3AEC26" w14:textId="77777777" w:rsidR="003C4E96" w:rsidRDefault="003C4E96" w:rsidP="003C4E96">
      <w:pPr>
        <w:pStyle w:val="ListParagraph"/>
        <w:autoSpaceDE w:val="0"/>
        <w:autoSpaceDN w:val="0"/>
        <w:adjustRightInd w:val="0"/>
        <w:spacing w:after="240" w:line="240" w:lineRule="auto"/>
        <w:ind w:left="0"/>
        <w:jc w:val="both"/>
        <w:rPr>
          <w:rFonts w:asciiTheme="minorHAnsi" w:eastAsia="Calibri" w:hAnsiTheme="minorHAnsi" w:cstheme="minorHAnsi"/>
        </w:rPr>
      </w:pPr>
    </w:p>
    <w:p w14:paraId="381820B8" w14:textId="3BBAE0F8" w:rsidR="003C4E96" w:rsidRDefault="00927CAE" w:rsidP="00927CAE">
      <w:pPr>
        <w:pStyle w:val="ListParagraph"/>
        <w:autoSpaceDE w:val="0"/>
        <w:autoSpaceDN w:val="0"/>
        <w:adjustRightInd w:val="0"/>
        <w:spacing w:after="240" w:line="240" w:lineRule="auto"/>
        <w:ind w:left="0"/>
        <w:jc w:val="both"/>
        <w:rPr>
          <w:rFonts w:asciiTheme="minorHAnsi" w:eastAsia="Calibri" w:hAnsiTheme="minorHAnsi" w:cstheme="minorHAnsi"/>
        </w:rPr>
      </w:pPr>
      <w:r w:rsidRPr="00927CAE">
        <w:rPr>
          <w:rFonts w:asciiTheme="minorHAnsi" w:eastAsia="Calibri" w:hAnsiTheme="minorHAnsi" w:cstheme="minorHAnsi"/>
          <w:b/>
          <w:i/>
        </w:rPr>
        <w:t xml:space="preserve">Fuel subsidies: </w:t>
      </w:r>
      <w:r w:rsidR="001C682E">
        <w:rPr>
          <w:rFonts w:asciiTheme="minorHAnsi" w:eastAsia="Calibri" w:hAnsiTheme="minorHAnsi" w:cstheme="minorHAnsi"/>
        </w:rPr>
        <w:t xml:space="preserve">The elimination of the fuel subsidy is expected to reduce transfers to petroleum companies from 1.8 percent of expenditures in </w:t>
      </w:r>
      <w:r w:rsidR="006D75FD">
        <w:rPr>
          <w:rFonts w:asciiTheme="minorHAnsi" w:eastAsia="Calibri" w:hAnsiTheme="minorHAnsi" w:cstheme="minorHAnsi"/>
        </w:rPr>
        <w:t xml:space="preserve">2015 to 0 percent in 2019. This result reflects estimations that the removal of the fuel subsidy </w:t>
      </w:r>
      <w:r w:rsidR="003C4E96">
        <w:rPr>
          <w:rFonts w:asciiTheme="minorHAnsi" w:eastAsia="Calibri" w:hAnsiTheme="minorHAnsi" w:cstheme="minorHAnsi"/>
        </w:rPr>
        <w:t xml:space="preserve">will </w:t>
      </w:r>
      <w:r w:rsidR="00201F0E" w:rsidRPr="00B66802">
        <w:rPr>
          <w:rFonts w:asciiTheme="minorHAnsi" w:eastAsia="Calibri" w:hAnsiTheme="minorHAnsi" w:cstheme="minorHAnsi"/>
        </w:rPr>
        <w:t>lead to savings of 0.72 percent of GDP over the programmatic DPO series, through savings of 0.46 percent of GDP in DPO1 and 0.26 percent of GDP in DPO2.</w:t>
      </w:r>
      <w:r w:rsidR="00201F0E" w:rsidRPr="00B66802">
        <w:rPr>
          <w:rStyle w:val="FootnoteReference"/>
          <w:rFonts w:asciiTheme="minorHAnsi" w:eastAsia="Calibri" w:hAnsiTheme="minorHAnsi" w:cstheme="minorHAnsi"/>
        </w:rPr>
        <w:footnoteReference w:id="40"/>
      </w:r>
      <w:r w:rsidR="00201F0E" w:rsidRPr="00B66802">
        <w:rPr>
          <w:rFonts w:asciiTheme="minorHAnsi" w:eastAsia="Calibri" w:hAnsiTheme="minorHAnsi" w:cstheme="minorHAnsi"/>
        </w:rPr>
        <w:t xml:space="preserve"> </w:t>
      </w:r>
      <w:r w:rsidR="003C4E96">
        <w:rPr>
          <w:rFonts w:asciiTheme="minorHAnsi" w:eastAsia="Calibri" w:hAnsiTheme="minorHAnsi" w:cstheme="minorHAnsi"/>
        </w:rPr>
        <w:t xml:space="preserve">This reform </w:t>
      </w:r>
      <w:r w:rsidR="003C4E96" w:rsidRPr="00DC050B">
        <w:rPr>
          <w:rFonts w:asciiTheme="minorHAnsi" w:eastAsia="Calibri" w:hAnsiTheme="minorHAnsi" w:cstheme="minorHAnsi"/>
        </w:rPr>
        <w:t>is</w:t>
      </w:r>
      <w:r w:rsidR="003C4E96" w:rsidRPr="006C66C2">
        <w:rPr>
          <w:rFonts w:asciiTheme="minorHAnsi" w:eastAsia="Calibri" w:hAnsiTheme="minorHAnsi" w:cstheme="minorHAnsi"/>
        </w:rPr>
        <w:t xml:space="preserve"> supported by ongoing World Bank TA </w:t>
      </w:r>
      <w:r w:rsidR="003C4E96">
        <w:rPr>
          <w:rFonts w:asciiTheme="minorHAnsi" w:eastAsia="Calibri" w:hAnsiTheme="minorHAnsi" w:cstheme="minorHAnsi"/>
        </w:rPr>
        <w:t>(</w:t>
      </w:r>
      <w:r w:rsidR="003C4E96" w:rsidRPr="00A20F63">
        <w:rPr>
          <w:rFonts w:asciiTheme="minorHAnsi" w:eastAsia="Calibri" w:hAnsiTheme="minorHAnsi" w:cstheme="minorHAnsi"/>
        </w:rPr>
        <w:t>P1</w:t>
      </w:r>
      <w:r w:rsidR="003C4E96">
        <w:rPr>
          <w:rFonts w:asciiTheme="minorHAnsi" w:eastAsia="Calibri" w:hAnsiTheme="minorHAnsi" w:cstheme="minorHAnsi"/>
        </w:rPr>
        <w:t>60866</w:t>
      </w:r>
      <w:r w:rsidR="003C4E96" w:rsidRPr="00A20F63">
        <w:rPr>
          <w:rFonts w:asciiTheme="minorHAnsi" w:eastAsia="Calibri" w:hAnsiTheme="minorHAnsi" w:cstheme="minorHAnsi"/>
        </w:rPr>
        <w:t>)</w:t>
      </w:r>
      <w:r w:rsidR="003C4E96">
        <w:rPr>
          <w:rFonts w:asciiTheme="minorHAnsi" w:eastAsia="Calibri" w:hAnsiTheme="minorHAnsi" w:cstheme="minorHAnsi"/>
        </w:rPr>
        <w:t xml:space="preserve"> </w:t>
      </w:r>
      <w:r w:rsidR="003C4E96" w:rsidRPr="006C66C2">
        <w:rPr>
          <w:rFonts w:asciiTheme="minorHAnsi" w:eastAsia="Calibri" w:hAnsiTheme="minorHAnsi" w:cstheme="minorHAnsi"/>
        </w:rPr>
        <w:t>on fuel subsidies removal through</w:t>
      </w:r>
      <w:r w:rsidR="003C4E96" w:rsidRPr="00A20F63">
        <w:rPr>
          <w:rFonts w:asciiTheme="minorHAnsi" w:eastAsia="Calibri" w:hAnsiTheme="minorHAnsi" w:cstheme="minorHAnsi"/>
        </w:rPr>
        <w:t xml:space="preserve"> </w:t>
      </w:r>
      <w:r w:rsidR="003C4E96">
        <w:rPr>
          <w:rFonts w:asciiTheme="minorHAnsi" w:eastAsia="Calibri" w:hAnsiTheme="minorHAnsi" w:cstheme="minorHAnsi"/>
        </w:rPr>
        <w:t xml:space="preserve">the </w:t>
      </w:r>
      <w:r w:rsidR="003C4E96" w:rsidRPr="00A20F63">
        <w:rPr>
          <w:rFonts w:asciiTheme="minorHAnsi" w:eastAsia="Calibri" w:hAnsiTheme="minorHAnsi" w:cstheme="minorHAnsi"/>
        </w:rPr>
        <w:t>E</w:t>
      </w:r>
      <w:r w:rsidR="003C4E96">
        <w:rPr>
          <w:rFonts w:asciiTheme="minorHAnsi" w:eastAsia="Calibri" w:hAnsiTheme="minorHAnsi" w:cstheme="minorHAnsi"/>
        </w:rPr>
        <w:t xml:space="preserve">nergy </w:t>
      </w:r>
      <w:r w:rsidR="003C4E96" w:rsidRPr="00A20F63">
        <w:rPr>
          <w:rFonts w:asciiTheme="minorHAnsi" w:eastAsia="Calibri" w:hAnsiTheme="minorHAnsi" w:cstheme="minorHAnsi"/>
        </w:rPr>
        <w:t>S</w:t>
      </w:r>
      <w:r w:rsidR="003C4E96">
        <w:rPr>
          <w:rFonts w:asciiTheme="minorHAnsi" w:eastAsia="Calibri" w:hAnsiTheme="minorHAnsi" w:cstheme="minorHAnsi"/>
        </w:rPr>
        <w:t xml:space="preserve">ector </w:t>
      </w:r>
      <w:r w:rsidR="003C4E96" w:rsidRPr="00A20F63">
        <w:rPr>
          <w:rFonts w:asciiTheme="minorHAnsi" w:eastAsia="Calibri" w:hAnsiTheme="minorHAnsi" w:cstheme="minorHAnsi"/>
        </w:rPr>
        <w:t>M</w:t>
      </w:r>
      <w:r w:rsidR="003C4E96">
        <w:rPr>
          <w:rFonts w:asciiTheme="minorHAnsi" w:eastAsia="Calibri" w:hAnsiTheme="minorHAnsi" w:cstheme="minorHAnsi"/>
        </w:rPr>
        <w:t xml:space="preserve">anagement </w:t>
      </w:r>
      <w:r w:rsidR="003C4E96" w:rsidRPr="00A20F63">
        <w:rPr>
          <w:rFonts w:asciiTheme="minorHAnsi" w:eastAsia="Calibri" w:hAnsiTheme="minorHAnsi" w:cstheme="minorHAnsi"/>
        </w:rPr>
        <w:t>A</w:t>
      </w:r>
      <w:r w:rsidR="003C4E96">
        <w:rPr>
          <w:rFonts w:asciiTheme="minorHAnsi" w:eastAsia="Calibri" w:hAnsiTheme="minorHAnsi" w:cstheme="minorHAnsi"/>
        </w:rPr>
        <w:t xml:space="preserve">ssistance </w:t>
      </w:r>
      <w:r w:rsidR="003C4E96" w:rsidRPr="00A20F63">
        <w:rPr>
          <w:rFonts w:asciiTheme="minorHAnsi" w:eastAsia="Calibri" w:hAnsiTheme="minorHAnsi" w:cstheme="minorHAnsi"/>
        </w:rPr>
        <w:t>P</w:t>
      </w:r>
      <w:r w:rsidR="003C4E96">
        <w:rPr>
          <w:rFonts w:asciiTheme="minorHAnsi" w:eastAsia="Calibri" w:hAnsiTheme="minorHAnsi" w:cstheme="minorHAnsi"/>
        </w:rPr>
        <w:t>rogram (ESMAP)</w:t>
      </w:r>
      <w:r>
        <w:rPr>
          <w:rFonts w:asciiTheme="minorHAnsi" w:eastAsia="Calibri" w:hAnsiTheme="minorHAnsi" w:cstheme="minorHAnsi"/>
        </w:rPr>
        <w:t>.</w:t>
      </w:r>
    </w:p>
    <w:p w14:paraId="0AC68F52" w14:textId="77777777" w:rsidR="003C4E96" w:rsidRPr="003C4E96" w:rsidRDefault="003C4E96" w:rsidP="003C4E96">
      <w:pPr>
        <w:pStyle w:val="ListParagraph"/>
        <w:rPr>
          <w:rFonts w:asciiTheme="minorHAnsi" w:eastAsia="Calibri" w:hAnsiTheme="minorHAnsi" w:cstheme="minorHAnsi"/>
        </w:rPr>
      </w:pPr>
    </w:p>
    <w:p w14:paraId="67A3580C" w14:textId="162C45F5" w:rsidR="00895FBB" w:rsidRPr="00406280" w:rsidRDefault="00927CAE" w:rsidP="00927CAE">
      <w:pPr>
        <w:pStyle w:val="ListParagraph"/>
        <w:autoSpaceDE w:val="0"/>
        <w:autoSpaceDN w:val="0"/>
        <w:adjustRightInd w:val="0"/>
        <w:spacing w:after="240" w:line="240" w:lineRule="auto"/>
        <w:ind w:left="0"/>
        <w:jc w:val="both"/>
        <w:rPr>
          <w:rFonts w:asciiTheme="minorHAnsi" w:eastAsia="Calibri" w:hAnsiTheme="minorHAnsi" w:cstheme="minorHAnsi"/>
        </w:rPr>
      </w:pPr>
      <w:r w:rsidRPr="00BD4A16">
        <w:rPr>
          <w:rFonts w:asciiTheme="minorHAnsi" w:hAnsiTheme="minorHAnsi" w:cstheme="minorHAnsi"/>
          <w:b/>
          <w:i/>
        </w:rPr>
        <w:t>Pension Contributions:</w:t>
      </w:r>
      <w:r w:rsidRPr="00DC050B">
        <w:rPr>
          <w:rFonts w:asciiTheme="minorHAnsi" w:hAnsiTheme="minorHAnsi" w:cstheme="minorHAnsi"/>
        </w:rPr>
        <w:t xml:space="preserve"> </w:t>
      </w:r>
      <w:r w:rsidR="002B0F80" w:rsidRPr="00B66802">
        <w:rPr>
          <w:rFonts w:asciiTheme="minorHAnsi" w:eastAsia="Calibri" w:hAnsiTheme="minorHAnsi" w:cstheme="minorHAnsi"/>
        </w:rPr>
        <w:t xml:space="preserve">The </w:t>
      </w:r>
      <w:r w:rsidR="00593F27" w:rsidRPr="00B66802">
        <w:rPr>
          <w:rFonts w:asciiTheme="minorHAnsi" w:eastAsia="Calibri" w:hAnsiTheme="minorHAnsi" w:cstheme="minorHAnsi"/>
        </w:rPr>
        <w:t>pensions reforms are estimated to</w:t>
      </w:r>
      <w:r w:rsidR="0028380E">
        <w:rPr>
          <w:rFonts w:asciiTheme="minorHAnsi" w:eastAsia="Calibri" w:hAnsiTheme="minorHAnsi" w:cstheme="minorHAnsi"/>
        </w:rPr>
        <w:t xml:space="preserve"> reduce </w:t>
      </w:r>
      <w:r w:rsidR="00DA0572">
        <w:rPr>
          <w:rFonts w:asciiTheme="minorHAnsi" w:eastAsia="Calibri" w:hAnsiTheme="minorHAnsi" w:cstheme="minorHAnsi"/>
        </w:rPr>
        <w:t xml:space="preserve">the transfer to the Pension Fund from 5.8 percent of expenditures in 2015 to 1.6 percent in 2019. This follows estimations that the pension reforms </w:t>
      </w:r>
      <w:r w:rsidR="00593F27" w:rsidRPr="00B66802">
        <w:rPr>
          <w:rFonts w:asciiTheme="minorHAnsi" w:eastAsia="Calibri" w:hAnsiTheme="minorHAnsi" w:cstheme="minorHAnsi"/>
        </w:rPr>
        <w:t>have cont</w:t>
      </w:r>
      <w:r w:rsidR="00593F27" w:rsidRPr="00BD4A16">
        <w:rPr>
          <w:rFonts w:asciiTheme="minorHAnsi" w:eastAsia="Calibri" w:hAnsiTheme="minorHAnsi" w:cstheme="minorHAnsi"/>
        </w:rPr>
        <w:t xml:space="preserve">ributed to savings of </w:t>
      </w:r>
      <w:r w:rsidR="00201F0E" w:rsidRPr="00DC050B">
        <w:rPr>
          <w:rFonts w:asciiTheme="minorHAnsi" w:eastAsia="Calibri" w:hAnsiTheme="minorHAnsi" w:cstheme="minorHAnsi"/>
        </w:rPr>
        <w:t>0.08 percent of GDP in the two-year programmatic DPO, with savings of 0.04 percent of GDP in DPO1 and DPO2</w:t>
      </w:r>
      <w:r w:rsidR="007E09AA" w:rsidRPr="00DC050B">
        <w:rPr>
          <w:rFonts w:asciiTheme="minorHAnsi" w:eastAsia="Calibri" w:hAnsiTheme="minorHAnsi" w:cstheme="minorHAnsi"/>
        </w:rPr>
        <w:t xml:space="preserve"> respectively</w:t>
      </w:r>
      <w:r w:rsidR="00201F0E" w:rsidRPr="00DC050B">
        <w:rPr>
          <w:rFonts w:asciiTheme="minorHAnsi" w:eastAsia="Calibri" w:hAnsiTheme="minorHAnsi" w:cstheme="minorHAnsi"/>
        </w:rPr>
        <w:t>.</w:t>
      </w:r>
      <w:r w:rsidR="00DA0572">
        <w:rPr>
          <w:rFonts w:asciiTheme="minorHAnsi" w:eastAsia="Calibri" w:hAnsiTheme="minorHAnsi" w:cstheme="minorHAnsi"/>
        </w:rPr>
        <w:t xml:space="preserve"> These reforms have been supported by</w:t>
      </w:r>
      <w:r w:rsidR="00351AC6" w:rsidRPr="00A20F63">
        <w:rPr>
          <w:rFonts w:asciiTheme="minorHAnsi" w:eastAsia="Calibri" w:hAnsiTheme="minorHAnsi" w:cstheme="minorHAnsi"/>
        </w:rPr>
        <w:t xml:space="preserve"> </w:t>
      </w:r>
      <w:r w:rsidR="00A00B56" w:rsidRPr="00A20F63">
        <w:rPr>
          <w:rFonts w:asciiTheme="minorHAnsi" w:eastAsia="Calibri" w:hAnsiTheme="minorHAnsi" w:cstheme="minorHAnsi"/>
        </w:rPr>
        <w:t>analytical work on pensions parametric reforms and TA on pension projections</w:t>
      </w:r>
      <w:r w:rsidR="00895FBB" w:rsidRPr="00A20F63">
        <w:rPr>
          <w:rFonts w:asciiTheme="minorHAnsi" w:hAnsiTheme="minorHAnsi" w:cstheme="minorHAnsi"/>
        </w:rPr>
        <w:t>.</w:t>
      </w:r>
      <w:r w:rsidR="00A74A6C" w:rsidRPr="00A20F63">
        <w:rPr>
          <w:rFonts w:asciiTheme="minorHAnsi" w:hAnsiTheme="minorHAnsi" w:cstheme="minorHAnsi"/>
        </w:rPr>
        <w:t xml:space="preserve"> </w:t>
      </w:r>
    </w:p>
    <w:p w14:paraId="0075B50E" w14:textId="5864B462" w:rsidR="00E818FC" w:rsidRPr="00406280" w:rsidRDefault="00E818FC" w:rsidP="00E818FC">
      <w:pPr>
        <w:spacing w:after="0" w:line="240" w:lineRule="auto"/>
        <w:rPr>
          <w:rFonts w:asciiTheme="minorHAnsi" w:hAnsiTheme="minorHAnsi" w:cstheme="minorHAnsi"/>
          <w:b/>
          <w:i/>
          <w:lang w:eastAsia="ja-JP"/>
        </w:rPr>
      </w:pPr>
      <w:r w:rsidRPr="00406280">
        <w:rPr>
          <w:rFonts w:asciiTheme="minorHAnsi" w:hAnsiTheme="minorHAnsi" w:cstheme="minorHAnsi"/>
          <w:b/>
          <w:i/>
          <w:lang w:eastAsia="ja-JP"/>
        </w:rPr>
        <w:t xml:space="preserve">Strengthening </w:t>
      </w:r>
      <w:r w:rsidR="00FF50C0">
        <w:rPr>
          <w:rFonts w:asciiTheme="minorHAnsi" w:hAnsiTheme="minorHAnsi" w:cstheme="minorHAnsi"/>
          <w:b/>
          <w:i/>
          <w:lang w:eastAsia="ja-JP"/>
        </w:rPr>
        <w:t xml:space="preserve">Public Investment Management  </w:t>
      </w:r>
    </w:p>
    <w:p w14:paraId="3EAF94C1" w14:textId="77777777" w:rsidR="00E818FC" w:rsidRPr="00406280" w:rsidRDefault="00E818FC" w:rsidP="00E818FC">
      <w:pPr>
        <w:spacing w:after="0" w:line="240" w:lineRule="auto"/>
        <w:rPr>
          <w:rFonts w:asciiTheme="minorHAnsi" w:hAnsiTheme="minorHAnsi" w:cstheme="minorHAnsi"/>
          <w:b/>
          <w:i/>
          <w:lang w:eastAsia="ja-JP"/>
        </w:rPr>
      </w:pPr>
    </w:p>
    <w:p w14:paraId="1350869B" w14:textId="0CB184EF" w:rsidR="00774D92" w:rsidRPr="00A46F16" w:rsidRDefault="003D41F6" w:rsidP="00136BFE">
      <w:pPr>
        <w:pStyle w:val="ListParagraph"/>
        <w:numPr>
          <w:ilvl w:val="0"/>
          <w:numId w:val="44"/>
        </w:numPr>
        <w:tabs>
          <w:tab w:val="clear" w:pos="360"/>
        </w:tabs>
        <w:spacing w:after="0" w:line="240" w:lineRule="auto"/>
        <w:ind w:left="0" w:firstLine="0"/>
        <w:jc w:val="both"/>
        <w:rPr>
          <w:rFonts w:asciiTheme="minorHAnsi" w:hAnsiTheme="minorHAnsi" w:cstheme="minorHAnsi"/>
          <w:lang w:eastAsia="ja-JP"/>
        </w:rPr>
      </w:pPr>
      <w:r w:rsidRPr="00601B29">
        <w:rPr>
          <w:rFonts w:asciiTheme="minorHAnsi" w:hAnsiTheme="minorHAnsi" w:cstheme="minorHAnsi"/>
          <w:b/>
          <w:lang w:eastAsia="ja-JP"/>
        </w:rPr>
        <w:t>Rationale</w:t>
      </w:r>
      <w:r w:rsidR="005371C7" w:rsidRPr="0085470E">
        <w:rPr>
          <w:rFonts w:asciiTheme="minorHAnsi" w:hAnsiTheme="minorHAnsi" w:cstheme="minorHAnsi"/>
          <w:b/>
          <w:lang w:eastAsia="ja-JP"/>
        </w:rPr>
        <w:t xml:space="preserve">. </w:t>
      </w:r>
      <w:r w:rsidR="009067F7" w:rsidRPr="0085470E">
        <w:rPr>
          <w:rFonts w:asciiTheme="minorHAnsi" w:hAnsiTheme="minorHAnsi" w:cstheme="minorHAnsi"/>
          <w:lang w:eastAsia="ja-JP"/>
        </w:rPr>
        <w:t xml:space="preserve">The Government plans to use </w:t>
      </w:r>
      <w:r w:rsidR="009067F7" w:rsidRPr="0085470E">
        <w:rPr>
          <w:rFonts w:asciiTheme="minorHAnsi" w:hAnsiTheme="minorHAnsi" w:cstheme="minorHAnsi"/>
        </w:rPr>
        <w:t xml:space="preserve">PPP agreements to scale up public </w:t>
      </w:r>
      <w:r w:rsidR="0096688E" w:rsidRPr="00A46F16">
        <w:rPr>
          <w:rFonts w:asciiTheme="minorHAnsi" w:hAnsiTheme="minorHAnsi" w:cstheme="minorHAnsi"/>
        </w:rPr>
        <w:t xml:space="preserve">capital </w:t>
      </w:r>
      <w:r w:rsidR="009067F7" w:rsidRPr="00A46F16">
        <w:rPr>
          <w:rFonts w:asciiTheme="minorHAnsi" w:hAnsiTheme="minorHAnsi" w:cstheme="minorHAnsi"/>
        </w:rPr>
        <w:t xml:space="preserve">investments, but needs to develop </w:t>
      </w:r>
      <w:r w:rsidR="009067F7" w:rsidRPr="00805BA2">
        <w:rPr>
          <w:rFonts w:asciiTheme="minorHAnsi" w:hAnsiTheme="minorHAnsi" w:cstheme="minorHAnsi"/>
        </w:rPr>
        <w:t xml:space="preserve">an appropriate institutional framework. </w:t>
      </w:r>
      <w:r w:rsidR="00774D92" w:rsidRPr="00805BA2">
        <w:rPr>
          <w:rFonts w:asciiTheme="minorHAnsi" w:hAnsiTheme="minorHAnsi" w:cstheme="minorHAnsi"/>
          <w:lang w:eastAsia="ja-JP"/>
        </w:rPr>
        <w:t>T</w:t>
      </w:r>
      <w:r w:rsidR="005371C7" w:rsidRPr="00805BA2">
        <w:rPr>
          <w:rFonts w:asciiTheme="minorHAnsi" w:hAnsiTheme="minorHAnsi" w:cstheme="minorHAnsi"/>
          <w:lang w:eastAsia="ja-JP"/>
        </w:rPr>
        <w:t xml:space="preserve">he Government is </w:t>
      </w:r>
      <w:r w:rsidR="009067F7" w:rsidRPr="00805BA2">
        <w:rPr>
          <w:rFonts w:asciiTheme="minorHAnsi" w:hAnsiTheme="minorHAnsi" w:cstheme="minorHAnsi"/>
          <w:lang w:eastAsia="ja-JP"/>
        </w:rPr>
        <w:t xml:space="preserve">also </w:t>
      </w:r>
      <w:r w:rsidR="005371C7" w:rsidRPr="00805BA2">
        <w:rPr>
          <w:rFonts w:asciiTheme="minorHAnsi" w:hAnsiTheme="minorHAnsi" w:cstheme="minorHAnsi"/>
          <w:lang w:eastAsia="ja-JP"/>
        </w:rPr>
        <w:t>planning to scale-</w:t>
      </w:r>
      <w:r w:rsidR="005371C7" w:rsidRPr="00805BA2">
        <w:rPr>
          <w:rFonts w:asciiTheme="minorHAnsi" w:hAnsiTheme="minorHAnsi" w:cstheme="minorHAnsi"/>
          <w:lang w:eastAsia="ja-JP"/>
        </w:rPr>
        <w:lastRenderedPageBreak/>
        <w:t>up public</w:t>
      </w:r>
      <w:r w:rsidR="00A528C0" w:rsidRPr="00805BA2">
        <w:rPr>
          <w:rFonts w:asciiTheme="minorHAnsi" w:hAnsiTheme="minorHAnsi" w:cstheme="minorHAnsi"/>
          <w:lang w:eastAsia="ja-JP"/>
        </w:rPr>
        <w:t xml:space="preserve"> capital spending</w:t>
      </w:r>
      <w:r w:rsidR="005371C7" w:rsidRPr="00051ABB">
        <w:rPr>
          <w:rFonts w:asciiTheme="minorHAnsi" w:hAnsiTheme="minorHAnsi" w:cstheme="minorHAnsi"/>
          <w:lang w:eastAsia="ja-JP"/>
        </w:rPr>
        <w:t xml:space="preserve">, from </w:t>
      </w:r>
      <w:r w:rsidR="00606DA3" w:rsidRPr="00051ABB">
        <w:rPr>
          <w:rFonts w:asciiTheme="minorHAnsi" w:hAnsiTheme="minorHAnsi" w:cstheme="minorHAnsi"/>
          <w:lang w:eastAsia="ja-JP"/>
        </w:rPr>
        <w:t>3.5 percent of GDP in 2015 to 10.5 percent of GDP in 2019</w:t>
      </w:r>
      <w:r w:rsidR="00BB6E61" w:rsidRPr="00051ABB">
        <w:rPr>
          <w:rFonts w:asciiTheme="minorHAnsi" w:hAnsiTheme="minorHAnsi" w:cstheme="minorHAnsi"/>
          <w:lang w:eastAsia="ja-JP"/>
        </w:rPr>
        <w:t xml:space="preserve"> (see </w:t>
      </w:r>
      <w:r w:rsidR="00A46F16">
        <w:rPr>
          <w:rFonts w:asciiTheme="minorHAnsi" w:hAnsiTheme="minorHAnsi" w:cstheme="minorHAnsi"/>
          <w:lang w:eastAsia="ja-JP"/>
        </w:rPr>
        <w:t>T</w:t>
      </w:r>
      <w:r w:rsidR="00BB6E61" w:rsidRPr="00A46F16">
        <w:rPr>
          <w:rFonts w:asciiTheme="minorHAnsi" w:hAnsiTheme="minorHAnsi" w:cstheme="minorHAnsi"/>
          <w:lang w:eastAsia="ja-JP"/>
        </w:rPr>
        <w:t>able 3)</w:t>
      </w:r>
      <w:r w:rsidR="00A6721C" w:rsidRPr="00A46F16">
        <w:rPr>
          <w:rFonts w:asciiTheme="minorHAnsi" w:hAnsiTheme="minorHAnsi" w:cstheme="minorHAnsi"/>
          <w:lang w:eastAsia="ja-JP"/>
        </w:rPr>
        <w:t xml:space="preserve">. </w:t>
      </w:r>
      <w:r w:rsidR="00774D92" w:rsidRPr="00A46F16">
        <w:rPr>
          <w:rFonts w:asciiTheme="minorHAnsi" w:hAnsiTheme="minorHAnsi" w:cstheme="minorHAnsi"/>
          <w:lang w:eastAsia="ja-JP"/>
        </w:rPr>
        <w:t xml:space="preserve">As highlighted in the joint IMF-WB PIM Assessment, PIM implementation capacity is weak, including the poor prioritization of projects. </w:t>
      </w:r>
    </w:p>
    <w:p w14:paraId="7205C3E7" w14:textId="77777777" w:rsidR="00913393" w:rsidRPr="00A46F16" w:rsidRDefault="00913393" w:rsidP="00913393">
      <w:pPr>
        <w:tabs>
          <w:tab w:val="num" w:pos="450"/>
          <w:tab w:val="num" w:pos="630"/>
        </w:tabs>
        <w:spacing w:after="0" w:line="240" w:lineRule="auto"/>
        <w:jc w:val="both"/>
        <w:rPr>
          <w:rFonts w:asciiTheme="minorHAnsi" w:hAnsiTheme="minorHAnsi" w:cstheme="minorHAnsi"/>
          <w:lang w:eastAsia="ja-JP"/>
        </w:rPr>
      </w:pPr>
    </w:p>
    <w:p w14:paraId="62395F3D" w14:textId="0F747569" w:rsidR="00B64C21" w:rsidRPr="00B66802" w:rsidRDefault="005A54E3" w:rsidP="00136BFE">
      <w:pPr>
        <w:pStyle w:val="ListParagraph"/>
        <w:numPr>
          <w:ilvl w:val="0"/>
          <w:numId w:val="44"/>
        </w:numPr>
        <w:tabs>
          <w:tab w:val="clear" w:pos="360"/>
        </w:tabs>
        <w:spacing w:after="0" w:line="240" w:lineRule="auto"/>
        <w:ind w:left="0" w:firstLine="0"/>
        <w:jc w:val="both"/>
        <w:rPr>
          <w:rFonts w:asciiTheme="minorHAnsi" w:hAnsiTheme="minorHAnsi" w:cstheme="minorHAnsi"/>
          <w:lang w:eastAsia="ja-JP"/>
        </w:rPr>
      </w:pPr>
      <w:r w:rsidRPr="00A46F16">
        <w:rPr>
          <w:rFonts w:asciiTheme="minorHAnsi" w:hAnsiTheme="minorHAnsi" w:cstheme="minorHAnsi"/>
          <w:b/>
          <w:lang w:eastAsia="ja-JP"/>
        </w:rPr>
        <w:t>Reforms.</w:t>
      </w:r>
      <w:r w:rsidRPr="00805BA2">
        <w:rPr>
          <w:rFonts w:asciiTheme="minorHAnsi" w:hAnsiTheme="minorHAnsi" w:cstheme="minorHAnsi"/>
          <w:lang w:eastAsia="ja-JP"/>
        </w:rPr>
        <w:t xml:space="preserve"> </w:t>
      </w:r>
      <w:r w:rsidR="00B85D93" w:rsidRPr="00805BA2">
        <w:rPr>
          <w:rFonts w:asciiTheme="minorHAnsi" w:hAnsiTheme="minorHAnsi" w:cstheme="minorHAnsi"/>
          <w:lang w:eastAsia="ja-JP"/>
        </w:rPr>
        <w:t>This programmatic DPO series supports both</w:t>
      </w:r>
      <w:r w:rsidR="009067F7" w:rsidRPr="00805BA2">
        <w:rPr>
          <w:rFonts w:asciiTheme="minorHAnsi" w:hAnsiTheme="minorHAnsi" w:cstheme="minorHAnsi"/>
          <w:lang w:eastAsia="ja-JP"/>
        </w:rPr>
        <w:t xml:space="preserve"> the</w:t>
      </w:r>
      <w:r w:rsidR="00B85D93" w:rsidRPr="00805BA2">
        <w:rPr>
          <w:rFonts w:asciiTheme="minorHAnsi" w:hAnsiTheme="minorHAnsi" w:cstheme="minorHAnsi"/>
          <w:lang w:eastAsia="ja-JP"/>
        </w:rPr>
        <w:t xml:space="preserve"> </w:t>
      </w:r>
      <w:r w:rsidR="009067F7" w:rsidRPr="00805BA2">
        <w:rPr>
          <w:rFonts w:asciiTheme="minorHAnsi" w:hAnsiTheme="minorHAnsi" w:cstheme="minorHAnsi"/>
          <w:lang w:eastAsia="ja-JP"/>
        </w:rPr>
        <w:t xml:space="preserve">strengthening of the institutional framework for PPPs and </w:t>
      </w:r>
      <w:r w:rsidR="00B85D93" w:rsidRPr="00051ABB">
        <w:rPr>
          <w:rFonts w:asciiTheme="minorHAnsi" w:hAnsiTheme="minorHAnsi" w:cstheme="minorHAnsi"/>
          <w:lang w:eastAsia="ja-JP"/>
        </w:rPr>
        <w:t xml:space="preserve">PIM capacity </w:t>
      </w:r>
      <w:r w:rsidR="009067F7" w:rsidRPr="00051ABB">
        <w:rPr>
          <w:rFonts w:asciiTheme="minorHAnsi" w:hAnsiTheme="minorHAnsi" w:cstheme="minorHAnsi"/>
          <w:lang w:eastAsia="ja-JP"/>
        </w:rPr>
        <w:t>for domestically financed projects</w:t>
      </w:r>
      <w:r w:rsidR="00B85D93" w:rsidRPr="00051ABB">
        <w:rPr>
          <w:rFonts w:asciiTheme="minorHAnsi" w:hAnsiTheme="minorHAnsi" w:cstheme="minorHAnsi"/>
          <w:lang w:eastAsia="ja-JP"/>
        </w:rPr>
        <w:t xml:space="preserve">. </w:t>
      </w:r>
      <w:r w:rsidR="00C957D1" w:rsidRPr="000C77CE">
        <w:rPr>
          <w:rFonts w:asciiTheme="minorHAnsi" w:hAnsiTheme="minorHAnsi" w:cstheme="minorHAnsi"/>
          <w:lang w:eastAsia="ja-JP"/>
        </w:rPr>
        <w:t xml:space="preserve">In DPO2 the reform </w:t>
      </w:r>
      <w:r w:rsidR="00FC5401" w:rsidRPr="000C77CE">
        <w:rPr>
          <w:rFonts w:asciiTheme="minorHAnsi" w:hAnsiTheme="minorHAnsi" w:cstheme="minorHAnsi"/>
          <w:lang w:eastAsia="ja-JP"/>
        </w:rPr>
        <w:t xml:space="preserve">supports </w:t>
      </w:r>
      <w:r w:rsidR="00C957D1" w:rsidRPr="000C77CE">
        <w:rPr>
          <w:rFonts w:asciiTheme="minorHAnsi" w:hAnsiTheme="minorHAnsi" w:cstheme="minorHAnsi"/>
          <w:lang w:eastAsia="ja-JP"/>
        </w:rPr>
        <w:t>the publication of application decrees to ensure the</w:t>
      </w:r>
      <w:r w:rsidR="00FE374A" w:rsidRPr="00E36113">
        <w:rPr>
          <w:rFonts w:asciiTheme="minorHAnsi" w:hAnsiTheme="minorHAnsi" w:cstheme="minorHAnsi"/>
          <w:lang w:eastAsia="ja-JP"/>
        </w:rPr>
        <w:t xml:space="preserve"> PPP</w:t>
      </w:r>
      <w:r w:rsidR="00C957D1" w:rsidRPr="00E36113">
        <w:rPr>
          <w:rFonts w:asciiTheme="minorHAnsi" w:hAnsiTheme="minorHAnsi" w:cstheme="minorHAnsi"/>
          <w:lang w:eastAsia="ja-JP"/>
        </w:rPr>
        <w:t xml:space="preserve"> law is applied</w:t>
      </w:r>
      <w:r w:rsidR="005B7205" w:rsidRPr="00E36113">
        <w:rPr>
          <w:rFonts w:asciiTheme="minorHAnsi" w:hAnsiTheme="minorHAnsi" w:cstheme="minorHAnsi"/>
          <w:lang w:eastAsia="ja-JP"/>
        </w:rPr>
        <w:t xml:space="preserve"> to all new PPP contracts</w:t>
      </w:r>
      <w:r w:rsidR="00C957D1" w:rsidRPr="00E36113">
        <w:rPr>
          <w:rFonts w:asciiTheme="minorHAnsi" w:hAnsiTheme="minorHAnsi" w:cstheme="minorHAnsi"/>
          <w:lang w:eastAsia="ja-JP"/>
        </w:rPr>
        <w:t xml:space="preserve">. </w:t>
      </w:r>
      <w:r w:rsidR="005B7205" w:rsidRPr="00E36113">
        <w:rPr>
          <w:rFonts w:asciiTheme="minorHAnsi" w:hAnsiTheme="minorHAnsi" w:cstheme="minorHAnsi"/>
          <w:lang w:eastAsia="ja-JP"/>
        </w:rPr>
        <w:t xml:space="preserve">This measure is supported by the Ministry in Charge of Presidential Projects </w:t>
      </w:r>
      <w:r w:rsidR="005B7205" w:rsidRPr="00A20F63">
        <w:rPr>
          <w:rFonts w:asciiTheme="minorHAnsi" w:hAnsiTheme="minorHAnsi" w:cstheme="minorHAnsi"/>
          <w:lang w:eastAsia="ja-JP"/>
        </w:rPr>
        <w:t xml:space="preserve">and a new PPP unit in the MFB. </w:t>
      </w:r>
      <w:r w:rsidR="00C957D1" w:rsidRPr="00A20F63">
        <w:rPr>
          <w:rFonts w:asciiTheme="minorHAnsi" w:hAnsiTheme="minorHAnsi" w:cstheme="minorHAnsi"/>
          <w:lang w:eastAsia="ja-JP"/>
        </w:rPr>
        <w:t xml:space="preserve">In addition, there are two PPP decrees which </w:t>
      </w:r>
      <w:r w:rsidR="009067F7" w:rsidRPr="00A20F63">
        <w:rPr>
          <w:rFonts w:asciiTheme="minorHAnsi" w:hAnsiTheme="minorHAnsi" w:cstheme="minorHAnsi"/>
          <w:lang w:eastAsia="ja-JP"/>
        </w:rPr>
        <w:t>specify exceptions to the PPP law, and will be approved once the</w:t>
      </w:r>
      <w:r w:rsidR="00C957D1" w:rsidRPr="00A20F63">
        <w:rPr>
          <w:rFonts w:asciiTheme="minorHAnsi" w:hAnsiTheme="minorHAnsi" w:cstheme="minorHAnsi"/>
          <w:lang w:eastAsia="ja-JP"/>
        </w:rPr>
        <w:t xml:space="preserve"> PPP framework is operationalized. </w:t>
      </w:r>
      <w:r w:rsidR="009067F7" w:rsidRPr="00A20F63">
        <w:rPr>
          <w:rFonts w:asciiTheme="minorHAnsi" w:hAnsiTheme="minorHAnsi" w:cstheme="minorHAnsi"/>
          <w:lang w:eastAsia="ja-JP"/>
        </w:rPr>
        <w:t>T</w:t>
      </w:r>
      <w:r w:rsidR="00C957D1" w:rsidRPr="00A20F63">
        <w:rPr>
          <w:rFonts w:asciiTheme="minorHAnsi" w:hAnsiTheme="minorHAnsi" w:cstheme="minorHAnsi"/>
          <w:lang w:eastAsia="ja-JP"/>
        </w:rPr>
        <w:t xml:space="preserve">he reforms under </w:t>
      </w:r>
      <w:r w:rsidR="00EB2F13" w:rsidRPr="00A20F63">
        <w:rPr>
          <w:rFonts w:asciiTheme="minorHAnsi" w:hAnsiTheme="minorHAnsi" w:cstheme="minorHAnsi"/>
          <w:lang w:eastAsia="ja-JP"/>
        </w:rPr>
        <w:t>D</w:t>
      </w:r>
      <w:r w:rsidR="00C957D1" w:rsidRPr="00A20F63">
        <w:rPr>
          <w:rFonts w:asciiTheme="minorHAnsi" w:hAnsiTheme="minorHAnsi" w:cstheme="minorHAnsi"/>
          <w:lang w:eastAsia="ja-JP"/>
        </w:rPr>
        <w:t>PO2 seek</w:t>
      </w:r>
      <w:r w:rsidR="00EB2F13" w:rsidRPr="00A20F63">
        <w:rPr>
          <w:rFonts w:asciiTheme="minorHAnsi" w:hAnsiTheme="minorHAnsi" w:cstheme="minorHAnsi"/>
          <w:lang w:eastAsia="ja-JP"/>
        </w:rPr>
        <w:t xml:space="preserve"> to ensure that </w:t>
      </w:r>
      <w:r w:rsidR="00C957D1" w:rsidRPr="00A20F63">
        <w:rPr>
          <w:rFonts w:asciiTheme="minorHAnsi" w:hAnsiTheme="minorHAnsi" w:cstheme="minorHAnsi"/>
          <w:lang w:eastAsia="ja-JP"/>
        </w:rPr>
        <w:t>all large domestically financed projects are subject to a</w:t>
      </w:r>
      <w:r w:rsidR="0057351B" w:rsidRPr="00A20F63">
        <w:rPr>
          <w:rFonts w:asciiTheme="minorHAnsi" w:hAnsiTheme="minorHAnsi" w:cstheme="minorHAnsi"/>
          <w:lang w:eastAsia="ja-JP"/>
        </w:rPr>
        <w:t xml:space="preserve"> </w:t>
      </w:r>
      <w:r w:rsidR="00C957D1" w:rsidRPr="00A20F63">
        <w:rPr>
          <w:rFonts w:asciiTheme="minorHAnsi" w:hAnsiTheme="minorHAnsi" w:cstheme="minorHAnsi"/>
          <w:lang w:eastAsia="ja-JP"/>
        </w:rPr>
        <w:t>n</w:t>
      </w:r>
      <w:r w:rsidR="0057351B" w:rsidRPr="00A20F63">
        <w:rPr>
          <w:rFonts w:asciiTheme="minorHAnsi" w:hAnsiTheme="minorHAnsi" w:cstheme="minorHAnsi"/>
          <w:lang w:eastAsia="ja-JP"/>
        </w:rPr>
        <w:t>ew</w:t>
      </w:r>
      <w:r w:rsidR="00C957D1" w:rsidRPr="00A20F63">
        <w:rPr>
          <w:rFonts w:asciiTheme="minorHAnsi" w:hAnsiTheme="minorHAnsi" w:cstheme="minorHAnsi"/>
          <w:lang w:eastAsia="ja-JP"/>
        </w:rPr>
        <w:t xml:space="preserve"> appraisal procedure</w:t>
      </w:r>
      <w:r w:rsidR="00ED18DA" w:rsidRPr="00A20F63">
        <w:rPr>
          <w:rFonts w:asciiTheme="minorHAnsi" w:hAnsiTheme="minorHAnsi" w:cstheme="minorHAnsi"/>
          <w:lang w:eastAsia="ja-JP"/>
        </w:rPr>
        <w:t xml:space="preserve"> that ensures the project supports the NDP</w:t>
      </w:r>
      <w:r w:rsidR="0079081D" w:rsidRPr="00406280">
        <w:rPr>
          <w:rFonts w:asciiTheme="minorHAnsi" w:hAnsiTheme="minorHAnsi" w:cstheme="minorHAnsi"/>
          <w:lang w:eastAsia="ja-JP"/>
        </w:rPr>
        <w:t>, and is formalized through the budget process.</w:t>
      </w:r>
      <w:r w:rsidR="00685C7B" w:rsidRPr="00B66802">
        <w:rPr>
          <w:rStyle w:val="FootnoteReference"/>
          <w:rFonts w:asciiTheme="minorHAnsi" w:hAnsiTheme="minorHAnsi" w:cstheme="minorHAnsi"/>
          <w:lang w:eastAsia="ja-JP"/>
        </w:rPr>
        <w:footnoteReference w:id="41"/>
      </w:r>
      <w:r w:rsidR="009067F7" w:rsidRPr="00B66802">
        <w:rPr>
          <w:rFonts w:asciiTheme="minorHAnsi" w:hAnsiTheme="minorHAnsi" w:cstheme="minorHAnsi"/>
          <w:lang w:eastAsia="ja-JP"/>
        </w:rPr>
        <w:t xml:space="preserve"> </w:t>
      </w:r>
    </w:p>
    <w:p w14:paraId="4E079DC5" w14:textId="77777777" w:rsidR="00B64C21" w:rsidRPr="00BD4A16" w:rsidRDefault="00B64C21" w:rsidP="00E135A8">
      <w:pPr>
        <w:pStyle w:val="ListParagraph"/>
        <w:tabs>
          <w:tab w:val="num" w:pos="630"/>
          <w:tab w:val="num" w:pos="990"/>
        </w:tabs>
        <w:spacing w:after="0" w:line="240" w:lineRule="auto"/>
        <w:ind w:left="0"/>
        <w:jc w:val="both"/>
        <w:rPr>
          <w:rFonts w:asciiTheme="minorHAnsi" w:hAnsiTheme="minorHAnsi" w:cstheme="minorHAnsi"/>
          <w:lang w:eastAsia="ja-JP"/>
        </w:rPr>
      </w:pPr>
    </w:p>
    <w:p w14:paraId="2E740683" w14:textId="5B204BD8" w:rsidR="007B1BE8" w:rsidRPr="00136BFE" w:rsidRDefault="009D2668" w:rsidP="007B1BE8">
      <w:pPr>
        <w:pStyle w:val="ListParagraph"/>
        <w:numPr>
          <w:ilvl w:val="0"/>
          <w:numId w:val="23"/>
        </w:numPr>
        <w:spacing w:after="0" w:line="240" w:lineRule="auto"/>
        <w:jc w:val="both"/>
        <w:rPr>
          <w:rFonts w:asciiTheme="minorHAnsi" w:hAnsiTheme="minorHAnsi" w:cstheme="minorHAnsi"/>
          <w:bCs/>
          <w:iCs/>
          <w:lang w:val="fr-FR"/>
        </w:rPr>
      </w:pPr>
      <w:r w:rsidRPr="00DC050B">
        <w:rPr>
          <w:rFonts w:asciiTheme="minorHAnsi" w:hAnsiTheme="minorHAnsi" w:cstheme="minorHAnsi"/>
          <w:b/>
          <w:i/>
          <w:lang w:val="fr-FR"/>
        </w:rPr>
        <w:t xml:space="preserve">Prior action </w:t>
      </w:r>
      <w:r w:rsidRPr="00DC050B">
        <w:rPr>
          <w:rFonts w:asciiTheme="minorHAnsi" w:hAnsiTheme="minorHAnsi" w:cstheme="minorHAnsi"/>
          <w:b/>
          <w:lang w:val="fr-FR"/>
        </w:rPr>
        <w:t xml:space="preserve">5: </w:t>
      </w:r>
      <w:r w:rsidR="007B1BE8" w:rsidRPr="00136BFE">
        <w:rPr>
          <w:rFonts w:asciiTheme="minorHAnsi" w:hAnsiTheme="minorHAnsi" w:cstheme="minorHAnsi"/>
          <w:bCs/>
          <w:iCs/>
          <w:lang w:val="fr-FR"/>
        </w:rPr>
        <w:t>The Recipient has adopted application decrees to give effect to the PPP Law:</w:t>
      </w:r>
      <w:r w:rsidR="007B1BE8" w:rsidRPr="00136BFE">
        <w:rPr>
          <w:rFonts w:asciiTheme="minorHAnsi" w:hAnsiTheme="minorHAnsi" w:cstheme="minorHAnsi"/>
          <w:bCs/>
          <w:i/>
          <w:iCs/>
          <w:lang w:val="fr-FR"/>
        </w:rPr>
        <w:t xml:space="preserve"> Décret No. 2017-150 du 2 mars 2017 relatif au cadre institutionnel and Décret No.2017-149 du 2 mars 2017 relatif au</w:t>
      </w:r>
      <w:r w:rsidR="00D67BC0" w:rsidRPr="00136BFE">
        <w:rPr>
          <w:rFonts w:asciiTheme="minorHAnsi" w:hAnsiTheme="minorHAnsi" w:cstheme="minorHAnsi"/>
          <w:bCs/>
          <w:i/>
          <w:iCs/>
          <w:lang w:val="fr-FR"/>
        </w:rPr>
        <w:t>x</w:t>
      </w:r>
      <w:r w:rsidR="007B1BE8" w:rsidRPr="00136BFE">
        <w:rPr>
          <w:rFonts w:asciiTheme="minorHAnsi" w:hAnsiTheme="minorHAnsi" w:cstheme="minorHAnsi"/>
          <w:bCs/>
          <w:i/>
          <w:iCs/>
          <w:lang w:val="fr-FR"/>
        </w:rPr>
        <w:t xml:space="preserve"> modalités d’application des dispositions concernant la passation des contrats de partenariat public-privé</w:t>
      </w:r>
      <w:r w:rsidR="0094392C" w:rsidRPr="00B66802">
        <w:rPr>
          <w:rFonts w:asciiTheme="minorHAnsi" w:hAnsiTheme="minorHAnsi" w:cstheme="minorHAnsi"/>
          <w:i/>
          <w:lang w:val="fr-FR"/>
        </w:rPr>
        <w:t>.</w:t>
      </w:r>
      <w:r w:rsidR="00F91B45" w:rsidRPr="00B66802">
        <w:rPr>
          <w:rStyle w:val="FootnoteReference"/>
          <w:rFonts w:asciiTheme="minorHAnsi" w:hAnsiTheme="minorHAnsi" w:cstheme="minorHAnsi"/>
          <w:i/>
          <w:lang w:val="fr-FR"/>
        </w:rPr>
        <w:footnoteReference w:id="42"/>
      </w:r>
      <w:r w:rsidR="0094392C" w:rsidRPr="00B66802">
        <w:rPr>
          <w:rFonts w:asciiTheme="minorHAnsi" w:hAnsiTheme="minorHAnsi" w:cstheme="minorHAnsi"/>
          <w:i/>
          <w:lang w:val="fr-FR"/>
        </w:rPr>
        <w:t xml:space="preserve"> </w:t>
      </w:r>
    </w:p>
    <w:p w14:paraId="0474E0DB" w14:textId="325885CF" w:rsidR="007B1BE8" w:rsidRPr="00136BFE" w:rsidRDefault="003633AF" w:rsidP="007B1BE8">
      <w:pPr>
        <w:pStyle w:val="ListParagraph"/>
        <w:numPr>
          <w:ilvl w:val="0"/>
          <w:numId w:val="23"/>
        </w:numPr>
        <w:spacing w:after="0" w:line="240" w:lineRule="auto"/>
        <w:jc w:val="both"/>
        <w:rPr>
          <w:rFonts w:asciiTheme="minorHAnsi" w:hAnsiTheme="minorHAnsi" w:cstheme="minorHAnsi"/>
          <w:bCs/>
          <w:iCs/>
        </w:rPr>
      </w:pPr>
      <w:r w:rsidRPr="00B66802">
        <w:rPr>
          <w:rFonts w:asciiTheme="minorHAnsi" w:hAnsiTheme="minorHAnsi" w:cstheme="minorHAnsi"/>
          <w:b/>
          <w:i/>
        </w:rPr>
        <w:t xml:space="preserve">Prior action </w:t>
      </w:r>
      <w:r w:rsidR="006B56D0" w:rsidRPr="00B66802">
        <w:rPr>
          <w:rFonts w:asciiTheme="minorHAnsi" w:hAnsiTheme="minorHAnsi" w:cstheme="minorHAnsi"/>
          <w:b/>
        </w:rPr>
        <w:t xml:space="preserve">6: </w:t>
      </w:r>
      <w:r w:rsidR="007B1BE8" w:rsidRPr="00136BFE">
        <w:rPr>
          <w:rFonts w:asciiTheme="minorHAnsi" w:hAnsiTheme="minorHAnsi" w:cstheme="minorHAnsi"/>
        </w:rPr>
        <w:t xml:space="preserve">The Recipient has issued a </w:t>
      </w:r>
      <w:r w:rsidR="007B1BE8" w:rsidRPr="00136BFE">
        <w:rPr>
          <w:rFonts w:asciiTheme="minorHAnsi" w:hAnsiTheme="minorHAnsi" w:cstheme="minorHAnsi"/>
          <w:i/>
          <w:iCs/>
        </w:rPr>
        <w:t xml:space="preserve">Circulaire relative à la preparation des projets du Programme d’Investissement Public 2018-2020, Tranche 2018 (sur financement intérieur) N. 007-MFB/SG/DGB du 30 juin 2017 </w:t>
      </w:r>
      <w:r w:rsidR="007B1BE8" w:rsidRPr="00136BFE">
        <w:rPr>
          <w:rFonts w:asciiTheme="minorHAnsi" w:hAnsiTheme="minorHAnsi" w:cstheme="minorHAnsi"/>
        </w:rPr>
        <w:t xml:space="preserve">to improve the selection process of domestically-financed investment projects through standardizing selection criteria and screening of all project proposals with pre-defined parameters, in line with the </w:t>
      </w:r>
      <w:r w:rsidR="00A20F63">
        <w:rPr>
          <w:rFonts w:asciiTheme="minorHAnsi" w:hAnsiTheme="minorHAnsi" w:cstheme="minorHAnsi"/>
        </w:rPr>
        <w:t>NDP</w:t>
      </w:r>
      <w:r w:rsidR="007B1BE8" w:rsidRPr="00B66802">
        <w:rPr>
          <w:rFonts w:asciiTheme="minorHAnsi" w:hAnsiTheme="minorHAnsi" w:cstheme="minorHAnsi"/>
        </w:rPr>
        <w:t>.</w:t>
      </w:r>
    </w:p>
    <w:p w14:paraId="52FD39B0" w14:textId="77777777" w:rsidR="0042061A" w:rsidRPr="00B66802" w:rsidRDefault="0042061A" w:rsidP="0042061A">
      <w:pPr>
        <w:keepLines/>
        <w:spacing w:after="0" w:line="240" w:lineRule="auto"/>
        <w:ind w:right="302"/>
        <w:rPr>
          <w:rFonts w:asciiTheme="minorHAnsi" w:hAnsiTheme="minorHAnsi" w:cstheme="minorHAnsi"/>
          <w:b/>
        </w:rPr>
      </w:pPr>
    </w:p>
    <w:p w14:paraId="2320E1A4" w14:textId="4A68BE34" w:rsidR="0042061A" w:rsidRPr="006C66C2" w:rsidRDefault="0042061A" w:rsidP="00136BFE">
      <w:pPr>
        <w:pStyle w:val="ListParagraph"/>
        <w:numPr>
          <w:ilvl w:val="0"/>
          <w:numId w:val="44"/>
        </w:numPr>
        <w:tabs>
          <w:tab w:val="clear" w:pos="360"/>
        </w:tabs>
        <w:spacing w:after="0" w:line="240" w:lineRule="auto"/>
        <w:ind w:left="0" w:firstLine="0"/>
        <w:jc w:val="both"/>
        <w:rPr>
          <w:rFonts w:asciiTheme="minorHAnsi" w:hAnsiTheme="minorHAnsi" w:cstheme="minorHAnsi"/>
        </w:rPr>
      </w:pPr>
      <w:r w:rsidRPr="00BD4A16">
        <w:rPr>
          <w:rFonts w:asciiTheme="minorHAnsi" w:hAnsiTheme="minorHAnsi" w:cstheme="minorHAnsi"/>
          <w:b/>
        </w:rPr>
        <w:t>Re</w:t>
      </w:r>
      <w:r w:rsidR="003F67CD" w:rsidRPr="00DC050B">
        <w:rPr>
          <w:rFonts w:asciiTheme="minorHAnsi" w:hAnsiTheme="minorHAnsi" w:cstheme="minorHAnsi"/>
          <w:b/>
        </w:rPr>
        <w:t xml:space="preserve">sults. </w:t>
      </w:r>
      <w:r w:rsidR="003F67CD" w:rsidRPr="00DC050B">
        <w:rPr>
          <w:rFonts w:asciiTheme="minorHAnsi" w:hAnsiTheme="minorHAnsi" w:cstheme="minorHAnsi"/>
        </w:rPr>
        <w:t xml:space="preserve">The expected results are that all large projects that are being considered for domestic financing (above a threshold of </w:t>
      </w:r>
      <w:r w:rsidR="00FB6693" w:rsidRPr="00DC050B">
        <w:rPr>
          <w:rFonts w:asciiTheme="minorHAnsi" w:hAnsiTheme="minorHAnsi" w:cstheme="minorHAnsi"/>
        </w:rPr>
        <w:t xml:space="preserve">MGA </w:t>
      </w:r>
      <w:r w:rsidR="003F67CD" w:rsidRPr="00DC050B">
        <w:rPr>
          <w:rFonts w:asciiTheme="minorHAnsi" w:hAnsiTheme="minorHAnsi" w:cstheme="minorHAnsi"/>
        </w:rPr>
        <w:t>5</w:t>
      </w:r>
      <w:r w:rsidR="00FB6693">
        <w:rPr>
          <w:rFonts w:asciiTheme="minorHAnsi" w:hAnsiTheme="minorHAnsi" w:cstheme="minorHAnsi"/>
        </w:rPr>
        <w:t xml:space="preserve"> </w:t>
      </w:r>
      <w:r w:rsidR="003F67CD" w:rsidRPr="00DC050B">
        <w:rPr>
          <w:rFonts w:asciiTheme="minorHAnsi" w:hAnsiTheme="minorHAnsi" w:cstheme="minorHAnsi"/>
        </w:rPr>
        <w:t xml:space="preserve">billion) are subject to a new appraisal mechanism. This should ensure that projects are only selected if they support the objectives of the NDP, and therefore adequately invest in human and physical capital. The expected result is that </w:t>
      </w:r>
      <w:r w:rsidR="00FF50C0">
        <w:rPr>
          <w:rFonts w:asciiTheme="minorHAnsi" w:hAnsiTheme="minorHAnsi" w:cstheme="minorHAnsi"/>
        </w:rPr>
        <w:t xml:space="preserve">100 percent of </w:t>
      </w:r>
      <w:r w:rsidR="003F67CD" w:rsidRPr="00DC050B">
        <w:rPr>
          <w:rFonts w:asciiTheme="minorHAnsi" w:hAnsiTheme="minorHAnsi" w:cstheme="minorHAnsi"/>
        </w:rPr>
        <w:t xml:space="preserve">new PPPs will be subject to the appraisal and contractual procedures as outlined in the law. </w:t>
      </w:r>
      <w:r w:rsidR="009067F7" w:rsidRPr="00DC050B">
        <w:rPr>
          <w:rFonts w:asciiTheme="minorHAnsi" w:hAnsiTheme="minorHAnsi" w:cstheme="minorHAnsi"/>
        </w:rPr>
        <w:t>The reforms have be</w:t>
      </w:r>
      <w:r w:rsidR="009067F7" w:rsidRPr="006C66C2">
        <w:rPr>
          <w:rFonts w:asciiTheme="minorHAnsi" w:hAnsiTheme="minorHAnsi" w:cstheme="minorHAnsi"/>
        </w:rPr>
        <w:t xml:space="preserve">nefited from World Bank TA. The reforms also complement the IMF ECF program which seeks to develop a </w:t>
      </w:r>
      <w:r w:rsidR="008E04AF">
        <w:rPr>
          <w:rFonts w:asciiTheme="minorHAnsi" w:hAnsiTheme="minorHAnsi" w:cstheme="minorHAnsi"/>
        </w:rPr>
        <w:t>PAP</w:t>
      </w:r>
      <w:r w:rsidR="009067F7" w:rsidRPr="006C66C2">
        <w:rPr>
          <w:rFonts w:asciiTheme="minorHAnsi" w:hAnsiTheme="minorHAnsi" w:cstheme="minorHAnsi"/>
        </w:rPr>
        <w:t xml:space="preserve"> for PIM, where the use of an appraisal methodology should support the implementation of the plan.</w:t>
      </w:r>
    </w:p>
    <w:p w14:paraId="17268EC5" w14:textId="77777777" w:rsidR="00EE5C71" w:rsidRPr="00A20F63" w:rsidRDefault="00EE5C71" w:rsidP="0042061A">
      <w:pPr>
        <w:pStyle w:val="ListParagraph"/>
        <w:tabs>
          <w:tab w:val="num" w:pos="990"/>
        </w:tabs>
        <w:spacing w:after="0" w:line="240" w:lineRule="auto"/>
        <w:ind w:left="360"/>
        <w:jc w:val="both"/>
        <w:rPr>
          <w:rFonts w:asciiTheme="minorHAnsi" w:hAnsiTheme="minorHAnsi" w:cstheme="minorHAnsi"/>
          <w:lang w:eastAsia="ja-JP"/>
        </w:rPr>
      </w:pPr>
    </w:p>
    <w:p w14:paraId="3D3FE7FE" w14:textId="6560F9DA" w:rsidR="000254C1" w:rsidRPr="00A20F63" w:rsidRDefault="000254C1" w:rsidP="000254C1">
      <w:pPr>
        <w:spacing w:after="0" w:line="240" w:lineRule="auto"/>
        <w:jc w:val="both"/>
        <w:rPr>
          <w:rFonts w:asciiTheme="minorHAnsi" w:hAnsiTheme="minorHAnsi" w:cstheme="minorHAnsi"/>
          <w:b/>
        </w:rPr>
      </w:pPr>
      <w:r w:rsidRPr="00A20F63">
        <w:rPr>
          <w:rFonts w:asciiTheme="minorHAnsi" w:hAnsiTheme="minorHAnsi" w:cstheme="minorHAnsi"/>
          <w:b/>
          <w:bCs/>
          <w:iCs/>
        </w:rPr>
        <w:t>P</w:t>
      </w:r>
      <w:r w:rsidRPr="00A20F63">
        <w:rPr>
          <w:rFonts w:asciiTheme="minorHAnsi" w:hAnsiTheme="minorHAnsi" w:cstheme="minorHAnsi"/>
          <w:b/>
          <w:bCs/>
          <w:iCs/>
          <w:spacing w:val="1"/>
        </w:rPr>
        <w:t>i</w:t>
      </w:r>
      <w:r w:rsidRPr="00A20F63">
        <w:rPr>
          <w:rFonts w:asciiTheme="minorHAnsi" w:hAnsiTheme="minorHAnsi" w:cstheme="minorHAnsi"/>
          <w:b/>
          <w:bCs/>
          <w:iCs/>
          <w:spacing w:val="-1"/>
        </w:rPr>
        <w:t>l</w:t>
      </w:r>
      <w:r w:rsidRPr="00A20F63">
        <w:rPr>
          <w:rFonts w:asciiTheme="minorHAnsi" w:hAnsiTheme="minorHAnsi" w:cstheme="minorHAnsi"/>
          <w:b/>
          <w:bCs/>
          <w:iCs/>
          <w:spacing w:val="1"/>
        </w:rPr>
        <w:t>l</w:t>
      </w:r>
      <w:r w:rsidRPr="00A20F63">
        <w:rPr>
          <w:rFonts w:asciiTheme="minorHAnsi" w:hAnsiTheme="minorHAnsi" w:cstheme="minorHAnsi"/>
          <w:b/>
          <w:bCs/>
          <w:iCs/>
        </w:rPr>
        <w:t>ar</w:t>
      </w:r>
      <w:r w:rsidRPr="00A20F63">
        <w:rPr>
          <w:rFonts w:asciiTheme="minorHAnsi" w:hAnsiTheme="minorHAnsi" w:cstheme="minorHAnsi"/>
          <w:b/>
          <w:bCs/>
          <w:iCs/>
          <w:spacing w:val="1"/>
        </w:rPr>
        <w:t xml:space="preserve"> </w:t>
      </w:r>
      <w:r w:rsidRPr="00A20F63">
        <w:rPr>
          <w:rFonts w:asciiTheme="minorHAnsi" w:hAnsiTheme="minorHAnsi" w:cstheme="minorHAnsi"/>
          <w:b/>
          <w:bCs/>
          <w:iCs/>
          <w:spacing w:val="-1"/>
        </w:rPr>
        <w:t>B:</w:t>
      </w:r>
      <w:r w:rsidRPr="00A20F63">
        <w:rPr>
          <w:rFonts w:asciiTheme="minorHAnsi" w:hAnsiTheme="minorHAnsi" w:cstheme="minorHAnsi"/>
          <w:b/>
          <w:bCs/>
          <w:iCs/>
          <w:spacing w:val="-2"/>
        </w:rPr>
        <w:t xml:space="preserve"> </w:t>
      </w:r>
      <w:r w:rsidR="00FF50C0">
        <w:rPr>
          <w:rFonts w:asciiTheme="minorHAnsi" w:hAnsiTheme="minorHAnsi" w:cstheme="minorHAnsi"/>
          <w:b/>
        </w:rPr>
        <w:t>Improve</w:t>
      </w:r>
      <w:r w:rsidR="00FF50C0" w:rsidRPr="00A20F63">
        <w:rPr>
          <w:rFonts w:asciiTheme="minorHAnsi" w:hAnsiTheme="minorHAnsi" w:cstheme="minorHAnsi"/>
          <w:b/>
        </w:rPr>
        <w:t xml:space="preserve"> </w:t>
      </w:r>
      <w:r w:rsidR="001B71F5" w:rsidRPr="00A20F63">
        <w:rPr>
          <w:rFonts w:asciiTheme="minorHAnsi" w:hAnsiTheme="minorHAnsi" w:cstheme="minorHAnsi"/>
          <w:b/>
        </w:rPr>
        <w:t xml:space="preserve">the environment for </w:t>
      </w:r>
      <w:r w:rsidR="00810C15" w:rsidRPr="00A20F63">
        <w:rPr>
          <w:rFonts w:asciiTheme="minorHAnsi" w:hAnsiTheme="minorHAnsi" w:cstheme="minorHAnsi"/>
          <w:b/>
        </w:rPr>
        <w:t>investment</w:t>
      </w:r>
    </w:p>
    <w:p w14:paraId="57B3DF9A" w14:textId="77777777" w:rsidR="000254C1" w:rsidRPr="00406280" w:rsidRDefault="000254C1" w:rsidP="000254C1">
      <w:pPr>
        <w:spacing w:after="0" w:line="240" w:lineRule="auto"/>
        <w:rPr>
          <w:rFonts w:asciiTheme="minorHAnsi" w:hAnsiTheme="minorHAnsi" w:cstheme="minorHAnsi"/>
          <w:b/>
          <w:i/>
          <w:lang w:eastAsia="ja-JP"/>
        </w:rPr>
      </w:pPr>
    </w:p>
    <w:p w14:paraId="2A95F91A" w14:textId="77777777" w:rsidR="004E4026" w:rsidRPr="00406280" w:rsidRDefault="001B71F5" w:rsidP="001B71F5">
      <w:pPr>
        <w:spacing w:after="0" w:line="240" w:lineRule="auto"/>
        <w:rPr>
          <w:rFonts w:asciiTheme="minorHAnsi" w:hAnsiTheme="minorHAnsi" w:cstheme="minorHAnsi"/>
          <w:b/>
          <w:i/>
          <w:lang w:eastAsia="ja-JP"/>
        </w:rPr>
      </w:pPr>
      <w:r w:rsidRPr="00406280">
        <w:rPr>
          <w:rFonts w:asciiTheme="minorHAnsi" w:hAnsiTheme="minorHAnsi" w:cstheme="minorHAnsi"/>
          <w:b/>
          <w:i/>
          <w:lang w:eastAsia="ja-JP"/>
        </w:rPr>
        <w:t>Promoting the recovery of the electricity sector</w:t>
      </w:r>
    </w:p>
    <w:p w14:paraId="56823256" w14:textId="77777777" w:rsidR="001B71F5" w:rsidRPr="00601B29" w:rsidRDefault="001B71F5" w:rsidP="001B71F5">
      <w:pPr>
        <w:spacing w:after="0" w:line="240" w:lineRule="auto"/>
        <w:rPr>
          <w:rFonts w:asciiTheme="minorHAnsi" w:hAnsiTheme="minorHAnsi" w:cstheme="minorHAnsi"/>
        </w:rPr>
      </w:pPr>
    </w:p>
    <w:p w14:paraId="5BD1E98D" w14:textId="639BF333" w:rsidR="0068728E" w:rsidRPr="00805BA2" w:rsidRDefault="007C320E" w:rsidP="00136BFE">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85470E">
        <w:rPr>
          <w:rFonts w:asciiTheme="minorHAnsi" w:hAnsiTheme="minorHAnsi" w:cstheme="minorHAnsi"/>
          <w:b/>
        </w:rPr>
        <w:t>Rationale</w:t>
      </w:r>
      <w:r w:rsidR="007C5D75" w:rsidRPr="0085470E">
        <w:rPr>
          <w:rFonts w:asciiTheme="minorHAnsi" w:hAnsiTheme="minorHAnsi" w:cstheme="minorHAnsi"/>
        </w:rPr>
        <w:t xml:space="preserve">. </w:t>
      </w:r>
      <w:r w:rsidR="00044306" w:rsidRPr="0085470E">
        <w:rPr>
          <w:rFonts w:asciiTheme="minorHAnsi" w:hAnsiTheme="minorHAnsi" w:cstheme="minorHAnsi"/>
        </w:rPr>
        <w:t>Madagascar has one of the highest costs of energy supply in Africa and the quality of electricity supply is unreliab</w:t>
      </w:r>
      <w:r w:rsidR="00044306" w:rsidRPr="00A46F16">
        <w:rPr>
          <w:rFonts w:asciiTheme="minorHAnsi" w:hAnsiTheme="minorHAnsi" w:cstheme="minorHAnsi"/>
        </w:rPr>
        <w:t xml:space="preserve">le. This affects productivity in the country adversely. JIRAMA’s poor operational performance is largely a result of inadequate governance structures within the utility. Lack of transparency around the costs of electricity supply and non-competitive procedures around contracts awarded </w:t>
      </w:r>
      <w:r w:rsidR="00767C36" w:rsidRPr="00805BA2">
        <w:rPr>
          <w:rFonts w:asciiTheme="minorHAnsi" w:hAnsiTheme="minorHAnsi" w:cstheme="minorHAnsi"/>
        </w:rPr>
        <w:t xml:space="preserve">with Independent Power Producers </w:t>
      </w:r>
      <w:r w:rsidR="00044306" w:rsidRPr="00805BA2">
        <w:rPr>
          <w:rFonts w:asciiTheme="minorHAnsi" w:hAnsiTheme="minorHAnsi" w:cstheme="minorHAnsi"/>
        </w:rPr>
        <w:t xml:space="preserve">have raised electricity costs unnecessarily.  </w:t>
      </w:r>
    </w:p>
    <w:p w14:paraId="1EF9BE09" w14:textId="333468C1" w:rsidR="007A48E9" w:rsidRPr="006C66C2" w:rsidRDefault="001267DA" w:rsidP="00136BFE">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bCs/>
          <w:iCs/>
          <w:lang w:val="x-none"/>
        </w:rPr>
      </w:pPr>
      <w:r w:rsidRPr="00805BA2">
        <w:rPr>
          <w:rFonts w:asciiTheme="minorHAnsi" w:hAnsiTheme="minorHAnsi" w:cstheme="minorHAnsi"/>
          <w:b/>
        </w:rPr>
        <w:t>Reforms</w:t>
      </w:r>
      <w:r w:rsidR="004E4026" w:rsidRPr="00805BA2">
        <w:rPr>
          <w:rFonts w:asciiTheme="minorHAnsi" w:eastAsia="Calibri" w:hAnsiTheme="minorHAnsi" w:cstheme="minorHAnsi"/>
        </w:rPr>
        <w:t xml:space="preserve">. </w:t>
      </w:r>
      <w:r w:rsidR="00370EBB" w:rsidRPr="00805BA2">
        <w:rPr>
          <w:rFonts w:asciiTheme="minorHAnsi" w:hAnsiTheme="minorHAnsi" w:cstheme="minorHAnsi"/>
        </w:rPr>
        <w:t>The reforms in this DPO series seek to improve the operational performance of JIR</w:t>
      </w:r>
      <w:r w:rsidR="00A014E9" w:rsidRPr="00051ABB">
        <w:rPr>
          <w:rFonts w:asciiTheme="minorHAnsi" w:hAnsiTheme="minorHAnsi" w:cstheme="minorHAnsi"/>
        </w:rPr>
        <w:t>A</w:t>
      </w:r>
      <w:r w:rsidR="00370EBB" w:rsidRPr="00051ABB">
        <w:rPr>
          <w:rFonts w:asciiTheme="minorHAnsi" w:hAnsiTheme="minorHAnsi" w:cstheme="minorHAnsi"/>
        </w:rPr>
        <w:t xml:space="preserve">MA to improve its financial viability by addressing deep-rooted governance procedures. </w:t>
      </w:r>
      <w:r w:rsidR="00BD148F" w:rsidRPr="000C77CE">
        <w:rPr>
          <w:rFonts w:asciiTheme="minorHAnsi" w:eastAsia="Calibri" w:hAnsiTheme="minorHAnsi" w:cstheme="minorHAnsi"/>
        </w:rPr>
        <w:t xml:space="preserve">In </w:t>
      </w:r>
      <w:r w:rsidR="00370EBB" w:rsidRPr="000C77CE">
        <w:rPr>
          <w:rFonts w:asciiTheme="minorHAnsi" w:eastAsia="Calibri" w:hAnsiTheme="minorHAnsi" w:cstheme="minorHAnsi"/>
        </w:rPr>
        <w:t xml:space="preserve">DPO1, </w:t>
      </w:r>
      <w:r w:rsidR="00BD148F" w:rsidRPr="000C77CE">
        <w:rPr>
          <w:rFonts w:asciiTheme="minorHAnsi" w:eastAsia="Calibri" w:hAnsiTheme="minorHAnsi" w:cstheme="minorHAnsi"/>
        </w:rPr>
        <w:t>the</w:t>
      </w:r>
      <w:r w:rsidR="00370EBB" w:rsidRPr="00E36113">
        <w:rPr>
          <w:rFonts w:asciiTheme="minorHAnsi" w:eastAsia="Calibri" w:hAnsiTheme="minorHAnsi" w:cstheme="minorHAnsi"/>
        </w:rPr>
        <w:t xml:space="preserve"> reforms </w:t>
      </w:r>
      <w:r w:rsidR="00370EBB" w:rsidRPr="00E36113">
        <w:rPr>
          <w:rFonts w:asciiTheme="minorHAnsi" w:eastAsia="Calibri" w:hAnsiTheme="minorHAnsi" w:cstheme="minorHAnsi"/>
        </w:rPr>
        <w:lastRenderedPageBreak/>
        <w:t>improved</w:t>
      </w:r>
      <w:r w:rsidR="008962C9" w:rsidRPr="00E36113">
        <w:rPr>
          <w:rFonts w:asciiTheme="minorHAnsi" w:eastAsia="Calibri" w:hAnsiTheme="minorHAnsi" w:cstheme="minorHAnsi"/>
        </w:rPr>
        <w:t xml:space="preserve"> procurement controls of </w:t>
      </w:r>
      <w:r w:rsidR="00B16B03" w:rsidRPr="00E36113">
        <w:rPr>
          <w:rFonts w:asciiTheme="minorHAnsi" w:eastAsia="Calibri" w:hAnsiTheme="minorHAnsi" w:cstheme="minorHAnsi"/>
        </w:rPr>
        <w:t>JIRAMA</w:t>
      </w:r>
      <w:r w:rsidR="00E02170" w:rsidRPr="00E36113">
        <w:rPr>
          <w:rFonts w:asciiTheme="minorHAnsi" w:eastAsia="Calibri" w:hAnsiTheme="minorHAnsi" w:cstheme="minorHAnsi"/>
        </w:rPr>
        <w:t>’s</w:t>
      </w:r>
      <w:r w:rsidR="002467ED" w:rsidRPr="00E36113">
        <w:rPr>
          <w:rFonts w:asciiTheme="minorHAnsi" w:eastAsia="Calibri" w:hAnsiTheme="minorHAnsi" w:cstheme="minorHAnsi"/>
        </w:rPr>
        <w:t xml:space="preserve"> </w:t>
      </w:r>
      <w:r w:rsidR="008962C9" w:rsidRPr="00E36113">
        <w:rPr>
          <w:rFonts w:asciiTheme="minorHAnsi" w:eastAsia="Calibri" w:hAnsiTheme="minorHAnsi" w:cstheme="minorHAnsi"/>
        </w:rPr>
        <w:t>contra</w:t>
      </w:r>
      <w:r w:rsidR="002467ED" w:rsidRPr="00E36113">
        <w:rPr>
          <w:rFonts w:asciiTheme="minorHAnsi" w:eastAsia="Calibri" w:hAnsiTheme="minorHAnsi" w:cstheme="minorHAnsi"/>
        </w:rPr>
        <w:t>cts</w:t>
      </w:r>
      <w:r w:rsidR="00370EBB" w:rsidRPr="00E36113">
        <w:rPr>
          <w:rFonts w:asciiTheme="minorHAnsi" w:eastAsia="Calibri" w:hAnsiTheme="minorHAnsi" w:cstheme="minorHAnsi"/>
        </w:rPr>
        <w:t>, and increased transparency by publishing</w:t>
      </w:r>
      <w:r w:rsidR="00BD148F" w:rsidRPr="00E36113">
        <w:rPr>
          <w:rFonts w:asciiTheme="minorHAnsi" w:eastAsia="Calibri" w:hAnsiTheme="minorHAnsi" w:cstheme="minorHAnsi"/>
        </w:rPr>
        <w:t xml:space="preserve"> </w:t>
      </w:r>
      <w:r w:rsidR="00BD148F" w:rsidRPr="00E36113">
        <w:rPr>
          <w:rFonts w:asciiTheme="minorHAnsi" w:hAnsiTheme="minorHAnsi" w:cstheme="minorHAnsi"/>
        </w:rPr>
        <w:t xml:space="preserve">quarterly statistics </w:t>
      </w:r>
      <w:r w:rsidR="00BD148F" w:rsidRPr="00E36113">
        <w:rPr>
          <w:rFonts w:asciiTheme="minorHAnsi" w:eastAsia="Calibri" w:hAnsiTheme="minorHAnsi" w:cstheme="minorHAnsi"/>
        </w:rPr>
        <w:t xml:space="preserve">on the cost of electricity per </w:t>
      </w:r>
      <w:r w:rsidR="000549F3">
        <w:rPr>
          <w:rFonts w:asciiTheme="minorHAnsi" w:eastAsia="Calibri" w:hAnsiTheme="minorHAnsi" w:cstheme="minorHAnsi"/>
        </w:rPr>
        <w:t>kilowatt hour (k</w:t>
      </w:r>
      <w:r w:rsidR="00BD148F" w:rsidRPr="00E36113">
        <w:rPr>
          <w:rFonts w:asciiTheme="minorHAnsi" w:eastAsia="Calibri" w:hAnsiTheme="minorHAnsi" w:cstheme="minorHAnsi"/>
        </w:rPr>
        <w:t>W</w:t>
      </w:r>
      <w:r w:rsidR="000549F3">
        <w:rPr>
          <w:rFonts w:asciiTheme="minorHAnsi" w:eastAsia="Calibri" w:hAnsiTheme="minorHAnsi" w:cstheme="minorHAnsi"/>
        </w:rPr>
        <w:t>.</w:t>
      </w:r>
      <w:r w:rsidR="00BD148F" w:rsidRPr="00E36113">
        <w:rPr>
          <w:rFonts w:asciiTheme="minorHAnsi" w:eastAsia="Calibri" w:hAnsiTheme="minorHAnsi" w:cstheme="minorHAnsi"/>
        </w:rPr>
        <w:t>h</w:t>
      </w:r>
      <w:r w:rsidR="000549F3">
        <w:rPr>
          <w:rFonts w:asciiTheme="minorHAnsi" w:eastAsia="Calibri" w:hAnsiTheme="minorHAnsi" w:cstheme="minorHAnsi"/>
        </w:rPr>
        <w:t>)</w:t>
      </w:r>
      <w:r w:rsidR="00BD148F" w:rsidRPr="00E36113">
        <w:rPr>
          <w:rFonts w:asciiTheme="minorHAnsi" w:eastAsia="Calibri" w:hAnsiTheme="minorHAnsi" w:cstheme="minorHAnsi"/>
        </w:rPr>
        <w:t xml:space="preserve"> for each existing power supply contract on its websi</w:t>
      </w:r>
      <w:r w:rsidR="00BD148F" w:rsidRPr="00E36113">
        <w:rPr>
          <w:rFonts w:asciiTheme="minorHAnsi" w:hAnsiTheme="minorHAnsi" w:cstheme="minorHAnsi"/>
        </w:rPr>
        <w:t>te</w:t>
      </w:r>
      <w:r w:rsidR="00BD148F" w:rsidRPr="00B66802">
        <w:rPr>
          <w:rStyle w:val="FootnoteReference"/>
          <w:rFonts w:asciiTheme="minorHAnsi" w:hAnsiTheme="minorHAnsi" w:cstheme="minorHAnsi"/>
        </w:rPr>
        <w:footnoteReference w:id="43"/>
      </w:r>
      <w:r w:rsidR="00BD148F" w:rsidRPr="00B66802">
        <w:rPr>
          <w:rFonts w:asciiTheme="minorHAnsi" w:hAnsiTheme="minorHAnsi" w:cstheme="minorHAnsi"/>
        </w:rPr>
        <w:t xml:space="preserve"> (prior action</w:t>
      </w:r>
      <w:r w:rsidR="0090766A" w:rsidRPr="00B66802">
        <w:rPr>
          <w:rFonts w:asciiTheme="minorHAnsi" w:hAnsiTheme="minorHAnsi" w:cstheme="minorHAnsi"/>
        </w:rPr>
        <w:t xml:space="preserve"> – DPO1</w:t>
      </w:r>
      <w:r w:rsidR="00BD148F" w:rsidRPr="00B66802">
        <w:rPr>
          <w:rFonts w:asciiTheme="minorHAnsi" w:hAnsiTheme="minorHAnsi" w:cstheme="minorHAnsi"/>
        </w:rPr>
        <w:t xml:space="preserve">). </w:t>
      </w:r>
    </w:p>
    <w:p w14:paraId="2A47EAF4" w14:textId="6EB86FAD" w:rsidR="007B1BE8" w:rsidRPr="00136BFE" w:rsidRDefault="00E1724B" w:rsidP="007B1BE8">
      <w:pPr>
        <w:pStyle w:val="ListParagraph"/>
        <w:numPr>
          <w:ilvl w:val="0"/>
          <w:numId w:val="33"/>
        </w:numPr>
        <w:spacing w:after="0" w:line="240" w:lineRule="auto"/>
        <w:jc w:val="both"/>
        <w:rPr>
          <w:rFonts w:asciiTheme="minorHAnsi" w:hAnsiTheme="minorHAnsi" w:cstheme="minorHAnsi"/>
          <w:bCs/>
          <w:iCs/>
        </w:rPr>
      </w:pPr>
      <w:r w:rsidRPr="006C66C2">
        <w:rPr>
          <w:rFonts w:asciiTheme="minorHAnsi" w:hAnsiTheme="minorHAnsi" w:cstheme="minorHAnsi"/>
          <w:b/>
          <w:i/>
        </w:rPr>
        <w:t>Prior action</w:t>
      </w:r>
      <w:r w:rsidR="006B56D0" w:rsidRPr="006C66C2">
        <w:rPr>
          <w:rFonts w:asciiTheme="minorHAnsi" w:hAnsiTheme="minorHAnsi" w:cstheme="minorHAnsi"/>
          <w:b/>
        </w:rPr>
        <w:t xml:space="preserve"> 7:</w:t>
      </w:r>
      <w:r w:rsidR="006B56D0" w:rsidRPr="006C66C2">
        <w:rPr>
          <w:rFonts w:asciiTheme="minorHAnsi" w:hAnsiTheme="minorHAnsi" w:cstheme="minorHAnsi"/>
        </w:rPr>
        <w:t xml:space="preserve"> </w:t>
      </w:r>
      <w:r w:rsidR="007B1BE8" w:rsidRPr="00136BFE">
        <w:rPr>
          <w:rFonts w:asciiTheme="minorHAnsi" w:hAnsiTheme="minorHAnsi" w:cstheme="minorHAnsi"/>
          <w:bCs/>
          <w:iCs/>
        </w:rPr>
        <w:t>The Recipient has caused JIRAMA to adopt standard contracts for all new Power Generation Agreements.</w:t>
      </w:r>
    </w:p>
    <w:p w14:paraId="34A12334" w14:textId="77777777" w:rsidR="007B1BE8" w:rsidRPr="00FF1E27" w:rsidRDefault="007B1BE8" w:rsidP="007B1BE8">
      <w:pPr>
        <w:pStyle w:val="ListParagraph"/>
        <w:spacing w:after="0" w:line="240" w:lineRule="auto"/>
        <w:jc w:val="both"/>
        <w:rPr>
          <w:rFonts w:asciiTheme="minorHAnsi" w:hAnsiTheme="minorHAnsi" w:cstheme="minorHAnsi"/>
          <w:bCs/>
          <w:iCs/>
        </w:rPr>
      </w:pPr>
    </w:p>
    <w:p w14:paraId="0A2DD8C8" w14:textId="3782E718" w:rsidR="009B4663" w:rsidRPr="00FF1E27" w:rsidRDefault="001267DA" w:rsidP="00FF1E27">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FF1E27">
        <w:rPr>
          <w:rFonts w:asciiTheme="minorHAnsi" w:hAnsiTheme="minorHAnsi" w:cstheme="minorHAnsi"/>
          <w:b/>
        </w:rPr>
        <w:t xml:space="preserve">Results. </w:t>
      </w:r>
      <w:r w:rsidR="00AE7F81" w:rsidRPr="00FF1E27">
        <w:rPr>
          <w:rFonts w:asciiTheme="minorHAnsi" w:hAnsiTheme="minorHAnsi" w:cstheme="minorHAnsi"/>
        </w:rPr>
        <w:t xml:space="preserve">The </w:t>
      </w:r>
      <w:r w:rsidR="00FD5F4E" w:rsidRPr="00FF1E27">
        <w:rPr>
          <w:rFonts w:asciiTheme="minorHAnsi" w:hAnsiTheme="minorHAnsi" w:cstheme="minorHAnsi"/>
        </w:rPr>
        <w:t xml:space="preserve">result is to increase the </w:t>
      </w:r>
      <w:r w:rsidR="00A014E9" w:rsidRPr="00FF1E27">
        <w:rPr>
          <w:rFonts w:asciiTheme="minorHAnsi" w:hAnsiTheme="minorHAnsi" w:cstheme="minorHAnsi"/>
        </w:rPr>
        <w:t>share</w:t>
      </w:r>
      <w:r w:rsidR="00FD5F4E" w:rsidRPr="00FF1E27">
        <w:rPr>
          <w:rFonts w:asciiTheme="minorHAnsi" w:hAnsiTheme="minorHAnsi" w:cstheme="minorHAnsi"/>
        </w:rPr>
        <w:t xml:space="preserve"> of </w:t>
      </w:r>
      <w:r w:rsidR="004A0D2A" w:rsidRPr="00FF1E27">
        <w:rPr>
          <w:rFonts w:asciiTheme="minorHAnsi" w:hAnsiTheme="minorHAnsi" w:cstheme="minorHAnsi"/>
        </w:rPr>
        <w:t xml:space="preserve">power generation </w:t>
      </w:r>
      <w:r w:rsidR="00F83BCD" w:rsidRPr="00FF1E27">
        <w:rPr>
          <w:rFonts w:asciiTheme="minorHAnsi" w:hAnsiTheme="minorHAnsi" w:cstheme="minorHAnsi"/>
        </w:rPr>
        <w:t xml:space="preserve">contracts </w:t>
      </w:r>
      <w:r w:rsidR="00A014E9" w:rsidRPr="00FF1E27">
        <w:rPr>
          <w:rFonts w:asciiTheme="minorHAnsi" w:hAnsiTheme="minorHAnsi" w:cstheme="minorHAnsi"/>
        </w:rPr>
        <w:t xml:space="preserve">(in value) </w:t>
      </w:r>
      <w:r w:rsidR="00FD5F4E" w:rsidRPr="00FF1E27">
        <w:rPr>
          <w:rFonts w:asciiTheme="minorHAnsi" w:hAnsiTheme="minorHAnsi" w:cstheme="minorHAnsi"/>
        </w:rPr>
        <w:t xml:space="preserve">that are </w:t>
      </w:r>
      <w:r w:rsidR="00F83BCD" w:rsidRPr="00FF1E27">
        <w:rPr>
          <w:rFonts w:asciiTheme="minorHAnsi" w:hAnsiTheme="minorHAnsi" w:cstheme="minorHAnsi"/>
        </w:rPr>
        <w:t>awarded competitively</w:t>
      </w:r>
      <w:r w:rsidR="00FD5F4E" w:rsidRPr="00FF1E27">
        <w:rPr>
          <w:rFonts w:asciiTheme="minorHAnsi" w:hAnsiTheme="minorHAnsi" w:cstheme="minorHAnsi"/>
        </w:rPr>
        <w:t xml:space="preserve">. </w:t>
      </w:r>
      <w:r w:rsidR="00255421" w:rsidRPr="00FF1E27">
        <w:rPr>
          <w:rFonts w:asciiTheme="minorHAnsi" w:hAnsiTheme="minorHAnsi" w:cstheme="minorHAnsi"/>
        </w:rPr>
        <w:t>Thi</w:t>
      </w:r>
      <w:r w:rsidR="00F47B69" w:rsidRPr="00FF1E27">
        <w:rPr>
          <w:rFonts w:asciiTheme="minorHAnsi" w:hAnsiTheme="minorHAnsi" w:cstheme="minorHAnsi"/>
        </w:rPr>
        <w:t xml:space="preserve">s target refers to new contracts that are agreed and is timely as several of JIRAMA’s contracts are expiring. </w:t>
      </w:r>
      <w:r w:rsidR="002C7932" w:rsidRPr="00FF1E27">
        <w:rPr>
          <w:rFonts w:asciiTheme="minorHAnsi" w:hAnsiTheme="minorHAnsi" w:cstheme="minorHAnsi"/>
        </w:rPr>
        <w:t>The targe</w:t>
      </w:r>
      <w:r w:rsidR="00187DF0" w:rsidRPr="00FF1E27">
        <w:rPr>
          <w:rFonts w:asciiTheme="minorHAnsi" w:hAnsiTheme="minorHAnsi" w:cstheme="minorHAnsi"/>
        </w:rPr>
        <w:t>t is 70 percent because the law provides for contracts to be single-sourced in emergency situati</w:t>
      </w:r>
      <w:r w:rsidR="00255421" w:rsidRPr="00FF1E27">
        <w:rPr>
          <w:rFonts w:asciiTheme="minorHAnsi" w:hAnsiTheme="minorHAnsi" w:cstheme="minorHAnsi"/>
        </w:rPr>
        <w:t xml:space="preserve">ons (such as the drought). </w:t>
      </w:r>
      <w:r w:rsidR="00D00EED" w:rsidRPr="00FF1E27">
        <w:rPr>
          <w:rFonts w:asciiTheme="minorHAnsi" w:hAnsiTheme="minorHAnsi" w:cstheme="minorHAnsi"/>
        </w:rPr>
        <w:t>Transparent and w</w:t>
      </w:r>
      <w:r w:rsidR="00265F52" w:rsidRPr="00FF1E27">
        <w:rPr>
          <w:rFonts w:asciiTheme="minorHAnsi" w:hAnsiTheme="minorHAnsi" w:cstheme="minorHAnsi"/>
        </w:rPr>
        <w:t>ell-</w:t>
      </w:r>
      <w:r w:rsidR="00D9236C" w:rsidRPr="00FF1E27">
        <w:rPr>
          <w:rFonts w:asciiTheme="minorHAnsi" w:hAnsiTheme="minorHAnsi" w:cstheme="minorHAnsi"/>
        </w:rPr>
        <w:t>managed procurement processes will increase value for money and</w:t>
      </w:r>
      <w:r w:rsidR="00B75EFA" w:rsidRPr="00FF1E27">
        <w:rPr>
          <w:rFonts w:asciiTheme="minorHAnsi" w:hAnsiTheme="minorHAnsi" w:cstheme="minorHAnsi"/>
        </w:rPr>
        <w:t xml:space="preserve"> </w:t>
      </w:r>
      <w:r w:rsidR="00D9236C" w:rsidRPr="00FF1E27">
        <w:rPr>
          <w:rFonts w:asciiTheme="minorHAnsi" w:hAnsiTheme="minorHAnsi" w:cstheme="minorHAnsi"/>
        </w:rPr>
        <w:t xml:space="preserve">contribute to improving </w:t>
      </w:r>
      <w:r w:rsidR="00B16B03" w:rsidRPr="00FF1E27">
        <w:rPr>
          <w:rFonts w:asciiTheme="minorHAnsi" w:hAnsiTheme="minorHAnsi" w:cstheme="minorHAnsi"/>
        </w:rPr>
        <w:t>JIRAMA</w:t>
      </w:r>
      <w:r w:rsidR="00E02170" w:rsidRPr="00FF1E27">
        <w:rPr>
          <w:rFonts w:asciiTheme="minorHAnsi" w:hAnsiTheme="minorHAnsi" w:cstheme="minorHAnsi"/>
        </w:rPr>
        <w:t>’s</w:t>
      </w:r>
      <w:r w:rsidR="00D9236C" w:rsidRPr="00FF1E27">
        <w:rPr>
          <w:rFonts w:asciiTheme="minorHAnsi" w:hAnsiTheme="minorHAnsi" w:cstheme="minorHAnsi"/>
        </w:rPr>
        <w:t xml:space="preserve"> financial position. </w:t>
      </w:r>
      <w:r w:rsidR="0079081D" w:rsidRPr="00FF1E27">
        <w:rPr>
          <w:rFonts w:asciiTheme="minorHAnsi" w:hAnsiTheme="minorHAnsi" w:cstheme="minorHAnsi"/>
        </w:rPr>
        <w:t xml:space="preserve">A </w:t>
      </w:r>
      <w:r w:rsidR="004A0D2A" w:rsidRPr="00FF1E27">
        <w:rPr>
          <w:rFonts w:asciiTheme="minorHAnsi" w:hAnsiTheme="minorHAnsi" w:cstheme="minorHAnsi"/>
        </w:rPr>
        <w:t xml:space="preserve">World Bank project on </w:t>
      </w:r>
      <w:r w:rsidR="000D278C" w:rsidRPr="00FF1E27">
        <w:rPr>
          <w:rFonts w:asciiTheme="minorHAnsi" w:hAnsiTheme="minorHAnsi" w:cstheme="minorHAnsi"/>
        </w:rPr>
        <w:t xml:space="preserve">the </w:t>
      </w:r>
      <w:r w:rsidR="004A0D2A" w:rsidRPr="00FF1E27">
        <w:rPr>
          <w:rFonts w:asciiTheme="minorHAnsi" w:hAnsiTheme="minorHAnsi" w:cstheme="minorHAnsi"/>
        </w:rPr>
        <w:t xml:space="preserve">energy sector </w:t>
      </w:r>
      <w:r w:rsidR="00E42ECF" w:rsidRPr="00B66802">
        <w:rPr>
          <w:rFonts w:asciiTheme="minorHAnsi" w:eastAsia="Times New Roman" w:hAnsiTheme="minorHAnsi" w:cstheme="minorHAnsi"/>
        </w:rPr>
        <w:t xml:space="preserve">(P151785) </w:t>
      </w:r>
      <w:r w:rsidR="00AA772B" w:rsidRPr="00FF1E27">
        <w:rPr>
          <w:rFonts w:asciiTheme="minorHAnsi" w:hAnsiTheme="minorHAnsi" w:cstheme="minorHAnsi"/>
        </w:rPr>
        <w:t xml:space="preserve">has provided TA on the </w:t>
      </w:r>
      <w:r w:rsidR="004A0D2A" w:rsidRPr="00FF1E27">
        <w:rPr>
          <w:rFonts w:asciiTheme="minorHAnsi" w:hAnsiTheme="minorHAnsi" w:cstheme="minorHAnsi"/>
        </w:rPr>
        <w:t>drafting of standard contracts.</w:t>
      </w:r>
      <w:r w:rsidR="00A56AAC" w:rsidRPr="00FF1E27">
        <w:rPr>
          <w:rFonts w:asciiTheme="minorHAnsi" w:hAnsiTheme="minorHAnsi" w:cstheme="minorHAnsi"/>
        </w:rPr>
        <w:t xml:space="preserve"> </w:t>
      </w:r>
      <w:r w:rsidR="00BC6FC1" w:rsidRPr="00FF1E27">
        <w:rPr>
          <w:rFonts w:asciiTheme="minorHAnsi" w:hAnsiTheme="minorHAnsi" w:cstheme="minorHAnsi"/>
        </w:rPr>
        <w:t xml:space="preserve">The IMF ECF program also monitors </w:t>
      </w:r>
      <w:r w:rsidR="00AA772B" w:rsidRPr="00FF1E27">
        <w:rPr>
          <w:rFonts w:asciiTheme="minorHAnsi" w:hAnsiTheme="minorHAnsi" w:cstheme="minorHAnsi"/>
        </w:rPr>
        <w:t xml:space="preserve">whether JIRAMA’s contracts are being awarded competitively. </w:t>
      </w:r>
    </w:p>
    <w:p w14:paraId="10A05341" w14:textId="45A020FD" w:rsidR="00444A85" w:rsidRPr="00B66802" w:rsidRDefault="00FF1E27" w:rsidP="00BC6FC1">
      <w:pPr>
        <w:tabs>
          <w:tab w:val="left" w:pos="450"/>
        </w:tabs>
        <w:autoSpaceDE w:val="0"/>
        <w:autoSpaceDN w:val="0"/>
        <w:adjustRightInd w:val="0"/>
        <w:spacing w:after="240" w:line="240" w:lineRule="auto"/>
        <w:jc w:val="both"/>
        <w:rPr>
          <w:rFonts w:asciiTheme="minorHAnsi" w:hAnsiTheme="minorHAnsi" w:cstheme="minorHAnsi"/>
          <w:b/>
          <w:i/>
        </w:rPr>
      </w:pPr>
      <w:r>
        <w:rPr>
          <w:rFonts w:asciiTheme="minorHAnsi" w:hAnsiTheme="minorHAnsi" w:cstheme="minorHAnsi"/>
          <w:b/>
          <w:i/>
        </w:rPr>
        <w:t>Reinforcing</w:t>
      </w:r>
      <w:r w:rsidRPr="00B66802">
        <w:rPr>
          <w:rFonts w:asciiTheme="minorHAnsi" w:hAnsiTheme="minorHAnsi" w:cstheme="minorHAnsi"/>
          <w:b/>
          <w:i/>
        </w:rPr>
        <w:t xml:space="preserve"> </w:t>
      </w:r>
      <w:r w:rsidR="009211C6" w:rsidRPr="00B66802">
        <w:rPr>
          <w:rFonts w:asciiTheme="minorHAnsi" w:hAnsiTheme="minorHAnsi" w:cstheme="minorHAnsi"/>
          <w:b/>
          <w:i/>
        </w:rPr>
        <w:t>commercial justice</w:t>
      </w:r>
    </w:p>
    <w:p w14:paraId="71A69145" w14:textId="613703AA" w:rsidR="001B7EAE" w:rsidRPr="00DC050B" w:rsidRDefault="009211C6" w:rsidP="00FF1E27">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BD4A16">
        <w:rPr>
          <w:rFonts w:asciiTheme="minorHAnsi" w:hAnsiTheme="minorHAnsi" w:cstheme="minorHAnsi"/>
          <w:b/>
        </w:rPr>
        <w:t>Rationale</w:t>
      </w:r>
      <w:r w:rsidRPr="00DC050B">
        <w:rPr>
          <w:rFonts w:asciiTheme="minorHAnsi" w:hAnsiTheme="minorHAnsi" w:cstheme="minorHAnsi"/>
        </w:rPr>
        <w:t xml:space="preserve">. </w:t>
      </w:r>
      <w:r w:rsidR="00044306" w:rsidRPr="00DC050B">
        <w:rPr>
          <w:rFonts w:asciiTheme="minorHAnsi" w:hAnsiTheme="minorHAnsi" w:cstheme="minorHAnsi"/>
        </w:rPr>
        <w:t>It takes 871 days in Madagascar to enforce a contract, compared to 655 days on average in Sub-Saharan Africa</w:t>
      </w:r>
      <w:r w:rsidR="00406280">
        <w:rPr>
          <w:rFonts w:asciiTheme="minorHAnsi" w:hAnsiTheme="minorHAnsi" w:cstheme="minorHAnsi"/>
        </w:rPr>
        <w:t xml:space="preserve"> (SSA)</w:t>
      </w:r>
      <w:r w:rsidR="00044306" w:rsidRPr="00DC050B">
        <w:rPr>
          <w:rFonts w:asciiTheme="minorHAnsi" w:hAnsiTheme="minorHAnsi" w:cstheme="minorHAnsi"/>
        </w:rPr>
        <w:t>. Delays in the justice system impact Madagascar’s economy adversely: weak contract enforcement keeps firms from formalizing</w:t>
      </w:r>
      <w:r w:rsidR="00044306" w:rsidRPr="00B66802">
        <w:rPr>
          <w:rStyle w:val="FootnoteReference"/>
          <w:rFonts w:asciiTheme="minorHAnsi" w:hAnsiTheme="minorHAnsi" w:cstheme="minorHAnsi"/>
        </w:rPr>
        <w:footnoteReference w:id="44"/>
      </w:r>
      <w:r w:rsidR="00044306" w:rsidRPr="00B66802">
        <w:rPr>
          <w:rFonts w:asciiTheme="minorHAnsi" w:hAnsiTheme="minorHAnsi" w:cstheme="minorHAnsi"/>
        </w:rPr>
        <w:t xml:space="preserve"> and credit to be rationed as banks fear that they cannot enforce collateral.</w:t>
      </w:r>
      <w:r w:rsidR="00044306" w:rsidRPr="00B66802">
        <w:rPr>
          <w:rStyle w:val="FootnoteReference"/>
          <w:rFonts w:asciiTheme="minorHAnsi" w:hAnsiTheme="minorHAnsi" w:cstheme="minorHAnsi"/>
        </w:rPr>
        <w:footnoteReference w:id="45"/>
      </w:r>
      <w:r w:rsidR="00044306" w:rsidRPr="00B66802">
        <w:rPr>
          <w:rFonts w:asciiTheme="minorHAnsi" w:hAnsiTheme="minorHAnsi" w:cstheme="minorHAnsi"/>
        </w:rPr>
        <w:t xml:space="preserve"> Enforcement delays also discou</w:t>
      </w:r>
      <w:r w:rsidR="00044306" w:rsidRPr="00BD4A16">
        <w:rPr>
          <w:rFonts w:asciiTheme="minorHAnsi" w:hAnsiTheme="minorHAnsi" w:cstheme="minorHAnsi"/>
        </w:rPr>
        <w:t xml:space="preserve">rage firms’ from developing more contract-intensive goods and discourage foreign </w:t>
      </w:r>
      <w:r w:rsidR="00FF1E27" w:rsidRPr="00BD4A16">
        <w:rPr>
          <w:rFonts w:asciiTheme="minorHAnsi" w:hAnsiTheme="minorHAnsi" w:cstheme="minorHAnsi"/>
        </w:rPr>
        <w:t>investors</w:t>
      </w:r>
      <w:r w:rsidR="00044306" w:rsidRPr="00BD4A16">
        <w:rPr>
          <w:rFonts w:asciiTheme="minorHAnsi" w:hAnsiTheme="minorHAnsi" w:cstheme="minorHAnsi"/>
        </w:rPr>
        <w:t xml:space="preserve"> from investing. Strengthening commercial justice and the legal framework for busi</w:t>
      </w:r>
      <w:r w:rsidR="00044306" w:rsidRPr="00DC050B">
        <w:rPr>
          <w:rFonts w:asciiTheme="minorHAnsi" w:hAnsiTheme="minorHAnsi" w:cstheme="minorHAnsi"/>
        </w:rPr>
        <w:t>ness is an important prerequisite for stimulating private sector dynamism and growth in Madagascar.</w:t>
      </w:r>
    </w:p>
    <w:p w14:paraId="1CBF331A" w14:textId="2F285CBE" w:rsidR="00D81172" w:rsidRPr="00406280" w:rsidRDefault="009211C6" w:rsidP="00FF1E27">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DC050B">
        <w:rPr>
          <w:rFonts w:asciiTheme="minorHAnsi" w:hAnsiTheme="minorHAnsi" w:cstheme="minorHAnsi"/>
          <w:b/>
        </w:rPr>
        <w:t>Reforms</w:t>
      </w:r>
      <w:r w:rsidRPr="006C66C2">
        <w:rPr>
          <w:rFonts w:asciiTheme="minorHAnsi" w:hAnsiTheme="minorHAnsi" w:cstheme="minorHAnsi"/>
        </w:rPr>
        <w:t xml:space="preserve">. </w:t>
      </w:r>
      <w:r w:rsidR="00D81172" w:rsidRPr="006C66C2">
        <w:rPr>
          <w:rFonts w:asciiTheme="minorHAnsi" w:hAnsiTheme="minorHAnsi" w:cstheme="minorHAnsi"/>
        </w:rPr>
        <w:t>Delays in contract enforcement in Madagascar are largely related to weaknesses in the case management of courts in the country. Case allocation to particular judges based on connections, rather than objective criteria have compromised the independence of judgments and led to back-logs in the handling of cases. A practice of granting an unlimited number of adjournments have led to further delays. To a</w:t>
      </w:r>
      <w:r w:rsidR="00D81172" w:rsidRPr="00A20F63">
        <w:rPr>
          <w:rFonts w:asciiTheme="minorHAnsi" w:hAnsiTheme="minorHAnsi" w:cstheme="minorHAnsi"/>
        </w:rPr>
        <w:t>ddress these challenges, reforms in DPO1 focused on mandating in practice the random allocation of commercial cases to judges. In DPO2, the reform is</w:t>
      </w:r>
      <w:r w:rsidR="00341C55" w:rsidRPr="00A20F63">
        <w:rPr>
          <w:rFonts w:asciiTheme="minorHAnsi" w:hAnsiTheme="minorHAnsi" w:cstheme="minorHAnsi"/>
        </w:rPr>
        <w:t xml:space="preserve"> to</w:t>
      </w:r>
      <w:r w:rsidR="00D81172" w:rsidRPr="00A20F63">
        <w:rPr>
          <w:rFonts w:asciiTheme="minorHAnsi" w:hAnsiTheme="minorHAnsi" w:cstheme="minorHAnsi"/>
        </w:rPr>
        <w:t xml:space="preserve"> adopt a new Civil Procedures Code that limits the number of adjournments per case (prior action). Both reforms were developed in consultation with working groups comprised of Government officials</w:t>
      </w:r>
      <w:r w:rsidR="00FB68FA" w:rsidRPr="00A20F63">
        <w:rPr>
          <w:rFonts w:asciiTheme="minorHAnsi" w:hAnsiTheme="minorHAnsi" w:cstheme="minorHAnsi"/>
        </w:rPr>
        <w:t>, the courts / magistrates</w:t>
      </w:r>
      <w:r w:rsidR="00D81172" w:rsidRPr="00A20F63">
        <w:rPr>
          <w:rFonts w:asciiTheme="minorHAnsi" w:hAnsiTheme="minorHAnsi" w:cstheme="minorHAnsi"/>
        </w:rPr>
        <w:t xml:space="preserve"> and the private sector</w:t>
      </w:r>
      <w:r w:rsidR="00FB68FA" w:rsidRPr="00A20F63">
        <w:rPr>
          <w:rFonts w:asciiTheme="minorHAnsi" w:hAnsiTheme="minorHAnsi" w:cstheme="minorHAnsi"/>
        </w:rPr>
        <w:t>. The measures are included in t</w:t>
      </w:r>
      <w:r w:rsidR="00D81172" w:rsidRPr="00A20F63">
        <w:rPr>
          <w:rFonts w:asciiTheme="minorHAnsi" w:hAnsiTheme="minorHAnsi" w:cstheme="minorHAnsi"/>
        </w:rPr>
        <w:t>he Government’s diagnostic and strategic action plan for commercial justice reforms</w:t>
      </w:r>
      <w:r w:rsidR="00D81172" w:rsidRPr="00406280">
        <w:rPr>
          <w:rFonts w:asciiTheme="minorHAnsi" w:hAnsiTheme="minorHAnsi" w:cstheme="minorHAnsi"/>
        </w:rPr>
        <w:t>.</w:t>
      </w:r>
    </w:p>
    <w:p w14:paraId="1A52E0C9" w14:textId="4C1B8F9F" w:rsidR="00932EBA" w:rsidRPr="00B66802" w:rsidRDefault="00932EBA" w:rsidP="00AE3C77">
      <w:pPr>
        <w:pStyle w:val="ListParagraph"/>
        <w:numPr>
          <w:ilvl w:val="0"/>
          <w:numId w:val="24"/>
        </w:numPr>
        <w:autoSpaceDE w:val="0"/>
        <w:autoSpaceDN w:val="0"/>
        <w:adjustRightInd w:val="0"/>
        <w:spacing w:after="240" w:line="240" w:lineRule="auto"/>
        <w:ind w:right="120"/>
        <w:jc w:val="both"/>
        <w:rPr>
          <w:rFonts w:asciiTheme="minorHAnsi" w:hAnsiTheme="minorHAnsi" w:cstheme="minorHAnsi"/>
        </w:rPr>
      </w:pPr>
      <w:r w:rsidRPr="00406280">
        <w:rPr>
          <w:rFonts w:asciiTheme="minorHAnsi" w:hAnsiTheme="minorHAnsi" w:cstheme="minorHAnsi"/>
          <w:b/>
          <w:i/>
        </w:rPr>
        <w:t>P</w:t>
      </w:r>
      <w:r w:rsidR="00EF434C" w:rsidRPr="00406280">
        <w:rPr>
          <w:rFonts w:asciiTheme="minorHAnsi" w:hAnsiTheme="minorHAnsi" w:cstheme="minorHAnsi"/>
          <w:b/>
          <w:i/>
        </w:rPr>
        <w:t xml:space="preserve">rior Action </w:t>
      </w:r>
      <w:r w:rsidRPr="00406280">
        <w:rPr>
          <w:rFonts w:asciiTheme="minorHAnsi" w:hAnsiTheme="minorHAnsi" w:cstheme="minorHAnsi"/>
          <w:b/>
          <w:i/>
        </w:rPr>
        <w:t>8</w:t>
      </w:r>
      <w:r w:rsidR="00755CD4" w:rsidRPr="00406280">
        <w:rPr>
          <w:rFonts w:asciiTheme="minorHAnsi" w:hAnsiTheme="minorHAnsi" w:cstheme="minorHAnsi"/>
          <w:b/>
          <w:i/>
        </w:rPr>
        <w:t>:</w:t>
      </w:r>
      <w:r w:rsidRPr="00406280">
        <w:rPr>
          <w:rFonts w:asciiTheme="minorHAnsi" w:hAnsiTheme="minorHAnsi" w:cstheme="minorHAnsi"/>
        </w:rPr>
        <w:t xml:space="preserve"> </w:t>
      </w:r>
      <w:r w:rsidR="00234CEA" w:rsidRPr="00182C23">
        <w:rPr>
          <w:rFonts w:asciiTheme="minorHAnsi" w:hAnsiTheme="minorHAnsi" w:cstheme="minorHAnsi"/>
          <w:bCs/>
          <w:iCs/>
        </w:rPr>
        <w:t xml:space="preserve">The Recipient has adopted </w:t>
      </w:r>
      <w:r w:rsidR="00234CEA" w:rsidRPr="00182C23">
        <w:rPr>
          <w:rFonts w:asciiTheme="minorHAnsi" w:hAnsiTheme="minorHAnsi" w:cstheme="minorHAnsi"/>
          <w:bCs/>
          <w:i/>
          <w:iCs/>
        </w:rPr>
        <w:t>Loi No. 2016-039 du 15 decembre 2016 modifiant et complétant certaines dispositions du Code de Procedure Civile Mal</w:t>
      </w:r>
      <w:r w:rsidR="00D67BC0" w:rsidRPr="00182C23">
        <w:rPr>
          <w:rFonts w:asciiTheme="minorHAnsi" w:hAnsiTheme="minorHAnsi" w:cstheme="minorHAnsi"/>
          <w:bCs/>
          <w:i/>
          <w:iCs/>
        </w:rPr>
        <w:t>a</w:t>
      </w:r>
      <w:r w:rsidR="00234CEA" w:rsidRPr="00182C23">
        <w:rPr>
          <w:rFonts w:asciiTheme="minorHAnsi" w:hAnsiTheme="minorHAnsi" w:cstheme="minorHAnsi"/>
          <w:bCs/>
          <w:i/>
          <w:iCs/>
        </w:rPr>
        <w:t>gasy</w:t>
      </w:r>
      <w:r w:rsidR="00234CEA" w:rsidRPr="00182C23">
        <w:rPr>
          <w:rFonts w:asciiTheme="minorHAnsi" w:hAnsiTheme="minorHAnsi" w:cstheme="minorHAnsi"/>
          <w:bCs/>
          <w:iCs/>
        </w:rPr>
        <w:t xml:space="preserve"> to integrate commercial justice reforms in the legal framework and reduce the number of postponements of commercial cases.</w:t>
      </w:r>
    </w:p>
    <w:p w14:paraId="3A0195CA" w14:textId="29469B35" w:rsidR="009211C6" w:rsidRPr="00182C23" w:rsidRDefault="009211C6" w:rsidP="00182C23">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182C23">
        <w:rPr>
          <w:rFonts w:asciiTheme="minorHAnsi" w:hAnsiTheme="minorHAnsi" w:cstheme="minorHAnsi"/>
          <w:b/>
        </w:rPr>
        <w:lastRenderedPageBreak/>
        <w:t>Results</w:t>
      </w:r>
      <w:r w:rsidRPr="00182C23">
        <w:rPr>
          <w:rFonts w:asciiTheme="minorHAnsi" w:hAnsiTheme="minorHAnsi" w:cstheme="minorHAnsi"/>
        </w:rPr>
        <w:t xml:space="preserve">. The </w:t>
      </w:r>
      <w:r w:rsidR="00F97CF1" w:rsidRPr="00182C23">
        <w:rPr>
          <w:rFonts w:asciiTheme="minorHAnsi" w:hAnsiTheme="minorHAnsi" w:cstheme="minorHAnsi"/>
        </w:rPr>
        <w:t xml:space="preserve">reforms in </w:t>
      </w:r>
      <w:r w:rsidR="003F03F2" w:rsidRPr="00182C23">
        <w:rPr>
          <w:rFonts w:asciiTheme="minorHAnsi" w:hAnsiTheme="minorHAnsi" w:cstheme="minorHAnsi"/>
        </w:rPr>
        <w:t>DPO1 and DPO2</w:t>
      </w:r>
      <w:r w:rsidR="00F97CF1" w:rsidRPr="00182C23">
        <w:rPr>
          <w:rFonts w:asciiTheme="minorHAnsi" w:hAnsiTheme="minorHAnsi" w:cstheme="minorHAnsi"/>
        </w:rPr>
        <w:t xml:space="preserve"> are designed to reduce the discretionary powers of magistrates to </w:t>
      </w:r>
      <w:r w:rsidR="00BE50BF" w:rsidRPr="00182C23">
        <w:rPr>
          <w:rFonts w:asciiTheme="minorHAnsi" w:hAnsiTheme="minorHAnsi" w:cstheme="minorHAnsi"/>
        </w:rPr>
        <w:t>promote objectivity</w:t>
      </w:r>
      <w:r w:rsidR="00F97CF1" w:rsidRPr="00182C23">
        <w:rPr>
          <w:rFonts w:asciiTheme="minorHAnsi" w:hAnsiTheme="minorHAnsi" w:cstheme="minorHAnsi"/>
        </w:rPr>
        <w:t xml:space="preserve">. </w:t>
      </w:r>
      <w:r w:rsidR="00FD0CB1" w:rsidRPr="00182C23">
        <w:rPr>
          <w:rFonts w:asciiTheme="minorHAnsi" w:hAnsiTheme="minorHAnsi" w:cstheme="minorHAnsi"/>
        </w:rPr>
        <w:t xml:space="preserve">Preliminary information provided by the Ministry of Justice indicates that the delay in cases has already been reduced from 871 days in 2015 to </w:t>
      </w:r>
      <w:r w:rsidR="00180515" w:rsidRPr="00182C23">
        <w:rPr>
          <w:rFonts w:asciiTheme="minorHAnsi" w:hAnsiTheme="minorHAnsi" w:cstheme="minorHAnsi"/>
        </w:rPr>
        <w:t>471</w:t>
      </w:r>
      <w:r w:rsidR="00FD0CB1" w:rsidRPr="00182C23">
        <w:rPr>
          <w:rFonts w:asciiTheme="minorHAnsi" w:hAnsiTheme="minorHAnsi" w:cstheme="minorHAnsi"/>
        </w:rPr>
        <w:t xml:space="preserve"> days in 2016, showing good progress in achieving the reform.</w:t>
      </w:r>
      <w:r w:rsidR="00FD0CB1" w:rsidRPr="00182C23">
        <w:rPr>
          <w:rStyle w:val="FootnoteReference"/>
          <w:rFonts w:asciiTheme="minorHAnsi" w:hAnsiTheme="minorHAnsi" w:cstheme="minorHAnsi"/>
        </w:rPr>
        <w:footnoteReference w:id="46"/>
      </w:r>
      <w:r w:rsidR="00FD0CB1" w:rsidRPr="00182C23">
        <w:rPr>
          <w:rFonts w:asciiTheme="minorHAnsi" w:hAnsiTheme="minorHAnsi" w:cstheme="minorHAnsi"/>
        </w:rPr>
        <w:t xml:space="preserve"> </w:t>
      </w:r>
      <w:r w:rsidR="007A14CF" w:rsidRPr="00182C23">
        <w:rPr>
          <w:rFonts w:asciiTheme="minorHAnsi" w:hAnsiTheme="minorHAnsi" w:cstheme="minorHAnsi"/>
        </w:rPr>
        <w:t xml:space="preserve">Following the reforms supported in DPO1, there has been 100 percent randomization of commercial cases. </w:t>
      </w:r>
      <w:r w:rsidR="003F03F2" w:rsidRPr="00182C23">
        <w:rPr>
          <w:rFonts w:asciiTheme="minorHAnsi" w:hAnsiTheme="minorHAnsi" w:cstheme="minorHAnsi"/>
        </w:rPr>
        <w:t>The reforms are being supported W</w:t>
      </w:r>
      <w:r w:rsidR="00525BCF">
        <w:rPr>
          <w:rFonts w:asciiTheme="minorHAnsi" w:hAnsiTheme="minorHAnsi" w:cstheme="minorHAnsi"/>
        </w:rPr>
        <w:t xml:space="preserve">orld </w:t>
      </w:r>
      <w:r w:rsidR="003F03F2" w:rsidRPr="00182C23">
        <w:rPr>
          <w:rFonts w:asciiTheme="minorHAnsi" w:hAnsiTheme="minorHAnsi" w:cstheme="minorHAnsi"/>
        </w:rPr>
        <w:t>B</w:t>
      </w:r>
      <w:r w:rsidR="00525BCF">
        <w:rPr>
          <w:rFonts w:asciiTheme="minorHAnsi" w:hAnsiTheme="minorHAnsi" w:cstheme="minorHAnsi"/>
        </w:rPr>
        <w:t>ank</w:t>
      </w:r>
      <w:r w:rsidR="003F03F2" w:rsidRPr="00182C23">
        <w:rPr>
          <w:rFonts w:asciiTheme="minorHAnsi" w:hAnsiTheme="minorHAnsi" w:cstheme="minorHAnsi"/>
        </w:rPr>
        <w:t xml:space="preserve"> TA as part of the Integrated Growth Poles and Corridor Project (P083351).</w:t>
      </w:r>
    </w:p>
    <w:p w14:paraId="69DC2E16" w14:textId="7C2C21F0" w:rsidR="00390416" w:rsidRPr="00B66802" w:rsidRDefault="00390416" w:rsidP="00390416">
      <w:pPr>
        <w:tabs>
          <w:tab w:val="left" w:pos="450"/>
        </w:tabs>
        <w:autoSpaceDE w:val="0"/>
        <w:autoSpaceDN w:val="0"/>
        <w:adjustRightInd w:val="0"/>
        <w:spacing w:after="240" w:line="240" w:lineRule="auto"/>
        <w:jc w:val="both"/>
        <w:rPr>
          <w:rFonts w:asciiTheme="minorHAnsi" w:hAnsiTheme="minorHAnsi" w:cstheme="minorHAnsi"/>
          <w:b/>
          <w:i/>
        </w:rPr>
      </w:pPr>
      <w:r w:rsidRPr="00B66802">
        <w:rPr>
          <w:rFonts w:asciiTheme="minorHAnsi" w:hAnsiTheme="minorHAnsi" w:cstheme="minorHAnsi"/>
          <w:b/>
          <w:i/>
        </w:rPr>
        <w:t xml:space="preserve">Promoting </w:t>
      </w:r>
      <w:r w:rsidR="00182C23">
        <w:rPr>
          <w:rFonts w:asciiTheme="minorHAnsi" w:hAnsiTheme="minorHAnsi" w:cstheme="minorHAnsi"/>
          <w:b/>
          <w:i/>
        </w:rPr>
        <w:t>the</w:t>
      </w:r>
      <w:r w:rsidR="00182C23" w:rsidRPr="00B66802">
        <w:rPr>
          <w:rFonts w:asciiTheme="minorHAnsi" w:hAnsiTheme="minorHAnsi" w:cstheme="minorHAnsi"/>
          <w:b/>
          <w:i/>
        </w:rPr>
        <w:t xml:space="preserve"> </w:t>
      </w:r>
      <w:r w:rsidRPr="00B66802">
        <w:rPr>
          <w:rFonts w:asciiTheme="minorHAnsi" w:hAnsiTheme="minorHAnsi" w:cstheme="minorHAnsi"/>
          <w:b/>
          <w:i/>
        </w:rPr>
        <w:t>stab</w:t>
      </w:r>
      <w:r w:rsidR="00182C23">
        <w:rPr>
          <w:rFonts w:asciiTheme="minorHAnsi" w:hAnsiTheme="minorHAnsi" w:cstheme="minorHAnsi"/>
          <w:b/>
          <w:i/>
        </w:rPr>
        <w:t>ility of the</w:t>
      </w:r>
      <w:r w:rsidRPr="00B66802">
        <w:rPr>
          <w:rFonts w:asciiTheme="minorHAnsi" w:hAnsiTheme="minorHAnsi" w:cstheme="minorHAnsi"/>
          <w:b/>
          <w:i/>
        </w:rPr>
        <w:t xml:space="preserve"> financial sector</w:t>
      </w:r>
    </w:p>
    <w:p w14:paraId="48C30D14" w14:textId="52E21C6F" w:rsidR="00B65DF7" w:rsidRPr="00DC050B" w:rsidRDefault="00B65DF7" w:rsidP="00182C23">
      <w:pPr>
        <w:numPr>
          <w:ilvl w:val="0"/>
          <w:numId w:val="44"/>
        </w:numPr>
        <w:tabs>
          <w:tab w:val="clear" w:pos="360"/>
        </w:tabs>
        <w:autoSpaceDE w:val="0"/>
        <w:autoSpaceDN w:val="0"/>
        <w:adjustRightInd w:val="0"/>
        <w:spacing w:after="240" w:line="240" w:lineRule="auto"/>
        <w:ind w:left="0" w:firstLine="0"/>
        <w:jc w:val="both"/>
        <w:rPr>
          <w:rFonts w:asciiTheme="minorHAnsi" w:eastAsia="SimSun" w:hAnsiTheme="minorHAnsi" w:cstheme="minorHAnsi"/>
          <w:bCs/>
        </w:rPr>
      </w:pPr>
      <w:bookmarkStart w:id="11" w:name="_Toc434939175"/>
      <w:r w:rsidRPr="00BD4A16">
        <w:rPr>
          <w:rFonts w:asciiTheme="minorHAnsi" w:hAnsiTheme="minorHAnsi" w:cstheme="minorHAnsi"/>
          <w:b/>
        </w:rPr>
        <w:t xml:space="preserve">Rationale. </w:t>
      </w:r>
      <w:r w:rsidRPr="00DC050B">
        <w:rPr>
          <w:rFonts w:asciiTheme="minorHAnsi" w:hAnsiTheme="minorHAnsi" w:cstheme="minorHAnsi"/>
        </w:rPr>
        <w:t>The microfinance sector plays a critical role in reaching underserved segments of the population and it has been growing rapidly over the past years</w:t>
      </w:r>
      <w:r w:rsidR="001F045D" w:rsidRPr="00DC050B">
        <w:rPr>
          <w:rFonts w:asciiTheme="minorHAnsi" w:hAnsiTheme="minorHAnsi" w:cstheme="minorHAnsi"/>
        </w:rPr>
        <w:t>.</w:t>
      </w:r>
      <w:r w:rsidRPr="00B66802">
        <w:rPr>
          <w:rStyle w:val="FootnoteReference"/>
          <w:rFonts w:asciiTheme="minorHAnsi" w:hAnsiTheme="minorHAnsi" w:cstheme="minorHAnsi"/>
          <w:color w:val="000000"/>
        </w:rPr>
        <w:footnoteReference w:id="47"/>
      </w:r>
      <w:r w:rsidRPr="00B66802">
        <w:rPr>
          <w:rFonts w:asciiTheme="minorHAnsi" w:hAnsiTheme="minorHAnsi" w:cstheme="minorHAnsi"/>
        </w:rPr>
        <w:t xml:space="preserve"> However, the rapid growth of the sector has come with a deterioration of credit portfolio quality at some MFIs and a poor control of certain operational and governance risks. </w:t>
      </w:r>
      <w:r w:rsidRPr="00BD4A16">
        <w:rPr>
          <w:rFonts w:asciiTheme="minorHAnsi" w:hAnsiTheme="minorHAnsi" w:cstheme="minorHAnsi"/>
        </w:rPr>
        <w:t>The sector has recently seen the failure of one important MFI network wh</w:t>
      </w:r>
      <w:r w:rsidRPr="00DC050B">
        <w:rPr>
          <w:rFonts w:asciiTheme="minorHAnsi" w:hAnsiTheme="minorHAnsi" w:cstheme="minorHAnsi"/>
        </w:rPr>
        <w:t>ile another one is under temporary administration. These episodes are undermining the confidence of customers and ultimately posing risks to the stability of the microfinance sector.</w:t>
      </w:r>
    </w:p>
    <w:p w14:paraId="7DD98224" w14:textId="0D5E0874" w:rsidR="00B65DF7" w:rsidRPr="00B66802" w:rsidRDefault="00B65DF7" w:rsidP="00182C23">
      <w:pPr>
        <w:numPr>
          <w:ilvl w:val="0"/>
          <w:numId w:val="44"/>
        </w:numPr>
        <w:tabs>
          <w:tab w:val="clear" w:pos="360"/>
        </w:tabs>
        <w:autoSpaceDE w:val="0"/>
        <w:autoSpaceDN w:val="0"/>
        <w:adjustRightInd w:val="0"/>
        <w:spacing w:after="240" w:line="240" w:lineRule="auto"/>
        <w:ind w:left="0" w:firstLine="0"/>
        <w:jc w:val="both"/>
        <w:rPr>
          <w:rFonts w:asciiTheme="minorHAnsi" w:eastAsia="SimSun" w:hAnsiTheme="minorHAnsi" w:cstheme="minorHAnsi"/>
          <w:bCs/>
        </w:rPr>
      </w:pPr>
      <w:r w:rsidRPr="00DC050B">
        <w:rPr>
          <w:rFonts w:asciiTheme="minorHAnsi" w:eastAsiaTheme="minorHAnsi" w:hAnsiTheme="minorHAnsi" w:cstheme="minorHAnsi"/>
          <w:b/>
        </w:rPr>
        <w:t xml:space="preserve">Reforms. </w:t>
      </w:r>
      <w:r w:rsidRPr="006C66C2">
        <w:rPr>
          <w:rFonts w:asciiTheme="minorHAnsi" w:hAnsiTheme="minorHAnsi" w:cstheme="minorHAnsi"/>
          <w:color w:val="000000"/>
        </w:rPr>
        <w:t xml:space="preserve">The Malagasy financial sector supervisory agency, CSBF, has identified multiple institutions facing financial difficulties and expects to consolidate the sector to preserve stability and the confidence of customers. However, </w:t>
      </w:r>
      <w:r w:rsidRPr="006C66C2">
        <w:rPr>
          <w:rFonts w:asciiTheme="minorHAnsi" w:hAnsiTheme="minorHAnsi" w:cstheme="minorHAnsi"/>
        </w:rPr>
        <w:t>since the existing regulatory framework does not include resolution schemes for MFIs, the CSBF does not have the tools to intervene in times of crises. T</w:t>
      </w:r>
      <w:r w:rsidRPr="006C66C2">
        <w:rPr>
          <w:rFonts w:asciiTheme="minorHAnsi" w:eastAsia="SimSun" w:hAnsiTheme="minorHAnsi" w:cstheme="minorHAnsi"/>
          <w:bCs/>
        </w:rPr>
        <w:t>here is a need to strengthen prudential regulations to permit (i) a consolidation of the sector; and (ii) the introduction of risk-based supervisio</w:t>
      </w:r>
      <w:r w:rsidRPr="00A20F63">
        <w:rPr>
          <w:rFonts w:asciiTheme="minorHAnsi" w:eastAsia="SimSun" w:hAnsiTheme="minorHAnsi" w:cstheme="minorHAnsi"/>
          <w:bCs/>
        </w:rPr>
        <w:t xml:space="preserve">n. </w:t>
      </w:r>
      <w:r w:rsidRPr="00A20F63">
        <w:rPr>
          <w:rFonts w:asciiTheme="minorHAnsi" w:eastAsiaTheme="minorHAnsi" w:hAnsiTheme="minorHAnsi" w:cstheme="minorHAnsi"/>
        </w:rPr>
        <w:t>In DPO1 the reforms aimed at promoting stability of the banking sector at large through completing on-site supervision of the two largest banks.</w:t>
      </w:r>
      <w:r w:rsidRPr="00B66802">
        <w:rPr>
          <w:rStyle w:val="FootnoteReference"/>
          <w:rFonts w:asciiTheme="minorHAnsi" w:eastAsiaTheme="minorHAnsi" w:hAnsiTheme="minorHAnsi" w:cstheme="minorHAnsi"/>
        </w:rPr>
        <w:footnoteReference w:id="48"/>
      </w:r>
      <w:r w:rsidRPr="00B66802">
        <w:rPr>
          <w:rFonts w:asciiTheme="minorHAnsi" w:eastAsiaTheme="minorHAnsi" w:hAnsiTheme="minorHAnsi" w:cstheme="minorHAnsi"/>
        </w:rPr>
        <w:t xml:space="preserve"> DPO2 complements DPO1 by focusing on the micro-finance sector: the microfinance law</w:t>
      </w:r>
      <w:r w:rsidRPr="00BD4A16">
        <w:rPr>
          <w:rFonts w:asciiTheme="minorHAnsi" w:eastAsiaTheme="minorHAnsi" w:hAnsiTheme="minorHAnsi" w:cstheme="minorHAnsi"/>
        </w:rPr>
        <w:t xml:space="preserve"> has been revised to fur</w:t>
      </w:r>
      <w:r w:rsidRPr="00DC050B">
        <w:rPr>
          <w:rFonts w:asciiTheme="minorHAnsi" w:eastAsiaTheme="minorHAnsi" w:hAnsiTheme="minorHAnsi" w:cstheme="minorHAnsi"/>
        </w:rPr>
        <w:t xml:space="preserve">ther promote stability. The revised law seeks to introduce: </w:t>
      </w:r>
      <w:r w:rsidRPr="00DC050B">
        <w:rPr>
          <w:rFonts w:asciiTheme="minorHAnsi" w:eastAsia="SimSun" w:hAnsiTheme="minorHAnsi" w:cstheme="minorHAnsi"/>
          <w:bCs/>
        </w:rPr>
        <w:t>(i) resolution powers for the CSBF; (ii) the principle of a deposit guarantee fund for MFI clients; (iii) prudential and non-prudential measures such as minimum capital requirements, consumer protection</w:t>
      </w:r>
      <w:r w:rsidR="001349D1" w:rsidRPr="00DC050B">
        <w:rPr>
          <w:rFonts w:asciiTheme="minorHAnsi" w:eastAsia="SimSun" w:hAnsiTheme="minorHAnsi" w:cstheme="minorHAnsi"/>
          <w:bCs/>
        </w:rPr>
        <w:t>;</w:t>
      </w:r>
      <w:r w:rsidRPr="00B66802">
        <w:rPr>
          <w:rStyle w:val="FootnoteReference"/>
          <w:rFonts w:asciiTheme="minorHAnsi" w:eastAsia="SimSun" w:hAnsiTheme="minorHAnsi" w:cstheme="minorHAnsi"/>
          <w:bCs/>
        </w:rPr>
        <w:footnoteReference w:id="49"/>
      </w:r>
      <w:r w:rsidRPr="00B66802">
        <w:rPr>
          <w:rFonts w:asciiTheme="minorHAnsi" w:eastAsia="SimSun" w:hAnsiTheme="minorHAnsi" w:cstheme="minorHAnsi"/>
          <w:bCs/>
        </w:rPr>
        <w:t xml:space="preserve"> (iv) simplified categorizations of MFIs</w:t>
      </w:r>
      <w:r w:rsidR="00FD401B">
        <w:rPr>
          <w:rFonts w:asciiTheme="minorHAnsi" w:eastAsia="SimSun" w:hAnsiTheme="minorHAnsi" w:cstheme="minorHAnsi"/>
          <w:bCs/>
        </w:rPr>
        <w:t>;</w:t>
      </w:r>
      <w:r w:rsidRPr="00B66802">
        <w:rPr>
          <w:rStyle w:val="FootnoteReference"/>
          <w:rFonts w:asciiTheme="minorHAnsi" w:eastAsia="SimSun" w:hAnsiTheme="minorHAnsi" w:cstheme="minorHAnsi"/>
          <w:bCs/>
        </w:rPr>
        <w:footnoteReference w:id="50"/>
      </w:r>
      <w:r w:rsidRPr="00B66802">
        <w:rPr>
          <w:rFonts w:asciiTheme="minorHAnsi" w:eastAsia="SimSun" w:hAnsiTheme="minorHAnsi" w:cstheme="minorHAnsi"/>
          <w:bCs/>
        </w:rPr>
        <w:t xml:space="preserve"> and (v) enhanced risk-based supervision for the CSBF, including tools derived from the "CAMELS" approach</w:t>
      </w:r>
      <w:r w:rsidR="001349D1" w:rsidRPr="00B66802">
        <w:rPr>
          <w:rFonts w:asciiTheme="minorHAnsi" w:eastAsia="SimSun" w:hAnsiTheme="minorHAnsi" w:cstheme="minorHAnsi"/>
          <w:bCs/>
        </w:rPr>
        <w:t>.</w:t>
      </w:r>
      <w:r w:rsidRPr="00B66802">
        <w:rPr>
          <w:rStyle w:val="FootnoteReference"/>
          <w:rFonts w:asciiTheme="minorHAnsi" w:eastAsia="SimSun" w:hAnsiTheme="minorHAnsi" w:cstheme="minorHAnsi"/>
          <w:bCs/>
        </w:rPr>
        <w:footnoteReference w:id="51"/>
      </w:r>
      <w:r w:rsidRPr="00B66802">
        <w:rPr>
          <w:rFonts w:asciiTheme="minorHAnsi" w:eastAsia="SimSun" w:hAnsiTheme="minorHAnsi" w:cstheme="minorHAnsi"/>
          <w:bCs/>
        </w:rPr>
        <w:t xml:space="preserve"> </w:t>
      </w:r>
    </w:p>
    <w:p w14:paraId="1C62A308" w14:textId="1F193356" w:rsidR="00B65DF7" w:rsidRPr="00B66802" w:rsidRDefault="00B65DF7" w:rsidP="00234CEA">
      <w:pPr>
        <w:pStyle w:val="ListParagraph"/>
        <w:numPr>
          <w:ilvl w:val="0"/>
          <w:numId w:val="24"/>
        </w:numPr>
        <w:autoSpaceDE w:val="0"/>
        <w:autoSpaceDN w:val="0"/>
        <w:adjustRightInd w:val="0"/>
        <w:spacing w:after="240" w:line="240" w:lineRule="auto"/>
        <w:ind w:right="120"/>
        <w:jc w:val="both"/>
        <w:rPr>
          <w:rFonts w:asciiTheme="minorHAnsi" w:hAnsiTheme="minorHAnsi" w:cstheme="minorHAnsi"/>
          <w:color w:val="000000" w:themeColor="text1"/>
        </w:rPr>
      </w:pPr>
      <w:r w:rsidRPr="00B66802">
        <w:rPr>
          <w:rFonts w:asciiTheme="minorHAnsi" w:hAnsiTheme="minorHAnsi" w:cstheme="minorHAnsi"/>
          <w:b/>
          <w:i/>
        </w:rPr>
        <w:t>Prior</w:t>
      </w:r>
      <w:r w:rsidRPr="00B66802">
        <w:rPr>
          <w:rFonts w:asciiTheme="minorHAnsi" w:eastAsiaTheme="minorHAnsi" w:hAnsiTheme="minorHAnsi" w:cstheme="minorHAnsi"/>
          <w:b/>
        </w:rPr>
        <w:t xml:space="preserve"> action 9:</w:t>
      </w:r>
      <w:r w:rsidRPr="00BD4A16">
        <w:rPr>
          <w:rFonts w:asciiTheme="minorHAnsi" w:hAnsiTheme="minorHAnsi" w:cstheme="minorHAnsi"/>
        </w:rPr>
        <w:t xml:space="preserve"> </w:t>
      </w:r>
      <w:r w:rsidR="00F216CD" w:rsidRPr="001E36FC">
        <w:rPr>
          <w:rFonts w:asciiTheme="minorHAnsi" w:hAnsiTheme="minorHAnsi" w:cstheme="minorHAnsi"/>
          <w:bCs/>
          <w:iCs/>
        </w:rPr>
        <w:t xml:space="preserve">The Recipient has submitted to Parliament the </w:t>
      </w:r>
      <w:r w:rsidR="00F216CD" w:rsidRPr="001E36FC">
        <w:rPr>
          <w:rFonts w:asciiTheme="minorHAnsi" w:hAnsiTheme="minorHAnsi" w:cstheme="minorHAnsi"/>
          <w:bCs/>
          <w:i/>
          <w:iCs/>
        </w:rPr>
        <w:t xml:space="preserve">Projet de Loi No. 025/2017 du 27 septembre 2017 sur la microfinance, </w:t>
      </w:r>
      <w:r w:rsidR="00F216CD" w:rsidRPr="001E36FC">
        <w:rPr>
          <w:rFonts w:asciiTheme="minorHAnsi" w:hAnsiTheme="minorHAnsi" w:cstheme="minorHAnsi"/>
          <w:bCs/>
          <w:iCs/>
        </w:rPr>
        <w:t>the draft law on microfinance, including resolution schemes for microfinance institutions</w:t>
      </w:r>
      <w:r w:rsidR="00FD401B">
        <w:rPr>
          <w:rFonts w:asciiTheme="minorHAnsi" w:hAnsiTheme="minorHAnsi" w:cstheme="minorHAnsi"/>
          <w:bCs/>
          <w:iCs/>
        </w:rPr>
        <w:t>.</w:t>
      </w:r>
    </w:p>
    <w:p w14:paraId="322D2D38" w14:textId="434E00A2" w:rsidR="00C846CF" w:rsidRPr="00A20F63" w:rsidRDefault="00B65DF7" w:rsidP="001E36FC">
      <w:pPr>
        <w:numPr>
          <w:ilvl w:val="0"/>
          <w:numId w:val="44"/>
        </w:numPr>
        <w:tabs>
          <w:tab w:val="clear" w:pos="360"/>
        </w:tabs>
        <w:autoSpaceDE w:val="0"/>
        <w:autoSpaceDN w:val="0"/>
        <w:adjustRightInd w:val="0"/>
        <w:spacing w:after="0" w:line="240" w:lineRule="auto"/>
        <w:ind w:left="0" w:firstLine="0"/>
        <w:jc w:val="both"/>
        <w:rPr>
          <w:rFonts w:asciiTheme="minorHAnsi" w:hAnsiTheme="minorHAnsi" w:cstheme="minorHAnsi"/>
          <w:b/>
        </w:rPr>
      </w:pPr>
      <w:r w:rsidRPr="00BD4A16">
        <w:rPr>
          <w:rFonts w:asciiTheme="minorHAnsi" w:hAnsiTheme="minorHAnsi" w:cstheme="minorHAnsi"/>
          <w:b/>
        </w:rPr>
        <w:t>Results.</w:t>
      </w:r>
      <w:r w:rsidRPr="00DC050B">
        <w:rPr>
          <w:rFonts w:asciiTheme="minorHAnsi" w:hAnsiTheme="minorHAnsi" w:cstheme="minorHAnsi"/>
        </w:rPr>
        <w:t xml:space="preserve"> </w:t>
      </w:r>
      <w:r w:rsidRPr="00DC050B">
        <w:rPr>
          <w:rFonts w:asciiTheme="minorHAnsi" w:hAnsiTheme="minorHAnsi" w:cstheme="minorHAnsi"/>
          <w:color w:val="000000" w:themeColor="text1"/>
        </w:rPr>
        <w:t>The expected result is a more stable and better supervised financial sector, with higher trust of microfinance clients in the system particularly for the safety of their deposits. This outcome will be determined by an intensification of on-site inspections of MFIs followed by the adoption of a risk-based (as opposed to a compliance-based) approach to supervision. In DPO1 on-site supervision of the four largest banks took place. In DPO2</w:t>
      </w:r>
      <w:r w:rsidR="00FD401B">
        <w:rPr>
          <w:rFonts w:asciiTheme="minorHAnsi" w:hAnsiTheme="minorHAnsi" w:cstheme="minorHAnsi"/>
          <w:color w:val="000000" w:themeColor="text1"/>
        </w:rPr>
        <w:t>,</w:t>
      </w:r>
      <w:r w:rsidRPr="00DC050B">
        <w:rPr>
          <w:rFonts w:asciiTheme="minorHAnsi" w:hAnsiTheme="minorHAnsi" w:cstheme="minorHAnsi"/>
          <w:color w:val="000000" w:themeColor="text1"/>
        </w:rPr>
        <w:t xml:space="preserve"> it is expected that the risk-based supervision mechanism will be fully in place for MFIs. </w:t>
      </w:r>
      <w:r w:rsidRPr="00DC050B">
        <w:rPr>
          <w:rFonts w:asciiTheme="minorHAnsi" w:hAnsiTheme="minorHAnsi" w:cstheme="minorHAnsi"/>
          <w:color w:val="000000"/>
        </w:rPr>
        <w:t xml:space="preserve">The reforms are supported by the </w:t>
      </w:r>
      <w:r w:rsidRPr="006C66C2">
        <w:rPr>
          <w:rFonts w:asciiTheme="minorHAnsi" w:eastAsia="Times New Roman" w:hAnsiTheme="minorHAnsi" w:cstheme="minorHAnsi"/>
        </w:rPr>
        <w:t xml:space="preserve">Madagascar Microfinance </w:t>
      </w:r>
      <w:r w:rsidR="001F045D" w:rsidRPr="006C66C2">
        <w:rPr>
          <w:rFonts w:asciiTheme="minorHAnsi" w:eastAsia="Times New Roman" w:hAnsiTheme="minorHAnsi" w:cstheme="minorHAnsi"/>
        </w:rPr>
        <w:t>Supervision P</w:t>
      </w:r>
      <w:r w:rsidRPr="006C66C2">
        <w:rPr>
          <w:rFonts w:asciiTheme="minorHAnsi" w:eastAsia="Times New Roman" w:hAnsiTheme="minorHAnsi" w:cstheme="minorHAnsi"/>
        </w:rPr>
        <w:t>roject (P153761).</w:t>
      </w:r>
      <w:r w:rsidRPr="006C66C2">
        <w:rPr>
          <w:rFonts w:asciiTheme="minorHAnsi" w:hAnsiTheme="minorHAnsi" w:cstheme="minorHAnsi"/>
        </w:rPr>
        <w:t xml:space="preserve">  </w:t>
      </w:r>
      <w:bookmarkEnd w:id="11"/>
    </w:p>
    <w:p w14:paraId="3AB3610F" w14:textId="77777777" w:rsidR="00E34126" w:rsidRPr="00A20F63" w:rsidRDefault="00E34126" w:rsidP="00E34126">
      <w:pPr>
        <w:tabs>
          <w:tab w:val="left" w:pos="450"/>
        </w:tabs>
        <w:autoSpaceDE w:val="0"/>
        <w:autoSpaceDN w:val="0"/>
        <w:adjustRightInd w:val="0"/>
        <w:spacing w:after="0" w:line="240" w:lineRule="auto"/>
        <w:jc w:val="both"/>
        <w:rPr>
          <w:rFonts w:asciiTheme="minorHAnsi" w:hAnsiTheme="minorHAnsi" w:cstheme="minorHAnsi"/>
          <w:b/>
        </w:rPr>
      </w:pPr>
    </w:p>
    <w:p w14:paraId="232B8A6D" w14:textId="04E5E03B" w:rsidR="00596A86" w:rsidRPr="00CC0435" w:rsidRDefault="00D30CDF" w:rsidP="002A4AFE">
      <w:pPr>
        <w:pStyle w:val="ListParagraph"/>
        <w:numPr>
          <w:ilvl w:val="0"/>
          <w:numId w:val="44"/>
        </w:numPr>
        <w:tabs>
          <w:tab w:val="clear" w:pos="360"/>
        </w:tabs>
        <w:autoSpaceDE w:val="0"/>
        <w:autoSpaceDN w:val="0"/>
        <w:adjustRightInd w:val="0"/>
        <w:spacing w:after="0" w:line="240" w:lineRule="auto"/>
        <w:ind w:left="720" w:hanging="720"/>
        <w:jc w:val="both"/>
        <w:rPr>
          <w:rFonts w:asciiTheme="minorHAnsi" w:hAnsiTheme="minorHAnsi" w:cstheme="minorHAnsi"/>
          <w:lang w:eastAsia="ja-JP"/>
        </w:rPr>
      </w:pPr>
      <w:r w:rsidRPr="00CC0435">
        <w:rPr>
          <w:rFonts w:asciiTheme="minorHAnsi" w:hAnsiTheme="minorHAnsi" w:cstheme="minorHAnsi"/>
          <w:b/>
        </w:rPr>
        <w:lastRenderedPageBreak/>
        <w:t>T</w:t>
      </w:r>
      <w:r w:rsidR="0085057B" w:rsidRPr="00CC0435">
        <w:rPr>
          <w:rFonts w:asciiTheme="minorHAnsi" w:hAnsiTheme="minorHAnsi" w:cstheme="minorHAnsi"/>
          <w:b/>
        </w:rPr>
        <w:t>he prior actions in DPO2 are aligned with the triggers proposed in DPO1.</w:t>
      </w:r>
      <w:r w:rsidR="00946235" w:rsidRPr="00CC0435">
        <w:rPr>
          <w:rFonts w:asciiTheme="minorHAnsi" w:hAnsiTheme="minorHAnsi" w:cstheme="minorHAnsi"/>
          <w:b/>
        </w:rPr>
        <w:t xml:space="preserve"> </w:t>
      </w:r>
    </w:p>
    <w:p w14:paraId="37C7FB95" w14:textId="17696685" w:rsidR="006C5C16" w:rsidRPr="00A20F63" w:rsidRDefault="00E26691" w:rsidP="001E36FC">
      <w:pPr>
        <w:tabs>
          <w:tab w:val="left" w:pos="450"/>
        </w:tabs>
        <w:autoSpaceDE w:val="0"/>
        <w:autoSpaceDN w:val="0"/>
        <w:adjustRightInd w:val="0"/>
        <w:spacing w:after="240" w:line="240" w:lineRule="auto"/>
        <w:jc w:val="center"/>
        <w:rPr>
          <w:rFonts w:asciiTheme="minorHAnsi" w:hAnsiTheme="minorHAnsi" w:cstheme="minorHAnsi"/>
          <w:b/>
          <w:lang w:eastAsia="ja-JP"/>
        </w:rPr>
      </w:pPr>
      <w:r w:rsidRPr="00A20F63">
        <w:rPr>
          <w:rFonts w:asciiTheme="minorHAnsi" w:hAnsiTheme="minorHAnsi" w:cstheme="minorHAnsi"/>
          <w:b/>
          <w:lang w:eastAsia="ja-JP"/>
        </w:rPr>
        <w:t xml:space="preserve">Table 4: </w:t>
      </w:r>
      <w:r w:rsidR="006E396E" w:rsidRPr="00A20F63">
        <w:rPr>
          <w:rFonts w:asciiTheme="minorHAnsi" w:hAnsiTheme="minorHAnsi" w:cstheme="minorHAnsi"/>
          <w:b/>
          <w:lang w:eastAsia="ja-JP"/>
        </w:rPr>
        <w:t>Comparison of Triggers and Prior Actions</w:t>
      </w:r>
      <w:r w:rsidR="008A55D8">
        <w:rPr>
          <w:rFonts w:asciiTheme="minorHAnsi" w:hAnsiTheme="minorHAnsi" w:cstheme="minorHAnsi"/>
          <w:b/>
          <w:lang w:eastAsia="ja-JP"/>
        </w:rPr>
        <w:t xml:space="preserve"> for DPO</w:t>
      </w:r>
      <w:r w:rsidR="001E36FC">
        <w:rPr>
          <w:rFonts w:asciiTheme="minorHAnsi" w:hAnsiTheme="minorHAnsi" w:cstheme="minorHAnsi"/>
          <w:b/>
          <w:lang w:eastAsia="ja-JP"/>
        </w:rPr>
        <w:t>2</w:t>
      </w:r>
      <w:r w:rsidR="008A55D8">
        <w:rPr>
          <w:rFonts w:asciiTheme="minorHAnsi" w:hAnsiTheme="minorHAnsi" w:cstheme="minorHAnsi"/>
          <w:b/>
          <w:lang w:eastAsia="ja-JP"/>
        </w:rPr>
        <w:t xml:space="preserve"> </w:t>
      </w:r>
    </w:p>
    <w:tbl>
      <w:tblPr>
        <w:tblStyle w:val="TableGrid"/>
        <w:tblW w:w="0" w:type="auto"/>
        <w:tblLook w:val="04A0" w:firstRow="1" w:lastRow="0" w:firstColumn="1" w:lastColumn="0" w:noHBand="0" w:noVBand="1"/>
      </w:tblPr>
      <w:tblGrid>
        <w:gridCol w:w="2887"/>
        <w:gridCol w:w="3605"/>
        <w:gridCol w:w="2858"/>
      </w:tblGrid>
      <w:tr w:rsidR="004F6DAD" w:rsidRPr="00B66802" w14:paraId="705427F6" w14:textId="77777777" w:rsidTr="00C13CFC">
        <w:tc>
          <w:tcPr>
            <w:tcW w:w="2887" w:type="dxa"/>
          </w:tcPr>
          <w:p w14:paraId="0E0B5567" w14:textId="418EAC7F" w:rsidR="004F6DAD" w:rsidRPr="00406280" w:rsidRDefault="004F6DAD" w:rsidP="002568CE">
            <w:pPr>
              <w:tabs>
                <w:tab w:val="left" w:pos="450"/>
              </w:tabs>
              <w:autoSpaceDE w:val="0"/>
              <w:autoSpaceDN w:val="0"/>
              <w:adjustRightInd w:val="0"/>
              <w:spacing w:after="0" w:line="240" w:lineRule="auto"/>
              <w:jc w:val="both"/>
              <w:rPr>
                <w:rFonts w:asciiTheme="minorHAnsi" w:hAnsiTheme="minorHAnsi" w:cstheme="minorHAnsi"/>
                <w:b/>
                <w:lang w:eastAsia="ja-JP"/>
              </w:rPr>
            </w:pPr>
            <w:r w:rsidRPr="00406280">
              <w:rPr>
                <w:rFonts w:asciiTheme="minorHAnsi" w:hAnsiTheme="minorHAnsi" w:cstheme="minorHAnsi"/>
                <w:b/>
                <w:lang w:eastAsia="ja-JP"/>
              </w:rPr>
              <w:t>Trigger identified in DPO 1 for DPO</w:t>
            </w:r>
            <w:r w:rsidR="001E36FC">
              <w:rPr>
                <w:rFonts w:asciiTheme="minorHAnsi" w:hAnsiTheme="minorHAnsi" w:cstheme="minorHAnsi"/>
                <w:b/>
                <w:lang w:eastAsia="ja-JP"/>
              </w:rPr>
              <w:t>2</w:t>
            </w:r>
            <w:r w:rsidRPr="00406280">
              <w:rPr>
                <w:rFonts w:asciiTheme="minorHAnsi" w:hAnsiTheme="minorHAnsi" w:cstheme="minorHAnsi"/>
                <w:b/>
                <w:lang w:eastAsia="ja-JP"/>
              </w:rPr>
              <w:t xml:space="preserve"> </w:t>
            </w:r>
          </w:p>
        </w:tc>
        <w:tc>
          <w:tcPr>
            <w:tcW w:w="3605" w:type="dxa"/>
          </w:tcPr>
          <w:p w14:paraId="63D814D3" w14:textId="7DBDB602" w:rsidR="004F6DAD" w:rsidRPr="00406280" w:rsidRDefault="004F6DAD" w:rsidP="002568CE">
            <w:pPr>
              <w:tabs>
                <w:tab w:val="left" w:pos="450"/>
              </w:tabs>
              <w:autoSpaceDE w:val="0"/>
              <w:autoSpaceDN w:val="0"/>
              <w:adjustRightInd w:val="0"/>
              <w:spacing w:after="0" w:line="240" w:lineRule="auto"/>
              <w:jc w:val="both"/>
              <w:rPr>
                <w:rFonts w:asciiTheme="minorHAnsi" w:hAnsiTheme="minorHAnsi" w:cstheme="minorHAnsi"/>
                <w:b/>
                <w:lang w:eastAsia="ja-JP"/>
              </w:rPr>
            </w:pPr>
            <w:r w:rsidRPr="00406280">
              <w:rPr>
                <w:rFonts w:asciiTheme="minorHAnsi" w:hAnsiTheme="minorHAnsi" w:cstheme="minorHAnsi"/>
                <w:b/>
                <w:lang w:eastAsia="ja-JP"/>
              </w:rPr>
              <w:t>DPO</w:t>
            </w:r>
            <w:r w:rsidR="001E36FC">
              <w:rPr>
                <w:rFonts w:asciiTheme="minorHAnsi" w:hAnsiTheme="minorHAnsi" w:cstheme="minorHAnsi"/>
                <w:b/>
                <w:lang w:eastAsia="ja-JP"/>
              </w:rPr>
              <w:t>2</w:t>
            </w:r>
            <w:r w:rsidR="008A55D8" w:rsidRPr="00406280">
              <w:rPr>
                <w:rFonts w:asciiTheme="minorHAnsi" w:hAnsiTheme="minorHAnsi" w:cstheme="minorHAnsi"/>
                <w:b/>
                <w:lang w:eastAsia="ja-JP"/>
              </w:rPr>
              <w:t xml:space="preserve"> </w:t>
            </w:r>
            <w:r w:rsidRPr="00406280">
              <w:rPr>
                <w:rFonts w:asciiTheme="minorHAnsi" w:hAnsiTheme="minorHAnsi" w:cstheme="minorHAnsi"/>
                <w:b/>
                <w:lang w:eastAsia="ja-JP"/>
              </w:rPr>
              <w:t>prior action</w:t>
            </w:r>
          </w:p>
        </w:tc>
        <w:tc>
          <w:tcPr>
            <w:tcW w:w="2858" w:type="dxa"/>
          </w:tcPr>
          <w:p w14:paraId="73A3DCA2" w14:textId="77777777" w:rsidR="004F6DAD" w:rsidRPr="00601B29" w:rsidRDefault="004F6DAD" w:rsidP="002568CE">
            <w:pPr>
              <w:tabs>
                <w:tab w:val="left" w:pos="450"/>
              </w:tabs>
              <w:autoSpaceDE w:val="0"/>
              <w:autoSpaceDN w:val="0"/>
              <w:adjustRightInd w:val="0"/>
              <w:spacing w:after="0" w:line="240" w:lineRule="auto"/>
              <w:jc w:val="both"/>
              <w:rPr>
                <w:rFonts w:asciiTheme="minorHAnsi" w:hAnsiTheme="minorHAnsi" w:cstheme="minorHAnsi"/>
                <w:b/>
                <w:lang w:eastAsia="ja-JP"/>
              </w:rPr>
            </w:pPr>
            <w:r w:rsidRPr="00601B29">
              <w:rPr>
                <w:rFonts w:asciiTheme="minorHAnsi" w:hAnsiTheme="minorHAnsi" w:cstheme="minorHAnsi"/>
                <w:b/>
                <w:lang w:eastAsia="ja-JP"/>
              </w:rPr>
              <w:t>Comment</w:t>
            </w:r>
          </w:p>
        </w:tc>
      </w:tr>
      <w:tr w:rsidR="00C13CFC" w:rsidRPr="00B66802" w14:paraId="211FFA63" w14:textId="77777777" w:rsidTr="00391ABB">
        <w:trPr>
          <w:trHeight w:val="1142"/>
        </w:trPr>
        <w:tc>
          <w:tcPr>
            <w:tcW w:w="2887" w:type="dxa"/>
          </w:tcPr>
          <w:p w14:paraId="678E04F9" w14:textId="77777777" w:rsidR="00C13CFC" w:rsidRPr="00DC050B"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r w:rsidRPr="00B66802">
              <w:rPr>
                <w:rFonts w:asciiTheme="minorHAnsi" w:hAnsiTheme="minorHAnsi" w:cstheme="minorHAnsi"/>
                <w:b/>
              </w:rPr>
              <w:t>T#1.</w:t>
            </w:r>
            <w:r w:rsidRPr="00B66802">
              <w:rPr>
                <w:rFonts w:asciiTheme="minorHAnsi" w:hAnsiTheme="minorHAnsi" w:cstheme="minorHAnsi"/>
              </w:rPr>
              <w:t xml:space="preserve"> </w:t>
            </w:r>
            <w:r w:rsidRPr="00B66802">
              <w:rPr>
                <w:rFonts w:asciiTheme="minorHAnsi" w:hAnsiTheme="minorHAnsi" w:cstheme="minorHAnsi"/>
                <w:lang w:val="x-none"/>
              </w:rPr>
              <w:t>The Recipient has, through its M</w:t>
            </w:r>
            <w:r w:rsidRPr="00BD4A16">
              <w:rPr>
                <w:rFonts w:asciiTheme="minorHAnsi" w:hAnsiTheme="minorHAnsi" w:cstheme="minorHAnsi"/>
              </w:rPr>
              <w:t>FB published the first a</w:t>
            </w:r>
            <w:r w:rsidRPr="00DC050B">
              <w:rPr>
                <w:rFonts w:asciiTheme="minorHAnsi" w:hAnsiTheme="minorHAnsi" w:cstheme="minorHAnsi"/>
              </w:rPr>
              <w:t>nnual tax expenditure statement.</w:t>
            </w:r>
          </w:p>
        </w:tc>
        <w:tc>
          <w:tcPr>
            <w:tcW w:w="3605" w:type="dxa"/>
          </w:tcPr>
          <w:p w14:paraId="126A16A1" w14:textId="6DB2E16B" w:rsidR="00C13CFC" w:rsidRPr="00B66802" w:rsidRDefault="00C13CFC" w:rsidP="00391ABB">
            <w:pPr>
              <w:spacing w:after="0" w:line="240" w:lineRule="auto"/>
              <w:ind w:right="115"/>
              <w:jc w:val="both"/>
              <w:rPr>
                <w:rFonts w:asciiTheme="minorHAnsi" w:hAnsiTheme="minorHAnsi" w:cstheme="minorHAnsi"/>
              </w:rPr>
            </w:pPr>
            <w:r w:rsidRPr="00DC050B">
              <w:rPr>
                <w:rFonts w:asciiTheme="minorHAnsi" w:hAnsiTheme="minorHAnsi" w:cstheme="minorHAnsi"/>
                <w:b/>
              </w:rPr>
              <w:t>PA#1.</w:t>
            </w:r>
            <w:r w:rsidRPr="00DC050B">
              <w:rPr>
                <w:rFonts w:asciiTheme="minorHAnsi" w:hAnsiTheme="minorHAnsi" w:cstheme="minorHAnsi"/>
              </w:rPr>
              <w:t xml:space="preserve"> </w:t>
            </w:r>
            <w:r w:rsidR="007877C3" w:rsidRPr="001E36FC">
              <w:rPr>
                <w:rFonts w:asciiTheme="minorHAnsi" w:hAnsiTheme="minorHAnsi" w:cstheme="minorHAnsi"/>
                <w:bCs/>
                <w:iCs/>
              </w:rPr>
              <w:t xml:space="preserve">The Recipient has, through its </w:t>
            </w:r>
            <w:r w:rsidR="00D67BC0" w:rsidRPr="001E36FC">
              <w:rPr>
                <w:rFonts w:asciiTheme="minorHAnsi" w:hAnsiTheme="minorHAnsi" w:cstheme="minorHAnsi"/>
                <w:bCs/>
                <w:iCs/>
              </w:rPr>
              <w:t>Ministry of Finance and Budget</w:t>
            </w:r>
            <w:r w:rsidR="007877C3" w:rsidRPr="001E36FC">
              <w:rPr>
                <w:rFonts w:asciiTheme="minorHAnsi" w:hAnsiTheme="minorHAnsi" w:cstheme="minorHAnsi"/>
                <w:bCs/>
                <w:iCs/>
              </w:rPr>
              <w:t>, published the first annual tax expenditure statement.</w:t>
            </w:r>
          </w:p>
        </w:tc>
        <w:tc>
          <w:tcPr>
            <w:tcW w:w="2858" w:type="dxa"/>
          </w:tcPr>
          <w:p w14:paraId="0AF2D69D" w14:textId="77777777" w:rsidR="00C13CFC" w:rsidRPr="00BD4A16"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r w:rsidRPr="00BD4A16">
              <w:rPr>
                <w:rFonts w:asciiTheme="minorHAnsi" w:hAnsiTheme="minorHAnsi" w:cstheme="minorHAnsi"/>
                <w:lang w:eastAsia="ja-JP"/>
              </w:rPr>
              <w:t>No change.</w:t>
            </w:r>
          </w:p>
        </w:tc>
      </w:tr>
      <w:tr w:rsidR="00C13CFC" w:rsidRPr="00B66802" w14:paraId="47FFEEDF" w14:textId="77777777" w:rsidTr="007877C3">
        <w:trPr>
          <w:trHeight w:val="2132"/>
        </w:trPr>
        <w:tc>
          <w:tcPr>
            <w:tcW w:w="2887" w:type="dxa"/>
          </w:tcPr>
          <w:p w14:paraId="62D56807" w14:textId="77777777" w:rsidR="00C13CFC" w:rsidRPr="00B66802"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p>
        </w:tc>
        <w:tc>
          <w:tcPr>
            <w:tcW w:w="3605" w:type="dxa"/>
          </w:tcPr>
          <w:p w14:paraId="3004B9FF" w14:textId="36E67D8C" w:rsidR="00C13CFC" w:rsidRPr="00B66802" w:rsidRDefault="00C13CFC" w:rsidP="001E36FC">
            <w:pPr>
              <w:spacing w:after="0" w:line="240" w:lineRule="auto"/>
              <w:jc w:val="both"/>
              <w:rPr>
                <w:rFonts w:asciiTheme="minorHAnsi" w:hAnsiTheme="minorHAnsi" w:cstheme="minorHAnsi"/>
              </w:rPr>
            </w:pPr>
            <w:r w:rsidRPr="00B66802">
              <w:rPr>
                <w:rFonts w:asciiTheme="minorHAnsi" w:hAnsiTheme="minorHAnsi" w:cstheme="minorHAnsi"/>
                <w:b/>
              </w:rPr>
              <w:t>P#2.</w:t>
            </w:r>
            <w:r w:rsidRPr="00B66802">
              <w:rPr>
                <w:rFonts w:asciiTheme="minorHAnsi" w:hAnsiTheme="minorHAnsi" w:cstheme="minorHAnsi"/>
              </w:rPr>
              <w:t xml:space="preserve"> </w:t>
            </w:r>
            <w:r w:rsidR="007877C3" w:rsidRPr="001E36FC">
              <w:rPr>
                <w:rFonts w:asciiTheme="minorHAnsi" w:hAnsiTheme="minorHAnsi" w:cstheme="minorHAnsi"/>
                <w:bCs/>
                <w:iCs/>
              </w:rPr>
              <w:t xml:space="preserve">The Recipient has, through its customs and tax directorates, issued a </w:t>
            </w:r>
            <w:r w:rsidR="007877C3" w:rsidRPr="001E36FC">
              <w:rPr>
                <w:rFonts w:asciiTheme="minorHAnsi" w:hAnsiTheme="minorHAnsi" w:cstheme="minorHAnsi"/>
                <w:bCs/>
                <w:i/>
                <w:iCs/>
              </w:rPr>
              <w:t>Protocole d’Accord</w:t>
            </w:r>
            <w:r w:rsidR="007877C3" w:rsidRPr="001E36FC">
              <w:rPr>
                <w:rFonts w:asciiTheme="minorHAnsi" w:hAnsiTheme="minorHAnsi" w:cstheme="minorHAnsi"/>
                <w:bCs/>
                <w:iCs/>
              </w:rPr>
              <w:t xml:space="preserve"> establishing procedures for verifying customs and tax data for 20 large, high risk importers and exporters, following a risk based approach to reducing fraud and expanding the tax base.</w:t>
            </w:r>
          </w:p>
        </w:tc>
        <w:tc>
          <w:tcPr>
            <w:tcW w:w="2858" w:type="dxa"/>
          </w:tcPr>
          <w:p w14:paraId="4060433A" w14:textId="7757CA34" w:rsidR="00C13CFC" w:rsidRPr="00BD4A16"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r w:rsidRPr="00BD4A16">
              <w:rPr>
                <w:rFonts w:asciiTheme="minorHAnsi" w:hAnsiTheme="minorHAnsi" w:cstheme="minorHAnsi"/>
                <w:lang w:eastAsia="ja-JP"/>
              </w:rPr>
              <w:t xml:space="preserve">New prior action to strengthen revenue collection. </w:t>
            </w:r>
          </w:p>
        </w:tc>
      </w:tr>
      <w:tr w:rsidR="00C13CFC" w:rsidRPr="00B66802" w14:paraId="39E45F63" w14:textId="77777777" w:rsidTr="007877C3">
        <w:trPr>
          <w:trHeight w:val="1412"/>
        </w:trPr>
        <w:tc>
          <w:tcPr>
            <w:tcW w:w="2887" w:type="dxa"/>
          </w:tcPr>
          <w:p w14:paraId="0047E03C" w14:textId="34784756" w:rsidR="00C13CFC" w:rsidRPr="00BD4A16" w:rsidRDefault="00C13CFC" w:rsidP="00391ABB">
            <w:pPr>
              <w:tabs>
                <w:tab w:val="left" w:pos="450"/>
              </w:tabs>
              <w:autoSpaceDE w:val="0"/>
              <w:autoSpaceDN w:val="0"/>
              <w:adjustRightInd w:val="0"/>
              <w:spacing w:after="0" w:line="240" w:lineRule="auto"/>
              <w:jc w:val="both"/>
              <w:rPr>
                <w:rFonts w:asciiTheme="minorHAnsi" w:hAnsiTheme="minorHAnsi" w:cstheme="minorHAnsi"/>
                <w:lang w:eastAsia="ja-JP"/>
              </w:rPr>
            </w:pPr>
            <w:r w:rsidRPr="00B66802">
              <w:rPr>
                <w:rFonts w:asciiTheme="minorHAnsi" w:hAnsiTheme="minorHAnsi" w:cstheme="minorHAnsi"/>
                <w:b/>
                <w:lang w:eastAsia="ja-JP"/>
              </w:rPr>
              <w:t>T#2:</w:t>
            </w:r>
            <w:r w:rsidRPr="00B66802">
              <w:rPr>
                <w:rFonts w:asciiTheme="minorHAnsi" w:hAnsiTheme="minorHAnsi" w:cstheme="minorHAnsi"/>
                <w:lang w:eastAsia="ja-JP"/>
              </w:rPr>
              <w:t xml:space="preserve"> The Recipient has conducted a review of fuel pricing structures and strengthened the underlying legal framework.  </w:t>
            </w:r>
          </w:p>
        </w:tc>
        <w:tc>
          <w:tcPr>
            <w:tcW w:w="3605" w:type="dxa"/>
          </w:tcPr>
          <w:p w14:paraId="11A06C88" w14:textId="066DE5EF" w:rsidR="00C13CFC" w:rsidRPr="00B66802" w:rsidRDefault="00C13CFC" w:rsidP="001E36FC">
            <w:pPr>
              <w:spacing w:after="0" w:line="240" w:lineRule="auto"/>
              <w:ind w:right="115"/>
              <w:jc w:val="both"/>
              <w:rPr>
                <w:rFonts w:asciiTheme="minorHAnsi" w:hAnsiTheme="minorHAnsi" w:cstheme="minorHAnsi"/>
                <w:lang w:eastAsia="ja-JP"/>
              </w:rPr>
            </w:pPr>
            <w:r w:rsidRPr="00DC050B">
              <w:rPr>
                <w:rFonts w:asciiTheme="minorHAnsi" w:hAnsiTheme="minorHAnsi" w:cstheme="minorHAnsi"/>
                <w:b/>
              </w:rPr>
              <w:t>PA#3.</w:t>
            </w:r>
            <w:r w:rsidRPr="00DC050B">
              <w:rPr>
                <w:rFonts w:asciiTheme="minorHAnsi" w:hAnsiTheme="minorHAnsi" w:cstheme="minorHAnsi"/>
              </w:rPr>
              <w:t xml:space="preserve"> The </w:t>
            </w:r>
            <w:r w:rsidR="007877C3" w:rsidRPr="001E36FC">
              <w:rPr>
                <w:rFonts w:asciiTheme="minorHAnsi" w:hAnsiTheme="minorHAnsi" w:cstheme="minorHAnsi"/>
                <w:bCs/>
                <w:iCs/>
              </w:rPr>
              <w:t xml:space="preserve">Recipient has passed </w:t>
            </w:r>
            <w:r w:rsidR="007877C3" w:rsidRPr="001E36FC">
              <w:rPr>
                <w:rFonts w:asciiTheme="minorHAnsi" w:hAnsiTheme="minorHAnsi" w:cstheme="minorHAnsi"/>
                <w:bCs/>
                <w:i/>
                <w:iCs/>
              </w:rPr>
              <w:t>Décret no.2017-472 du 13 juin 2017 portant fixation des prix maxima affichés à la pompe,</w:t>
            </w:r>
            <w:r w:rsidR="007877C3" w:rsidRPr="001E36FC">
              <w:rPr>
                <w:rFonts w:asciiTheme="minorHAnsi" w:hAnsiTheme="minorHAnsi" w:cstheme="minorHAnsi"/>
                <w:bCs/>
                <w:iCs/>
              </w:rPr>
              <w:t xml:space="preserve"> a decree which eliminates the fuel subsidy</w:t>
            </w:r>
            <w:r w:rsidR="00391ABB" w:rsidRPr="00B66802">
              <w:rPr>
                <w:rFonts w:asciiTheme="minorHAnsi" w:hAnsiTheme="minorHAnsi" w:cstheme="minorHAnsi"/>
              </w:rPr>
              <w:t>.</w:t>
            </w:r>
          </w:p>
        </w:tc>
        <w:tc>
          <w:tcPr>
            <w:tcW w:w="2858" w:type="dxa"/>
          </w:tcPr>
          <w:p w14:paraId="5270511B" w14:textId="1A6C9EDC" w:rsidR="00C13CFC" w:rsidRPr="00BD4A16"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r w:rsidRPr="00BD4A16">
              <w:rPr>
                <w:rFonts w:asciiTheme="minorHAnsi" w:hAnsiTheme="minorHAnsi" w:cstheme="minorHAnsi"/>
                <w:lang w:eastAsia="ja-JP"/>
              </w:rPr>
              <w:t xml:space="preserve">No change.  </w:t>
            </w:r>
          </w:p>
        </w:tc>
      </w:tr>
      <w:tr w:rsidR="00C13CFC" w:rsidRPr="00B66802" w14:paraId="5F8B9719" w14:textId="77777777" w:rsidTr="00C13CFC">
        <w:tc>
          <w:tcPr>
            <w:tcW w:w="2887" w:type="dxa"/>
          </w:tcPr>
          <w:p w14:paraId="092C25FF" w14:textId="77777777" w:rsidR="00C13CFC" w:rsidRPr="00BD4A16"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r w:rsidRPr="00B66802">
              <w:rPr>
                <w:rFonts w:asciiTheme="minorHAnsi" w:hAnsiTheme="minorHAnsi" w:cstheme="minorHAnsi"/>
                <w:b/>
                <w:lang w:eastAsia="ja-JP"/>
              </w:rPr>
              <w:t>T#3:</w:t>
            </w:r>
            <w:r w:rsidRPr="00B66802">
              <w:rPr>
                <w:rFonts w:asciiTheme="minorHAnsi" w:hAnsiTheme="minorHAnsi" w:cstheme="minorHAnsi"/>
                <w:lang w:eastAsia="ja-JP"/>
              </w:rPr>
              <w:t xml:space="preserve"> The Recipient has completed the verification of pension beneficiaries in the remaining territories.</w:t>
            </w:r>
          </w:p>
        </w:tc>
        <w:tc>
          <w:tcPr>
            <w:tcW w:w="3605" w:type="dxa"/>
          </w:tcPr>
          <w:p w14:paraId="7DBA509E" w14:textId="28CE3F8C" w:rsidR="00C13CFC" w:rsidRPr="00B66802" w:rsidRDefault="00C13CFC" w:rsidP="00C13CFC">
            <w:pPr>
              <w:spacing w:after="0" w:line="240" w:lineRule="auto"/>
              <w:ind w:right="168"/>
              <w:jc w:val="both"/>
              <w:rPr>
                <w:rFonts w:asciiTheme="minorHAnsi" w:hAnsiTheme="minorHAnsi" w:cstheme="minorHAnsi"/>
              </w:rPr>
            </w:pPr>
            <w:r w:rsidRPr="00DC050B">
              <w:rPr>
                <w:rFonts w:asciiTheme="minorHAnsi" w:hAnsiTheme="minorHAnsi" w:cstheme="minorHAnsi"/>
                <w:b/>
              </w:rPr>
              <w:t>PA#4.</w:t>
            </w:r>
            <w:r w:rsidRPr="00DC050B">
              <w:rPr>
                <w:rFonts w:asciiTheme="minorHAnsi" w:hAnsiTheme="minorHAnsi" w:cstheme="minorHAnsi"/>
              </w:rPr>
              <w:t xml:space="preserve"> The Recipient has </w:t>
            </w:r>
            <w:r w:rsidR="007877C3" w:rsidRPr="001E36FC">
              <w:rPr>
                <w:rFonts w:asciiTheme="minorHAnsi" w:hAnsiTheme="minorHAnsi" w:cstheme="minorHAnsi"/>
                <w:bCs/>
                <w:iCs/>
              </w:rPr>
              <w:t xml:space="preserve">(i) completed a verification of the roster of pension beneficiaries in rural collectives to remove ineligible beneficiaries; and (ii) </w:t>
            </w:r>
            <w:r w:rsidR="00D67BC0" w:rsidRPr="001E36FC">
              <w:rPr>
                <w:rFonts w:asciiTheme="minorHAnsi" w:hAnsiTheme="minorHAnsi" w:cstheme="minorHAnsi"/>
              </w:rPr>
              <w:t xml:space="preserve">issued </w:t>
            </w:r>
            <w:r w:rsidR="00D67BC0" w:rsidRPr="001E36FC">
              <w:rPr>
                <w:rFonts w:asciiTheme="minorHAnsi" w:hAnsiTheme="minorHAnsi" w:cstheme="minorHAnsi"/>
                <w:i/>
              </w:rPr>
              <w:t>Circulaire no. 475-2017 du 9 août relative à la Standardisation des procédures de versement de cotisations à la Caisse de Prévoyance des Retraites et à la Caisse de Retraite Civile et Militaires,</w:t>
            </w:r>
            <w:r w:rsidR="00D67BC0" w:rsidRPr="001E36FC">
              <w:rPr>
                <w:rFonts w:asciiTheme="minorHAnsi" w:hAnsiTheme="minorHAnsi" w:cstheme="minorHAnsi"/>
              </w:rPr>
              <w:t xml:space="preserve"> establishing the obligations and process related to the payment of contributions, and sanctions in the case of non-compliance, in order to reduce the transfers to the Pension Fund</w:t>
            </w:r>
            <w:r w:rsidRPr="00B66802">
              <w:rPr>
                <w:rFonts w:asciiTheme="minorHAnsi" w:hAnsiTheme="minorHAnsi" w:cstheme="minorHAnsi"/>
              </w:rPr>
              <w:t>.</w:t>
            </w:r>
          </w:p>
        </w:tc>
        <w:tc>
          <w:tcPr>
            <w:tcW w:w="2858" w:type="dxa"/>
          </w:tcPr>
          <w:p w14:paraId="6FB3CB4F" w14:textId="77777777" w:rsidR="00C13CFC" w:rsidRPr="00BD4A16"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r w:rsidRPr="00BD4A16">
              <w:rPr>
                <w:rFonts w:asciiTheme="minorHAnsi" w:hAnsiTheme="minorHAnsi" w:cstheme="minorHAnsi"/>
                <w:lang w:eastAsia="ja-JP"/>
              </w:rPr>
              <w:t xml:space="preserve">New component of the prior action added to reduce the transfer to the Pension Fund. </w:t>
            </w:r>
          </w:p>
        </w:tc>
      </w:tr>
      <w:tr w:rsidR="00C13CFC" w:rsidRPr="00B66802" w14:paraId="6AB265BB" w14:textId="77777777" w:rsidTr="00C13CFC">
        <w:trPr>
          <w:trHeight w:val="1403"/>
        </w:trPr>
        <w:tc>
          <w:tcPr>
            <w:tcW w:w="2887" w:type="dxa"/>
          </w:tcPr>
          <w:p w14:paraId="09308E99" w14:textId="784E92F7" w:rsidR="00C13CFC" w:rsidRPr="00BD4A16"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r w:rsidRPr="00B66802">
              <w:rPr>
                <w:rFonts w:asciiTheme="minorHAnsi" w:hAnsiTheme="minorHAnsi" w:cstheme="minorHAnsi"/>
                <w:b/>
                <w:lang w:eastAsia="ja-JP"/>
              </w:rPr>
              <w:lastRenderedPageBreak/>
              <w:t>T#4:</w:t>
            </w:r>
            <w:r w:rsidRPr="00B66802">
              <w:rPr>
                <w:rFonts w:asciiTheme="minorHAnsi" w:hAnsiTheme="minorHAnsi" w:cstheme="minorHAnsi"/>
                <w:lang w:eastAsia="ja-JP"/>
              </w:rPr>
              <w:t xml:space="preserve"> The Recipient has adopted the impl</w:t>
            </w:r>
            <w:r w:rsidRPr="00BD4A16">
              <w:rPr>
                <w:rFonts w:asciiTheme="minorHAnsi" w:hAnsiTheme="minorHAnsi" w:cstheme="minorHAnsi"/>
                <w:lang w:eastAsia="ja-JP"/>
              </w:rPr>
              <w:t xml:space="preserve">ementing decrees related to procedures and institutions for the PPP law.  </w:t>
            </w:r>
          </w:p>
        </w:tc>
        <w:tc>
          <w:tcPr>
            <w:tcW w:w="3605" w:type="dxa"/>
          </w:tcPr>
          <w:p w14:paraId="45740E3F" w14:textId="44D498B3" w:rsidR="00C13CFC" w:rsidRPr="00B66802" w:rsidRDefault="00C13CFC" w:rsidP="00391ABB">
            <w:pPr>
              <w:keepLines/>
              <w:spacing w:after="0" w:line="240" w:lineRule="auto"/>
              <w:ind w:right="302"/>
              <w:jc w:val="both"/>
              <w:rPr>
                <w:rFonts w:asciiTheme="minorHAnsi" w:hAnsiTheme="minorHAnsi" w:cstheme="minorHAnsi"/>
                <w:spacing w:val="2"/>
                <w:lang w:val="fr-FR"/>
              </w:rPr>
            </w:pPr>
            <w:r w:rsidRPr="00DC050B">
              <w:rPr>
                <w:rFonts w:asciiTheme="minorHAnsi" w:hAnsiTheme="minorHAnsi" w:cstheme="minorHAnsi"/>
                <w:b/>
                <w:lang w:val="fr-FR"/>
              </w:rPr>
              <w:t>PA#5.</w:t>
            </w:r>
            <w:r w:rsidRPr="00DC050B">
              <w:rPr>
                <w:rFonts w:asciiTheme="minorHAnsi" w:hAnsiTheme="minorHAnsi" w:cstheme="minorHAnsi"/>
                <w:lang w:val="fr-FR"/>
              </w:rPr>
              <w:t xml:space="preserve"> The Recipient </w:t>
            </w:r>
            <w:r w:rsidR="00B3518E" w:rsidRPr="001E36FC">
              <w:rPr>
                <w:rFonts w:asciiTheme="minorHAnsi" w:hAnsiTheme="minorHAnsi" w:cstheme="minorHAnsi"/>
                <w:bCs/>
                <w:iCs/>
                <w:lang w:val="fr-FR"/>
              </w:rPr>
              <w:t>has adopted application decrees to give effect to the PPP Law:</w:t>
            </w:r>
            <w:r w:rsidR="00B3518E" w:rsidRPr="001E36FC">
              <w:rPr>
                <w:rFonts w:asciiTheme="minorHAnsi" w:hAnsiTheme="minorHAnsi" w:cstheme="minorHAnsi"/>
                <w:bCs/>
                <w:i/>
                <w:iCs/>
                <w:lang w:val="fr-FR"/>
              </w:rPr>
              <w:t xml:space="preserve"> Décret No. 2017-150 du 2 mars 2017 relatif au cadre institutionnel and Décret No.2017-149 du 2 mars 2017 relatif au</w:t>
            </w:r>
            <w:r w:rsidR="00D67BC0" w:rsidRPr="001E36FC">
              <w:rPr>
                <w:rFonts w:asciiTheme="minorHAnsi" w:hAnsiTheme="minorHAnsi" w:cstheme="minorHAnsi"/>
                <w:bCs/>
                <w:i/>
                <w:iCs/>
                <w:lang w:val="fr-FR"/>
              </w:rPr>
              <w:t>x</w:t>
            </w:r>
            <w:r w:rsidR="00B3518E" w:rsidRPr="001E36FC">
              <w:rPr>
                <w:rFonts w:asciiTheme="minorHAnsi" w:hAnsiTheme="minorHAnsi" w:cstheme="minorHAnsi"/>
                <w:bCs/>
                <w:i/>
                <w:iCs/>
                <w:lang w:val="fr-FR"/>
              </w:rPr>
              <w:t xml:space="preserve"> modalités d’application des dispositions concernant la passation des contrats de partenariat public-privé</w:t>
            </w:r>
            <w:r w:rsidRPr="00B66802">
              <w:rPr>
                <w:rFonts w:asciiTheme="minorHAnsi" w:hAnsiTheme="minorHAnsi" w:cstheme="minorHAnsi"/>
                <w:lang w:val="fr-FR"/>
              </w:rPr>
              <w:t>.</w:t>
            </w:r>
          </w:p>
        </w:tc>
        <w:tc>
          <w:tcPr>
            <w:tcW w:w="2858" w:type="dxa"/>
          </w:tcPr>
          <w:p w14:paraId="10536766" w14:textId="2BF6EC76" w:rsidR="00C13CFC" w:rsidRPr="00BD4A16"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r w:rsidRPr="00BD4A16">
              <w:rPr>
                <w:rFonts w:asciiTheme="minorHAnsi" w:hAnsiTheme="minorHAnsi" w:cstheme="minorHAnsi"/>
                <w:lang w:eastAsia="ja-JP"/>
              </w:rPr>
              <w:t xml:space="preserve">No change.  </w:t>
            </w:r>
          </w:p>
        </w:tc>
      </w:tr>
      <w:tr w:rsidR="00C13CFC" w:rsidRPr="00B66802" w14:paraId="45676828" w14:textId="77777777" w:rsidTr="00C13CFC">
        <w:tc>
          <w:tcPr>
            <w:tcW w:w="2887" w:type="dxa"/>
          </w:tcPr>
          <w:p w14:paraId="58F5A12E" w14:textId="58091D60" w:rsidR="00C13CFC" w:rsidRPr="00BD4A16"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r w:rsidRPr="00B66802">
              <w:rPr>
                <w:rFonts w:asciiTheme="minorHAnsi" w:hAnsiTheme="minorHAnsi" w:cstheme="minorHAnsi"/>
                <w:b/>
                <w:lang w:eastAsia="ja-JP"/>
              </w:rPr>
              <w:t>T#5:</w:t>
            </w:r>
            <w:r w:rsidRPr="00B66802">
              <w:rPr>
                <w:rFonts w:asciiTheme="minorHAnsi" w:hAnsiTheme="minorHAnsi" w:cstheme="minorHAnsi"/>
                <w:lang w:eastAsia="ja-JP"/>
              </w:rPr>
              <w:t xml:space="preserve"> The Recipient has adopted procedures to strengthen the investment project appraisal and selection process for large projects.</w:t>
            </w:r>
          </w:p>
        </w:tc>
        <w:tc>
          <w:tcPr>
            <w:tcW w:w="3605" w:type="dxa"/>
          </w:tcPr>
          <w:p w14:paraId="327BFC64" w14:textId="46EC6373" w:rsidR="00C13CFC" w:rsidRPr="00B66802" w:rsidRDefault="00C13CFC" w:rsidP="00B3518E">
            <w:pPr>
              <w:keepLines/>
              <w:spacing w:after="0" w:line="240" w:lineRule="auto"/>
              <w:ind w:right="302"/>
              <w:jc w:val="both"/>
              <w:rPr>
                <w:rFonts w:asciiTheme="minorHAnsi" w:hAnsiTheme="minorHAnsi" w:cstheme="minorHAnsi"/>
                <w:bCs/>
                <w:iCs/>
              </w:rPr>
            </w:pPr>
            <w:r w:rsidRPr="00DC050B">
              <w:rPr>
                <w:rFonts w:asciiTheme="minorHAnsi" w:hAnsiTheme="minorHAnsi" w:cstheme="minorHAnsi"/>
                <w:b/>
              </w:rPr>
              <w:t>PA#6.</w:t>
            </w:r>
            <w:r w:rsidRPr="00DC050B">
              <w:rPr>
                <w:rFonts w:asciiTheme="minorHAnsi" w:hAnsiTheme="minorHAnsi" w:cstheme="minorHAnsi"/>
              </w:rPr>
              <w:t xml:space="preserve"> The Recipient </w:t>
            </w:r>
            <w:r w:rsidR="00B3518E" w:rsidRPr="001E36FC">
              <w:rPr>
                <w:rFonts w:asciiTheme="minorHAnsi" w:hAnsiTheme="minorHAnsi" w:cstheme="minorHAnsi"/>
              </w:rPr>
              <w:t xml:space="preserve">has issued a </w:t>
            </w:r>
            <w:r w:rsidR="00B3518E" w:rsidRPr="001E36FC">
              <w:rPr>
                <w:rFonts w:asciiTheme="minorHAnsi" w:hAnsiTheme="minorHAnsi" w:cstheme="minorHAnsi"/>
                <w:i/>
                <w:iCs/>
              </w:rPr>
              <w:t xml:space="preserve">Circulaire relative à la preparation des projets du Programme d’Investissement Public 2018-2020, Tranche 2018 (sur financement intérieur) N. 007-MFB/SG/DGB du 30 juin 2017 </w:t>
            </w:r>
            <w:r w:rsidR="00B3518E" w:rsidRPr="001E36FC">
              <w:rPr>
                <w:rFonts w:asciiTheme="minorHAnsi" w:hAnsiTheme="minorHAnsi" w:cstheme="minorHAnsi"/>
              </w:rPr>
              <w:t>to improve the selection process of domestically-financed investment projects through standardizing selection criteria and screening of all project proposals with pre-defined parameters, in line with the National Development Plan</w:t>
            </w:r>
            <w:r w:rsidRPr="00B66802">
              <w:rPr>
                <w:rFonts w:asciiTheme="minorHAnsi" w:hAnsiTheme="minorHAnsi" w:cstheme="minorHAnsi"/>
              </w:rPr>
              <w:t>.</w:t>
            </w:r>
          </w:p>
        </w:tc>
        <w:tc>
          <w:tcPr>
            <w:tcW w:w="2858" w:type="dxa"/>
          </w:tcPr>
          <w:p w14:paraId="598E5BDF" w14:textId="77777777" w:rsidR="00C13CFC" w:rsidRPr="00BD4A16"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r w:rsidRPr="00BD4A16">
              <w:rPr>
                <w:rFonts w:asciiTheme="minorHAnsi" w:hAnsiTheme="minorHAnsi" w:cstheme="minorHAnsi"/>
                <w:lang w:eastAsia="ja-JP"/>
              </w:rPr>
              <w:t>No change.</w:t>
            </w:r>
          </w:p>
        </w:tc>
      </w:tr>
      <w:tr w:rsidR="00C13CFC" w:rsidRPr="00B66802" w14:paraId="7C058178" w14:textId="77777777" w:rsidTr="00C13CFC">
        <w:tc>
          <w:tcPr>
            <w:tcW w:w="2887" w:type="dxa"/>
          </w:tcPr>
          <w:p w14:paraId="2B13A0D2" w14:textId="6503A12B" w:rsidR="00C13CFC" w:rsidRPr="00BD4A16"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r w:rsidRPr="00B66802">
              <w:rPr>
                <w:rFonts w:asciiTheme="minorHAnsi" w:hAnsiTheme="minorHAnsi" w:cstheme="minorHAnsi"/>
                <w:b/>
                <w:lang w:eastAsia="ja-JP"/>
              </w:rPr>
              <w:t>T#6:</w:t>
            </w:r>
            <w:r w:rsidRPr="00B66802">
              <w:rPr>
                <w:rFonts w:asciiTheme="minorHAnsi" w:hAnsiTheme="minorHAnsi" w:cstheme="minorHAnsi"/>
                <w:lang w:eastAsia="ja-JP"/>
              </w:rPr>
              <w:t xml:space="preserve"> JIRAMA has adopted standard contracts for power generation agreements.</w:t>
            </w:r>
          </w:p>
        </w:tc>
        <w:tc>
          <w:tcPr>
            <w:tcW w:w="3605" w:type="dxa"/>
          </w:tcPr>
          <w:p w14:paraId="3D2B15CF" w14:textId="16829B08" w:rsidR="00C13CFC" w:rsidRPr="00B66802" w:rsidRDefault="00C13CFC" w:rsidP="00C13CFC">
            <w:pPr>
              <w:widowControl w:val="0"/>
              <w:autoSpaceDE w:val="0"/>
              <w:autoSpaceDN w:val="0"/>
              <w:adjustRightInd w:val="0"/>
              <w:spacing w:after="0" w:line="240" w:lineRule="auto"/>
              <w:ind w:right="168"/>
              <w:jc w:val="both"/>
              <w:rPr>
                <w:rFonts w:asciiTheme="minorHAnsi" w:hAnsiTheme="minorHAnsi" w:cstheme="minorHAnsi"/>
              </w:rPr>
            </w:pPr>
            <w:r w:rsidRPr="00DC050B">
              <w:rPr>
                <w:rFonts w:asciiTheme="minorHAnsi" w:hAnsiTheme="minorHAnsi" w:cstheme="minorHAnsi"/>
                <w:b/>
              </w:rPr>
              <w:t>PA#7.</w:t>
            </w:r>
            <w:r w:rsidRPr="00DC050B">
              <w:rPr>
                <w:rFonts w:asciiTheme="minorHAnsi" w:hAnsiTheme="minorHAnsi" w:cstheme="minorHAnsi"/>
              </w:rPr>
              <w:t xml:space="preserve"> </w:t>
            </w:r>
            <w:r w:rsidR="00B3518E" w:rsidRPr="001E36FC">
              <w:rPr>
                <w:rFonts w:asciiTheme="minorHAnsi" w:hAnsiTheme="minorHAnsi" w:cstheme="minorHAnsi"/>
                <w:bCs/>
                <w:iCs/>
              </w:rPr>
              <w:t>The Recipient has caused JIRAMA to adopt standard contracts for all new Power Generation Agreements</w:t>
            </w:r>
            <w:r w:rsidR="00B3674D" w:rsidRPr="00B66802">
              <w:rPr>
                <w:rFonts w:asciiTheme="minorHAnsi" w:hAnsiTheme="minorHAnsi" w:cstheme="minorHAnsi"/>
              </w:rPr>
              <w:t>.</w:t>
            </w:r>
          </w:p>
        </w:tc>
        <w:tc>
          <w:tcPr>
            <w:tcW w:w="2858" w:type="dxa"/>
          </w:tcPr>
          <w:p w14:paraId="38F076AC" w14:textId="77777777" w:rsidR="00C13CFC" w:rsidRPr="00BD4A16"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r w:rsidRPr="00BD4A16">
              <w:rPr>
                <w:rFonts w:asciiTheme="minorHAnsi" w:hAnsiTheme="minorHAnsi" w:cstheme="minorHAnsi"/>
                <w:lang w:eastAsia="ja-JP"/>
              </w:rPr>
              <w:t xml:space="preserve">No change. </w:t>
            </w:r>
          </w:p>
        </w:tc>
      </w:tr>
      <w:tr w:rsidR="00C13CFC" w:rsidRPr="00B66802" w14:paraId="4F94350A" w14:textId="77777777" w:rsidTr="00391ABB">
        <w:trPr>
          <w:trHeight w:val="1880"/>
        </w:trPr>
        <w:tc>
          <w:tcPr>
            <w:tcW w:w="2887" w:type="dxa"/>
          </w:tcPr>
          <w:p w14:paraId="75AE3FCD" w14:textId="551EDE95" w:rsidR="00C13CFC" w:rsidRPr="00BD4A16"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r w:rsidRPr="00B66802">
              <w:rPr>
                <w:rFonts w:asciiTheme="minorHAnsi" w:hAnsiTheme="minorHAnsi" w:cstheme="minorHAnsi"/>
                <w:b/>
                <w:lang w:eastAsia="ja-JP"/>
              </w:rPr>
              <w:t>T#7:</w:t>
            </w:r>
            <w:r w:rsidRPr="00B66802">
              <w:rPr>
                <w:rFonts w:asciiTheme="minorHAnsi" w:hAnsiTheme="minorHAnsi" w:cstheme="minorHAnsi"/>
                <w:lang w:eastAsia="ja-JP"/>
              </w:rPr>
              <w:t xml:space="preserve"> The code des procedures civiles has been updated to integrate commercial justice reforms in the legal framework.</w:t>
            </w:r>
          </w:p>
        </w:tc>
        <w:tc>
          <w:tcPr>
            <w:tcW w:w="3605" w:type="dxa"/>
          </w:tcPr>
          <w:p w14:paraId="38D2A50B" w14:textId="15178CB6" w:rsidR="00C13CFC" w:rsidRPr="00B66802" w:rsidRDefault="00C13CFC" w:rsidP="00391ABB">
            <w:pPr>
              <w:spacing w:after="0" w:line="240" w:lineRule="auto"/>
              <w:ind w:right="120"/>
              <w:jc w:val="both"/>
              <w:rPr>
                <w:rFonts w:asciiTheme="minorHAnsi" w:hAnsiTheme="minorHAnsi" w:cstheme="minorHAnsi"/>
              </w:rPr>
            </w:pPr>
            <w:r w:rsidRPr="00DC050B">
              <w:rPr>
                <w:rFonts w:asciiTheme="minorHAnsi" w:hAnsiTheme="minorHAnsi" w:cstheme="minorHAnsi"/>
                <w:b/>
              </w:rPr>
              <w:t>PA#8.</w:t>
            </w:r>
            <w:r w:rsidRPr="00DC050B">
              <w:rPr>
                <w:rFonts w:asciiTheme="minorHAnsi" w:hAnsiTheme="minorHAnsi" w:cstheme="minorHAnsi"/>
              </w:rPr>
              <w:t xml:space="preserve"> </w:t>
            </w:r>
            <w:r w:rsidR="00B3518E" w:rsidRPr="001E36FC">
              <w:rPr>
                <w:rFonts w:asciiTheme="minorHAnsi" w:hAnsiTheme="minorHAnsi" w:cstheme="minorHAnsi"/>
                <w:bCs/>
                <w:iCs/>
              </w:rPr>
              <w:t xml:space="preserve">The Recipient has adopted </w:t>
            </w:r>
            <w:r w:rsidR="00B3518E" w:rsidRPr="001E36FC">
              <w:rPr>
                <w:rFonts w:asciiTheme="minorHAnsi" w:hAnsiTheme="minorHAnsi" w:cstheme="minorHAnsi"/>
                <w:bCs/>
                <w:i/>
                <w:iCs/>
              </w:rPr>
              <w:t>Loi No. 2016-039 du 15 decembre 2016 modifiant et complétant certaines dispositions du Code de Procedure Civile Mal</w:t>
            </w:r>
            <w:r w:rsidR="00D67BC0" w:rsidRPr="001E36FC">
              <w:rPr>
                <w:rFonts w:asciiTheme="minorHAnsi" w:hAnsiTheme="minorHAnsi" w:cstheme="minorHAnsi"/>
                <w:bCs/>
                <w:i/>
                <w:iCs/>
              </w:rPr>
              <w:t>a</w:t>
            </w:r>
            <w:r w:rsidR="00B3518E" w:rsidRPr="001E36FC">
              <w:rPr>
                <w:rFonts w:asciiTheme="minorHAnsi" w:hAnsiTheme="minorHAnsi" w:cstheme="minorHAnsi"/>
                <w:bCs/>
                <w:i/>
                <w:iCs/>
              </w:rPr>
              <w:t>gasy</w:t>
            </w:r>
            <w:r w:rsidR="00B3518E" w:rsidRPr="001E36FC">
              <w:rPr>
                <w:rFonts w:asciiTheme="minorHAnsi" w:hAnsiTheme="minorHAnsi" w:cstheme="minorHAnsi"/>
                <w:bCs/>
                <w:iCs/>
              </w:rPr>
              <w:t xml:space="preserve"> to integrate commercial justice reforms in the legal framework and reduce the number of postponements of commercial cases</w:t>
            </w:r>
            <w:r w:rsidRPr="00B66802">
              <w:rPr>
                <w:rFonts w:asciiTheme="minorHAnsi" w:hAnsiTheme="minorHAnsi" w:cstheme="minorHAnsi"/>
              </w:rPr>
              <w:t>.</w:t>
            </w:r>
          </w:p>
        </w:tc>
        <w:tc>
          <w:tcPr>
            <w:tcW w:w="2858" w:type="dxa"/>
          </w:tcPr>
          <w:p w14:paraId="04125D5C" w14:textId="77777777" w:rsidR="00C13CFC" w:rsidRPr="00BD4A16"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r w:rsidRPr="00BD4A16">
              <w:rPr>
                <w:rFonts w:asciiTheme="minorHAnsi" w:hAnsiTheme="minorHAnsi" w:cstheme="minorHAnsi"/>
                <w:lang w:eastAsia="ja-JP"/>
              </w:rPr>
              <w:t xml:space="preserve">No change. </w:t>
            </w:r>
          </w:p>
        </w:tc>
      </w:tr>
      <w:tr w:rsidR="00C13CFC" w:rsidRPr="00B66802" w14:paraId="2CE39F73" w14:textId="77777777" w:rsidTr="000242D5">
        <w:trPr>
          <w:trHeight w:val="1880"/>
        </w:trPr>
        <w:tc>
          <w:tcPr>
            <w:tcW w:w="2887" w:type="dxa"/>
          </w:tcPr>
          <w:p w14:paraId="03C39754" w14:textId="615FA32F" w:rsidR="00C13CFC" w:rsidRPr="00BD4A16"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r w:rsidRPr="00B66802">
              <w:rPr>
                <w:rFonts w:asciiTheme="minorHAnsi" w:hAnsiTheme="minorHAnsi" w:cstheme="minorHAnsi"/>
                <w:b/>
                <w:lang w:eastAsia="ja-JP"/>
              </w:rPr>
              <w:t>T#8:</w:t>
            </w:r>
            <w:r w:rsidRPr="00B66802">
              <w:rPr>
                <w:rFonts w:asciiTheme="minorHAnsi" w:hAnsiTheme="minorHAnsi" w:cstheme="minorHAnsi"/>
                <w:lang w:eastAsia="ja-JP"/>
              </w:rPr>
              <w:t xml:space="preserve"> The </w:t>
            </w:r>
            <w:r w:rsidR="0085470E">
              <w:rPr>
                <w:rFonts w:asciiTheme="minorHAnsi" w:hAnsiTheme="minorHAnsi" w:cstheme="minorHAnsi"/>
                <w:lang w:eastAsia="ja-JP"/>
              </w:rPr>
              <w:t>G</w:t>
            </w:r>
            <w:r w:rsidRPr="00B66802">
              <w:rPr>
                <w:rFonts w:asciiTheme="minorHAnsi" w:hAnsiTheme="minorHAnsi" w:cstheme="minorHAnsi"/>
                <w:lang w:eastAsia="ja-JP"/>
              </w:rPr>
              <w:t>overnment has submitted the draft revised law on microfinance institutions to parliament.</w:t>
            </w:r>
          </w:p>
        </w:tc>
        <w:tc>
          <w:tcPr>
            <w:tcW w:w="3605" w:type="dxa"/>
          </w:tcPr>
          <w:p w14:paraId="01912B11" w14:textId="70A7BD64" w:rsidR="00C13CFC" w:rsidRPr="00B66802" w:rsidRDefault="00C13CFC" w:rsidP="000242D5">
            <w:pPr>
              <w:spacing w:after="0" w:line="240" w:lineRule="auto"/>
              <w:ind w:right="120"/>
              <w:jc w:val="both"/>
              <w:rPr>
                <w:rFonts w:asciiTheme="minorHAnsi" w:hAnsiTheme="minorHAnsi" w:cstheme="minorHAnsi"/>
                <w:lang w:eastAsia="ja-JP"/>
              </w:rPr>
            </w:pPr>
            <w:r w:rsidRPr="00DC050B">
              <w:rPr>
                <w:rFonts w:asciiTheme="minorHAnsi" w:hAnsiTheme="minorHAnsi" w:cstheme="minorHAnsi"/>
                <w:b/>
              </w:rPr>
              <w:t>PA#9.</w:t>
            </w:r>
            <w:r w:rsidRPr="00DC050B">
              <w:rPr>
                <w:rFonts w:asciiTheme="minorHAnsi" w:hAnsiTheme="minorHAnsi" w:cstheme="minorHAnsi"/>
              </w:rPr>
              <w:t xml:space="preserve"> </w:t>
            </w:r>
            <w:r w:rsidR="00F216CD" w:rsidRPr="001E36FC">
              <w:rPr>
                <w:rFonts w:asciiTheme="minorHAnsi" w:hAnsiTheme="minorHAnsi" w:cstheme="minorHAnsi"/>
                <w:bCs/>
                <w:iCs/>
              </w:rPr>
              <w:t xml:space="preserve">The Recipient has submitted to Parliament the </w:t>
            </w:r>
            <w:r w:rsidR="00F216CD" w:rsidRPr="001E36FC">
              <w:rPr>
                <w:rFonts w:asciiTheme="minorHAnsi" w:hAnsiTheme="minorHAnsi" w:cstheme="minorHAnsi"/>
                <w:bCs/>
                <w:i/>
                <w:iCs/>
              </w:rPr>
              <w:t xml:space="preserve">Projet de Loi No. 025/2017 du 27 septembre 2017 sur la microfinance, </w:t>
            </w:r>
            <w:r w:rsidR="00F216CD" w:rsidRPr="001E36FC">
              <w:rPr>
                <w:rFonts w:asciiTheme="minorHAnsi" w:hAnsiTheme="minorHAnsi" w:cstheme="minorHAnsi"/>
                <w:bCs/>
                <w:iCs/>
              </w:rPr>
              <w:t>the draft law on microfinance, including resolution schemes for microfinance institutions</w:t>
            </w:r>
          </w:p>
        </w:tc>
        <w:tc>
          <w:tcPr>
            <w:tcW w:w="2858" w:type="dxa"/>
          </w:tcPr>
          <w:p w14:paraId="392DCB78" w14:textId="77777777" w:rsidR="00C13CFC" w:rsidRPr="00BD4A16" w:rsidRDefault="00C13CFC" w:rsidP="00C13CFC">
            <w:pPr>
              <w:tabs>
                <w:tab w:val="left" w:pos="450"/>
              </w:tabs>
              <w:autoSpaceDE w:val="0"/>
              <w:autoSpaceDN w:val="0"/>
              <w:adjustRightInd w:val="0"/>
              <w:spacing w:after="0" w:line="240" w:lineRule="auto"/>
              <w:jc w:val="both"/>
              <w:rPr>
                <w:rFonts w:asciiTheme="minorHAnsi" w:hAnsiTheme="minorHAnsi" w:cstheme="minorHAnsi"/>
                <w:lang w:eastAsia="ja-JP"/>
              </w:rPr>
            </w:pPr>
            <w:r w:rsidRPr="00BD4A16">
              <w:rPr>
                <w:rFonts w:asciiTheme="minorHAnsi" w:hAnsiTheme="minorHAnsi" w:cstheme="minorHAnsi"/>
                <w:lang w:eastAsia="ja-JP"/>
              </w:rPr>
              <w:t xml:space="preserve">No change. </w:t>
            </w:r>
          </w:p>
        </w:tc>
      </w:tr>
    </w:tbl>
    <w:p w14:paraId="3368D073" w14:textId="77777777" w:rsidR="00BB4E57" w:rsidRPr="00B66802" w:rsidRDefault="00BB4E57" w:rsidP="00BB4E57">
      <w:pPr>
        <w:tabs>
          <w:tab w:val="left" w:pos="450"/>
        </w:tabs>
        <w:autoSpaceDE w:val="0"/>
        <w:autoSpaceDN w:val="0"/>
        <w:adjustRightInd w:val="0"/>
        <w:spacing w:after="240" w:line="240" w:lineRule="auto"/>
        <w:jc w:val="both"/>
        <w:rPr>
          <w:rFonts w:asciiTheme="minorHAnsi" w:hAnsiTheme="minorHAnsi" w:cstheme="minorHAnsi"/>
          <w:lang w:eastAsia="ja-JP"/>
        </w:rPr>
      </w:pPr>
    </w:p>
    <w:p w14:paraId="3BCFF49A" w14:textId="77777777" w:rsidR="00D01F94" w:rsidRPr="00BD4A16" w:rsidRDefault="00D01F94" w:rsidP="001E36FC">
      <w:pPr>
        <w:pStyle w:val="Caption"/>
        <w:jc w:val="center"/>
        <w:rPr>
          <w:rFonts w:asciiTheme="minorHAnsi" w:hAnsiTheme="minorHAnsi" w:cstheme="minorHAnsi"/>
          <w:color w:val="auto"/>
          <w:sz w:val="22"/>
          <w:szCs w:val="22"/>
        </w:rPr>
      </w:pPr>
      <w:r w:rsidRPr="00B66802">
        <w:rPr>
          <w:rFonts w:asciiTheme="minorHAnsi" w:hAnsiTheme="minorHAnsi" w:cstheme="minorHAnsi"/>
          <w:color w:val="auto"/>
          <w:sz w:val="22"/>
          <w:szCs w:val="22"/>
        </w:rPr>
        <w:lastRenderedPageBreak/>
        <w:t>Table 5: DPO Prior Actions and Analytical Underpinnings</w:t>
      </w:r>
    </w:p>
    <w:tbl>
      <w:tblPr>
        <w:tblW w:w="5000" w:type="pct"/>
        <w:tblCellMar>
          <w:left w:w="0" w:type="dxa"/>
          <w:right w:w="0" w:type="dxa"/>
        </w:tblCellMar>
        <w:tblLook w:val="0000" w:firstRow="0" w:lastRow="0" w:firstColumn="0" w:lastColumn="0" w:noHBand="0" w:noVBand="0"/>
      </w:tblPr>
      <w:tblGrid>
        <w:gridCol w:w="4668"/>
        <w:gridCol w:w="7"/>
        <w:gridCol w:w="4664"/>
        <w:gridCol w:w="11"/>
      </w:tblGrid>
      <w:tr w:rsidR="00D01F94" w:rsidRPr="00B66802" w14:paraId="48FF1739" w14:textId="77777777" w:rsidTr="00B3518E">
        <w:trPr>
          <w:gridAfter w:val="1"/>
          <w:wAfter w:w="6" w:type="pct"/>
          <w:trHeight w:hRule="exact" w:val="470"/>
          <w:tblHeader/>
        </w:trPr>
        <w:tc>
          <w:tcPr>
            <w:tcW w:w="2496" w:type="pct"/>
            <w:tcBorders>
              <w:top w:val="single" w:sz="4" w:space="0" w:color="000000"/>
              <w:left w:val="single" w:sz="4" w:space="0" w:color="000000"/>
              <w:bottom w:val="single" w:sz="4" w:space="0" w:color="000000"/>
              <w:right w:val="single" w:sz="4" w:space="0" w:color="000000"/>
            </w:tcBorders>
          </w:tcPr>
          <w:p w14:paraId="33E79588" w14:textId="77777777" w:rsidR="00D01F94" w:rsidRPr="006C66C2" w:rsidRDefault="00D01F94" w:rsidP="00D01F94">
            <w:pPr>
              <w:widowControl w:val="0"/>
              <w:autoSpaceDE w:val="0"/>
              <w:autoSpaceDN w:val="0"/>
              <w:adjustRightInd w:val="0"/>
              <w:spacing w:after="0" w:line="240" w:lineRule="auto"/>
              <w:ind w:left="1169" w:right="1225"/>
              <w:jc w:val="center"/>
              <w:rPr>
                <w:rFonts w:asciiTheme="minorHAnsi" w:hAnsiTheme="minorHAnsi" w:cstheme="minorHAnsi"/>
              </w:rPr>
            </w:pPr>
            <w:r w:rsidRPr="00DC050B">
              <w:rPr>
                <w:rFonts w:asciiTheme="minorHAnsi" w:hAnsiTheme="minorHAnsi" w:cstheme="minorHAnsi"/>
                <w:b/>
                <w:bCs/>
                <w:spacing w:val="1"/>
              </w:rPr>
              <w:t>P</w:t>
            </w:r>
            <w:r w:rsidRPr="00DC050B">
              <w:rPr>
                <w:rFonts w:asciiTheme="minorHAnsi" w:hAnsiTheme="minorHAnsi" w:cstheme="minorHAnsi"/>
                <w:b/>
                <w:bCs/>
              </w:rPr>
              <w:t>ri</w:t>
            </w:r>
            <w:r w:rsidRPr="00DC050B">
              <w:rPr>
                <w:rFonts w:asciiTheme="minorHAnsi" w:hAnsiTheme="minorHAnsi" w:cstheme="minorHAnsi"/>
                <w:b/>
                <w:bCs/>
                <w:spacing w:val="1"/>
              </w:rPr>
              <w:t>o</w:t>
            </w:r>
            <w:r w:rsidRPr="00DC050B">
              <w:rPr>
                <w:rFonts w:asciiTheme="minorHAnsi" w:hAnsiTheme="minorHAnsi" w:cstheme="minorHAnsi"/>
                <w:b/>
                <w:bCs/>
              </w:rPr>
              <w:t>r</w:t>
            </w:r>
            <w:r w:rsidRPr="00DC050B">
              <w:rPr>
                <w:rFonts w:asciiTheme="minorHAnsi" w:hAnsiTheme="minorHAnsi" w:cstheme="minorHAnsi"/>
                <w:b/>
                <w:bCs/>
                <w:spacing w:val="-4"/>
              </w:rPr>
              <w:t xml:space="preserve"> </w:t>
            </w:r>
            <w:r w:rsidRPr="00DC050B">
              <w:rPr>
                <w:rFonts w:asciiTheme="minorHAnsi" w:hAnsiTheme="minorHAnsi" w:cstheme="minorHAnsi"/>
                <w:b/>
                <w:bCs/>
                <w:spacing w:val="1"/>
                <w:w w:val="99"/>
              </w:rPr>
              <w:t>a</w:t>
            </w:r>
            <w:r w:rsidRPr="00DC050B">
              <w:rPr>
                <w:rFonts w:asciiTheme="minorHAnsi" w:hAnsiTheme="minorHAnsi" w:cstheme="minorHAnsi"/>
                <w:b/>
                <w:bCs/>
                <w:spacing w:val="-2"/>
                <w:w w:val="99"/>
              </w:rPr>
              <w:t>c</w:t>
            </w:r>
            <w:r w:rsidRPr="00DC050B">
              <w:rPr>
                <w:rFonts w:asciiTheme="minorHAnsi" w:hAnsiTheme="minorHAnsi" w:cstheme="minorHAnsi"/>
                <w:b/>
                <w:bCs/>
                <w:spacing w:val="1"/>
                <w:w w:val="99"/>
              </w:rPr>
              <w:t>t</w:t>
            </w:r>
            <w:r w:rsidRPr="00DC050B">
              <w:rPr>
                <w:rFonts w:asciiTheme="minorHAnsi" w:hAnsiTheme="minorHAnsi" w:cstheme="minorHAnsi"/>
                <w:b/>
                <w:bCs/>
                <w:w w:val="99"/>
              </w:rPr>
              <w:t>i</w:t>
            </w:r>
            <w:r w:rsidRPr="00DC050B">
              <w:rPr>
                <w:rFonts w:asciiTheme="minorHAnsi" w:hAnsiTheme="minorHAnsi" w:cstheme="minorHAnsi"/>
                <w:b/>
                <w:bCs/>
                <w:spacing w:val="1"/>
                <w:w w:val="99"/>
              </w:rPr>
              <w:t>o</w:t>
            </w:r>
            <w:r w:rsidRPr="006C66C2">
              <w:rPr>
                <w:rFonts w:asciiTheme="minorHAnsi" w:hAnsiTheme="minorHAnsi" w:cstheme="minorHAnsi"/>
                <w:b/>
                <w:bCs/>
                <w:w w:val="99"/>
              </w:rPr>
              <w:t>ns</w:t>
            </w:r>
          </w:p>
        </w:tc>
        <w:tc>
          <w:tcPr>
            <w:tcW w:w="2498" w:type="pct"/>
            <w:gridSpan w:val="2"/>
            <w:tcBorders>
              <w:top w:val="single" w:sz="4" w:space="0" w:color="000000"/>
              <w:left w:val="single" w:sz="4" w:space="0" w:color="000000"/>
              <w:bottom w:val="single" w:sz="4" w:space="0" w:color="000000"/>
              <w:right w:val="single" w:sz="4" w:space="0" w:color="000000"/>
            </w:tcBorders>
          </w:tcPr>
          <w:p w14:paraId="56605739" w14:textId="77777777" w:rsidR="00D01F94" w:rsidRPr="00A20F63" w:rsidRDefault="00D01F94" w:rsidP="00D01F94">
            <w:pPr>
              <w:widowControl w:val="0"/>
              <w:autoSpaceDE w:val="0"/>
              <w:autoSpaceDN w:val="0"/>
              <w:adjustRightInd w:val="0"/>
              <w:spacing w:after="0" w:line="240" w:lineRule="auto"/>
              <w:ind w:left="102" w:right="-20"/>
              <w:rPr>
                <w:rFonts w:asciiTheme="minorHAnsi" w:hAnsiTheme="minorHAnsi" w:cstheme="minorHAnsi"/>
                <w:b/>
                <w:bCs/>
              </w:rPr>
            </w:pPr>
            <w:r w:rsidRPr="006C66C2">
              <w:rPr>
                <w:rFonts w:asciiTheme="minorHAnsi" w:hAnsiTheme="minorHAnsi" w:cstheme="minorHAnsi"/>
                <w:b/>
                <w:bCs/>
              </w:rPr>
              <w:t>An</w:t>
            </w:r>
            <w:r w:rsidRPr="006C66C2">
              <w:rPr>
                <w:rFonts w:asciiTheme="minorHAnsi" w:hAnsiTheme="minorHAnsi" w:cstheme="minorHAnsi"/>
                <w:b/>
                <w:bCs/>
                <w:spacing w:val="1"/>
              </w:rPr>
              <w:t>a</w:t>
            </w:r>
            <w:r w:rsidRPr="00A20F63">
              <w:rPr>
                <w:rFonts w:asciiTheme="minorHAnsi" w:hAnsiTheme="minorHAnsi" w:cstheme="minorHAnsi"/>
                <w:b/>
                <w:bCs/>
              </w:rPr>
              <w:t>l</w:t>
            </w:r>
            <w:r w:rsidRPr="00A20F63">
              <w:rPr>
                <w:rFonts w:asciiTheme="minorHAnsi" w:hAnsiTheme="minorHAnsi" w:cstheme="minorHAnsi"/>
                <w:b/>
                <w:bCs/>
                <w:spacing w:val="1"/>
              </w:rPr>
              <w:t>yt</w:t>
            </w:r>
            <w:r w:rsidRPr="00A20F63">
              <w:rPr>
                <w:rFonts w:asciiTheme="minorHAnsi" w:hAnsiTheme="minorHAnsi" w:cstheme="minorHAnsi"/>
                <w:b/>
                <w:bCs/>
              </w:rPr>
              <w:t>ic</w:t>
            </w:r>
            <w:r w:rsidRPr="00A20F63">
              <w:rPr>
                <w:rFonts w:asciiTheme="minorHAnsi" w:hAnsiTheme="minorHAnsi" w:cstheme="minorHAnsi"/>
                <w:b/>
                <w:bCs/>
                <w:spacing w:val="1"/>
              </w:rPr>
              <w:t>a</w:t>
            </w:r>
            <w:r w:rsidRPr="00A20F63">
              <w:rPr>
                <w:rFonts w:asciiTheme="minorHAnsi" w:hAnsiTheme="minorHAnsi" w:cstheme="minorHAnsi"/>
                <w:b/>
                <w:bCs/>
              </w:rPr>
              <w:t>l</w:t>
            </w:r>
            <w:r w:rsidRPr="00A20F63">
              <w:rPr>
                <w:rFonts w:asciiTheme="minorHAnsi" w:hAnsiTheme="minorHAnsi" w:cstheme="minorHAnsi"/>
                <w:b/>
                <w:bCs/>
                <w:spacing w:val="-9"/>
              </w:rPr>
              <w:t xml:space="preserve"> </w:t>
            </w:r>
            <w:r w:rsidRPr="00A20F63">
              <w:rPr>
                <w:rFonts w:asciiTheme="minorHAnsi" w:hAnsiTheme="minorHAnsi" w:cstheme="minorHAnsi"/>
                <w:b/>
                <w:bCs/>
              </w:rPr>
              <w:t>Underpi</w:t>
            </w:r>
            <w:r w:rsidRPr="00A20F63">
              <w:rPr>
                <w:rFonts w:asciiTheme="minorHAnsi" w:hAnsiTheme="minorHAnsi" w:cstheme="minorHAnsi"/>
                <w:b/>
                <w:bCs/>
                <w:spacing w:val="2"/>
              </w:rPr>
              <w:t>n</w:t>
            </w:r>
            <w:r w:rsidRPr="00A20F63">
              <w:rPr>
                <w:rFonts w:asciiTheme="minorHAnsi" w:hAnsiTheme="minorHAnsi" w:cstheme="minorHAnsi"/>
                <w:b/>
                <w:bCs/>
              </w:rPr>
              <w:t>nin</w:t>
            </w:r>
            <w:r w:rsidRPr="00A20F63">
              <w:rPr>
                <w:rFonts w:asciiTheme="minorHAnsi" w:hAnsiTheme="minorHAnsi" w:cstheme="minorHAnsi"/>
                <w:b/>
                <w:bCs/>
                <w:spacing w:val="1"/>
              </w:rPr>
              <w:t>g</w:t>
            </w:r>
            <w:r w:rsidRPr="00A20F63">
              <w:rPr>
                <w:rFonts w:asciiTheme="minorHAnsi" w:hAnsiTheme="minorHAnsi" w:cstheme="minorHAnsi"/>
                <w:b/>
                <w:bCs/>
              </w:rPr>
              <w:t>s</w:t>
            </w:r>
          </w:p>
        </w:tc>
      </w:tr>
      <w:tr w:rsidR="00D01F94" w:rsidRPr="00B66802" w14:paraId="6D14433E" w14:textId="77777777" w:rsidTr="00D01F94">
        <w:trPr>
          <w:trHeight w:hRule="exact" w:val="406"/>
        </w:trPr>
        <w:tc>
          <w:tcPr>
            <w:tcW w:w="5000" w:type="pct"/>
            <w:gridSpan w:val="4"/>
            <w:tcBorders>
              <w:top w:val="single" w:sz="4" w:space="0" w:color="000000"/>
              <w:left w:val="single" w:sz="4" w:space="0" w:color="000000"/>
              <w:right w:val="single" w:sz="4" w:space="0" w:color="000000"/>
            </w:tcBorders>
          </w:tcPr>
          <w:p w14:paraId="7D2AC6A9" w14:textId="1CD222CC" w:rsidR="00D01F94" w:rsidRPr="00BD4A16" w:rsidRDefault="00D01F94" w:rsidP="00D01F94">
            <w:pPr>
              <w:widowControl w:val="0"/>
              <w:autoSpaceDE w:val="0"/>
              <w:autoSpaceDN w:val="0"/>
              <w:adjustRightInd w:val="0"/>
              <w:spacing w:after="0" w:line="240" w:lineRule="auto"/>
              <w:ind w:left="194" w:right="170"/>
              <w:jc w:val="both"/>
              <w:rPr>
                <w:rFonts w:asciiTheme="minorHAnsi" w:hAnsiTheme="minorHAnsi" w:cstheme="minorHAnsi"/>
                <w:b/>
                <w:i/>
              </w:rPr>
            </w:pPr>
            <w:r w:rsidRPr="00B66802">
              <w:rPr>
                <w:rFonts w:asciiTheme="minorHAnsi" w:hAnsiTheme="minorHAnsi" w:cstheme="minorHAnsi"/>
                <w:b/>
                <w:i/>
              </w:rPr>
              <w:t xml:space="preserve">Pillar A: </w:t>
            </w:r>
            <w:r w:rsidRPr="00B66802">
              <w:rPr>
                <w:rFonts w:asciiTheme="minorHAnsi" w:eastAsia="Times New Roman" w:hAnsiTheme="minorHAnsi" w:cstheme="minorHAnsi"/>
                <w:b/>
                <w:i/>
              </w:rPr>
              <w:t>Strengthen the fiscal framework</w:t>
            </w:r>
            <w:r w:rsidR="001E36FC">
              <w:rPr>
                <w:rFonts w:asciiTheme="minorHAnsi" w:eastAsia="Times New Roman" w:hAnsiTheme="minorHAnsi" w:cstheme="minorHAnsi"/>
                <w:b/>
                <w:i/>
              </w:rPr>
              <w:t xml:space="preserve"> by creating fiscal space</w:t>
            </w:r>
            <w:r w:rsidRPr="00B66802">
              <w:rPr>
                <w:rFonts w:asciiTheme="minorHAnsi" w:eastAsia="Times New Roman" w:hAnsiTheme="minorHAnsi" w:cstheme="minorHAnsi"/>
                <w:b/>
                <w:i/>
              </w:rPr>
              <w:t xml:space="preserve"> to increase priority </w:t>
            </w:r>
            <w:r w:rsidR="001E36FC">
              <w:rPr>
                <w:rFonts w:asciiTheme="minorHAnsi" w:eastAsia="Times New Roman" w:hAnsiTheme="minorHAnsi" w:cstheme="minorHAnsi"/>
                <w:b/>
                <w:i/>
              </w:rPr>
              <w:t>expenditures</w:t>
            </w:r>
          </w:p>
        </w:tc>
      </w:tr>
      <w:tr w:rsidR="00B3518E" w:rsidRPr="00B66802" w14:paraId="2B665DDD" w14:textId="77777777" w:rsidTr="00D01F94">
        <w:trPr>
          <w:trHeight w:hRule="exact" w:val="1648"/>
        </w:trPr>
        <w:tc>
          <w:tcPr>
            <w:tcW w:w="2500" w:type="pct"/>
            <w:gridSpan w:val="2"/>
            <w:tcBorders>
              <w:top w:val="single" w:sz="4" w:space="0" w:color="000000"/>
              <w:left w:val="single" w:sz="4" w:space="0" w:color="000000"/>
              <w:right w:val="single" w:sz="4" w:space="0" w:color="000000"/>
            </w:tcBorders>
          </w:tcPr>
          <w:p w14:paraId="2F47A7D2" w14:textId="26CFFEF1" w:rsidR="00B3518E" w:rsidRPr="00B66802" w:rsidRDefault="00B3518E" w:rsidP="00B3518E">
            <w:pPr>
              <w:widowControl w:val="0"/>
              <w:autoSpaceDE w:val="0"/>
              <w:autoSpaceDN w:val="0"/>
              <w:adjustRightInd w:val="0"/>
              <w:spacing w:after="0" w:line="240" w:lineRule="auto"/>
              <w:ind w:left="161" w:right="168"/>
              <w:jc w:val="both"/>
              <w:rPr>
                <w:rFonts w:asciiTheme="minorHAnsi" w:hAnsiTheme="minorHAnsi" w:cstheme="minorHAnsi"/>
              </w:rPr>
            </w:pPr>
            <w:r w:rsidRPr="00B66802">
              <w:rPr>
                <w:rFonts w:asciiTheme="minorHAnsi" w:hAnsiTheme="minorHAnsi" w:cstheme="minorHAnsi"/>
                <w:b/>
              </w:rPr>
              <w:t>PA#1.</w:t>
            </w:r>
            <w:r w:rsidRPr="00B66802">
              <w:rPr>
                <w:rFonts w:asciiTheme="minorHAnsi" w:hAnsiTheme="minorHAnsi" w:cstheme="minorHAnsi"/>
              </w:rPr>
              <w:t xml:space="preserve"> </w:t>
            </w:r>
            <w:r w:rsidRPr="001E36FC">
              <w:rPr>
                <w:rFonts w:asciiTheme="minorHAnsi" w:hAnsiTheme="minorHAnsi" w:cstheme="minorHAnsi"/>
                <w:bCs/>
                <w:iCs/>
              </w:rPr>
              <w:t xml:space="preserve">The Recipient has, through its </w:t>
            </w:r>
            <w:r w:rsidR="00D67BC0" w:rsidRPr="001E36FC">
              <w:rPr>
                <w:rFonts w:asciiTheme="minorHAnsi" w:hAnsiTheme="minorHAnsi" w:cstheme="minorHAnsi"/>
                <w:bCs/>
                <w:iCs/>
              </w:rPr>
              <w:t>Ministry of Finance and Budget</w:t>
            </w:r>
            <w:r w:rsidRPr="001E36FC">
              <w:rPr>
                <w:rFonts w:asciiTheme="minorHAnsi" w:hAnsiTheme="minorHAnsi" w:cstheme="minorHAnsi"/>
                <w:bCs/>
                <w:iCs/>
              </w:rPr>
              <w:t>, published the first annual tax expenditure statement.</w:t>
            </w:r>
          </w:p>
        </w:tc>
        <w:tc>
          <w:tcPr>
            <w:tcW w:w="2500" w:type="pct"/>
            <w:gridSpan w:val="2"/>
            <w:tcBorders>
              <w:top w:val="single" w:sz="4" w:space="0" w:color="000000"/>
              <w:left w:val="single" w:sz="4" w:space="0" w:color="000000"/>
              <w:right w:val="single" w:sz="4" w:space="0" w:color="000000"/>
            </w:tcBorders>
          </w:tcPr>
          <w:p w14:paraId="6AFDF329" w14:textId="77777777" w:rsidR="00B3518E" w:rsidRPr="00DC050B" w:rsidRDefault="00B3518E" w:rsidP="00B3518E">
            <w:pPr>
              <w:widowControl w:val="0"/>
              <w:autoSpaceDE w:val="0"/>
              <w:autoSpaceDN w:val="0"/>
              <w:adjustRightInd w:val="0"/>
              <w:spacing w:after="0" w:line="240" w:lineRule="auto"/>
              <w:ind w:left="194" w:right="170"/>
              <w:jc w:val="both"/>
              <w:rPr>
                <w:rFonts w:asciiTheme="minorHAnsi" w:hAnsiTheme="minorHAnsi" w:cstheme="minorHAnsi"/>
              </w:rPr>
            </w:pPr>
            <w:r w:rsidRPr="00BD4A16">
              <w:rPr>
                <w:rFonts w:asciiTheme="minorHAnsi" w:hAnsiTheme="minorHAnsi" w:cstheme="minorHAnsi"/>
              </w:rPr>
              <w:t>The World Bank policy note on custom data mirror a</w:t>
            </w:r>
            <w:r w:rsidRPr="00DC050B">
              <w:rPr>
                <w:rFonts w:asciiTheme="minorHAnsi" w:hAnsiTheme="minorHAnsi" w:cstheme="minorHAnsi"/>
              </w:rPr>
              <w:t>nalysis and the Tax Policy Diagnostic report by the IMF (2015) identified sizeable leakages through the abuse of some exemption regimes and weaknesses in customs administration.</w:t>
            </w:r>
          </w:p>
        </w:tc>
      </w:tr>
      <w:tr w:rsidR="00B3518E" w:rsidRPr="00B66802" w14:paraId="43FD1634" w14:textId="77777777" w:rsidTr="00D01F94">
        <w:trPr>
          <w:trHeight w:hRule="exact" w:val="1981"/>
        </w:trPr>
        <w:tc>
          <w:tcPr>
            <w:tcW w:w="2500" w:type="pct"/>
            <w:gridSpan w:val="2"/>
            <w:tcBorders>
              <w:top w:val="single" w:sz="4" w:space="0" w:color="000000"/>
              <w:left w:val="single" w:sz="4" w:space="0" w:color="000000"/>
              <w:right w:val="single" w:sz="4" w:space="0" w:color="000000"/>
            </w:tcBorders>
          </w:tcPr>
          <w:p w14:paraId="52752A26" w14:textId="428770EB" w:rsidR="00B3518E" w:rsidRPr="00B66802" w:rsidRDefault="00B3518E" w:rsidP="00B3518E">
            <w:pPr>
              <w:spacing w:after="0" w:line="240" w:lineRule="auto"/>
              <w:ind w:left="187" w:right="115"/>
              <w:jc w:val="both"/>
              <w:rPr>
                <w:rFonts w:asciiTheme="minorHAnsi" w:hAnsiTheme="minorHAnsi" w:cstheme="minorHAnsi"/>
              </w:rPr>
            </w:pPr>
            <w:r w:rsidRPr="00B66802">
              <w:rPr>
                <w:rFonts w:asciiTheme="minorHAnsi" w:hAnsiTheme="minorHAnsi" w:cstheme="minorHAnsi"/>
                <w:b/>
              </w:rPr>
              <w:t>P#2.</w:t>
            </w:r>
            <w:r w:rsidRPr="00B66802">
              <w:rPr>
                <w:rFonts w:asciiTheme="minorHAnsi" w:hAnsiTheme="minorHAnsi" w:cstheme="minorHAnsi"/>
              </w:rPr>
              <w:t xml:space="preserve"> </w:t>
            </w:r>
            <w:r w:rsidRPr="001E36FC">
              <w:rPr>
                <w:rFonts w:asciiTheme="minorHAnsi" w:hAnsiTheme="minorHAnsi" w:cstheme="minorHAnsi"/>
                <w:bCs/>
                <w:iCs/>
              </w:rPr>
              <w:t xml:space="preserve">The Recipient has, through its customs and tax directorates, issued a </w:t>
            </w:r>
            <w:r w:rsidRPr="001E36FC">
              <w:rPr>
                <w:rFonts w:asciiTheme="minorHAnsi" w:hAnsiTheme="minorHAnsi" w:cstheme="minorHAnsi"/>
                <w:bCs/>
                <w:i/>
                <w:iCs/>
              </w:rPr>
              <w:t>Protocole d’Accord</w:t>
            </w:r>
            <w:r w:rsidRPr="001E36FC">
              <w:rPr>
                <w:rFonts w:asciiTheme="minorHAnsi" w:hAnsiTheme="minorHAnsi" w:cstheme="minorHAnsi"/>
                <w:bCs/>
                <w:iCs/>
              </w:rPr>
              <w:t xml:space="preserve"> establishing procedures for verifying customs and tax data for 20 large, high risk importers and exporters, following a risk based approach to reducing fraud and expanding the tax base.</w:t>
            </w:r>
          </w:p>
        </w:tc>
        <w:tc>
          <w:tcPr>
            <w:tcW w:w="2500" w:type="pct"/>
            <w:gridSpan w:val="2"/>
            <w:tcBorders>
              <w:top w:val="single" w:sz="4" w:space="0" w:color="000000"/>
              <w:left w:val="single" w:sz="4" w:space="0" w:color="000000"/>
              <w:right w:val="single" w:sz="4" w:space="0" w:color="000000"/>
            </w:tcBorders>
          </w:tcPr>
          <w:p w14:paraId="73DEC373" w14:textId="6C6A1F39" w:rsidR="00B3518E" w:rsidRPr="00DC050B" w:rsidRDefault="00B3518E" w:rsidP="00B3518E">
            <w:pPr>
              <w:widowControl w:val="0"/>
              <w:autoSpaceDE w:val="0"/>
              <w:autoSpaceDN w:val="0"/>
              <w:adjustRightInd w:val="0"/>
              <w:spacing w:after="0" w:line="240" w:lineRule="auto"/>
              <w:ind w:left="194" w:right="170"/>
              <w:jc w:val="both"/>
              <w:rPr>
                <w:rFonts w:asciiTheme="minorHAnsi" w:hAnsiTheme="minorHAnsi" w:cstheme="minorHAnsi"/>
              </w:rPr>
            </w:pPr>
            <w:r w:rsidRPr="00BD4A16">
              <w:rPr>
                <w:rFonts w:asciiTheme="minorHAnsi" w:hAnsiTheme="minorHAnsi" w:cstheme="minorHAnsi"/>
              </w:rPr>
              <w:t>The IMF report on Tax and Customs Administration (201</w:t>
            </w:r>
            <w:r w:rsidRPr="00DC050B">
              <w:rPr>
                <w:rFonts w:asciiTheme="minorHAnsi" w:hAnsiTheme="minorHAnsi" w:cstheme="minorHAnsi"/>
              </w:rPr>
              <w:t xml:space="preserve">4) recommends the shift to risk-based approach to strengthen the efficiency of control. Analysis of data from </w:t>
            </w:r>
            <w:r w:rsidRPr="00DC050B">
              <w:rPr>
                <w:rFonts w:asciiTheme="minorHAnsi" w:hAnsiTheme="minorHAnsi" w:cstheme="minorHAnsi"/>
              </w:rPr>
              <w:br/>
              <w:t xml:space="preserve">Tax and Customs Administrations undertaken by the MFB (2017) reveals that almost half of importers underestimate VAT declaration. </w:t>
            </w:r>
          </w:p>
        </w:tc>
      </w:tr>
      <w:tr w:rsidR="00B3518E" w:rsidRPr="00B66802" w14:paraId="7D1097E2" w14:textId="77777777" w:rsidTr="00F325BF">
        <w:trPr>
          <w:trHeight w:hRule="exact" w:val="1162"/>
        </w:trPr>
        <w:tc>
          <w:tcPr>
            <w:tcW w:w="2500" w:type="pct"/>
            <w:gridSpan w:val="2"/>
            <w:tcBorders>
              <w:top w:val="single" w:sz="4" w:space="0" w:color="000000"/>
              <w:left w:val="single" w:sz="4" w:space="0" w:color="000000"/>
              <w:bottom w:val="single" w:sz="4" w:space="0" w:color="000000"/>
              <w:right w:val="single" w:sz="4" w:space="0" w:color="000000"/>
            </w:tcBorders>
          </w:tcPr>
          <w:p w14:paraId="5F499371" w14:textId="27393707" w:rsidR="00B3518E" w:rsidRPr="00B66802" w:rsidRDefault="00B3518E" w:rsidP="00B3518E">
            <w:pPr>
              <w:spacing w:after="0" w:line="240" w:lineRule="auto"/>
              <w:ind w:left="161" w:right="168"/>
              <w:jc w:val="both"/>
              <w:rPr>
                <w:rFonts w:asciiTheme="minorHAnsi" w:hAnsiTheme="minorHAnsi" w:cstheme="minorHAnsi"/>
              </w:rPr>
            </w:pPr>
            <w:r w:rsidRPr="00B66802">
              <w:rPr>
                <w:rFonts w:asciiTheme="minorHAnsi" w:hAnsiTheme="minorHAnsi" w:cstheme="minorHAnsi"/>
                <w:b/>
              </w:rPr>
              <w:t>PA#3.</w:t>
            </w:r>
            <w:r w:rsidRPr="00B66802">
              <w:rPr>
                <w:rFonts w:asciiTheme="minorHAnsi" w:hAnsiTheme="minorHAnsi" w:cstheme="minorHAnsi"/>
              </w:rPr>
              <w:t xml:space="preserve"> The </w:t>
            </w:r>
            <w:r w:rsidRPr="001E36FC">
              <w:rPr>
                <w:rFonts w:asciiTheme="minorHAnsi" w:hAnsiTheme="minorHAnsi" w:cstheme="minorHAnsi"/>
                <w:bCs/>
                <w:iCs/>
              </w:rPr>
              <w:t xml:space="preserve">Recipient has passed </w:t>
            </w:r>
            <w:r w:rsidRPr="001E36FC">
              <w:rPr>
                <w:rFonts w:asciiTheme="minorHAnsi" w:hAnsiTheme="minorHAnsi" w:cstheme="minorHAnsi"/>
                <w:bCs/>
                <w:i/>
                <w:iCs/>
              </w:rPr>
              <w:t>Décret no.2017-472 du 13 juin 2017 portant fixation des prix maxima affichés à la pompe,</w:t>
            </w:r>
            <w:r w:rsidRPr="001E36FC">
              <w:rPr>
                <w:rFonts w:asciiTheme="minorHAnsi" w:hAnsiTheme="minorHAnsi" w:cstheme="minorHAnsi"/>
                <w:bCs/>
                <w:iCs/>
              </w:rPr>
              <w:t xml:space="preserve"> a decree which eliminates the fuel subsidy</w:t>
            </w:r>
            <w:r w:rsidRPr="00B66802">
              <w:rPr>
                <w:rFonts w:asciiTheme="minorHAnsi" w:hAnsiTheme="minorHAnsi" w:cstheme="minorHAnsi"/>
              </w:rPr>
              <w:t>.</w:t>
            </w:r>
          </w:p>
        </w:tc>
        <w:tc>
          <w:tcPr>
            <w:tcW w:w="2500" w:type="pct"/>
            <w:gridSpan w:val="2"/>
            <w:tcBorders>
              <w:top w:val="single" w:sz="4" w:space="0" w:color="000000"/>
              <w:left w:val="single" w:sz="4" w:space="0" w:color="000000"/>
              <w:bottom w:val="single" w:sz="4" w:space="0" w:color="000000"/>
              <w:right w:val="single" w:sz="4" w:space="0" w:color="000000"/>
            </w:tcBorders>
          </w:tcPr>
          <w:p w14:paraId="3431FF01" w14:textId="3E6B35C3" w:rsidR="00B3518E" w:rsidRPr="00DC050B" w:rsidRDefault="00B3518E" w:rsidP="00B3518E">
            <w:pPr>
              <w:widowControl w:val="0"/>
              <w:autoSpaceDE w:val="0"/>
              <w:autoSpaceDN w:val="0"/>
              <w:adjustRightInd w:val="0"/>
              <w:spacing w:after="0" w:line="240" w:lineRule="auto"/>
              <w:ind w:left="194" w:right="170"/>
              <w:jc w:val="both"/>
              <w:rPr>
                <w:rFonts w:asciiTheme="minorHAnsi" w:hAnsiTheme="minorHAnsi" w:cstheme="minorHAnsi"/>
              </w:rPr>
            </w:pPr>
            <w:r w:rsidRPr="00BD4A16">
              <w:rPr>
                <w:rFonts w:asciiTheme="minorHAnsi" w:hAnsiTheme="minorHAnsi" w:cstheme="minorHAnsi"/>
              </w:rPr>
              <w:t>Fuel subsidies are regressive and a heavy fiscal burden according to a World Bank study (2014) and furthe</w:t>
            </w:r>
            <w:r w:rsidRPr="00DC050B">
              <w:rPr>
                <w:rFonts w:asciiTheme="minorHAnsi" w:hAnsiTheme="minorHAnsi" w:cstheme="minorHAnsi"/>
              </w:rPr>
              <w:t>r W</w:t>
            </w:r>
            <w:r w:rsidR="00525BCF">
              <w:rPr>
                <w:rFonts w:asciiTheme="minorHAnsi" w:hAnsiTheme="minorHAnsi" w:cstheme="minorHAnsi"/>
              </w:rPr>
              <w:t xml:space="preserve">orld </w:t>
            </w:r>
            <w:r w:rsidRPr="00DC050B">
              <w:rPr>
                <w:rFonts w:asciiTheme="minorHAnsi" w:hAnsiTheme="minorHAnsi" w:cstheme="minorHAnsi"/>
              </w:rPr>
              <w:t>B</w:t>
            </w:r>
            <w:r w:rsidR="00525BCF">
              <w:rPr>
                <w:rFonts w:asciiTheme="minorHAnsi" w:hAnsiTheme="minorHAnsi" w:cstheme="minorHAnsi"/>
              </w:rPr>
              <w:t>ank</w:t>
            </w:r>
            <w:r w:rsidRPr="00DC050B">
              <w:rPr>
                <w:rFonts w:asciiTheme="minorHAnsi" w:hAnsiTheme="minorHAnsi" w:cstheme="minorHAnsi"/>
              </w:rPr>
              <w:t xml:space="preserve"> analysis in 2017, as well as IMF TA on pump price subsidies.</w:t>
            </w:r>
          </w:p>
        </w:tc>
      </w:tr>
      <w:tr w:rsidR="00B3518E" w:rsidRPr="00B66802" w14:paraId="48DC9CDF" w14:textId="77777777" w:rsidTr="00D67BC0">
        <w:trPr>
          <w:trHeight w:hRule="exact" w:val="3313"/>
        </w:trPr>
        <w:tc>
          <w:tcPr>
            <w:tcW w:w="2500" w:type="pct"/>
            <w:gridSpan w:val="2"/>
            <w:tcBorders>
              <w:top w:val="single" w:sz="4" w:space="0" w:color="000000"/>
              <w:left w:val="single" w:sz="4" w:space="0" w:color="000000"/>
              <w:bottom w:val="single" w:sz="4" w:space="0" w:color="000000"/>
              <w:right w:val="single" w:sz="4" w:space="0" w:color="000000"/>
            </w:tcBorders>
          </w:tcPr>
          <w:p w14:paraId="009FC718" w14:textId="3E2A3A14" w:rsidR="00B3518E" w:rsidRPr="00B66802" w:rsidRDefault="00B3518E" w:rsidP="00B3518E">
            <w:pPr>
              <w:spacing w:after="0" w:line="240" w:lineRule="auto"/>
              <w:ind w:left="161" w:right="168"/>
              <w:jc w:val="both"/>
              <w:rPr>
                <w:rFonts w:asciiTheme="minorHAnsi" w:hAnsiTheme="minorHAnsi" w:cstheme="minorHAnsi"/>
              </w:rPr>
            </w:pPr>
            <w:r w:rsidRPr="00B66802">
              <w:rPr>
                <w:rFonts w:asciiTheme="minorHAnsi" w:hAnsiTheme="minorHAnsi" w:cstheme="minorHAnsi"/>
                <w:b/>
              </w:rPr>
              <w:t>PA#4.</w:t>
            </w:r>
            <w:r w:rsidRPr="00B66802">
              <w:rPr>
                <w:rFonts w:asciiTheme="minorHAnsi" w:hAnsiTheme="minorHAnsi" w:cstheme="minorHAnsi"/>
              </w:rPr>
              <w:t xml:space="preserve"> The Recipient has </w:t>
            </w:r>
            <w:r w:rsidRPr="001E36FC">
              <w:rPr>
                <w:rFonts w:asciiTheme="minorHAnsi" w:hAnsiTheme="minorHAnsi" w:cstheme="minorHAnsi"/>
                <w:bCs/>
                <w:iCs/>
              </w:rPr>
              <w:t xml:space="preserve">(i) completed a verification of the roster of pension beneficiaries in rural collectives to remove ineligible beneficiaries; and (ii) </w:t>
            </w:r>
            <w:r w:rsidR="00D67BC0" w:rsidRPr="001E36FC">
              <w:rPr>
                <w:rFonts w:asciiTheme="minorHAnsi" w:hAnsiTheme="minorHAnsi" w:cstheme="minorHAnsi"/>
              </w:rPr>
              <w:t xml:space="preserve">issued </w:t>
            </w:r>
            <w:r w:rsidR="00D67BC0" w:rsidRPr="001E36FC">
              <w:rPr>
                <w:rFonts w:asciiTheme="minorHAnsi" w:hAnsiTheme="minorHAnsi" w:cstheme="minorHAnsi"/>
                <w:i/>
              </w:rPr>
              <w:t>Circulaire no. 475-2017 du 9 août relative à la Standardisation des procédures de versement de cotisations à la Caisse de Prévoyance des Retraites et à la Caisse de Retraite Civile et Militaires,</w:t>
            </w:r>
            <w:r w:rsidR="00D67BC0" w:rsidRPr="001E36FC">
              <w:rPr>
                <w:rFonts w:asciiTheme="minorHAnsi" w:hAnsiTheme="minorHAnsi" w:cstheme="minorHAnsi"/>
              </w:rPr>
              <w:t xml:space="preserve"> establishing the obligations and process related to the payment of contributions, and sanctions in the case of non-compliance, in order to reduce the transfers to the Pension Fund.</w:t>
            </w:r>
          </w:p>
        </w:tc>
        <w:tc>
          <w:tcPr>
            <w:tcW w:w="2500" w:type="pct"/>
            <w:gridSpan w:val="2"/>
            <w:tcBorders>
              <w:top w:val="single" w:sz="4" w:space="0" w:color="000000"/>
              <w:left w:val="single" w:sz="4" w:space="0" w:color="000000"/>
              <w:bottom w:val="single" w:sz="4" w:space="0" w:color="000000"/>
              <w:right w:val="single" w:sz="4" w:space="0" w:color="000000"/>
            </w:tcBorders>
          </w:tcPr>
          <w:p w14:paraId="0CA59F4A" w14:textId="3D946B92" w:rsidR="00B3518E" w:rsidRPr="00DC050B" w:rsidRDefault="00B3518E" w:rsidP="00B3518E">
            <w:pPr>
              <w:widowControl w:val="0"/>
              <w:autoSpaceDE w:val="0"/>
              <w:autoSpaceDN w:val="0"/>
              <w:adjustRightInd w:val="0"/>
              <w:spacing w:after="0" w:line="240" w:lineRule="auto"/>
              <w:ind w:left="194" w:right="170"/>
              <w:jc w:val="both"/>
              <w:rPr>
                <w:rFonts w:asciiTheme="minorHAnsi" w:hAnsiTheme="minorHAnsi" w:cstheme="minorHAnsi"/>
              </w:rPr>
            </w:pPr>
            <w:r w:rsidRPr="00BD4A16">
              <w:rPr>
                <w:rFonts w:asciiTheme="minorHAnsi" w:hAnsiTheme="minorHAnsi" w:cstheme="minorHAnsi"/>
              </w:rPr>
              <w:t>World Bank policy note on pension funds (2016) and World Bank TA in 2017 recommended reforms to the current system – to improve controls and implement parametr</w:t>
            </w:r>
            <w:r w:rsidRPr="00DC050B">
              <w:rPr>
                <w:rFonts w:asciiTheme="minorHAnsi" w:hAnsiTheme="minorHAnsi" w:cstheme="minorHAnsi"/>
              </w:rPr>
              <w:t>ic reforms.</w:t>
            </w:r>
          </w:p>
        </w:tc>
      </w:tr>
      <w:tr w:rsidR="00D01F94" w:rsidRPr="00B66802" w14:paraId="20372C43" w14:textId="77777777" w:rsidTr="0058327C">
        <w:trPr>
          <w:trHeight w:hRule="exact" w:val="2287"/>
        </w:trPr>
        <w:tc>
          <w:tcPr>
            <w:tcW w:w="2500" w:type="pct"/>
            <w:gridSpan w:val="2"/>
            <w:tcBorders>
              <w:top w:val="single" w:sz="4" w:space="0" w:color="auto"/>
              <w:left w:val="single" w:sz="4" w:space="0" w:color="auto"/>
              <w:bottom w:val="single" w:sz="4" w:space="0" w:color="auto"/>
              <w:right w:val="single" w:sz="4" w:space="0" w:color="auto"/>
            </w:tcBorders>
          </w:tcPr>
          <w:p w14:paraId="4FA951A9" w14:textId="53E4C875" w:rsidR="00D01F94" w:rsidRPr="00B66802" w:rsidRDefault="00B3518E" w:rsidP="00D01F94">
            <w:pPr>
              <w:widowControl w:val="0"/>
              <w:autoSpaceDE w:val="0"/>
              <w:autoSpaceDN w:val="0"/>
              <w:adjustRightInd w:val="0"/>
              <w:spacing w:after="0" w:line="240" w:lineRule="auto"/>
              <w:ind w:left="161" w:right="168"/>
              <w:jc w:val="both"/>
              <w:rPr>
                <w:rFonts w:asciiTheme="minorHAnsi" w:hAnsiTheme="minorHAnsi" w:cstheme="minorHAnsi"/>
                <w:spacing w:val="2"/>
                <w:lang w:val="fr-FR"/>
              </w:rPr>
            </w:pPr>
            <w:r w:rsidRPr="00B66802">
              <w:rPr>
                <w:rFonts w:asciiTheme="minorHAnsi" w:hAnsiTheme="minorHAnsi" w:cstheme="minorHAnsi"/>
                <w:b/>
                <w:lang w:val="fr-FR"/>
              </w:rPr>
              <w:t>PA#5.</w:t>
            </w:r>
            <w:r w:rsidRPr="00B66802">
              <w:rPr>
                <w:rFonts w:asciiTheme="minorHAnsi" w:hAnsiTheme="minorHAnsi" w:cstheme="minorHAnsi"/>
                <w:lang w:val="fr-FR"/>
              </w:rPr>
              <w:t xml:space="preserve"> The Recipient </w:t>
            </w:r>
            <w:r w:rsidRPr="001E36FC">
              <w:rPr>
                <w:rFonts w:asciiTheme="minorHAnsi" w:hAnsiTheme="minorHAnsi" w:cstheme="minorHAnsi"/>
                <w:bCs/>
                <w:iCs/>
                <w:lang w:val="fr-FR"/>
              </w:rPr>
              <w:t>has adopted application decrees to give effect to the PPP Law:</w:t>
            </w:r>
            <w:r w:rsidRPr="001E36FC">
              <w:rPr>
                <w:rFonts w:asciiTheme="minorHAnsi" w:hAnsiTheme="minorHAnsi" w:cstheme="minorHAnsi"/>
                <w:bCs/>
                <w:i/>
                <w:iCs/>
                <w:lang w:val="fr-FR"/>
              </w:rPr>
              <w:t xml:space="preserve"> Décret No. 2017-150 du 2 mars 2017 relatif au cadre institutionnel and Décret No.2017-149 du 2 mars 2017 relatif au</w:t>
            </w:r>
            <w:r w:rsidR="00D67BC0" w:rsidRPr="001E36FC">
              <w:rPr>
                <w:rFonts w:asciiTheme="minorHAnsi" w:hAnsiTheme="minorHAnsi" w:cstheme="minorHAnsi"/>
                <w:bCs/>
                <w:i/>
                <w:iCs/>
                <w:lang w:val="fr-FR"/>
              </w:rPr>
              <w:t>x</w:t>
            </w:r>
            <w:r w:rsidRPr="001E36FC">
              <w:rPr>
                <w:rFonts w:asciiTheme="minorHAnsi" w:hAnsiTheme="minorHAnsi" w:cstheme="minorHAnsi"/>
                <w:bCs/>
                <w:i/>
                <w:iCs/>
                <w:lang w:val="fr-FR"/>
              </w:rPr>
              <w:t xml:space="preserve"> modalités d’application des dispositions concernant la passation des contrats de partenariat public-privé</w:t>
            </w:r>
            <w:r w:rsidRPr="00B66802">
              <w:rPr>
                <w:rFonts w:asciiTheme="minorHAnsi" w:hAnsiTheme="minorHAnsi" w:cstheme="minorHAnsi"/>
                <w:lang w:val="fr-FR"/>
              </w:rPr>
              <w:t>.</w:t>
            </w:r>
          </w:p>
        </w:tc>
        <w:tc>
          <w:tcPr>
            <w:tcW w:w="2500" w:type="pct"/>
            <w:gridSpan w:val="2"/>
            <w:tcBorders>
              <w:top w:val="single" w:sz="4" w:space="0" w:color="auto"/>
              <w:left w:val="single" w:sz="4" w:space="0" w:color="000000"/>
              <w:bottom w:val="single" w:sz="4" w:space="0" w:color="auto"/>
              <w:right w:val="single" w:sz="4" w:space="0" w:color="auto"/>
            </w:tcBorders>
          </w:tcPr>
          <w:p w14:paraId="2DAEA686" w14:textId="60329F23" w:rsidR="00D01F94" w:rsidRPr="00DC050B" w:rsidRDefault="00D01F94" w:rsidP="00D01F94">
            <w:pPr>
              <w:widowControl w:val="0"/>
              <w:autoSpaceDE w:val="0"/>
              <w:autoSpaceDN w:val="0"/>
              <w:adjustRightInd w:val="0"/>
              <w:spacing w:after="0" w:line="240" w:lineRule="auto"/>
              <w:ind w:left="102" w:right="170"/>
              <w:jc w:val="both"/>
              <w:rPr>
                <w:rFonts w:asciiTheme="minorHAnsi" w:hAnsiTheme="minorHAnsi" w:cstheme="minorHAnsi"/>
                <w:spacing w:val="2"/>
              </w:rPr>
            </w:pPr>
            <w:r w:rsidRPr="00BD4A16">
              <w:rPr>
                <w:rFonts w:asciiTheme="minorHAnsi" w:hAnsiTheme="minorHAnsi" w:cstheme="minorHAnsi"/>
                <w:spacing w:val="2"/>
              </w:rPr>
              <w:t>The CPF discusses the</w:t>
            </w:r>
            <w:r w:rsidR="002E1D18" w:rsidRPr="00DC050B">
              <w:rPr>
                <w:rFonts w:asciiTheme="minorHAnsi" w:hAnsiTheme="minorHAnsi" w:cstheme="minorHAnsi"/>
                <w:spacing w:val="2"/>
              </w:rPr>
              <w:t xml:space="preserve"> significant</w:t>
            </w:r>
            <w:r w:rsidRPr="00DC050B">
              <w:rPr>
                <w:rFonts w:asciiTheme="minorHAnsi" w:hAnsiTheme="minorHAnsi" w:cstheme="minorHAnsi"/>
                <w:spacing w:val="2"/>
              </w:rPr>
              <w:t xml:space="preserve"> potential for using PPPs to scale-up investments but emphasizes to need to improve the regulatory environment. </w:t>
            </w:r>
          </w:p>
        </w:tc>
      </w:tr>
      <w:tr w:rsidR="00D01F94" w:rsidRPr="00B66802" w14:paraId="538FAB35" w14:textId="77777777" w:rsidTr="00B3518E">
        <w:trPr>
          <w:trHeight w:hRule="exact" w:val="2782"/>
        </w:trPr>
        <w:tc>
          <w:tcPr>
            <w:tcW w:w="2500" w:type="pct"/>
            <w:gridSpan w:val="2"/>
            <w:tcBorders>
              <w:top w:val="single" w:sz="4" w:space="0" w:color="auto"/>
              <w:left w:val="single" w:sz="4" w:space="0" w:color="auto"/>
              <w:bottom w:val="single" w:sz="4" w:space="0" w:color="auto"/>
              <w:right w:val="single" w:sz="4" w:space="0" w:color="auto"/>
            </w:tcBorders>
          </w:tcPr>
          <w:p w14:paraId="2F6C8007" w14:textId="4394B3B9" w:rsidR="00D01F94" w:rsidRPr="00B66802" w:rsidRDefault="00B3518E" w:rsidP="00D01F94">
            <w:pPr>
              <w:widowControl w:val="0"/>
              <w:autoSpaceDE w:val="0"/>
              <w:autoSpaceDN w:val="0"/>
              <w:adjustRightInd w:val="0"/>
              <w:spacing w:after="0" w:line="240" w:lineRule="auto"/>
              <w:ind w:left="161" w:right="168"/>
              <w:jc w:val="both"/>
              <w:rPr>
                <w:rFonts w:asciiTheme="minorHAnsi" w:hAnsiTheme="minorHAnsi" w:cstheme="minorHAnsi"/>
                <w:bCs/>
                <w:iCs/>
              </w:rPr>
            </w:pPr>
            <w:r w:rsidRPr="00B66802">
              <w:rPr>
                <w:rFonts w:asciiTheme="minorHAnsi" w:hAnsiTheme="minorHAnsi" w:cstheme="minorHAnsi"/>
                <w:b/>
              </w:rPr>
              <w:lastRenderedPageBreak/>
              <w:t>PA#6.</w:t>
            </w:r>
            <w:r w:rsidRPr="00B66802">
              <w:rPr>
                <w:rFonts w:asciiTheme="minorHAnsi" w:hAnsiTheme="minorHAnsi" w:cstheme="minorHAnsi"/>
              </w:rPr>
              <w:t xml:space="preserve"> The Recipient </w:t>
            </w:r>
            <w:r w:rsidRPr="001E36FC">
              <w:rPr>
                <w:rFonts w:asciiTheme="minorHAnsi" w:hAnsiTheme="minorHAnsi" w:cstheme="minorHAnsi"/>
              </w:rPr>
              <w:t xml:space="preserve">has issued a </w:t>
            </w:r>
            <w:r w:rsidRPr="001E36FC">
              <w:rPr>
                <w:rFonts w:asciiTheme="minorHAnsi" w:hAnsiTheme="minorHAnsi" w:cstheme="minorHAnsi"/>
                <w:i/>
                <w:iCs/>
              </w:rPr>
              <w:t xml:space="preserve">Circulaire relative à la preparation des projets du Programme d’Investissement Public 2018-2020, Tranche 2018 (sur financement intérieur) N. 007-MFB/SG/DGB du 30 juin 2017 </w:t>
            </w:r>
            <w:r w:rsidRPr="001E36FC">
              <w:rPr>
                <w:rFonts w:asciiTheme="minorHAnsi" w:hAnsiTheme="minorHAnsi" w:cstheme="minorHAnsi"/>
              </w:rPr>
              <w:t>to improve the selection process of domestically-financed investment projects through standardizing selection criteria and screening of all project proposals with pre-defined parameters, in line with the National Development Plan</w:t>
            </w:r>
            <w:r w:rsidRPr="00B66802">
              <w:rPr>
                <w:rFonts w:asciiTheme="minorHAnsi" w:hAnsiTheme="minorHAnsi" w:cstheme="minorHAnsi"/>
              </w:rPr>
              <w:t>.</w:t>
            </w:r>
          </w:p>
        </w:tc>
        <w:tc>
          <w:tcPr>
            <w:tcW w:w="2500" w:type="pct"/>
            <w:gridSpan w:val="2"/>
            <w:tcBorders>
              <w:top w:val="single" w:sz="4" w:space="0" w:color="auto"/>
              <w:left w:val="single" w:sz="4" w:space="0" w:color="000000"/>
              <w:bottom w:val="single" w:sz="4" w:space="0" w:color="auto"/>
              <w:right w:val="single" w:sz="4" w:space="0" w:color="auto"/>
            </w:tcBorders>
          </w:tcPr>
          <w:p w14:paraId="70785632" w14:textId="77777777" w:rsidR="00D01F94" w:rsidRPr="00DC050B" w:rsidRDefault="00D01F94" w:rsidP="00D01F94">
            <w:pPr>
              <w:widowControl w:val="0"/>
              <w:autoSpaceDE w:val="0"/>
              <w:autoSpaceDN w:val="0"/>
              <w:adjustRightInd w:val="0"/>
              <w:spacing w:after="0" w:line="240" w:lineRule="auto"/>
              <w:ind w:left="102" w:right="170"/>
              <w:jc w:val="both"/>
              <w:rPr>
                <w:rFonts w:asciiTheme="minorHAnsi" w:hAnsiTheme="minorHAnsi" w:cstheme="minorHAnsi"/>
                <w:spacing w:val="2"/>
              </w:rPr>
            </w:pPr>
            <w:r w:rsidRPr="00BD4A16">
              <w:rPr>
                <w:rFonts w:asciiTheme="minorHAnsi" w:hAnsiTheme="minorHAnsi" w:cstheme="minorHAnsi"/>
                <w:spacing w:val="2"/>
              </w:rPr>
              <w:t>The Public Investment Management Assessment (PIMA) discusses significant weaknesses in the capacity to prioritize, select</w:t>
            </w:r>
            <w:r w:rsidRPr="00DC050B">
              <w:rPr>
                <w:rFonts w:asciiTheme="minorHAnsi" w:hAnsiTheme="minorHAnsi" w:cstheme="minorHAnsi"/>
                <w:spacing w:val="2"/>
              </w:rPr>
              <w:t xml:space="preserve"> and appraise domestically financed projects. </w:t>
            </w:r>
          </w:p>
        </w:tc>
      </w:tr>
      <w:tr w:rsidR="00D01F94" w:rsidRPr="00B66802" w14:paraId="4AEBDF75" w14:textId="77777777" w:rsidTr="00D01F94">
        <w:trPr>
          <w:trHeight w:hRule="exact" w:val="361"/>
        </w:trPr>
        <w:tc>
          <w:tcPr>
            <w:tcW w:w="5000" w:type="pct"/>
            <w:gridSpan w:val="4"/>
            <w:tcBorders>
              <w:top w:val="single" w:sz="4" w:space="0" w:color="auto"/>
              <w:left w:val="single" w:sz="4" w:space="0" w:color="auto"/>
              <w:bottom w:val="single" w:sz="4" w:space="0" w:color="auto"/>
              <w:right w:val="single" w:sz="4" w:space="0" w:color="auto"/>
            </w:tcBorders>
          </w:tcPr>
          <w:p w14:paraId="49A7F196" w14:textId="77777777" w:rsidR="00D01F94" w:rsidRPr="00BD4A16" w:rsidRDefault="00D01F94" w:rsidP="00D01F94">
            <w:pPr>
              <w:widowControl w:val="0"/>
              <w:autoSpaceDE w:val="0"/>
              <w:autoSpaceDN w:val="0"/>
              <w:adjustRightInd w:val="0"/>
              <w:spacing w:after="0" w:line="240" w:lineRule="auto"/>
              <w:ind w:left="102" w:right="170"/>
              <w:jc w:val="both"/>
              <w:rPr>
                <w:rFonts w:asciiTheme="minorHAnsi" w:hAnsiTheme="minorHAnsi" w:cstheme="minorHAnsi"/>
                <w:b/>
                <w:i/>
                <w:spacing w:val="2"/>
              </w:rPr>
            </w:pPr>
            <w:r w:rsidRPr="00B66802">
              <w:rPr>
                <w:rFonts w:asciiTheme="minorHAnsi" w:hAnsiTheme="minorHAnsi" w:cstheme="minorHAnsi"/>
                <w:b/>
                <w:bCs/>
                <w:i/>
                <w:iCs/>
              </w:rPr>
              <w:t>Pillar B: I</w:t>
            </w:r>
            <w:r w:rsidRPr="00B66802">
              <w:rPr>
                <w:rFonts w:asciiTheme="minorHAnsi" w:hAnsiTheme="minorHAnsi" w:cstheme="minorHAnsi"/>
                <w:b/>
                <w:i/>
              </w:rPr>
              <w:t>mprove the environment for investment</w:t>
            </w:r>
          </w:p>
        </w:tc>
      </w:tr>
      <w:tr w:rsidR="00B3518E" w:rsidRPr="00B66802" w14:paraId="776E3530" w14:textId="77777777" w:rsidTr="00D01F94">
        <w:trPr>
          <w:trHeight w:hRule="exact" w:val="1162"/>
        </w:trPr>
        <w:tc>
          <w:tcPr>
            <w:tcW w:w="2500" w:type="pct"/>
            <w:gridSpan w:val="2"/>
            <w:tcBorders>
              <w:top w:val="single" w:sz="4" w:space="0" w:color="auto"/>
              <w:left w:val="single" w:sz="4" w:space="0" w:color="000000"/>
              <w:bottom w:val="single" w:sz="4" w:space="0" w:color="000000"/>
              <w:right w:val="single" w:sz="4" w:space="0" w:color="000000"/>
            </w:tcBorders>
          </w:tcPr>
          <w:p w14:paraId="55E86EC8" w14:textId="15379982" w:rsidR="00B3518E" w:rsidRPr="00B66802" w:rsidRDefault="00B3518E" w:rsidP="00B3518E">
            <w:pPr>
              <w:widowControl w:val="0"/>
              <w:autoSpaceDE w:val="0"/>
              <w:autoSpaceDN w:val="0"/>
              <w:adjustRightInd w:val="0"/>
              <w:spacing w:after="0" w:line="240" w:lineRule="auto"/>
              <w:ind w:left="161" w:right="168"/>
              <w:jc w:val="both"/>
              <w:rPr>
                <w:rFonts w:asciiTheme="minorHAnsi" w:hAnsiTheme="minorHAnsi" w:cstheme="minorHAnsi"/>
              </w:rPr>
            </w:pPr>
            <w:r w:rsidRPr="00B66802">
              <w:rPr>
                <w:rFonts w:asciiTheme="minorHAnsi" w:hAnsiTheme="minorHAnsi" w:cstheme="minorHAnsi"/>
                <w:b/>
              </w:rPr>
              <w:t>PA#7.</w:t>
            </w:r>
            <w:r w:rsidRPr="00B66802">
              <w:rPr>
                <w:rFonts w:asciiTheme="minorHAnsi" w:hAnsiTheme="minorHAnsi" w:cstheme="minorHAnsi"/>
              </w:rPr>
              <w:t xml:space="preserve"> </w:t>
            </w:r>
            <w:r w:rsidRPr="001E36FC">
              <w:rPr>
                <w:rFonts w:asciiTheme="minorHAnsi" w:hAnsiTheme="minorHAnsi" w:cstheme="minorHAnsi"/>
                <w:bCs/>
                <w:iCs/>
              </w:rPr>
              <w:t>The Recipient has caused JIRAMA to adopt standard contracts for all new Power Generation Agreements</w:t>
            </w:r>
            <w:r w:rsidRPr="00B66802">
              <w:rPr>
                <w:rFonts w:asciiTheme="minorHAnsi" w:hAnsiTheme="minorHAnsi" w:cstheme="minorHAnsi"/>
              </w:rPr>
              <w:t>.</w:t>
            </w:r>
          </w:p>
        </w:tc>
        <w:tc>
          <w:tcPr>
            <w:tcW w:w="2500" w:type="pct"/>
            <w:gridSpan w:val="2"/>
            <w:tcBorders>
              <w:left w:val="single" w:sz="4" w:space="0" w:color="000000"/>
              <w:bottom w:val="single" w:sz="4" w:space="0" w:color="000000"/>
              <w:right w:val="single" w:sz="4" w:space="0" w:color="000000"/>
            </w:tcBorders>
          </w:tcPr>
          <w:p w14:paraId="50EEE258" w14:textId="77777777" w:rsidR="00B3518E" w:rsidRPr="00DC050B" w:rsidRDefault="00B3518E" w:rsidP="00B3518E">
            <w:pPr>
              <w:widowControl w:val="0"/>
              <w:autoSpaceDE w:val="0"/>
              <w:autoSpaceDN w:val="0"/>
              <w:adjustRightInd w:val="0"/>
              <w:spacing w:after="0" w:line="240" w:lineRule="auto"/>
              <w:ind w:left="102" w:right="-20"/>
              <w:rPr>
                <w:rFonts w:asciiTheme="minorHAnsi" w:hAnsiTheme="minorHAnsi" w:cstheme="minorHAnsi"/>
                <w:spacing w:val="2"/>
              </w:rPr>
            </w:pPr>
            <w:r w:rsidRPr="00BD4A16">
              <w:rPr>
                <w:rFonts w:asciiTheme="minorHAnsi" w:hAnsiTheme="minorHAnsi" w:cstheme="minorHAnsi"/>
                <w:spacing w:val="2"/>
              </w:rPr>
              <w:t>Reengagement policy notes (2014), Doing Business Su</w:t>
            </w:r>
            <w:r w:rsidRPr="00DC050B">
              <w:rPr>
                <w:rFonts w:asciiTheme="minorHAnsi" w:hAnsiTheme="minorHAnsi" w:cstheme="minorHAnsi"/>
                <w:spacing w:val="2"/>
              </w:rPr>
              <w:t xml:space="preserve">rvey and Entrepreneurs Survey have found access to electricity to be one of the most significant constraints to private sector activities. </w:t>
            </w:r>
          </w:p>
        </w:tc>
      </w:tr>
      <w:tr w:rsidR="00B3518E" w:rsidRPr="00B66802" w14:paraId="1957D516" w14:textId="77777777" w:rsidTr="00E04A62">
        <w:trPr>
          <w:trHeight w:hRule="exact" w:val="1972"/>
        </w:trPr>
        <w:tc>
          <w:tcPr>
            <w:tcW w:w="2500" w:type="pct"/>
            <w:gridSpan w:val="2"/>
            <w:tcBorders>
              <w:top w:val="single" w:sz="4" w:space="0" w:color="000000"/>
              <w:left w:val="single" w:sz="4" w:space="0" w:color="000000"/>
              <w:bottom w:val="single" w:sz="4" w:space="0" w:color="000000"/>
              <w:right w:val="single" w:sz="4" w:space="0" w:color="000000"/>
            </w:tcBorders>
          </w:tcPr>
          <w:p w14:paraId="1DFF7430" w14:textId="652597B0" w:rsidR="00B3518E" w:rsidRPr="001E36FC" w:rsidRDefault="00B3518E" w:rsidP="00B3518E">
            <w:pPr>
              <w:pStyle w:val="BodyText"/>
              <w:ind w:left="161" w:right="168"/>
              <w:rPr>
                <w:rFonts w:asciiTheme="minorHAnsi" w:eastAsia="MS Mincho" w:hAnsiTheme="minorHAnsi" w:cstheme="minorHAnsi"/>
                <w:bCs/>
                <w:i/>
                <w:iCs/>
                <w:sz w:val="22"/>
                <w:szCs w:val="22"/>
                <w:lang w:val="en-US" w:eastAsia="en-US"/>
              </w:rPr>
            </w:pPr>
            <w:r w:rsidRPr="00B66802">
              <w:rPr>
                <w:rFonts w:asciiTheme="minorHAnsi" w:eastAsia="MS Mincho" w:hAnsiTheme="minorHAnsi" w:cstheme="minorHAnsi"/>
                <w:b/>
                <w:sz w:val="22"/>
                <w:szCs w:val="22"/>
                <w:lang w:val="en-US" w:eastAsia="en-US"/>
              </w:rPr>
              <w:t>PA#8.</w:t>
            </w:r>
            <w:r w:rsidRPr="001E36FC">
              <w:rPr>
                <w:rFonts w:asciiTheme="minorHAnsi" w:eastAsia="MS Mincho" w:hAnsiTheme="minorHAnsi" w:cstheme="minorHAnsi"/>
                <w:bCs/>
                <w:i/>
                <w:iCs/>
                <w:sz w:val="22"/>
                <w:szCs w:val="22"/>
                <w:lang w:val="en-US" w:eastAsia="en-US"/>
              </w:rPr>
              <w:t xml:space="preserve"> </w:t>
            </w:r>
            <w:r w:rsidRPr="001E36FC">
              <w:rPr>
                <w:rFonts w:asciiTheme="minorHAnsi" w:eastAsia="MS Mincho" w:hAnsiTheme="minorHAnsi" w:cstheme="minorHAnsi"/>
                <w:bCs/>
                <w:iCs/>
                <w:sz w:val="22"/>
                <w:szCs w:val="22"/>
                <w:lang w:val="en-US" w:eastAsia="en-US"/>
              </w:rPr>
              <w:t xml:space="preserve">The Recipient has adopted </w:t>
            </w:r>
            <w:r w:rsidRPr="001E36FC">
              <w:rPr>
                <w:rFonts w:asciiTheme="minorHAnsi" w:eastAsia="MS Mincho" w:hAnsiTheme="minorHAnsi" w:cstheme="minorHAnsi"/>
                <w:bCs/>
                <w:i/>
                <w:iCs/>
                <w:sz w:val="22"/>
                <w:szCs w:val="22"/>
                <w:lang w:val="en-US" w:eastAsia="en-US"/>
              </w:rPr>
              <w:t>Loi No. 2016-039 du 15 decembre 2016 modifiant et complétant certaines dispositions du Code de Procedure Civile Mal</w:t>
            </w:r>
            <w:r w:rsidR="00D67BC0" w:rsidRPr="001E36FC">
              <w:rPr>
                <w:rFonts w:asciiTheme="minorHAnsi" w:eastAsia="MS Mincho" w:hAnsiTheme="minorHAnsi" w:cstheme="minorHAnsi"/>
                <w:bCs/>
                <w:i/>
                <w:iCs/>
                <w:sz w:val="22"/>
                <w:szCs w:val="22"/>
                <w:lang w:val="en-US" w:eastAsia="en-US"/>
              </w:rPr>
              <w:t>a</w:t>
            </w:r>
            <w:r w:rsidRPr="001E36FC">
              <w:rPr>
                <w:rFonts w:asciiTheme="minorHAnsi" w:eastAsia="MS Mincho" w:hAnsiTheme="minorHAnsi" w:cstheme="minorHAnsi"/>
                <w:bCs/>
                <w:i/>
                <w:iCs/>
                <w:sz w:val="22"/>
                <w:szCs w:val="22"/>
                <w:lang w:val="en-US" w:eastAsia="en-US"/>
              </w:rPr>
              <w:t xml:space="preserve">gasy </w:t>
            </w:r>
            <w:r w:rsidRPr="001E36FC">
              <w:rPr>
                <w:rFonts w:asciiTheme="minorHAnsi" w:eastAsia="MS Mincho" w:hAnsiTheme="minorHAnsi" w:cstheme="minorHAnsi"/>
                <w:bCs/>
                <w:iCs/>
                <w:sz w:val="22"/>
                <w:szCs w:val="22"/>
                <w:lang w:val="en-US" w:eastAsia="en-US"/>
              </w:rPr>
              <w:t>to integrate commercial justice reforms in the legal framework and reduce the number of postponements of commercial cases.</w:t>
            </w:r>
          </w:p>
        </w:tc>
        <w:tc>
          <w:tcPr>
            <w:tcW w:w="2500" w:type="pct"/>
            <w:gridSpan w:val="2"/>
            <w:tcBorders>
              <w:top w:val="single" w:sz="4" w:space="0" w:color="000000"/>
              <w:left w:val="single" w:sz="4" w:space="0" w:color="000000"/>
              <w:bottom w:val="single" w:sz="4" w:space="0" w:color="000000"/>
              <w:right w:val="single" w:sz="4" w:space="0" w:color="000000"/>
            </w:tcBorders>
          </w:tcPr>
          <w:p w14:paraId="6C19156D" w14:textId="77777777" w:rsidR="00B3518E" w:rsidRPr="00BD4A16" w:rsidRDefault="00B3518E" w:rsidP="00B3518E">
            <w:pPr>
              <w:widowControl w:val="0"/>
              <w:autoSpaceDE w:val="0"/>
              <w:autoSpaceDN w:val="0"/>
              <w:adjustRightInd w:val="0"/>
              <w:spacing w:after="0" w:line="240" w:lineRule="auto"/>
              <w:ind w:left="102" w:right="-20"/>
              <w:rPr>
                <w:rFonts w:asciiTheme="minorHAnsi" w:hAnsiTheme="minorHAnsi" w:cstheme="minorHAnsi"/>
              </w:rPr>
            </w:pPr>
            <w:r w:rsidRPr="00B66802">
              <w:rPr>
                <w:rFonts w:asciiTheme="minorHAnsi" w:hAnsiTheme="minorHAnsi" w:cstheme="minorHAnsi"/>
                <w:spacing w:val="2"/>
              </w:rPr>
              <w:t>The</w:t>
            </w:r>
            <w:r w:rsidRPr="00B66802">
              <w:rPr>
                <w:rFonts w:asciiTheme="minorHAnsi" w:hAnsiTheme="minorHAnsi" w:cstheme="minorHAnsi"/>
              </w:rPr>
              <w:t xml:space="preserve"> Madagascar Doing Business assessments and the World Bank study of the commercial justice system both highlighted the difficulties in enforcing contracts and the importance of effective commercial justice for attracting private investment to Madagascar; as well as challenges to the framework for </w:t>
            </w:r>
            <w:r w:rsidRPr="00BD4A16">
              <w:rPr>
                <w:rFonts w:asciiTheme="minorHAnsi" w:hAnsiTheme="minorHAnsi" w:cstheme="minorHAnsi"/>
              </w:rPr>
              <w:t>insolvency.</w:t>
            </w:r>
          </w:p>
        </w:tc>
      </w:tr>
      <w:tr w:rsidR="00B3518E" w:rsidRPr="00B66802" w14:paraId="0A23034B" w14:textId="77777777" w:rsidTr="000242D5">
        <w:trPr>
          <w:trHeight w:hRule="exact" w:val="1432"/>
        </w:trPr>
        <w:tc>
          <w:tcPr>
            <w:tcW w:w="2500" w:type="pct"/>
            <w:gridSpan w:val="2"/>
            <w:tcBorders>
              <w:top w:val="single" w:sz="4" w:space="0" w:color="000000"/>
              <w:left w:val="single" w:sz="4" w:space="0" w:color="000000"/>
              <w:bottom w:val="single" w:sz="4" w:space="0" w:color="000000"/>
              <w:right w:val="single" w:sz="4" w:space="0" w:color="000000"/>
            </w:tcBorders>
          </w:tcPr>
          <w:p w14:paraId="794A69E6" w14:textId="571D2C4A" w:rsidR="00B3518E" w:rsidRPr="00B66802" w:rsidRDefault="00B3518E" w:rsidP="00B3518E">
            <w:pPr>
              <w:widowControl w:val="0"/>
              <w:autoSpaceDE w:val="0"/>
              <w:autoSpaceDN w:val="0"/>
              <w:adjustRightInd w:val="0"/>
              <w:spacing w:after="0" w:line="240" w:lineRule="auto"/>
              <w:ind w:left="161" w:right="168"/>
              <w:jc w:val="both"/>
              <w:rPr>
                <w:rFonts w:asciiTheme="minorHAnsi" w:hAnsiTheme="minorHAnsi" w:cstheme="minorHAnsi"/>
                <w:lang w:val="x-none"/>
              </w:rPr>
            </w:pPr>
            <w:r w:rsidRPr="00B66802">
              <w:rPr>
                <w:rFonts w:asciiTheme="minorHAnsi" w:hAnsiTheme="minorHAnsi" w:cstheme="minorHAnsi"/>
                <w:b/>
              </w:rPr>
              <w:t>PA#9.</w:t>
            </w:r>
            <w:r w:rsidRPr="00B66802">
              <w:rPr>
                <w:rFonts w:asciiTheme="minorHAnsi" w:hAnsiTheme="minorHAnsi" w:cstheme="minorHAnsi"/>
              </w:rPr>
              <w:t xml:space="preserve"> </w:t>
            </w:r>
            <w:r w:rsidR="00F216CD" w:rsidRPr="001E36FC">
              <w:rPr>
                <w:rFonts w:asciiTheme="minorHAnsi" w:hAnsiTheme="minorHAnsi" w:cstheme="minorHAnsi"/>
                <w:bCs/>
                <w:iCs/>
              </w:rPr>
              <w:t xml:space="preserve">The Recipient has submitted to Parliament the </w:t>
            </w:r>
            <w:r w:rsidR="00F216CD" w:rsidRPr="001E36FC">
              <w:rPr>
                <w:rFonts w:asciiTheme="minorHAnsi" w:hAnsiTheme="minorHAnsi" w:cstheme="minorHAnsi"/>
                <w:bCs/>
                <w:i/>
                <w:iCs/>
              </w:rPr>
              <w:t xml:space="preserve">Projet de Loi No. 025/2017 du 27 septembre 2017 sur la microfinance, </w:t>
            </w:r>
            <w:r w:rsidR="00F216CD" w:rsidRPr="001E36FC">
              <w:rPr>
                <w:rFonts w:asciiTheme="minorHAnsi" w:hAnsiTheme="minorHAnsi" w:cstheme="minorHAnsi"/>
                <w:bCs/>
                <w:iCs/>
              </w:rPr>
              <w:t>the draft law on microfinance, including resolution schemes for microfinance institutions</w:t>
            </w:r>
            <w:r w:rsidRPr="00B66802">
              <w:rPr>
                <w:rFonts w:asciiTheme="minorHAnsi" w:hAnsiTheme="minorHAnsi" w:cstheme="minorHAnsi"/>
              </w:rPr>
              <w:t>.</w:t>
            </w:r>
          </w:p>
        </w:tc>
        <w:tc>
          <w:tcPr>
            <w:tcW w:w="2500" w:type="pct"/>
            <w:gridSpan w:val="2"/>
            <w:tcBorders>
              <w:top w:val="single" w:sz="4" w:space="0" w:color="000000"/>
              <w:left w:val="single" w:sz="4" w:space="0" w:color="000000"/>
              <w:bottom w:val="single" w:sz="4" w:space="0" w:color="000000"/>
              <w:right w:val="single" w:sz="4" w:space="0" w:color="000000"/>
            </w:tcBorders>
          </w:tcPr>
          <w:p w14:paraId="36CDA440" w14:textId="74FA56DC" w:rsidR="00B3518E" w:rsidRPr="00DC050B" w:rsidRDefault="00B3518E" w:rsidP="00B3518E">
            <w:pPr>
              <w:widowControl w:val="0"/>
              <w:autoSpaceDE w:val="0"/>
              <w:autoSpaceDN w:val="0"/>
              <w:adjustRightInd w:val="0"/>
              <w:spacing w:after="0" w:line="240" w:lineRule="auto"/>
              <w:ind w:left="102" w:right="-20"/>
              <w:rPr>
                <w:rFonts w:asciiTheme="minorHAnsi" w:hAnsiTheme="minorHAnsi" w:cstheme="minorHAnsi"/>
                <w:highlight w:val="yellow"/>
              </w:rPr>
            </w:pPr>
            <w:r w:rsidRPr="00BD4A16">
              <w:rPr>
                <w:rFonts w:asciiTheme="minorHAnsi" w:hAnsiTheme="minorHAnsi" w:cstheme="minorHAnsi"/>
                <w:spacing w:val="2"/>
              </w:rPr>
              <w:t xml:space="preserve">The Reengagement policy notes (2014) and the Madagascar FSAP (2015) underline the </w:t>
            </w:r>
            <w:r w:rsidRPr="00DC050B">
              <w:rPr>
                <w:rFonts w:asciiTheme="minorHAnsi" w:hAnsiTheme="minorHAnsi" w:cstheme="minorHAnsi"/>
                <w:spacing w:val="2"/>
              </w:rPr>
              <w:t>importance of risk-based supervision.</w:t>
            </w:r>
          </w:p>
        </w:tc>
      </w:tr>
    </w:tbl>
    <w:p w14:paraId="7C421821" w14:textId="77777777" w:rsidR="00D01F94" w:rsidRPr="00B66802" w:rsidRDefault="00D01F94" w:rsidP="00D01F94">
      <w:pPr>
        <w:widowControl w:val="0"/>
        <w:autoSpaceDE w:val="0"/>
        <w:autoSpaceDN w:val="0"/>
        <w:adjustRightInd w:val="0"/>
        <w:spacing w:before="18" w:after="0" w:line="220" w:lineRule="exact"/>
        <w:rPr>
          <w:rFonts w:asciiTheme="minorHAnsi" w:hAnsiTheme="minorHAnsi" w:cstheme="minorHAnsi"/>
        </w:rPr>
      </w:pPr>
    </w:p>
    <w:p w14:paraId="0EA4998F" w14:textId="33AF0F7C" w:rsidR="00D01F94" w:rsidRPr="001E36FC" w:rsidRDefault="00230A6A" w:rsidP="001E36FC">
      <w:pPr>
        <w:pStyle w:val="Heading2"/>
        <w:numPr>
          <w:ilvl w:val="0"/>
          <w:numId w:val="0"/>
        </w:numPr>
        <w:rPr>
          <w:rFonts w:asciiTheme="minorHAnsi" w:hAnsiTheme="minorHAnsi" w:cstheme="minorHAnsi"/>
          <w:szCs w:val="22"/>
        </w:rPr>
      </w:pPr>
      <w:bookmarkStart w:id="12" w:name="_Toc491036097"/>
      <w:bookmarkStart w:id="13" w:name="_Toc496204249"/>
      <w:r>
        <w:rPr>
          <w:rFonts w:asciiTheme="minorHAnsi" w:hAnsiTheme="minorHAnsi" w:cstheme="minorHAnsi"/>
          <w:szCs w:val="22"/>
        </w:rPr>
        <w:t xml:space="preserve">4.3 </w:t>
      </w:r>
      <w:r>
        <w:rPr>
          <w:rFonts w:asciiTheme="minorHAnsi" w:hAnsiTheme="minorHAnsi" w:cstheme="minorHAnsi"/>
          <w:szCs w:val="22"/>
        </w:rPr>
        <w:tab/>
      </w:r>
      <w:r w:rsidR="00D01F94" w:rsidRPr="001E36FC">
        <w:rPr>
          <w:rFonts w:asciiTheme="minorHAnsi" w:hAnsiTheme="minorHAnsi" w:cstheme="minorHAnsi"/>
          <w:szCs w:val="22"/>
        </w:rPr>
        <w:t>LINK</w:t>
      </w:r>
      <w:r w:rsidR="00D01F94" w:rsidRPr="001E36FC">
        <w:rPr>
          <w:rFonts w:asciiTheme="minorHAnsi" w:hAnsiTheme="minorHAnsi" w:cstheme="minorHAnsi"/>
          <w:spacing w:val="32"/>
          <w:szCs w:val="22"/>
        </w:rPr>
        <w:t xml:space="preserve"> </w:t>
      </w:r>
      <w:r w:rsidR="00D01F94" w:rsidRPr="001E36FC">
        <w:rPr>
          <w:rFonts w:asciiTheme="minorHAnsi" w:hAnsiTheme="minorHAnsi" w:cstheme="minorHAnsi"/>
          <w:szCs w:val="22"/>
        </w:rPr>
        <w:t>TO</w:t>
      </w:r>
      <w:r w:rsidR="00D01F94" w:rsidRPr="001E36FC">
        <w:rPr>
          <w:rFonts w:asciiTheme="minorHAnsi" w:hAnsiTheme="minorHAnsi" w:cstheme="minorHAnsi"/>
          <w:spacing w:val="34"/>
          <w:szCs w:val="22"/>
        </w:rPr>
        <w:t xml:space="preserve"> </w:t>
      </w:r>
      <w:r w:rsidR="00D01F94" w:rsidRPr="001E36FC">
        <w:rPr>
          <w:rFonts w:asciiTheme="minorHAnsi" w:hAnsiTheme="minorHAnsi" w:cstheme="minorHAnsi"/>
          <w:szCs w:val="22"/>
        </w:rPr>
        <w:t>CPF,</w:t>
      </w:r>
      <w:r w:rsidR="00D01F94" w:rsidRPr="001E36FC">
        <w:rPr>
          <w:rFonts w:asciiTheme="minorHAnsi" w:hAnsiTheme="minorHAnsi" w:cstheme="minorHAnsi"/>
          <w:spacing w:val="34"/>
          <w:szCs w:val="22"/>
        </w:rPr>
        <w:t xml:space="preserve"> </w:t>
      </w:r>
      <w:r w:rsidR="00D01F94" w:rsidRPr="001E36FC">
        <w:rPr>
          <w:rFonts w:asciiTheme="minorHAnsi" w:hAnsiTheme="minorHAnsi" w:cstheme="minorHAnsi"/>
          <w:szCs w:val="22"/>
        </w:rPr>
        <w:t xml:space="preserve">OTHER </w:t>
      </w:r>
      <w:r w:rsidR="00406280" w:rsidRPr="001E36FC">
        <w:rPr>
          <w:rFonts w:asciiTheme="minorHAnsi" w:hAnsiTheme="minorHAnsi" w:cstheme="minorHAnsi"/>
          <w:szCs w:val="22"/>
        </w:rPr>
        <w:t xml:space="preserve">WORLD </w:t>
      </w:r>
      <w:r w:rsidR="00D01F94" w:rsidRPr="001E36FC">
        <w:rPr>
          <w:rFonts w:asciiTheme="minorHAnsi" w:hAnsiTheme="minorHAnsi" w:cstheme="minorHAnsi"/>
          <w:szCs w:val="22"/>
        </w:rPr>
        <w:t>BANK OPERATIONS</w:t>
      </w:r>
      <w:r w:rsidR="00D01F94" w:rsidRPr="001E36FC">
        <w:rPr>
          <w:rFonts w:asciiTheme="minorHAnsi" w:hAnsiTheme="minorHAnsi" w:cstheme="minorHAnsi"/>
          <w:spacing w:val="35"/>
          <w:szCs w:val="22"/>
        </w:rPr>
        <w:t xml:space="preserve"> </w:t>
      </w:r>
      <w:r w:rsidR="00D01F94" w:rsidRPr="001E36FC">
        <w:rPr>
          <w:rFonts w:asciiTheme="minorHAnsi" w:hAnsiTheme="minorHAnsi" w:cstheme="minorHAnsi"/>
          <w:szCs w:val="22"/>
        </w:rPr>
        <w:t>AND</w:t>
      </w:r>
      <w:r w:rsidR="00D01F94" w:rsidRPr="001E36FC">
        <w:rPr>
          <w:rFonts w:asciiTheme="minorHAnsi" w:hAnsiTheme="minorHAnsi" w:cstheme="minorHAnsi"/>
          <w:spacing w:val="33"/>
          <w:szCs w:val="22"/>
        </w:rPr>
        <w:t xml:space="preserve"> </w:t>
      </w:r>
      <w:r w:rsidR="00D01F94" w:rsidRPr="001E36FC">
        <w:rPr>
          <w:rFonts w:asciiTheme="minorHAnsi" w:hAnsiTheme="minorHAnsi" w:cstheme="minorHAnsi"/>
          <w:szCs w:val="22"/>
        </w:rPr>
        <w:t>T</w:t>
      </w:r>
      <w:r w:rsidR="00D01F94" w:rsidRPr="001E36FC">
        <w:rPr>
          <w:rFonts w:asciiTheme="minorHAnsi" w:hAnsiTheme="minorHAnsi" w:cstheme="minorHAnsi"/>
          <w:spacing w:val="-2"/>
          <w:szCs w:val="22"/>
        </w:rPr>
        <w:t>H</w:t>
      </w:r>
      <w:r w:rsidR="00D01F94" w:rsidRPr="001E36FC">
        <w:rPr>
          <w:rFonts w:asciiTheme="minorHAnsi" w:hAnsiTheme="minorHAnsi" w:cstheme="minorHAnsi"/>
          <w:szCs w:val="22"/>
        </w:rPr>
        <w:t>E</w:t>
      </w:r>
      <w:r w:rsidR="00D01F94" w:rsidRPr="001E36FC">
        <w:rPr>
          <w:rFonts w:asciiTheme="minorHAnsi" w:hAnsiTheme="minorHAnsi" w:cstheme="minorHAnsi"/>
          <w:spacing w:val="34"/>
          <w:szCs w:val="22"/>
        </w:rPr>
        <w:t xml:space="preserve"> </w:t>
      </w:r>
      <w:r w:rsidR="00D01F94" w:rsidRPr="001E36FC">
        <w:rPr>
          <w:rFonts w:asciiTheme="minorHAnsi" w:hAnsiTheme="minorHAnsi" w:cstheme="minorHAnsi"/>
          <w:szCs w:val="22"/>
        </w:rPr>
        <w:t>W</w:t>
      </w:r>
      <w:r w:rsidR="00D01F94" w:rsidRPr="001E36FC">
        <w:rPr>
          <w:rFonts w:asciiTheme="minorHAnsi" w:hAnsiTheme="minorHAnsi" w:cstheme="minorHAnsi"/>
          <w:spacing w:val="-2"/>
          <w:szCs w:val="22"/>
        </w:rPr>
        <w:t>B</w:t>
      </w:r>
      <w:r w:rsidR="00D01F94" w:rsidRPr="001E36FC">
        <w:rPr>
          <w:rFonts w:asciiTheme="minorHAnsi" w:hAnsiTheme="minorHAnsi" w:cstheme="minorHAnsi"/>
          <w:szCs w:val="22"/>
        </w:rPr>
        <w:t>G</w:t>
      </w:r>
      <w:r w:rsidR="00D01F94" w:rsidRPr="001E36FC">
        <w:rPr>
          <w:rFonts w:asciiTheme="minorHAnsi" w:hAnsiTheme="minorHAnsi" w:cstheme="minorHAnsi"/>
          <w:spacing w:val="32"/>
          <w:szCs w:val="22"/>
        </w:rPr>
        <w:t xml:space="preserve"> </w:t>
      </w:r>
      <w:r w:rsidR="00D01F94" w:rsidRPr="001E36FC">
        <w:rPr>
          <w:rFonts w:asciiTheme="minorHAnsi" w:hAnsiTheme="minorHAnsi" w:cstheme="minorHAnsi"/>
          <w:szCs w:val="22"/>
        </w:rPr>
        <w:t>STRATE</w:t>
      </w:r>
      <w:r w:rsidR="00D01F94" w:rsidRPr="001E36FC">
        <w:rPr>
          <w:rFonts w:asciiTheme="minorHAnsi" w:hAnsiTheme="minorHAnsi" w:cstheme="minorHAnsi"/>
          <w:spacing w:val="-2"/>
          <w:szCs w:val="22"/>
        </w:rPr>
        <w:t>G</w:t>
      </w:r>
      <w:r w:rsidR="00D01F94" w:rsidRPr="001E36FC">
        <w:rPr>
          <w:rFonts w:asciiTheme="minorHAnsi" w:hAnsiTheme="minorHAnsi" w:cstheme="minorHAnsi"/>
          <w:szCs w:val="22"/>
        </w:rPr>
        <w:t>Y</w:t>
      </w:r>
      <w:bookmarkEnd w:id="12"/>
      <w:bookmarkEnd w:id="13"/>
      <w:r w:rsidR="00D01F94" w:rsidRPr="001E36FC">
        <w:rPr>
          <w:rFonts w:asciiTheme="minorHAnsi" w:hAnsiTheme="minorHAnsi" w:cstheme="minorHAnsi"/>
          <w:szCs w:val="22"/>
        </w:rPr>
        <w:t xml:space="preserve">  </w:t>
      </w:r>
      <w:r w:rsidR="00D01F94" w:rsidRPr="001E36FC">
        <w:rPr>
          <w:rFonts w:asciiTheme="minorHAnsi" w:hAnsiTheme="minorHAnsi" w:cstheme="minorHAnsi"/>
          <w:spacing w:val="7"/>
          <w:szCs w:val="22"/>
        </w:rPr>
        <w:t xml:space="preserve"> </w:t>
      </w:r>
    </w:p>
    <w:p w14:paraId="5BA3C842" w14:textId="29D0D8B5" w:rsidR="00D01F94" w:rsidRPr="00406280" w:rsidRDefault="00D01F94" w:rsidP="001E36FC">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A20F63">
        <w:rPr>
          <w:rFonts w:asciiTheme="minorHAnsi" w:hAnsiTheme="minorHAnsi" w:cstheme="minorHAnsi"/>
          <w:b/>
        </w:rPr>
        <w:t xml:space="preserve">The proposed </w:t>
      </w:r>
      <w:r w:rsidR="008C57F4" w:rsidRPr="00A20F63">
        <w:rPr>
          <w:rFonts w:asciiTheme="minorHAnsi" w:hAnsiTheme="minorHAnsi" w:cstheme="minorHAnsi"/>
          <w:b/>
        </w:rPr>
        <w:t>operation</w:t>
      </w:r>
      <w:r w:rsidRPr="00A20F63">
        <w:rPr>
          <w:rFonts w:asciiTheme="minorHAnsi" w:hAnsiTheme="minorHAnsi" w:cstheme="minorHAnsi"/>
          <w:b/>
        </w:rPr>
        <w:t xml:space="preserve"> </w:t>
      </w:r>
      <w:r w:rsidR="00074FA7" w:rsidRPr="00A20F63">
        <w:rPr>
          <w:rFonts w:asciiTheme="minorHAnsi" w:hAnsiTheme="minorHAnsi" w:cstheme="minorHAnsi"/>
          <w:b/>
        </w:rPr>
        <w:t xml:space="preserve">is </w:t>
      </w:r>
      <w:r w:rsidRPr="00A20F63">
        <w:rPr>
          <w:rFonts w:asciiTheme="minorHAnsi" w:hAnsiTheme="minorHAnsi" w:cstheme="minorHAnsi"/>
          <w:b/>
        </w:rPr>
        <w:t xml:space="preserve">an integral part of the World </w:t>
      </w:r>
      <w:r w:rsidR="00074FA7" w:rsidRPr="00A20F63">
        <w:rPr>
          <w:rFonts w:asciiTheme="minorHAnsi" w:hAnsiTheme="minorHAnsi" w:cstheme="minorHAnsi"/>
          <w:b/>
          <w:bCs/>
        </w:rPr>
        <w:t>Bank’s CPF</w:t>
      </w:r>
      <w:r w:rsidR="00736739">
        <w:rPr>
          <w:rFonts w:asciiTheme="minorHAnsi" w:hAnsiTheme="minorHAnsi" w:cstheme="minorHAnsi"/>
          <w:b/>
          <w:bCs/>
        </w:rPr>
        <w:t xml:space="preserve"> (</w:t>
      </w:r>
      <w:r w:rsidR="001E36FC">
        <w:rPr>
          <w:rFonts w:asciiTheme="minorHAnsi" w:hAnsiTheme="minorHAnsi" w:cstheme="minorHAnsi"/>
          <w:b/>
          <w:bCs/>
        </w:rPr>
        <w:t>2017-2021</w:t>
      </w:r>
      <w:r w:rsidR="00736739">
        <w:rPr>
          <w:rFonts w:asciiTheme="minorHAnsi" w:hAnsiTheme="minorHAnsi" w:cstheme="minorHAnsi"/>
          <w:b/>
          <w:bCs/>
        </w:rPr>
        <w:t>)</w:t>
      </w:r>
      <w:r w:rsidR="00074FA7" w:rsidRPr="00A20F63">
        <w:rPr>
          <w:rFonts w:asciiTheme="minorHAnsi" w:hAnsiTheme="minorHAnsi" w:cstheme="minorHAnsi"/>
          <w:b/>
          <w:bCs/>
        </w:rPr>
        <w:t>,</w:t>
      </w:r>
      <w:r w:rsidRPr="00A20F63">
        <w:rPr>
          <w:rFonts w:asciiTheme="minorHAnsi" w:hAnsiTheme="minorHAnsi" w:cstheme="minorHAnsi"/>
          <w:b/>
          <w:bCs/>
        </w:rPr>
        <w:t xml:space="preserve"> </w:t>
      </w:r>
      <w:r w:rsidR="00C846CF" w:rsidRPr="00A20F63">
        <w:rPr>
          <w:rFonts w:asciiTheme="minorHAnsi" w:hAnsiTheme="minorHAnsi" w:cstheme="minorHAnsi"/>
          <w:b/>
          <w:bCs/>
        </w:rPr>
        <w:t>discussed</w:t>
      </w:r>
      <w:r w:rsidRPr="00A20F63">
        <w:rPr>
          <w:rFonts w:asciiTheme="minorHAnsi" w:hAnsiTheme="minorHAnsi" w:cstheme="minorHAnsi"/>
          <w:b/>
          <w:bCs/>
        </w:rPr>
        <w:t xml:space="preserve"> by the Board of Executive Directors </w:t>
      </w:r>
      <w:r w:rsidR="00D05861">
        <w:rPr>
          <w:rFonts w:asciiTheme="minorHAnsi" w:hAnsiTheme="minorHAnsi" w:cstheme="minorHAnsi"/>
          <w:b/>
          <w:bCs/>
        </w:rPr>
        <w:t>o</w:t>
      </w:r>
      <w:r w:rsidRPr="00A20F63">
        <w:rPr>
          <w:rFonts w:asciiTheme="minorHAnsi" w:hAnsiTheme="minorHAnsi" w:cstheme="minorHAnsi"/>
          <w:b/>
          <w:bCs/>
        </w:rPr>
        <w:t>n June</w:t>
      </w:r>
      <w:r w:rsidR="00190FFA">
        <w:rPr>
          <w:rFonts w:asciiTheme="minorHAnsi" w:hAnsiTheme="minorHAnsi" w:cstheme="minorHAnsi"/>
          <w:b/>
          <w:bCs/>
        </w:rPr>
        <w:t xml:space="preserve"> 27</w:t>
      </w:r>
      <w:r w:rsidR="00D05861">
        <w:rPr>
          <w:rFonts w:asciiTheme="minorHAnsi" w:hAnsiTheme="minorHAnsi" w:cstheme="minorHAnsi"/>
          <w:b/>
          <w:bCs/>
        </w:rPr>
        <w:t>,</w:t>
      </w:r>
      <w:r w:rsidRPr="00A20F63">
        <w:rPr>
          <w:rFonts w:asciiTheme="minorHAnsi" w:hAnsiTheme="minorHAnsi" w:cstheme="minorHAnsi"/>
          <w:b/>
          <w:bCs/>
        </w:rPr>
        <w:t xml:space="preserve"> 2017.</w:t>
      </w:r>
      <w:r w:rsidR="00C846CF" w:rsidRPr="00B66802">
        <w:rPr>
          <w:rStyle w:val="FootnoteReference"/>
          <w:rFonts w:asciiTheme="minorHAnsi" w:hAnsiTheme="minorHAnsi" w:cstheme="minorHAnsi"/>
          <w:b/>
          <w:bCs/>
        </w:rPr>
        <w:footnoteReference w:id="52"/>
      </w:r>
      <w:r w:rsidRPr="00B66802">
        <w:rPr>
          <w:rFonts w:asciiTheme="minorHAnsi" w:hAnsiTheme="minorHAnsi" w:cstheme="minorHAnsi"/>
          <w:b/>
          <w:bCs/>
        </w:rPr>
        <w:t xml:space="preserve"> </w:t>
      </w:r>
      <w:r w:rsidRPr="00B66802">
        <w:rPr>
          <w:rFonts w:asciiTheme="minorHAnsi" w:hAnsiTheme="minorHAnsi" w:cstheme="minorHAnsi"/>
          <w:bCs/>
        </w:rPr>
        <w:t xml:space="preserve">The CPF aims to build on the current relative political stability </w:t>
      </w:r>
      <w:r w:rsidRPr="00B66802">
        <w:rPr>
          <w:rFonts w:asciiTheme="minorHAnsi" w:eastAsia="Calibri" w:hAnsiTheme="minorHAnsi" w:cstheme="minorHAnsi"/>
          <w:color w:val="000000" w:themeColor="text1"/>
        </w:rPr>
        <w:t>to</w:t>
      </w:r>
      <w:r w:rsidR="00074FA7" w:rsidRPr="00BD4A16">
        <w:rPr>
          <w:rFonts w:asciiTheme="minorHAnsi" w:eastAsia="Calibri" w:hAnsiTheme="minorHAnsi" w:cstheme="minorHAnsi"/>
          <w:color w:val="000000" w:themeColor="text1"/>
        </w:rPr>
        <w:t xml:space="preserve"> </w:t>
      </w:r>
      <w:r w:rsidR="004D6ED0" w:rsidRPr="00DC050B">
        <w:rPr>
          <w:rFonts w:asciiTheme="minorHAnsi" w:eastAsia="Calibri" w:hAnsiTheme="minorHAnsi" w:cstheme="minorHAnsi"/>
          <w:color w:val="000000" w:themeColor="text1"/>
        </w:rPr>
        <w:t>enhance</w:t>
      </w:r>
      <w:r w:rsidR="00074FA7" w:rsidRPr="00DC050B">
        <w:rPr>
          <w:rFonts w:asciiTheme="minorHAnsi" w:eastAsia="Calibri" w:hAnsiTheme="minorHAnsi" w:cstheme="minorHAnsi"/>
          <w:color w:val="000000" w:themeColor="text1"/>
        </w:rPr>
        <w:t xml:space="preserve"> </w:t>
      </w:r>
      <w:r w:rsidR="004246C1" w:rsidRPr="00DC050B">
        <w:rPr>
          <w:rFonts w:asciiTheme="minorHAnsi" w:eastAsia="Calibri" w:hAnsiTheme="minorHAnsi" w:cstheme="minorHAnsi"/>
          <w:color w:val="000000" w:themeColor="text1"/>
        </w:rPr>
        <w:t>resilience</w:t>
      </w:r>
      <w:r w:rsidR="00074FA7" w:rsidRPr="00DC050B">
        <w:rPr>
          <w:rFonts w:asciiTheme="minorHAnsi" w:eastAsia="Calibri" w:hAnsiTheme="minorHAnsi" w:cstheme="minorHAnsi"/>
          <w:color w:val="000000" w:themeColor="text1"/>
        </w:rPr>
        <w:t xml:space="preserve">, and </w:t>
      </w:r>
      <w:r w:rsidR="004D6ED0" w:rsidRPr="00DC050B">
        <w:rPr>
          <w:rFonts w:asciiTheme="minorHAnsi" w:eastAsia="Calibri" w:hAnsiTheme="minorHAnsi" w:cstheme="minorHAnsi"/>
          <w:color w:val="000000" w:themeColor="text1"/>
        </w:rPr>
        <w:t>promote</w:t>
      </w:r>
      <w:r w:rsidRPr="006C66C2">
        <w:rPr>
          <w:rFonts w:asciiTheme="minorHAnsi" w:eastAsia="Calibri" w:hAnsiTheme="minorHAnsi" w:cstheme="minorHAnsi"/>
          <w:color w:val="000000" w:themeColor="text1"/>
        </w:rPr>
        <w:t xml:space="preserve"> sustainable human and economic development in Madagascar. The CPF </w:t>
      </w:r>
      <w:r w:rsidR="00FE4602" w:rsidRPr="006C66C2">
        <w:rPr>
          <w:rFonts w:asciiTheme="minorHAnsi" w:eastAsia="Calibri" w:hAnsiTheme="minorHAnsi" w:cstheme="minorHAnsi"/>
          <w:color w:val="000000" w:themeColor="text1"/>
        </w:rPr>
        <w:t>has</w:t>
      </w:r>
      <w:r w:rsidRPr="00A20F63">
        <w:rPr>
          <w:rFonts w:asciiTheme="minorHAnsi" w:eastAsia="Calibri" w:hAnsiTheme="minorHAnsi" w:cstheme="minorHAnsi"/>
          <w:color w:val="000000" w:themeColor="text1"/>
        </w:rPr>
        <w:t xml:space="preserve"> two Focus Areas to: i) increase resilience and reduce fragility; and ii) promote inclusive growth.</w:t>
      </w:r>
      <w:r w:rsidR="00FE4602" w:rsidRPr="00A20F63">
        <w:rPr>
          <w:rFonts w:asciiTheme="minorHAnsi" w:eastAsia="Calibri" w:hAnsiTheme="minorHAnsi" w:cstheme="minorHAnsi"/>
          <w:color w:val="000000" w:themeColor="text1"/>
        </w:rPr>
        <w:t xml:space="preserve"> </w:t>
      </w:r>
      <w:r w:rsidR="004246C1" w:rsidRPr="00A20F63">
        <w:rPr>
          <w:rFonts w:asciiTheme="minorHAnsi" w:eastAsia="Calibri" w:hAnsiTheme="minorHAnsi" w:cstheme="minorHAnsi"/>
          <w:color w:val="000000" w:themeColor="text1"/>
        </w:rPr>
        <w:t>The program development objectives of this programmatic operation play a</w:t>
      </w:r>
      <w:r w:rsidR="002B7C96" w:rsidRPr="00A20F63">
        <w:rPr>
          <w:rFonts w:asciiTheme="minorHAnsi" w:eastAsia="Calibri" w:hAnsiTheme="minorHAnsi" w:cstheme="minorHAnsi"/>
          <w:color w:val="000000" w:themeColor="text1"/>
        </w:rPr>
        <w:t xml:space="preserve"> key role in the attainment of </w:t>
      </w:r>
      <w:r w:rsidR="00D05861">
        <w:rPr>
          <w:rFonts w:asciiTheme="minorHAnsi" w:eastAsia="Calibri" w:hAnsiTheme="minorHAnsi" w:cstheme="minorHAnsi"/>
          <w:color w:val="000000" w:themeColor="text1"/>
        </w:rPr>
        <w:t>O</w:t>
      </w:r>
      <w:r w:rsidR="004246C1" w:rsidRPr="00A20F63">
        <w:rPr>
          <w:rFonts w:asciiTheme="minorHAnsi" w:eastAsia="Calibri" w:hAnsiTheme="minorHAnsi" w:cstheme="minorHAnsi"/>
          <w:color w:val="000000" w:themeColor="text1"/>
        </w:rPr>
        <w:t>bjective 5 of the CPF on i</w:t>
      </w:r>
      <w:r w:rsidR="004246C1" w:rsidRPr="00A20F63">
        <w:rPr>
          <w:rFonts w:asciiTheme="minorHAnsi" w:eastAsia="Calibri" w:hAnsiTheme="minorHAnsi" w:cstheme="minorHAnsi"/>
        </w:rPr>
        <w:t xml:space="preserve">ncreased fiscal space to finance priority social and infrastructure spending, and </w:t>
      </w:r>
      <w:r w:rsidR="00D05861">
        <w:rPr>
          <w:rFonts w:asciiTheme="minorHAnsi" w:eastAsia="Calibri" w:hAnsiTheme="minorHAnsi" w:cstheme="minorHAnsi"/>
        </w:rPr>
        <w:t>O</w:t>
      </w:r>
      <w:r w:rsidR="004246C1" w:rsidRPr="00A20F63">
        <w:rPr>
          <w:rFonts w:asciiTheme="minorHAnsi" w:eastAsia="Calibri" w:hAnsiTheme="minorHAnsi" w:cstheme="minorHAnsi"/>
        </w:rPr>
        <w:t xml:space="preserve">bjective 6 on the improved business environment and access to finance. </w:t>
      </w:r>
      <w:r w:rsidRPr="00A20F63">
        <w:rPr>
          <w:rFonts w:asciiTheme="minorHAnsi" w:eastAsia="Calibri" w:hAnsiTheme="minorHAnsi" w:cstheme="minorHAnsi"/>
        </w:rPr>
        <w:t xml:space="preserve">The DPO also contributes to </w:t>
      </w:r>
      <w:r w:rsidR="00D05861">
        <w:rPr>
          <w:rFonts w:asciiTheme="minorHAnsi" w:eastAsia="Calibri" w:hAnsiTheme="minorHAnsi" w:cstheme="minorHAnsi"/>
        </w:rPr>
        <w:t>O</w:t>
      </w:r>
      <w:r w:rsidRPr="00A20F63">
        <w:rPr>
          <w:rFonts w:asciiTheme="minorHAnsi" w:eastAsia="Calibri" w:hAnsiTheme="minorHAnsi" w:cstheme="minorHAnsi"/>
        </w:rPr>
        <w:t xml:space="preserve">bjective 4 on enhanced transparency and accountability, and </w:t>
      </w:r>
      <w:r w:rsidR="00D05861">
        <w:rPr>
          <w:rFonts w:asciiTheme="minorHAnsi" w:eastAsia="Calibri" w:hAnsiTheme="minorHAnsi" w:cstheme="minorHAnsi"/>
        </w:rPr>
        <w:t>O</w:t>
      </w:r>
      <w:r w:rsidRPr="00A20F63">
        <w:rPr>
          <w:rFonts w:asciiTheme="minorHAnsi" w:eastAsia="Calibri" w:hAnsiTheme="minorHAnsi" w:cstheme="minorHAnsi"/>
        </w:rPr>
        <w:t>bjective 8 on improved access to energy and transport</w:t>
      </w:r>
      <w:r w:rsidRPr="00406280">
        <w:rPr>
          <w:rFonts w:asciiTheme="minorHAnsi" w:eastAsia="Times New Roman" w:hAnsiTheme="minorHAnsi" w:cstheme="minorHAnsi"/>
        </w:rPr>
        <w:t xml:space="preserve">. </w:t>
      </w:r>
    </w:p>
    <w:p w14:paraId="3546667E" w14:textId="56EAC7EC" w:rsidR="00D01F94" w:rsidRPr="00DC050B" w:rsidRDefault="00D01F94" w:rsidP="001E36FC">
      <w:pPr>
        <w:numPr>
          <w:ilvl w:val="0"/>
          <w:numId w:val="44"/>
        </w:numPr>
        <w:tabs>
          <w:tab w:val="clear" w:pos="360"/>
        </w:tabs>
        <w:autoSpaceDE w:val="0"/>
        <w:autoSpaceDN w:val="0"/>
        <w:adjustRightInd w:val="0"/>
        <w:spacing w:after="240" w:line="240" w:lineRule="auto"/>
        <w:ind w:left="0" w:firstLine="0"/>
        <w:jc w:val="both"/>
        <w:rPr>
          <w:rFonts w:asciiTheme="minorHAnsi" w:eastAsia="Times New Roman" w:hAnsiTheme="minorHAnsi" w:cstheme="minorHAnsi"/>
        </w:rPr>
      </w:pPr>
      <w:r w:rsidRPr="00601B29">
        <w:rPr>
          <w:rFonts w:asciiTheme="minorHAnsi" w:hAnsiTheme="minorHAnsi" w:cstheme="minorHAnsi"/>
          <w:b/>
        </w:rPr>
        <w:t>The</w:t>
      </w:r>
      <w:r w:rsidRPr="0085470E">
        <w:rPr>
          <w:rFonts w:asciiTheme="minorHAnsi" w:eastAsia="Times New Roman" w:hAnsiTheme="minorHAnsi" w:cstheme="minorHAnsi"/>
          <w:b/>
        </w:rPr>
        <w:t xml:space="preserve"> proposed operation is designed to complement the investment and TA projects that are ongoing or under preparation.</w:t>
      </w:r>
      <w:r w:rsidRPr="00A46F16">
        <w:rPr>
          <w:rFonts w:asciiTheme="minorHAnsi" w:eastAsia="Times New Roman" w:hAnsiTheme="minorHAnsi" w:cstheme="minorHAnsi"/>
        </w:rPr>
        <w:t xml:space="preserve"> This second </w:t>
      </w:r>
      <w:r w:rsidR="00B1281A" w:rsidRPr="00A46F16">
        <w:rPr>
          <w:rFonts w:asciiTheme="minorHAnsi" w:eastAsia="Times New Roman" w:hAnsiTheme="minorHAnsi" w:cstheme="minorHAnsi"/>
        </w:rPr>
        <w:t>operation</w:t>
      </w:r>
      <w:r w:rsidRPr="00805BA2">
        <w:rPr>
          <w:rFonts w:asciiTheme="minorHAnsi" w:eastAsia="Times New Roman" w:hAnsiTheme="minorHAnsi" w:cstheme="minorHAnsi"/>
        </w:rPr>
        <w:t xml:space="preserve"> consolidates the reforms initiated under the first </w:t>
      </w:r>
      <w:r w:rsidR="00B1281A" w:rsidRPr="00805BA2">
        <w:rPr>
          <w:rFonts w:asciiTheme="minorHAnsi" w:eastAsia="Times New Roman" w:hAnsiTheme="minorHAnsi" w:cstheme="minorHAnsi"/>
        </w:rPr>
        <w:lastRenderedPageBreak/>
        <w:t>operation</w:t>
      </w:r>
      <w:r w:rsidRPr="00805BA2">
        <w:rPr>
          <w:rFonts w:asciiTheme="minorHAnsi" w:eastAsia="Times New Roman" w:hAnsiTheme="minorHAnsi" w:cstheme="minorHAnsi"/>
        </w:rPr>
        <w:t xml:space="preserve"> </w:t>
      </w:r>
      <w:r w:rsidR="00B1281A" w:rsidRPr="00805BA2">
        <w:rPr>
          <w:rFonts w:asciiTheme="minorHAnsi" w:eastAsia="Times New Roman" w:hAnsiTheme="minorHAnsi" w:cstheme="minorHAnsi"/>
        </w:rPr>
        <w:t>in the series</w:t>
      </w:r>
      <w:r w:rsidRPr="00805BA2">
        <w:rPr>
          <w:rFonts w:asciiTheme="minorHAnsi" w:eastAsia="Times New Roman" w:hAnsiTheme="minorHAnsi" w:cstheme="minorHAnsi"/>
        </w:rPr>
        <w:t xml:space="preserve"> (P160866). The goal of strengthening the fiscal framework is complemented by the Public Sector Performance project (P150116), approved in 2016, which has an objective to strengthen revenue mobilization through improved tax administration. The TA provided through the ESMAP Fuel Subsidy Removal (P160866) supports the Government in removing fuel subsidies. The Social Safety Net Project (P149323) has assisted the Government in pension reforms. The Donor Coordination for Results TA (P164136) seeks to improve PIM practices. The Energy Sector Operations and Governance I</w:t>
      </w:r>
      <w:r w:rsidRPr="00051ABB">
        <w:rPr>
          <w:rFonts w:asciiTheme="minorHAnsi" w:eastAsia="Times New Roman" w:hAnsiTheme="minorHAnsi" w:cstheme="minorHAnsi"/>
        </w:rPr>
        <w:t xml:space="preserve">mprovement project (P151785), approved in 2016, seeks to improve the operational performance of JIRAMA, and improve the reliability of electricity supply in the project area. The </w:t>
      </w:r>
      <w:r w:rsidR="001B01D2" w:rsidRPr="001E36FC">
        <w:rPr>
          <w:rFonts w:asciiTheme="minorHAnsi" w:hAnsiTheme="minorHAnsi" w:cstheme="minorHAnsi"/>
        </w:rPr>
        <w:t xml:space="preserve">Integrated Growth Poles and Corridor Project (P083351) </w:t>
      </w:r>
      <w:r w:rsidRPr="00B66802">
        <w:rPr>
          <w:rFonts w:asciiTheme="minorHAnsi" w:eastAsia="Times New Roman" w:hAnsiTheme="minorHAnsi" w:cstheme="minorHAnsi"/>
        </w:rPr>
        <w:t>supports commercial justice reforms, and the Madagascar – Microfinance supervision project (P153761) seeks to support financial sector stability.</w:t>
      </w:r>
      <w:r w:rsidRPr="00BD4A16">
        <w:rPr>
          <w:rFonts w:asciiTheme="minorHAnsi" w:eastAsia="Times New Roman" w:hAnsiTheme="minorHAnsi" w:cstheme="minorHAnsi"/>
        </w:rPr>
        <w:t xml:space="preserve"> While this programmatic DPO supports the </w:t>
      </w:r>
      <w:r w:rsidR="004D6ED0" w:rsidRPr="00DC050B">
        <w:rPr>
          <w:rFonts w:asciiTheme="minorHAnsi" w:eastAsia="Times New Roman" w:hAnsiTheme="minorHAnsi" w:cstheme="minorHAnsi"/>
        </w:rPr>
        <w:t xml:space="preserve">country’s efforts to generate </w:t>
      </w:r>
      <w:r w:rsidRPr="00DC050B">
        <w:rPr>
          <w:rFonts w:asciiTheme="minorHAnsi" w:eastAsia="Times New Roman" w:hAnsiTheme="minorHAnsi" w:cstheme="minorHAnsi"/>
        </w:rPr>
        <w:t>growth, the Inclusive and Resilient Growth DPO (P162272) supports reforms aiming to channel the</w:t>
      </w:r>
      <w:r w:rsidR="004D6ED0" w:rsidRPr="00DC050B">
        <w:rPr>
          <w:rFonts w:asciiTheme="minorHAnsi" w:eastAsia="Times New Roman" w:hAnsiTheme="minorHAnsi" w:cstheme="minorHAnsi"/>
        </w:rPr>
        <w:t>se</w:t>
      </w:r>
      <w:r w:rsidRPr="00DC050B">
        <w:rPr>
          <w:rFonts w:asciiTheme="minorHAnsi" w:eastAsia="Times New Roman" w:hAnsiTheme="minorHAnsi" w:cstheme="minorHAnsi"/>
        </w:rPr>
        <w:t xml:space="preserve"> benefits to the poor.   </w:t>
      </w:r>
    </w:p>
    <w:p w14:paraId="68D6B36E" w14:textId="5031ECD7" w:rsidR="00D01F94" w:rsidRPr="001E36FC" w:rsidRDefault="000E78DF" w:rsidP="001E36FC">
      <w:pPr>
        <w:pStyle w:val="Heading2"/>
        <w:numPr>
          <w:ilvl w:val="0"/>
          <w:numId w:val="0"/>
        </w:numPr>
        <w:rPr>
          <w:rFonts w:asciiTheme="minorHAnsi" w:hAnsiTheme="minorHAnsi" w:cstheme="minorHAnsi"/>
          <w:szCs w:val="22"/>
        </w:rPr>
      </w:pPr>
      <w:bookmarkStart w:id="14" w:name="_Toc491036098"/>
      <w:bookmarkStart w:id="15" w:name="_Toc496204250"/>
      <w:r>
        <w:rPr>
          <w:rFonts w:asciiTheme="minorHAnsi" w:hAnsiTheme="minorHAnsi" w:cstheme="minorHAnsi"/>
          <w:szCs w:val="22"/>
        </w:rPr>
        <w:t xml:space="preserve">4.4 </w:t>
      </w:r>
      <w:r>
        <w:rPr>
          <w:rFonts w:asciiTheme="minorHAnsi" w:hAnsiTheme="minorHAnsi" w:cstheme="minorHAnsi"/>
          <w:szCs w:val="22"/>
        </w:rPr>
        <w:tab/>
      </w:r>
      <w:r w:rsidR="00D01F94" w:rsidRPr="001E36FC">
        <w:rPr>
          <w:rFonts w:asciiTheme="minorHAnsi" w:hAnsiTheme="minorHAnsi" w:cstheme="minorHAnsi"/>
          <w:szCs w:val="22"/>
        </w:rPr>
        <w:t>CONSULTATIONS AND COLLABORATION WITH DEVELOPMENT PARTNERS</w:t>
      </w:r>
      <w:bookmarkEnd w:id="14"/>
      <w:bookmarkEnd w:id="15"/>
      <w:r w:rsidR="00D01F94" w:rsidRPr="001E36FC">
        <w:rPr>
          <w:rFonts w:asciiTheme="minorHAnsi" w:hAnsiTheme="minorHAnsi" w:cstheme="minorHAnsi"/>
          <w:szCs w:val="22"/>
        </w:rPr>
        <w:t xml:space="preserve"> </w:t>
      </w:r>
    </w:p>
    <w:p w14:paraId="65CC8657" w14:textId="21F23EC3" w:rsidR="007857F9" w:rsidRPr="00406280" w:rsidRDefault="00D01F94" w:rsidP="001E36FC">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6C66C2">
        <w:rPr>
          <w:rFonts w:asciiTheme="minorHAnsi" w:hAnsiTheme="minorHAnsi" w:cstheme="minorHAnsi"/>
          <w:b/>
        </w:rPr>
        <w:t xml:space="preserve">This operation supports the implementation of the </w:t>
      </w:r>
      <w:r w:rsidR="00B13BFA" w:rsidRPr="00A20F63">
        <w:rPr>
          <w:rFonts w:asciiTheme="minorHAnsi" w:hAnsiTheme="minorHAnsi" w:cstheme="minorHAnsi"/>
          <w:b/>
        </w:rPr>
        <w:t>Government’s</w:t>
      </w:r>
      <w:r w:rsidR="00D00297" w:rsidRPr="00A20F63">
        <w:rPr>
          <w:rFonts w:asciiTheme="minorHAnsi" w:hAnsiTheme="minorHAnsi" w:cstheme="minorHAnsi"/>
          <w:b/>
        </w:rPr>
        <w:t xml:space="preserve"> national and</w:t>
      </w:r>
      <w:r w:rsidR="00B13BFA" w:rsidRPr="00A20F63">
        <w:rPr>
          <w:rFonts w:asciiTheme="minorHAnsi" w:hAnsiTheme="minorHAnsi" w:cstheme="minorHAnsi"/>
          <w:b/>
        </w:rPr>
        <w:t xml:space="preserve"> sectoral strategies, which were prepared through e</w:t>
      </w:r>
      <w:r w:rsidRPr="00A20F63">
        <w:rPr>
          <w:rFonts w:asciiTheme="minorHAnsi" w:hAnsiTheme="minorHAnsi" w:cstheme="minorHAnsi"/>
          <w:b/>
        </w:rPr>
        <w:t xml:space="preserve">xtensive consultative processes. </w:t>
      </w:r>
      <w:r w:rsidR="00D73932" w:rsidRPr="00A20F63">
        <w:rPr>
          <w:rFonts w:asciiTheme="minorHAnsi" w:hAnsiTheme="minorHAnsi" w:cstheme="minorHAnsi"/>
        </w:rPr>
        <w:t xml:space="preserve">The NDP </w:t>
      </w:r>
      <w:r w:rsidR="00E767A4" w:rsidRPr="00A20F63">
        <w:rPr>
          <w:rFonts w:asciiTheme="minorHAnsi" w:hAnsiTheme="minorHAnsi" w:cstheme="minorHAnsi"/>
        </w:rPr>
        <w:t>and sectoral strategies that this operation supports were</w:t>
      </w:r>
      <w:r w:rsidR="00D73932" w:rsidRPr="00A20F63">
        <w:rPr>
          <w:rFonts w:asciiTheme="minorHAnsi" w:hAnsiTheme="minorHAnsi" w:cstheme="minorHAnsi"/>
        </w:rPr>
        <w:t xml:space="preserve"> developed </w:t>
      </w:r>
      <w:r w:rsidR="00E767A4" w:rsidRPr="00A20F63">
        <w:rPr>
          <w:rFonts w:asciiTheme="minorHAnsi" w:hAnsiTheme="minorHAnsi" w:cstheme="minorHAnsi"/>
        </w:rPr>
        <w:t xml:space="preserve">through wide consultative processes, including </w:t>
      </w:r>
      <w:r w:rsidR="00463BD6">
        <w:rPr>
          <w:rFonts w:asciiTheme="minorHAnsi" w:hAnsiTheme="minorHAnsi" w:cstheme="minorHAnsi"/>
        </w:rPr>
        <w:t xml:space="preserve">with </w:t>
      </w:r>
      <w:r w:rsidR="00D73932" w:rsidRPr="00A20F63">
        <w:rPr>
          <w:rFonts w:asciiTheme="minorHAnsi" w:hAnsiTheme="minorHAnsi" w:cstheme="minorHAnsi"/>
        </w:rPr>
        <w:t>civil society, academia,</w:t>
      </w:r>
      <w:r w:rsidR="004D6ED0" w:rsidRPr="00A20F63">
        <w:rPr>
          <w:rFonts w:asciiTheme="minorHAnsi" w:hAnsiTheme="minorHAnsi" w:cstheme="minorHAnsi"/>
        </w:rPr>
        <w:t xml:space="preserve"> private sector representatives, and</w:t>
      </w:r>
      <w:r w:rsidR="00D73932" w:rsidRPr="00A20F63">
        <w:rPr>
          <w:rFonts w:asciiTheme="minorHAnsi" w:hAnsiTheme="minorHAnsi" w:cstheme="minorHAnsi"/>
        </w:rPr>
        <w:t xml:space="preserve"> development partners.</w:t>
      </w:r>
      <w:r w:rsidR="00E767A4" w:rsidRPr="00A20F63">
        <w:rPr>
          <w:rFonts w:asciiTheme="minorHAnsi" w:hAnsiTheme="minorHAnsi" w:cstheme="minorHAnsi"/>
        </w:rPr>
        <w:t xml:space="preserve"> Further details on consultative arrangements are provided </w:t>
      </w:r>
      <w:r w:rsidR="007857F9" w:rsidRPr="00406280">
        <w:rPr>
          <w:rFonts w:asciiTheme="minorHAnsi" w:hAnsiTheme="minorHAnsi" w:cstheme="minorHAnsi"/>
        </w:rPr>
        <w:t>below:</w:t>
      </w:r>
    </w:p>
    <w:p w14:paraId="659A0685" w14:textId="26E6D2D1" w:rsidR="007857F9" w:rsidRPr="00406280" w:rsidRDefault="00391ABB" w:rsidP="00391ABB">
      <w:pPr>
        <w:tabs>
          <w:tab w:val="left" w:pos="450"/>
          <w:tab w:val="num" w:pos="540"/>
        </w:tabs>
        <w:autoSpaceDE w:val="0"/>
        <w:autoSpaceDN w:val="0"/>
        <w:adjustRightInd w:val="0"/>
        <w:spacing w:after="240" w:line="240" w:lineRule="auto"/>
        <w:jc w:val="both"/>
        <w:rPr>
          <w:rFonts w:asciiTheme="minorHAnsi" w:hAnsiTheme="minorHAnsi" w:cstheme="minorHAnsi"/>
        </w:rPr>
      </w:pPr>
      <w:r w:rsidRPr="00406280">
        <w:rPr>
          <w:rFonts w:asciiTheme="minorHAnsi" w:hAnsiTheme="minorHAnsi" w:cstheme="minorHAnsi"/>
          <w:b/>
        </w:rPr>
        <w:t xml:space="preserve">(i) </w:t>
      </w:r>
      <w:r w:rsidR="007857F9" w:rsidRPr="00406280">
        <w:rPr>
          <w:rFonts w:asciiTheme="minorHAnsi" w:hAnsiTheme="minorHAnsi" w:cstheme="minorHAnsi"/>
          <w:b/>
        </w:rPr>
        <w:t>Fiscal Framework:</w:t>
      </w:r>
      <w:r w:rsidR="007857F9" w:rsidRPr="00406280">
        <w:rPr>
          <w:rFonts w:asciiTheme="minorHAnsi" w:hAnsiTheme="minorHAnsi" w:cstheme="minorHAnsi"/>
        </w:rPr>
        <w:t xml:space="preserve"> </w:t>
      </w:r>
    </w:p>
    <w:p w14:paraId="60776BF3" w14:textId="36C6E8B9" w:rsidR="007857F9" w:rsidRPr="00805BA2" w:rsidRDefault="007857F9" w:rsidP="00041917">
      <w:pPr>
        <w:pStyle w:val="ListParagraph"/>
        <w:numPr>
          <w:ilvl w:val="0"/>
          <w:numId w:val="27"/>
        </w:numPr>
        <w:tabs>
          <w:tab w:val="left" w:pos="450"/>
          <w:tab w:val="num" w:pos="540"/>
        </w:tabs>
        <w:autoSpaceDE w:val="0"/>
        <w:autoSpaceDN w:val="0"/>
        <w:adjustRightInd w:val="0"/>
        <w:spacing w:after="240" w:line="240" w:lineRule="auto"/>
        <w:jc w:val="both"/>
        <w:rPr>
          <w:rFonts w:asciiTheme="minorHAnsi" w:hAnsiTheme="minorHAnsi" w:cstheme="minorHAnsi"/>
        </w:rPr>
      </w:pPr>
      <w:r w:rsidRPr="00601B29">
        <w:rPr>
          <w:rFonts w:asciiTheme="minorHAnsi" w:hAnsiTheme="minorHAnsi" w:cstheme="minorHAnsi"/>
        </w:rPr>
        <w:t>The PFM Mode</w:t>
      </w:r>
      <w:r w:rsidRPr="0085470E">
        <w:rPr>
          <w:rFonts w:asciiTheme="minorHAnsi" w:hAnsiTheme="minorHAnsi" w:cstheme="minorHAnsi"/>
        </w:rPr>
        <w:t>rnization strategy was developed through close collaboration between the MFB and sectoral ministries</w:t>
      </w:r>
      <w:r w:rsidR="00004046" w:rsidRPr="00A46F16">
        <w:rPr>
          <w:rFonts w:asciiTheme="minorHAnsi" w:hAnsiTheme="minorHAnsi" w:cstheme="minorHAnsi"/>
        </w:rPr>
        <w:t>. D</w:t>
      </w:r>
      <w:r w:rsidRPr="00A46F16">
        <w:rPr>
          <w:rFonts w:asciiTheme="minorHAnsi" w:hAnsiTheme="minorHAnsi" w:cstheme="minorHAnsi"/>
        </w:rPr>
        <w:t xml:space="preserve">evelopment partners </w:t>
      </w:r>
      <w:r w:rsidR="00004046" w:rsidRPr="00805BA2">
        <w:rPr>
          <w:rFonts w:asciiTheme="minorHAnsi" w:hAnsiTheme="minorHAnsi" w:cstheme="minorHAnsi"/>
        </w:rPr>
        <w:t>were</w:t>
      </w:r>
      <w:r w:rsidRPr="00805BA2">
        <w:rPr>
          <w:rFonts w:asciiTheme="minorHAnsi" w:hAnsiTheme="minorHAnsi" w:cstheme="minorHAnsi"/>
        </w:rPr>
        <w:t xml:space="preserve"> consulted throughout the process. </w:t>
      </w:r>
    </w:p>
    <w:p w14:paraId="2A2EA988" w14:textId="63C83F2F" w:rsidR="007857F9" w:rsidRPr="000C77CE" w:rsidRDefault="007857F9" w:rsidP="00041917">
      <w:pPr>
        <w:pStyle w:val="ListParagraph"/>
        <w:numPr>
          <w:ilvl w:val="0"/>
          <w:numId w:val="27"/>
        </w:numPr>
        <w:tabs>
          <w:tab w:val="left" w:pos="450"/>
          <w:tab w:val="num" w:pos="540"/>
        </w:tabs>
        <w:autoSpaceDE w:val="0"/>
        <w:autoSpaceDN w:val="0"/>
        <w:adjustRightInd w:val="0"/>
        <w:spacing w:after="240" w:line="240" w:lineRule="auto"/>
        <w:jc w:val="both"/>
        <w:rPr>
          <w:rFonts w:asciiTheme="minorHAnsi" w:hAnsiTheme="minorHAnsi" w:cstheme="minorHAnsi"/>
        </w:rPr>
      </w:pPr>
      <w:r w:rsidRPr="00805BA2">
        <w:rPr>
          <w:rFonts w:asciiTheme="minorHAnsi" w:hAnsiTheme="minorHAnsi" w:cstheme="minorHAnsi"/>
        </w:rPr>
        <w:t>The Roadmap on the fuel pricing mechanism has benefited from extensive consultations with the private petroleum companies. All W</w:t>
      </w:r>
      <w:r w:rsidR="00525BCF">
        <w:rPr>
          <w:rFonts w:asciiTheme="minorHAnsi" w:hAnsiTheme="minorHAnsi" w:cstheme="minorHAnsi"/>
        </w:rPr>
        <w:t xml:space="preserve">orld </w:t>
      </w:r>
      <w:r w:rsidRPr="00805BA2">
        <w:rPr>
          <w:rFonts w:asciiTheme="minorHAnsi" w:hAnsiTheme="minorHAnsi" w:cstheme="minorHAnsi"/>
        </w:rPr>
        <w:t>B</w:t>
      </w:r>
      <w:r w:rsidR="00525BCF">
        <w:rPr>
          <w:rFonts w:asciiTheme="minorHAnsi" w:hAnsiTheme="minorHAnsi" w:cstheme="minorHAnsi"/>
        </w:rPr>
        <w:t>ank</w:t>
      </w:r>
      <w:r w:rsidRPr="00805BA2">
        <w:rPr>
          <w:rFonts w:asciiTheme="minorHAnsi" w:hAnsiTheme="minorHAnsi" w:cstheme="minorHAnsi"/>
        </w:rPr>
        <w:t xml:space="preserve"> TA in this area has been informed by a stakeholder analysis, which discussed broad support for the removal of fuel subsidies from the Government,</w:t>
      </w:r>
      <w:r w:rsidRPr="00051ABB">
        <w:rPr>
          <w:rFonts w:asciiTheme="minorHAnsi" w:hAnsiTheme="minorHAnsi" w:cstheme="minorHAnsi"/>
        </w:rPr>
        <w:t xml:space="preserve"> petroleum companies,</w:t>
      </w:r>
      <w:r w:rsidR="00B56841" w:rsidRPr="00051ABB">
        <w:rPr>
          <w:rFonts w:asciiTheme="minorHAnsi" w:hAnsiTheme="minorHAnsi" w:cstheme="minorHAnsi"/>
        </w:rPr>
        <w:t xml:space="preserve"> urban transport companies</w:t>
      </w:r>
      <w:r w:rsidRPr="00051ABB">
        <w:rPr>
          <w:rFonts w:asciiTheme="minorHAnsi" w:hAnsiTheme="minorHAnsi" w:cstheme="minorHAnsi"/>
        </w:rPr>
        <w:t xml:space="preserve"> and </w:t>
      </w:r>
      <w:r w:rsidR="00C846CF" w:rsidRPr="000C77CE">
        <w:rPr>
          <w:rFonts w:asciiTheme="minorHAnsi" w:hAnsiTheme="minorHAnsi" w:cstheme="minorHAnsi"/>
        </w:rPr>
        <w:t>consumer groups</w:t>
      </w:r>
      <w:r w:rsidRPr="000C77CE">
        <w:rPr>
          <w:rFonts w:asciiTheme="minorHAnsi" w:hAnsiTheme="minorHAnsi" w:cstheme="minorHAnsi"/>
        </w:rPr>
        <w:t xml:space="preserve">. </w:t>
      </w:r>
    </w:p>
    <w:p w14:paraId="3E236B9F" w14:textId="4A5BF7DE" w:rsidR="007857F9" w:rsidRPr="00E36113" w:rsidRDefault="007857F9" w:rsidP="00041917">
      <w:pPr>
        <w:pStyle w:val="ListParagraph"/>
        <w:numPr>
          <w:ilvl w:val="0"/>
          <w:numId w:val="27"/>
        </w:numPr>
        <w:tabs>
          <w:tab w:val="left" w:pos="450"/>
          <w:tab w:val="num" w:pos="540"/>
        </w:tabs>
        <w:autoSpaceDE w:val="0"/>
        <w:autoSpaceDN w:val="0"/>
        <w:adjustRightInd w:val="0"/>
        <w:spacing w:after="240" w:line="240" w:lineRule="auto"/>
        <w:jc w:val="both"/>
        <w:rPr>
          <w:rFonts w:asciiTheme="minorHAnsi" w:hAnsiTheme="minorHAnsi" w:cstheme="minorHAnsi"/>
        </w:rPr>
      </w:pPr>
      <w:r w:rsidRPr="00E36113">
        <w:rPr>
          <w:rFonts w:asciiTheme="minorHAnsi" w:hAnsiTheme="minorHAnsi" w:cstheme="minorHAnsi"/>
        </w:rPr>
        <w:t xml:space="preserve">The </w:t>
      </w:r>
      <w:r w:rsidR="008E04AF">
        <w:rPr>
          <w:rFonts w:asciiTheme="minorHAnsi" w:hAnsiTheme="minorHAnsi" w:cstheme="minorHAnsi"/>
        </w:rPr>
        <w:t>PAP</w:t>
      </w:r>
      <w:r w:rsidRPr="00E36113">
        <w:rPr>
          <w:rFonts w:asciiTheme="minorHAnsi" w:hAnsiTheme="minorHAnsi" w:cstheme="minorHAnsi"/>
        </w:rPr>
        <w:t xml:space="preserve"> for Public Investments, which followed on from the PIMA, incorporated inputs from different ministries in Government involved in public investments, as well as SOEs that benefit from substantial state financing and the private sector.</w:t>
      </w:r>
    </w:p>
    <w:p w14:paraId="7BDA20DA" w14:textId="5B9577C3" w:rsidR="007857F9" w:rsidRPr="00E36113" w:rsidRDefault="007857F9" w:rsidP="00041917">
      <w:pPr>
        <w:pStyle w:val="ListParagraph"/>
        <w:numPr>
          <w:ilvl w:val="0"/>
          <w:numId w:val="27"/>
        </w:numPr>
        <w:tabs>
          <w:tab w:val="left" w:pos="450"/>
          <w:tab w:val="num" w:pos="540"/>
        </w:tabs>
        <w:autoSpaceDE w:val="0"/>
        <w:autoSpaceDN w:val="0"/>
        <w:adjustRightInd w:val="0"/>
        <w:spacing w:after="240" w:line="240" w:lineRule="auto"/>
        <w:jc w:val="both"/>
        <w:rPr>
          <w:rFonts w:asciiTheme="minorHAnsi" w:hAnsiTheme="minorHAnsi" w:cstheme="minorHAnsi"/>
        </w:rPr>
      </w:pPr>
      <w:r w:rsidRPr="00E36113">
        <w:rPr>
          <w:rFonts w:asciiTheme="minorHAnsi" w:hAnsiTheme="minorHAnsi" w:cstheme="minorHAnsi"/>
        </w:rPr>
        <w:t xml:space="preserve">The NDP consultations highlighted the need to improve the PPP framework. </w:t>
      </w:r>
    </w:p>
    <w:p w14:paraId="6B56A66A" w14:textId="4BEDF8F8" w:rsidR="007857F9" w:rsidRPr="00E36113" w:rsidRDefault="00391ABB" w:rsidP="007857F9">
      <w:pPr>
        <w:tabs>
          <w:tab w:val="left" w:pos="450"/>
          <w:tab w:val="num" w:pos="540"/>
        </w:tabs>
        <w:autoSpaceDE w:val="0"/>
        <w:autoSpaceDN w:val="0"/>
        <w:adjustRightInd w:val="0"/>
        <w:spacing w:after="240" w:line="240" w:lineRule="auto"/>
        <w:jc w:val="both"/>
        <w:rPr>
          <w:rFonts w:asciiTheme="minorHAnsi" w:hAnsiTheme="minorHAnsi" w:cstheme="minorHAnsi"/>
          <w:b/>
        </w:rPr>
      </w:pPr>
      <w:r w:rsidRPr="00E36113">
        <w:rPr>
          <w:rFonts w:asciiTheme="minorHAnsi" w:hAnsiTheme="minorHAnsi" w:cstheme="minorHAnsi"/>
          <w:b/>
        </w:rPr>
        <w:t xml:space="preserve">(ii) </w:t>
      </w:r>
      <w:r w:rsidR="007857F9" w:rsidRPr="00E36113">
        <w:rPr>
          <w:rFonts w:asciiTheme="minorHAnsi" w:hAnsiTheme="minorHAnsi" w:cstheme="minorHAnsi"/>
          <w:b/>
        </w:rPr>
        <w:t>Investment Climate:</w:t>
      </w:r>
    </w:p>
    <w:p w14:paraId="335590E2" w14:textId="2B66A4B6" w:rsidR="007857F9" w:rsidRPr="00E36113" w:rsidRDefault="007857F9" w:rsidP="002E14C4">
      <w:pPr>
        <w:pStyle w:val="ListParagraph"/>
        <w:numPr>
          <w:ilvl w:val="0"/>
          <w:numId w:val="27"/>
        </w:numPr>
        <w:tabs>
          <w:tab w:val="left" w:pos="450"/>
          <w:tab w:val="num" w:pos="540"/>
        </w:tabs>
        <w:autoSpaceDE w:val="0"/>
        <w:autoSpaceDN w:val="0"/>
        <w:adjustRightInd w:val="0"/>
        <w:spacing w:after="240" w:line="240" w:lineRule="auto"/>
        <w:jc w:val="both"/>
        <w:rPr>
          <w:rFonts w:asciiTheme="minorHAnsi" w:hAnsiTheme="minorHAnsi" w:cstheme="minorHAnsi"/>
        </w:rPr>
      </w:pPr>
      <w:r w:rsidRPr="00E36113">
        <w:rPr>
          <w:rFonts w:asciiTheme="minorHAnsi" w:hAnsiTheme="minorHAnsi" w:cstheme="minorHAnsi"/>
        </w:rPr>
        <w:t xml:space="preserve">The </w:t>
      </w:r>
      <w:r w:rsidR="002E14C4" w:rsidRPr="00E36113">
        <w:rPr>
          <w:rFonts w:asciiTheme="minorHAnsi" w:hAnsiTheme="minorHAnsi" w:cstheme="minorHAnsi"/>
        </w:rPr>
        <w:t>overall design of the reforms under this pillar were informed by a public-private dialogue working group, which included representative from the public and private sectors that identified priorities for business reforms.</w:t>
      </w:r>
    </w:p>
    <w:p w14:paraId="5F140724" w14:textId="3CB814A8" w:rsidR="002E14C4" w:rsidRPr="00E36113" w:rsidRDefault="00E767A4" w:rsidP="002E14C4">
      <w:pPr>
        <w:pStyle w:val="ListParagraph"/>
        <w:numPr>
          <w:ilvl w:val="0"/>
          <w:numId w:val="27"/>
        </w:numPr>
        <w:tabs>
          <w:tab w:val="left" w:pos="450"/>
          <w:tab w:val="num" w:pos="540"/>
        </w:tabs>
        <w:autoSpaceDE w:val="0"/>
        <w:autoSpaceDN w:val="0"/>
        <w:adjustRightInd w:val="0"/>
        <w:spacing w:after="240" w:line="240" w:lineRule="auto"/>
        <w:jc w:val="both"/>
        <w:rPr>
          <w:rFonts w:asciiTheme="minorHAnsi" w:hAnsiTheme="minorHAnsi" w:cstheme="minorHAnsi"/>
        </w:rPr>
      </w:pPr>
      <w:r w:rsidRPr="00E36113">
        <w:rPr>
          <w:rFonts w:asciiTheme="minorHAnsi" w:hAnsiTheme="minorHAnsi" w:cstheme="minorHAnsi"/>
        </w:rPr>
        <w:t>JIRAMA’s business plan was discussed with development partners and JIRAMA’s labor union</w:t>
      </w:r>
      <w:r w:rsidR="00304497" w:rsidRPr="00E36113">
        <w:rPr>
          <w:rFonts w:asciiTheme="minorHAnsi" w:hAnsiTheme="minorHAnsi" w:cstheme="minorHAnsi"/>
        </w:rPr>
        <w:t xml:space="preserve">. </w:t>
      </w:r>
    </w:p>
    <w:p w14:paraId="6E4D6B53" w14:textId="19327ACC" w:rsidR="002E14C4" w:rsidRPr="00E36113" w:rsidRDefault="00A00AD2" w:rsidP="002E14C4">
      <w:pPr>
        <w:pStyle w:val="ListParagraph"/>
        <w:numPr>
          <w:ilvl w:val="0"/>
          <w:numId w:val="27"/>
        </w:numPr>
        <w:tabs>
          <w:tab w:val="left" w:pos="450"/>
          <w:tab w:val="num" w:pos="540"/>
        </w:tabs>
        <w:autoSpaceDE w:val="0"/>
        <w:autoSpaceDN w:val="0"/>
        <w:adjustRightInd w:val="0"/>
        <w:spacing w:after="240" w:line="240" w:lineRule="auto"/>
        <w:jc w:val="both"/>
        <w:rPr>
          <w:rFonts w:asciiTheme="minorHAnsi" w:hAnsiTheme="minorHAnsi" w:cstheme="minorHAnsi"/>
        </w:rPr>
      </w:pPr>
      <w:r w:rsidRPr="00E36113">
        <w:rPr>
          <w:rFonts w:asciiTheme="minorHAnsi" w:hAnsiTheme="minorHAnsi" w:cstheme="minorHAnsi"/>
        </w:rPr>
        <w:t xml:space="preserve">The commercial justice reforms are </w:t>
      </w:r>
      <w:r w:rsidR="00BB7DBC" w:rsidRPr="00E36113">
        <w:rPr>
          <w:rFonts w:asciiTheme="minorHAnsi" w:hAnsiTheme="minorHAnsi" w:cstheme="minorHAnsi"/>
        </w:rPr>
        <w:t>based on</w:t>
      </w:r>
      <w:r w:rsidRPr="00E36113">
        <w:rPr>
          <w:rFonts w:asciiTheme="minorHAnsi" w:hAnsiTheme="minorHAnsi" w:cstheme="minorHAnsi"/>
        </w:rPr>
        <w:t xml:space="preserve"> a diagnostic and action plan that was developed </w:t>
      </w:r>
      <w:r w:rsidR="009973CA" w:rsidRPr="00E36113">
        <w:rPr>
          <w:rFonts w:asciiTheme="minorHAnsi" w:hAnsiTheme="minorHAnsi" w:cstheme="minorHAnsi"/>
        </w:rPr>
        <w:t xml:space="preserve">through working groups comprised of the </w:t>
      </w:r>
      <w:r w:rsidR="004805E7" w:rsidRPr="00E36113">
        <w:rPr>
          <w:rFonts w:asciiTheme="minorHAnsi" w:hAnsiTheme="minorHAnsi" w:cstheme="minorHAnsi"/>
        </w:rPr>
        <w:t xml:space="preserve">Ministry of Justice, the </w:t>
      </w:r>
      <w:r w:rsidR="00304497" w:rsidRPr="00E36113">
        <w:rPr>
          <w:rFonts w:asciiTheme="minorHAnsi" w:hAnsiTheme="minorHAnsi" w:cstheme="minorHAnsi"/>
        </w:rPr>
        <w:t>judiciary</w:t>
      </w:r>
      <w:r w:rsidR="004805E7" w:rsidRPr="00E36113">
        <w:rPr>
          <w:rFonts w:asciiTheme="minorHAnsi" w:hAnsiTheme="minorHAnsi" w:cstheme="minorHAnsi"/>
        </w:rPr>
        <w:t xml:space="preserve"> (</w:t>
      </w:r>
      <w:r w:rsidR="00304497" w:rsidRPr="00E36113">
        <w:rPr>
          <w:rFonts w:asciiTheme="minorHAnsi" w:hAnsiTheme="minorHAnsi" w:cstheme="minorHAnsi"/>
        </w:rPr>
        <w:t xml:space="preserve">including </w:t>
      </w:r>
      <w:r w:rsidR="004805E7" w:rsidRPr="00E36113">
        <w:rPr>
          <w:rFonts w:asciiTheme="minorHAnsi" w:hAnsiTheme="minorHAnsi" w:cstheme="minorHAnsi"/>
        </w:rPr>
        <w:t>the</w:t>
      </w:r>
      <w:r w:rsidR="00320C94" w:rsidRPr="00E36113">
        <w:rPr>
          <w:rFonts w:asciiTheme="minorHAnsi" w:hAnsiTheme="minorHAnsi" w:cstheme="minorHAnsi"/>
        </w:rPr>
        <w:t xml:space="preserve"> commercial courts</w:t>
      </w:r>
      <w:r w:rsidR="004805E7" w:rsidRPr="00E36113">
        <w:rPr>
          <w:rFonts w:asciiTheme="minorHAnsi" w:hAnsiTheme="minorHAnsi" w:cstheme="minorHAnsi"/>
        </w:rPr>
        <w:t>)</w:t>
      </w:r>
      <w:r w:rsidR="00320C94" w:rsidRPr="00E36113">
        <w:rPr>
          <w:rFonts w:asciiTheme="minorHAnsi" w:hAnsiTheme="minorHAnsi" w:cstheme="minorHAnsi"/>
        </w:rPr>
        <w:t>,</w:t>
      </w:r>
      <w:r w:rsidR="004805E7" w:rsidRPr="00E36113">
        <w:rPr>
          <w:rFonts w:asciiTheme="minorHAnsi" w:hAnsiTheme="minorHAnsi" w:cstheme="minorHAnsi"/>
        </w:rPr>
        <w:t xml:space="preserve"> </w:t>
      </w:r>
      <w:r w:rsidR="00320C94" w:rsidRPr="00E36113">
        <w:rPr>
          <w:rFonts w:asciiTheme="minorHAnsi" w:hAnsiTheme="minorHAnsi" w:cstheme="minorHAnsi"/>
        </w:rPr>
        <w:t xml:space="preserve">bailiffs, </w:t>
      </w:r>
      <w:r w:rsidR="004805E7" w:rsidRPr="00E36113">
        <w:rPr>
          <w:rFonts w:asciiTheme="minorHAnsi" w:hAnsiTheme="minorHAnsi" w:cstheme="minorHAnsi"/>
        </w:rPr>
        <w:t>lawyers, the private sector</w:t>
      </w:r>
      <w:r w:rsidR="00CC6FDE" w:rsidRPr="00E36113">
        <w:rPr>
          <w:rFonts w:asciiTheme="minorHAnsi" w:hAnsiTheme="minorHAnsi" w:cstheme="minorHAnsi"/>
        </w:rPr>
        <w:t xml:space="preserve">, and academia (such as </w:t>
      </w:r>
      <w:r w:rsidR="00FD508A" w:rsidRPr="00E36113">
        <w:rPr>
          <w:rFonts w:asciiTheme="minorHAnsi" w:hAnsiTheme="minorHAnsi" w:cstheme="minorHAnsi"/>
        </w:rPr>
        <w:t>training centers for magistrates and clerks)</w:t>
      </w:r>
      <w:r w:rsidR="00320C94" w:rsidRPr="00E36113">
        <w:rPr>
          <w:rFonts w:asciiTheme="minorHAnsi" w:hAnsiTheme="minorHAnsi" w:cstheme="minorHAnsi"/>
        </w:rPr>
        <w:t xml:space="preserve">. </w:t>
      </w:r>
    </w:p>
    <w:p w14:paraId="7C0605F1" w14:textId="3C61D020" w:rsidR="00EC2935" w:rsidRDefault="00BB7DBC" w:rsidP="002E14C4">
      <w:pPr>
        <w:pStyle w:val="ListParagraph"/>
        <w:numPr>
          <w:ilvl w:val="0"/>
          <w:numId w:val="27"/>
        </w:numPr>
        <w:tabs>
          <w:tab w:val="left" w:pos="450"/>
          <w:tab w:val="num" w:pos="540"/>
        </w:tabs>
        <w:autoSpaceDE w:val="0"/>
        <w:autoSpaceDN w:val="0"/>
        <w:adjustRightInd w:val="0"/>
        <w:spacing w:after="240" w:line="240" w:lineRule="auto"/>
        <w:jc w:val="both"/>
        <w:rPr>
          <w:rFonts w:asciiTheme="minorHAnsi" w:hAnsiTheme="minorHAnsi" w:cstheme="minorHAnsi"/>
        </w:rPr>
      </w:pPr>
      <w:r w:rsidRPr="00E36113">
        <w:rPr>
          <w:rFonts w:asciiTheme="minorHAnsi" w:hAnsiTheme="minorHAnsi" w:cstheme="minorHAnsi"/>
        </w:rPr>
        <w:t xml:space="preserve">The Financial System Stability Assessment </w:t>
      </w:r>
      <w:r w:rsidR="007857F9" w:rsidRPr="00E36113">
        <w:rPr>
          <w:rFonts w:asciiTheme="minorHAnsi" w:hAnsiTheme="minorHAnsi" w:cstheme="minorHAnsi"/>
        </w:rPr>
        <w:t xml:space="preserve">involved consultations with </w:t>
      </w:r>
      <w:r w:rsidR="007857F9" w:rsidRPr="001E36FC">
        <w:rPr>
          <w:rFonts w:asciiTheme="minorHAnsi" w:hAnsiTheme="minorHAnsi" w:cstheme="minorHAnsi"/>
        </w:rPr>
        <w:t>Central Bank of Madagascar (BCM), the CSBF, the MFB, other relevant government agencies, and representatives of financial institutions and the legal profession.</w:t>
      </w:r>
    </w:p>
    <w:p w14:paraId="52B6D06F" w14:textId="77777777" w:rsidR="000E78DF" w:rsidRPr="00B66802" w:rsidRDefault="000E78DF" w:rsidP="001E36FC">
      <w:pPr>
        <w:pStyle w:val="ListParagraph"/>
        <w:tabs>
          <w:tab w:val="left" w:pos="450"/>
        </w:tabs>
        <w:autoSpaceDE w:val="0"/>
        <w:autoSpaceDN w:val="0"/>
        <w:adjustRightInd w:val="0"/>
        <w:spacing w:after="240" w:line="240" w:lineRule="auto"/>
        <w:ind w:left="360"/>
        <w:jc w:val="both"/>
        <w:rPr>
          <w:rFonts w:asciiTheme="minorHAnsi" w:hAnsiTheme="minorHAnsi" w:cstheme="minorHAnsi"/>
        </w:rPr>
      </w:pPr>
    </w:p>
    <w:p w14:paraId="350A5282" w14:textId="5CAC8CB0" w:rsidR="00D01F94" w:rsidRPr="001E36FC" w:rsidRDefault="00D01F94" w:rsidP="001E36FC">
      <w:pPr>
        <w:pStyle w:val="ListParagraph"/>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1E36FC">
        <w:rPr>
          <w:rFonts w:asciiTheme="minorHAnsi" w:hAnsiTheme="minorHAnsi" w:cstheme="minorHAnsi"/>
          <w:b/>
        </w:rPr>
        <w:lastRenderedPageBreak/>
        <w:t xml:space="preserve">The proposed operation is part of a program of </w:t>
      </w:r>
      <w:r w:rsidR="002C4EE5" w:rsidRPr="001E36FC">
        <w:rPr>
          <w:rFonts w:asciiTheme="minorHAnsi" w:hAnsiTheme="minorHAnsi" w:cstheme="minorHAnsi"/>
          <w:b/>
        </w:rPr>
        <w:t xml:space="preserve">a </w:t>
      </w:r>
      <w:r w:rsidRPr="001E36FC">
        <w:rPr>
          <w:rFonts w:asciiTheme="minorHAnsi" w:hAnsiTheme="minorHAnsi" w:cstheme="minorHAnsi"/>
          <w:b/>
        </w:rPr>
        <w:t xml:space="preserve">coordinated reform dialogue with other institutions engaged in budget support. </w:t>
      </w:r>
      <w:r w:rsidRPr="001E36FC">
        <w:rPr>
          <w:rFonts w:asciiTheme="minorHAnsi" w:hAnsiTheme="minorHAnsi" w:cstheme="minorHAnsi"/>
        </w:rPr>
        <w:t xml:space="preserve">The </w:t>
      </w:r>
      <w:r w:rsidRPr="001E36FC">
        <w:rPr>
          <w:rFonts w:asciiTheme="minorHAnsi" w:hAnsiTheme="minorHAnsi" w:cstheme="minorHAnsi"/>
          <w:i/>
        </w:rPr>
        <w:t>Cadre de Partenariat</w:t>
      </w:r>
      <w:r w:rsidRPr="001E36FC">
        <w:rPr>
          <w:rFonts w:asciiTheme="minorHAnsi" w:hAnsiTheme="minorHAnsi" w:cstheme="minorHAnsi"/>
        </w:rPr>
        <w:t xml:space="preserve">, co-chaired by the MFB and the World Bank, provides a forum for collaboration among </w:t>
      </w:r>
      <w:r w:rsidR="00615F43" w:rsidRPr="001E36FC">
        <w:rPr>
          <w:rFonts w:asciiTheme="minorHAnsi" w:hAnsiTheme="minorHAnsi" w:cstheme="minorHAnsi"/>
        </w:rPr>
        <w:t>development partners</w:t>
      </w:r>
      <w:r w:rsidRPr="001E36FC">
        <w:rPr>
          <w:rFonts w:asciiTheme="minorHAnsi" w:hAnsiTheme="minorHAnsi" w:cstheme="minorHAnsi"/>
        </w:rPr>
        <w:t xml:space="preserve">. </w:t>
      </w:r>
      <w:r w:rsidR="00615F43" w:rsidRPr="001E36FC">
        <w:rPr>
          <w:rFonts w:asciiTheme="minorHAnsi" w:hAnsiTheme="minorHAnsi" w:cstheme="minorHAnsi"/>
        </w:rPr>
        <w:t xml:space="preserve">Members include </w:t>
      </w:r>
      <w:r w:rsidRPr="001E36FC">
        <w:rPr>
          <w:rFonts w:asciiTheme="minorHAnsi" w:hAnsiTheme="minorHAnsi" w:cstheme="minorHAnsi"/>
        </w:rPr>
        <w:t xml:space="preserve">the African Development Bank (AfDB), </w:t>
      </w:r>
      <w:r w:rsidR="00615F43" w:rsidRPr="001E36FC">
        <w:rPr>
          <w:rFonts w:asciiTheme="minorHAnsi" w:hAnsiTheme="minorHAnsi" w:cstheme="minorHAnsi"/>
        </w:rPr>
        <w:t xml:space="preserve">the </w:t>
      </w:r>
      <w:r w:rsidRPr="001E36FC">
        <w:rPr>
          <w:rFonts w:asciiTheme="minorHAnsi" w:hAnsiTheme="minorHAnsi" w:cstheme="minorHAnsi"/>
        </w:rPr>
        <w:t>French Development Agency, the European Union</w:t>
      </w:r>
      <w:r w:rsidR="00E447D8" w:rsidRPr="001E36FC">
        <w:rPr>
          <w:rFonts w:asciiTheme="minorHAnsi" w:hAnsiTheme="minorHAnsi" w:cstheme="minorHAnsi"/>
        </w:rPr>
        <w:t xml:space="preserve"> (EU)</w:t>
      </w:r>
      <w:r w:rsidRPr="001E36FC">
        <w:rPr>
          <w:rFonts w:asciiTheme="minorHAnsi" w:hAnsiTheme="minorHAnsi" w:cstheme="minorHAnsi"/>
        </w:rPr>
        <w:t xml:space="preserve">, </w:t>
      </w:r>
      <w:r w:rsidR="00615F43" w:rsidRPr="001E36FC">
        <w:rPr>
          <w:rFonts w:asciiTheme="minorHAnsi" w:hAnsiTheme="minorHAnsi" w:cstheme="minorHAnsi"/>
        </w:rPr>
        <w:t>the United Nations Development Program</w:t>
      </w:r>
      <w:r w:rsidR="00AE7F83" w:rsidRPr="001E36FC">
        <w:rPr>
          <w:rFonts w:asciiTheme="minorHAnsi" w:hAnsiTheme="minorHAnsi" w:cstheme="minorHAnsi"/>
        </w:rPr>
        <w:t>, the IMF,</w:t>
      </w:r>
      <w:r w:rsidR="00615F43" w:rsidRPr="001E36FC">
        <w:rPr>
          <w:rFonts w:asciiTheme="minorHAnsi" w:hAnsiTheme="minorHAnsi" w:cstheme="minorHAnsi"/>
        </w:rPr>
        <w:t xml:space="preserve"> </w:t>
      </w:r>
      <w:r w:rsidRPr="001E36FC">
        <w:rPr>
          <w:rFonts w:asciiTheme="minorHAnsi" w:hAnsiTheme="minorHAnsi" w:cstheme="minorHAnsi"/>
        </w:rPr>
        <w:t>and the World Bank</w:t>
      </w:r>
      <w:r w:rsidR="00615F43" w:rsidRPr="001E36FC">
        <w:rPr>
          <w:rFonts w:asciiTheme="minorHAnsi" w:hAnsiTheme="minorHAnsi" w:cstheme="minorHAnsi"/>
        </w:rPr>
        <w:t xml:space="preserve">. </w:t>
      </w:r>
      <w:r w:rsidRPr="001E36FC">
        <w:rPr>
          <w:rFonts w:asciiTheme="minorHAnsi" w:hAnsiTheme="minorHAnsi" w:cstheme="minorHAnsi"/>
        </w:rPr>
        <w:t xml:space="preserve">The AfDB’s pipeline budget support program for 2017-2019 has the theme of increasing competitiveness, and </w:t>
      </w:r>
      <w:r w:rsidR="002C6066" w:rsidRPr="001E36FC">
        <w:rPr>
          <w:rFonts w:asciiTheme="minorHAnsi" w:hAnsiTheme="minorHAnsi" w:cstheme="minorHAnsi"/>
        </w:rPr>
        <w:t xml:space="preserve">supports </w:t>
      </w:r>
      <w:r w:rsidRPr="001E36FC">
        <w:rPr>
          <w:rFonts w:asciiTheme="minorHAnsi" w:hAnsiTheme="minorHAnsi" w:cstheme="minorHAnsi"/>
        </w:rPr>
        <w:t xml:space="preserve">reforms to JIRAMA and Air Madagascar. The EU’s budget support program for 2017-2018 </w:t>
      </w:r>
      <w:r w:rsidR="002C6066" w:rsidRPr="001E36FC">
        <w:rPr>
          <w:rFonts w:asciiTheme="minorHAnsi" w:hAnsiTheme="minorHAnsi" w:cstheme="minorHAnsi"/>
        </w:rPr>
        <w:t xml:space="preserve">is closely aligned with the Government’s PFM </w:t>
      </w:r>
      <w:r w:rsidR="00265541">
        <w:rPr>
          <w:rFonts w:asciiTheme="minorHAnsi" w:hAnsiTheme="minorHAnsi" w:cstheme="minorHAnsi"/>
        </w:rPr>
        <w:t>M</w:t>
      </w:r>
      <w:r w:rsidR="002C6066" w:rsidRPr="001E36FC">
        <w:rPr>
          <w:rFonts w:asciiTheme="minorHAnsi" w:hAnsiTheme="minorHAnsi" w:cstheme="minorHAnsi"/>
        </w:rPr>
        <w:t xml:space="preserve">odernization </w:t>
      </w:r>
      <w:r w:rsidR="00265541">
        <w:rPr>
          <w:rFonts w:asciiTheme="minorHAnsi" w:hAnsiTheme="minorHAnsi" w:cstheme="minorHAnsi"/>
        </w:rPr>
        <w:t>Strategy</w:t>
      </w:r>
      <w:r w:rsidR="002C6066" w:rsidRPr="001E36FC">
        <w:rPr>
          <w:rFonts w:asciiTheme="minorHAnsi" w:hAnsiTheme="minorHAnsi" w:cstheme="minorHAnsi"/>
        </w:rPr>
        <w:t xml:space="preserve">. </w:t>
      </w:r>
      <w:r w:rsidRPr="001E36FC">
        <w:rPr>
          <w:rFonts w:asciiTheme="minorHAnsi" w:hAnsiTheme="minorHAnsi" w:cstheme="minorHAnsi"/>
        </w:rPr>
        <w:t xml:space="preserve">The complementarity of the different programs reflects the convergence of views on priorities and the feasibility of reforms. </w:t>
      </w:r>
    </w:p>
    <w:p w14:paraId="66577134" w14:textId="6F6903D7" w:rsidR="00A70DB0" w:rsidRPr="00601B29" w:rsidRDefault="00A70DB0" w:rsidP="001E36FC">
      <w:pPr>
        <w:pStyle w:val="Heading1"/>
        <w:numPr>
          <w:ilvl w:val="0"/>
          <w:numId w:val="46"/>
        </w:numPr>
        <w:rPr>
          <w:rFonts w:asciiTheme="minorHAnsi" w:hAnsiTheme="minorHAnsi" w:cstheme="minorHAnsi"/>
          <w:szCs w:val="22"/>
        </w:rPr>
      </w:pPr>
      <w:bookmarkStart w:id="16" w:name="_Toc496204251"/>
      <w:r w:rsidRPr="00601B29">
        <w:rPr>
          <w:rFonts w:asciiTheme="minorHAnsi" w:hAnsiTheme="minorHAnsi" w:cstheme="minorHAnsi"/>
          <w:szCs w:val="22"/>
        </w:rPr>
        <w:t>OTHER DESIGN AND APPRAISAL ISSUES</w:t>
      </w:r>
      <w:bookmarkEnd w:id="16"/>
    </w:p>
    <w:p w14:paraId="439ED59F" w14:textId="2A5AB846" w:rsidR="00A70DB0" w:rsidRPr="00B66802" w:rsidRDefault="006F4D33" w:rsidP="001E36FC">
      <w:pPr>
        <w:pStyle w:val="Heading2"/>
        <w:numPr>
          <w:ilvl w:val="1"/>
          <w:numId w:val="46"/>
        </w:numPr>
        <w:ind w:left="360"/>
        <w:rPr>
          <w:rFonts w:asciiTheme="minorHAnsi" w:hAnsiTheme="minorHAnsi" w:cstheme="minorHAnsi"/>
          <w:szCs w:val="22"/>
        </w:rPr>
      </w:pPr>
      <w:r>
        <w:rPr>
          <w:rFonts w:asciiTheme="minorHAnsi" w:hAnsiTheme="minorHAnsi" w:cstheme="minorHAnsi"/>
          <w:szCs w:val="22"/>
        </w:rPr>
        <w:t xml:space="preserve"> </w:t>
      </w:r>
      <w:r>
        <w:rPr>
          <w:rFonts w:asciiTheme="minorHAnsi" w:hAnsiTheme="minorHAnsi" w:cstheme="minorHAnsi"/>
          <w:szCs w:val="22"/>
        </w:rPr>
        <w:tab/>
      </w:r>
      <w:bookmarkStart w:id="17" w:name="_Toc496204252"/>
      <w:r w:rsidR="00A70DB0" w:rsidRPr="0085470E">
        <w:rPr>
          <w:rFonts w:asciiTheme="minorHAnsi" w:hAnsiTheme="minorHAnsi" w:cstheme="minorHAnsi"/>
          <w:szCs w:val="22"/>
        </w:rPr>
        <w:t>POVERTY AND SOCIAL IMPACT</w:t>
      </w:r>
      <w:r w:rsidR="002B2394" w:rsidRPr="0085470E">
        <w:rPr>
          <w:rFonts w:asciiTheme="minorHAnsi" w:hAnsiTheme="minorHAnsi" w:cstheme="minorHAnsi"/>
          <w:szCs w:val="22"/>
        </w:rPr>
        <w:t xml:space="preserve"> </w:t>
      </w:r>
      <w:r w:rsidR="00576571" w:rsidRPr="00B66802">
        <w:rPr>
          <w:rStyle w:val="FootnoteReference"/>
          <w:rFonts w:asciiTheme="minorHAnsi" w:hAnsiTheme="minorHAnsi" w:cstheme="minorHAnsi"/>
          <w:szCs w:val="22"/>
        </w:rPr>
        <w:footnoteReference w:id="53"/>
      </w:r>
      <w:bookmarkEnd w:id="17"/>
    </w:p>
    <w:p w14:paraId="33603C6D" w14:textId="63C67C43" w:rsidR="004F70AF" w:rsidRPr="006C66C2" w:rsidRDefault="004F70AF" w:rsidP="001E36FC">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BD4A16">
        <w:rPr>
          <w:rFonts w:asciiTheme="minorHAnsi" w:hAnsiTheme="minorHAnsi" w:cstheme="minorHAnsi"/>
          <w:b/>
        </w:rPr>
        <w:t>The operation is expected to have an overall positive poverty and social impact, but some mitigation measures are needed</w:t>
      </w:r>
      <w:r w:rsidRPr="00DC050B">
        <w:rPr>
          <w:rFonts w:asciiTheme="minorHAnsi" w:hAnsiTheme="minorHAnsi" w:cstheme="minorHAnsi"/>
          <w:b/>
        </w:rPr>
        <w:t xml:space="preserve"> for certain households. </w:t>
      </w:r>
      <w:r w:rsidRPr="00DC050B">
        <w:rPr>
          <w:rFonts w:asciiTheme="minorHAnsi" w:hAnsiTheme="minorHAnsi" w:cstheme="minorHAnsi"/>
        </w:rPr>
        <w:t>The policy reform with the largest expected effects on the distribution</w:t>
      </w:r>
      <w:r w:rsidR="00F747FC" w:rsidRPr="00DC050B">
        <w:rPr>
          <w:rFonts w:asciiTheme="minorHAnsi" w:hAnsiTheme="minorHAnsi" w:cstheme="minorHAnsi"/>
        </w:rPr>
        <w:t xml:space="preserve"> of income</w:t>
      </w:r>
      <w:r w:rsidRPr="00DC050B">
        <w:rPr>
          <w:rFonts w:asciiTheme="minorHAnsi" w:hAnsiTheme="minorHAnsi" w:cstheme="minorHAnsi"/>
        </w:rPr>
        <w:t xml:space="preserve"> is the fuel subsidy removal [PA3], while the elimination of certain tax expenditures and exemptions [PA1] and the reduction of budget transfers to the Pension Fund [PA4] may also have </w:t>
      </w:r>
      <w:r w:rsidR="00F747FC" w:rsidRPr="006C66C2">
        <w:rPr>
          <w:rFonts w:asciiTheme="minorHAnsi" w:hAnsiTheme="minorHAnsi" w:cstheme="minorHAnsi"/>
        </w:rPr>
        <w:t>welfare effects</w:t>
      </w:r>
      <w:r w:rsidRPr="006C66C2">
        <w:rPr>
          <w:rFonts w:asciiTheme="minorHAnsi" w:hAnsiTheme="minorHAnsi" w:cstheme="minorHAnsi"/>
        </w:rPr>
        <w:t>. While the other policy reforms may have beneficial poverty and social effects in the longer-run if complementary conditions are present, assessing their potential distributional impacts at present is not possible in a credible way.</w:t>
      </w:r>
    </w:p>
    <w:p w14:paraId="0DFAF3A6" w14:textId="4D19B9B3" w:rsidR="004F70AF" w:rsidRPr="00B66802" w:rsidRDefault="004F70AF" w:rsidP="001E36FC">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A20F63">
        <w:rPr>
          <w:rFonts w:asciiTheme="minorHAnsi" w:hAnsiTheme="minorHAnsi" w:cstheme="minorHAnsi"/>
          <w:b/>
        </w:rPr>
        <w:t xml:space="preserve">Reforms to fuel subsidies, tax expenditures, and transfers to the Pension Fund are expected to reduce the </w:t>
      </w:r>
      <w:r w:rsidR="000D2DE9" w:rsidRPr="00A20F63">
        <w:rPr>
          <w:rFonts w:asciiTheme="minorHAnsi" w:hAnsiTheme="minorHAnsi" w:cstheme="minorHAnsi"/>
          <w:b/>
        </w:rPr>
        <w:t>extent to which public spending is regressive significantly</w:t>
      </w:r>
      <w:r w:rsidRPr="00A20F63">
        <w:rPr>
          <w:rFonts w:asciiTheme="minorHAnsi" w:hAnsiTheme="minorHAnsi" w:cstheme="minorHAnsi"/>
          <w:b/>
        </w:rPr>
        <w:t xml:space="preserve">. </w:t>
      </w:r>
      <w:r w:rsidRPr="00A20F63">
        <w:rPr>
          <w:rFonts w:asciiTheme="minorHAnsi" w:hAnsiTheme="minorHAnsi" w:cstheme="minorHAnsi"/>
        </w:rPr>
        <w:t>As of 2012, when the household survey was conducted,</w:t>
      </w:r>
      <w:r w:rsidRPr="00A20F63">
        <w:rPr>
          <w:rFonts w:asciiTheme="minorHAnsi" w:hAnsiTheme="minorHAnsi" w:cstheme="minorHAnsi"/>
          <w:b/>
        </w:rPr>
        <w:t xml:space="preserve"> </w:t>
      </w:r>
      <w:r w:rsidRPr="00A20F63">
        <w:rPr>
          <w:rFonts w:asciiTheme="minorHAnsi" w:hAnsiTheme="minorHAnsi" w:cstheme="minorHAnsi"/>
        </w:rPr>
        <w:t>the top quintile of the income distribution in Madagascar benefitted from an estimated 40 percent of total expenditures due to the untargeted nature of sub</w:t>
      </w:r>
      <w:r w:rsidR="007C1A27" w:rsidRPr="00A20F63">
        <w:rPr>
          <w:rFonts w:asciiTheme="minorHAnsi" w:hAnsiTheme="minorHAnsi" w:cstheme="minorHAnsi"/>
        </w:rPr>
        <w:t xml:space="preserve">sidies </w:t>
      </w:r>
      <w:r w:rsidRPr="00A20F63">
        <w:rPr>
          <w:rFonts w:asciiTheme="minorHAnsi" w:hAnsiTheme="minorHAnsi" w:cstheme="minorHAnsi"/>
        </w:rPr>
        <w:t>on fuel. Similarly, 73 percent of future pension beneficiaries (public sector employees who are entitl</w:t>
      </w:r>
      <w:r w:rsidRPr="00406280">
        <w:rPr>
          <w:rFonts w:asciiTheme="minorHAnsi" w:hAnsiTheme="minorHAnsi" w:cstheme="minorHAnsi"/>
        </w:rPr>
        <w:t xml:space="preserve">ed to social benefits-including SOEs) are currently in the top consumption quintile, with another 17 percent in the fourth quintile. </w:t>
      </w:r>
      <w:r w:rsidR="001E5E80" w:rsidRPr="00406280">
        <w:rPr>
          <w:rFonts w:asciiTheme="minorHAnsi" w:hAnsiTheme="minorHAnsi" w:cstheme="minorHAnsi"/>
        </w:rPr>
        <w:t>Likewise, t</w:t>
      </w:r>
      <w:r w:rsidRPr="00406280">
        <w:rPr>
          <w:rFonts w:asciiTheme="minorHAnsi" w:hAnsiTheme="minorHAnsi" w:cstheme="minorHAnsi"/>
        </w:rPr>
        <w:t>he list of tax expenditures to be cancelled under the reform proposal relates to goods that are not typically co</w:t>
      </w:r>
      <w:r w:rsidRPr="00601B29">
        <w:rPr>
          <w:rFonts w:asciiTheme="minorHAnsi" w:hAnsiTheme="minorHAnsi" w:cstheme="minorHAnsi"/>
        </w:rPr>
        <w:t>nsumed by the poor, such as hand-made sports clothes and propane gas.</w:t>
      </w:r>
      <w:r w:rsidR="001E5E80" w:rsidRPr="00B66802">
        <w:rPr>
          <w:rStyle w:val="FootnoteReference"/>
          <w:rFonts w:asciiTheme="minorHAnsi" w:hAnsiTheme="minorHAnsi" w:cstheme="minorHAnsi"/>
        </w:rPr>
        <w:footnoteReference w:id="54"/>
      </w:r>
      <w:r w:rsidRPr="00B66802">
        <w:rPr>
          <w:rFonts w:asciiTheme="minorHAnsi" w:hAnsiTheme="minorHAnsi" w:cstheme="minorHAnsi"/>
        </w:rPr>
        <w:t xml:space="preserve"> </w:t>
      </w:r>
    </w:p>
    <w:p w14:paraId="052B2A63" w14:textId="41C88089" w:rsidR="00A70077" w:rsidRPr="00DC050B" w:rsidRDefault="00A70077" w:rsidP="001E36FC">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BD4A16">
        <w:rPr>
          <w:rFonts w:asciiTheme="minorHAnsi" w:hAnsiTheme="minorHAnsi" w:cstheme="minorHAnsi"/>
          <w:b/>
        </w:rPr>
        <w:t>Any residual effects on the poor need to be mitigated through the scale-up of s</w:t>
      </w:r>
      <w:r w:rsidR="004F70AF" w:rsidRPr="00DC050B">
        <w:rPr>
          <w:rFonts w:asciiTheme="minorHAnsi" w:hAnsiTheme="minorHAnsi" w:cstheme="minorHAnsi"/>
          <w:b/>
        </w:rPr>
        <w:t xml:space="preserve">ocial safety systems. </w:t>
      </w:r>
      <w:r w:rsidR="004F70AF" w:rsidRPr="00DC050B">
        <w:rPr>
          <w:rFonts w:asciiTheme="minorHAnsi" w:hAnsiTheme="minorHAnsi" w:cstheme="minorHAnsi"/>
        </w:rPr>
        <w:t xml:space="preserve">Because of their dependence on kerosene for lighting, the bottom 40 percent of Madagascar’s population accounted for 14 percent of total fuel consumption in 2012. However, the fuel subsidy reform has been more aggressive on non-kerosene fuel products resulting in only a marginal increase in the price of kerosene. As a result, the subsidy removal on kerosene has reduced the purchasing power of households in the bottom 40 percent by 1 percent. </w:t>
      </w:r>
    </w:p>
    <w:p w14:paraId="7C607E17" w14:textId="60DAD0E5" w:rsidR="00D42372" w:rsidRPr="00B66802" w:rsidRDefault="00A70077" w:rsidP="001E36FC">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6C66C2">
        <w:rPr>
          <w:rFonts w:asciiTheme="minorHAnsi" w:hAnsiTheme="minorHAnsi" w:cstheme="minorHAnsi"/>
          <w:b/>
        </w:rPr>
        <w:t xml:space="preserve">The Government, with support from the </w:t>
      </w:r>
      <w:r w:rsidR="004F70AF" w:rsidRPr="006C66C2">
        <w:rPr>
          <w:rFonts w:asciiTheme="minorHAnsi" w:hAnsiTheme="minorHAnsi" w:cstheme="minorHAnsi"/>
          <w:b/>
        </w:rPr>
        <w:t>World Bank, is scaling up its social protection programs</w:t>
      </w:r>
      <w:r w:rsidR="00D42372" w:rsidRPr="006C66C2">
        <w:rPr>
          <w:rFonts w:asciiTheme="minorHAnsi" w:hAnsiTheme="minorHAnsi" w:cstheme="minorHAnsi"/>
          <w:b/>
        </w:rPr>
        <w:t>.</w:t>
      </w:r>
      <w:r w:rsidR="00D42372" w:rsidRPr="006C66C2">
        <w:rPr>
          <w:rFonts w:asciiTheme="minorHAnsi" w:hAnsiTheme="minorHAnsi" w:cstheme="minorHAnsi"/>
        </w:rPr>
        <w:t xml:space="preserve"> </w:t>
      </w:r>
      <w:r w:rsidRPr="006C66C2">
        <w:rPr>
          <w:rFonts w:asciiTheme="minorHAnsi" w:hAnsiTheme="minorHAnsi" w:cstheme="minorHAnsi"/>
        </w:rPr>
        <w:t>The W</w:t>
      </w:r>
      <w:r w:rsidR="00525BCF">
        <w:rPr>
          <w:rFonts w:asciiTheme="minorHAnsi" w:hAnsiTheme="minorHAnsi" w:cstheme="minorHAnsi"/>
        </w:rPr>
        <w:t xml:space="preserve">orld </w:t>
      </w:r>
      <w:r w:rsidRPr="006C66C2">
        <w:rPr>
          <w:rFonts w:asciiTheme="minorHAnsi" w:hAnsiTheme="minorHAnsi" w:cstheme="minorHAnsi"/>
        </w:rPr>
        <w:t>B</w:t>
      </w:r>
      <w:r w:rsidR="00525BCF">
        <w:rPr>
          <w:rFonts w:asciiTheme="minorHAnsi" w:hAnsiTheme="minorHAnsi" w:cstheme="minorHAnsi"/>
        </w:rPr>
        <w:t>ank</w:t>
      </w:r>
      <w:r w:rsidRPr="006C66C2">
        <w:rPr>
          <w:rFonts w:asciiTheme="minorHAnsi" w:hAnsiTheme="minorHAnsi" w:cstheme="minorHAnsi"/>
        </w:rPr>
        <w:t xml:space="preserve">’s Social Safety Net program in Madagascar </w:t>
      </w:r>
      <w:r w:rsidRPr="001E36FC">
        <w:rPr>
          <w:rFonts w:asciiTheme="minorHAnsi" w:hAnsiTheme="minorHAnsi" w:cstheme="minorHAnsi"/>
        </w:rPr>
        <w:t>is composed of three programs: a conditional cash transfer, a productive safety net program, and an emergency cash transfer program in the drought-affected southern regions. In May 2017, the program consisted of more than 130,000 households (approx. 650,000 people), with more than 68 percent of cash transfers paid to the female head of the household</w:t>
      </w:r>
      <w:r w:rsidR="00E227B3" w:rsidRPr="001E36FC">
        <w:rPr>
          <w:rFonts w:asciiTheme="minorHAnsi" w:hAnsiTheme="minorHAnsi" w:cstheme="minorHAnsi"/>
        </w:rPr>
        <w:t xml:space="preserve">. The Government is </w:t>
      </w:r>
      <w:r w:rsidR="004872E4" w:rsidRPr="001E36FC">
        <w:rPr>
          <w:rFonts w:asciiTheme="minorHAnsi" w:hAnsiTheme="minorHAnsi" w:cstheme="minorHAnsi"/>
        </w:rPr>
        <w:t xml:space="preserve">also making improvements to the institutional framework for social protection, with better coordination among key line ministries. This progress in developing and </w:t>
      </w:r>
      <w:r w:rsidR="004872E4" w:rsidRPr="001E36FC">
        <w:rPr>
          <w:rFonts w:asciiTheme="minorHAnsi" w:hAnsiTheme="minorHAnsi" w:cstheme="minorHAnsi"/>
        </w:rPr>
        <w:lastRenderedPageBreak/>
        <w:t>implementing social protection programs was reflected in a higher C</w:t>
      </w:r>
      <w:r w:rsidR="001E36FC">
        <w:rPr>
          <w:rFonts w:asciiTheme="minorHAnsi" w:hAnsiTheme="minorHAnsi" w:cstheme="minorHAnsi"/>
        </w:rPr>
        <w:t xml:space="preserve">ountry </w:t>
      </w:r>
      <w:r w:rsidR="004872E4" w:rsidRPr="001E36FC">
        <w:rPr>
          <w:rFonts w:asciiTheme="minorHAnsi" w:hAnsiTheme="minorHAnsi" w:cstheme="minorHAnsi"/>
        </w:rPr>
        <w:t>P</w:t>
      </w:r>
      <w:r w:rsidR="001E36FC">
        <w:rPr>
          <w:rFonts w:asciiTheme="minorHAnsi" w:hAnsiTheme="minorHAnsi" w:cstheme="minorHAnsi"/>
        </w:rPr>
        <w:t xml:space="preserve">olicy and </w:t>
      </w:r>
      <w:r w:rsidR="004872E4" w:rsidRPr="001E36FC">
        <w:rPr>
          <w:rFonts w:asciiTheme="minorHAnsi" w:hAnsiTheme="minorHAnsi" w:cstheme="minorHAnsi"/>
        </w:rPr>
        <w:t>I</w:t>
      </w:r>
      <w:r w:rsidR="001E36FC">
        <w:rPr>
          <w:rFonts w:asciiTheme="minorHAnsi" w:hAnsiTheme="minorHAnsi" w:cstheme="minorHAnsi"/>
        </w:rPr>
        <w:t xml:space="preserve">nstitutional </w:t>
      </w:r>
      <w:r w:rsidR="004872E4" w:rsidRPr="001E36FC">
        <w:rPr>
          <w:rFonts w:asciiTheme="minorHAnsi" w:hAnsiTheme="minorHAnsi" w:cstheme="minorHAnsi"/>
        </w:rPr>
        <w:t>A</w:t>
      </w:r>
      <w:r w:rsidR="001E36FC">
        <w:rPr>
          <w:rFonts w:asciiTheme="minorHAnsi" w:hAnsiTheme="minorHAnsi" w:cstheme="minorHAnsi"/>
        </w:rPr>
        <w:t>ssessment</w:t>
      </w:r>
      <w:r w:rsidR="004872E4" w:rsidRPr="001E36FC">
        <w:rPr>
          <w:rFonts w:asciiTheme="minorHAnsi" w:hAnsiTheme="minorHAnsi" w:cstheme="minorHAnsi"/>
        </w:rPr>
        <w:t xml:space="preserve"> score. </w:t>
      </w:r>
    </w:p>
    <w:p w14:paraId="56D30FC6" w14:textId="37E3CA8F" w:rsidR="004F70AF" w:rsidRPr="00B66802" w:rsidRDefault="004F70AF" w:rsidP="001E36FC">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BD4A16">
        <w:rPr>
          <w:rFonts w:asciiTheme="minorHAnsi" w:hAnsiTheme="minorHAnsi" w:cstheme="minorHAnsi"/>
          <w:b/>
        </w:rPr>
        <w:t xml:space="preserve">A new transport subsidy was introduced to mitigate the impact of rising fuel prices on urban </w:t>
      </w:r>
      <w:r w:rsidR="00970D30" w:rsidRPr="00DC050B">
        <w:rPr>
          <w:rFonts w:asciiTheme="minorHAnsi" w:hAnsiTheme="minorHAnsi" w:cstheme="minorHAnsi"/>
          <w:b/>
        </w:rPr>
        <w:t>households</w:t>
      </w:r>
      <w:r w:rsidRPr="00DC050B">
        <w:rPr>
          <w:rFonts w:asciiTheme="minorHAnsi" w:hAnsiTheme="minorHAnsi" w:cstheme="minorHAnsi"/>
          <w:b/>
        </w:rPr>
        <w:t>.</w:t>
      </w:r>
      <w:r w:rsidRPr="00DC050B">
        <w:rPr>
          <w:rFonts w:asciiTheme="minorHAnsi" w:hAnsiTheme="minorHAnsi" w:cstheme="minorHAnsi"/>
        </w:rPr>
        <w:t xml:space="preserve"> The removal of the fuel subsidy mainly affects the wealthier parts of society as their consumption patterns in</w:t>
      </w:r>
      <w:r w:rsidR="00711C6D" w:rsidRPr="00DC050B">
        <w:rPr>
          <w:rFonts w:asciiTheme="minorHAnsi" w:hAnsiTheme="minorHAnsi" w:cstheme="minorHAnsi"/>
        </w:rPr>
        <w:t>clude cars and</w:t>
      </w:r>
      <w:r w:rsidRPr="00DC050B">
        <w:rPr>
          <w:rFonts w:asciiTheme="minorHAnsi" w:hAnsiTheme="minorHAnsi" w:cstheme="minorHAnsi"/>
        </w:rPr>
        <w:t xml:space="preserve"> </w:t>
      </w:r>
      <w:r w:rsidR="00711C6D" w:rsidRPr="00DC050B">
        <w:rPr>
          <w:rFonts w:asciiTheme="minorHAnsi" w:hAnsiTheme="minorHAnsi" w:cstheme="minorHAnsi"/>
        </w:rPr>
        <w:t>generators</w:t>
      </w:r>
      <w:r w:rsidRPr="006C66C2">
        <w:rPr>
          <w:rFonts w:asciiTheme="minorHAnsi" w:hAnsiTheme="minorHAnsi" w:cstheme="minorHAnsi"/>
        </w:rPr>
        <w:t xml:space="preserve"> </w:t>
      </w:r>
      <w:r w:rsidR="00711C6D" w:rsidRPr="006C66C2">
        <w:rPr>
          <w:rFonts w:asciiTheme="minorHAnsi" w:hAnsiTheme="minorHAnsi" w:cstheme="minorHAnsi"/>
        </w:rPr>
        <w:t>that heavily use fuel</w:t>
      </w:r>
      <w:r w:rsidRPr="006C66C2">
        <w:rPr>
          <w:rFonts w:asciiTheme="minorHAnsi" w:hAnsiTheme="minorHAnsi" w:cstheme="minorHAnsi"/>
        </w:rPr>
        <w:t xml:space="preserve">. However, the urban poor also benefitted from the fuel subsidy because of the reduced cost of urban transport. The </w:t>
      </w:r>
      <w:r w:rsidR="006234BE" w:rsidRPr="006C66C2">
        <w:rPr>
          <w:rFonts w:asciiTheme="minorHAnsi" w:hAnsiTheme="minorHAnsi" w:cstheme="minorHAnsi"/>
        </w:rPr>
        <w:t>Government</w:t>
      </w:r>
      <w:r w:rsidRPr="00A20F63">
        <w:rPr>
          <w:rFonts w:asciiTheme="minorHAnsi" w:hAnsiTheme="minorHAnsi" w:cstheme="minorHAnsi"/>
        </w:rPr>
        <w:t xml:space="preserve"> has therefore put in place a subsidy for urban public transportation fares to mitigate the effect of the reform on the urban poor. </w:t>
      </w:r>
      <w:r w:rsidR="009C5171" w:rsidRPr="00A20F63">
        <w:rPr>
          <w:rFonts w:asciiTheme="minorHAnsi" w:hAnsiTheme="minorHAnsi" w:cstheme="minorHAnsi"/>
        </w:rPr>
        <w:t xml:space="preserve">The subsidies </w:t>
      </w:r>
      <w:r w:rsidR="007C67F0" w:rsidRPr="00A20F63">
        <w:rPr>
          <w:rFonts w:asciiTheme="minorHAnsi" w:hAnsiTheme="minorHAnsi" w:cstheme="minorHAnsi"/>
        </w:rPr>
        <w:t>are being</w:t>
      </w:r>
      <w:r w:rsidR="009C5171" w:rsidRPr="00A20F63">
        <w:rPr>
          <w:rFonts w:asciiTheme="minorHAnsi" w:hAnsiTheme="minorHAnsi" w:cstheme="minorHAnsi"/>
        </w:rPr>
        <w:t xml:space="preserve"> dis</w:t>
      </w:r>
      <w:r w:rsidR="007C67F0" w:rsidRPr="00A20F63">
        <w:rPr>
          <w:rFonts w:asciiTheme="minorHAnsi" w:hAnsiTheme="minorHAnsi" w:cstheme="minorHAnsi"/>
        </w:rPr>
        <w:t xml:space="preserve">tributed to owners of urban buses through the cooperative association of urban transport companies. As a result, there has been no change in the bus fare. </w:t>
      </w:r>
      <w:r w:rsidR="00943733" w:rsidRPr="00A20F63">
        <w:rPr>
          <w:rFonts w:asciiTheme="minorHAnsi" w:hAnsiTheme="minorHAnsi" w:cstheme="minorHAnsi"/>
        </w:rPr>
        <w:t xml:space="preserve">The cost of the transport subsidy is </w:t>
      </w:r>
      <w:r w:rsidRPr="00406280">
        <w:rPr>
          <w:rFonts w:asciiTheme="minorHAnsi" w:hAnsiTheme="minorHAnsi" w:cstheme="minorHAnsi"/>
        </w:rPr>
        <w:t>19 times lower than the fuel subsidy.</w:t>
      </w:r>
      <w:r w:rsidRPr="00B66802">
        <w:rPr>
          <w:rStyle w:val="FootnoteReference"/>
          <w:rFonts w:asciiTheme="minorHAnsi" w:hAnsiTheme="minorHAnsi" w:cstheme="minorHAnsi"/>
        </w:rPr>
        <w:footnoteReference w:id="55"/>
      </w:r>
      <w:r w:rsidRPr="00B66802">
        <w:rPr>
          <w:rFonts w:asciiTheme="minorHAnsi" w:hAnsiTheme="minorHAnsi" w:cstheme="minorHAnsi"/>
        </w:rPr>
        <w:t xml:space="preserve"> </w:t>
      </w:r>
    </w:p>
    <w:p w14:paraId="488A3B7A" w14:textId="6D176CF0" w:rsidR="00585A8F" w:rsidRPr="00DC050B" w:rsidRDefault="006F4D33" w:rsidP="006D0B4E">
      <w:pPr>
        <w:pStyle w:val="Heading2"/>
        <w:numPr>
          <w:ilvl w:val="1"/>
          <w:numId w:val="46"/>
        </w:numPr>
        <w:ind w:left="360"/>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r>
      <w:bookmarkStart w:id="18" w:name="_Toc496204253"/>
      <w:r w:rsidR="00A70DB0" w:rsidRPr="00DC050B">
        <w:rPr>
          <w:rFonts w:asciiTheme="minorHAnsi" w:hAnsiTheme="minorHAnsi" w:cstheme="minorHAnsi"/>
        </w:rPr>
        <w:t>ENVIRON</w:t>
      </w:r>
      <w:r w:rsidR="00A70DB0" w:rsidRPr="00DC050B">
        <w:rPr>
          <w:rFonts w:asciiTheme="minorHAnsi" w:hAnsiTheme="minorHAnsi" w:cstheme="minorHAnsi"/>
          <w:spacing w:val="-1"/>
        </w:rPr>
        <w:t>M</w:t>
      </w:r>
      <w:r w:rsidR="00A70DB0" w:rsidRPr="00DC050B">
        <w:rPr>
          <w:rFonts w:asciiTheme="minorHAnsi" w:hAnsiTheme="minorHAnsi" w:cstheme="minorHAnsi"/>
        </w:rPr>
        <w:t>ENTAL ASPECTS</w:t>
      </w:r>
      <w:bookmarkEnd w:id="18"/>
      <w:r w:rsidR="00585A8F" w:rsidRPr="00DC050B">
        <w:rPr>
          <w:rFonts w:asciiTheme="minorHAnsi" w:hAnsiTheme="minorHAnsi" w:cstheme="minorHAnsi"/>
        </w:rPr>
        <w:t xml:space="preserve"> </w:t>
      </w:r>
    </w:p>
    <w:p w14:paraId="7C83ABA9" w14:textId="36EAACBB" w:rsidR="008E5AD5" w:rsidRPr="00DC050B" w:rsidRDefault="004D0171" w:rsidP="00895176">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DC050B">
        <w:rPr>
          <w:rFonts w:asciiTheme="minorHAnsi" w:hAnsiTheme="minorHAnsi" w:cstheme="minorHAnsi"/>
          <w:b/>
        </w:rPr>
        <w:t>The reforms supported by this operation are expected to have positive climate co-benefits at an estimated value of US$6.6 million</w:t>
      </w:r>
      <w:r w:rsidR="00836425" w:rsidRPr="00DC050B">
        <w:rPr>
          <w:rFonts w:asciiTheme="minorHAnsi" w:hAnsiTheme="minorHAnsi" w:cstheme="minorHAnsi"/>
          <w:b/>
        </w:rPr>
        <w:t xml:space="preserve">. </w:t>
      </w:r>
      <w:r w:rsidR="00836425" w:rsidRPr="00DC050B">
        <w:rPr>
          <w:rFonts w:asciiTheme="minorHAnsi" w:hAnsiTheme="minorHAnsi" w:cstheme="minorHAnsi"/>
        </w:rPr>
        <w:t>This calculation is</w:t>
      </w:r>
      <w:r w:rsidRPr="006C66C2">
        <w:rPr>
          <w:rFonts w:asciiTheme="minorHAnsi" w:hAnsiTheme="minorHAnsi" w:cstheme="minorHAnsi"/>
        </w:rPr>
        <w:t xml:space="preserve"> based on the new Multilateral Development Bank (MDB) methodology on </w:t>
      </w:r>
      <w:r w:rsidR="00836425" w:rsidRPr="006C66C2">
        <w:rPr>
          <w:rFonts w:asciiTheme="minorHAnsi" w:hAnsiTheme="minorHAnsi" w:cstheme="minorHAnsi"/>
        </w:rPr>
        <w:t>assessing</w:t>
      </w:r>
      <w:r w:rsidRPr="00A20F63">
        <w:rPr>
          <w:rFonts w:asciiTheme="minorHAnsi" w:hAnsiTheme="minorHAnsi" w:cstheme="minorHAnsi"/>
        </w:rPr>
        <w:t xml:space="preserve"> climate co-benefits. The removal of the fuel subsidy has been assigned 100 percent mitigation co-benefits, where the policy is aligned with </w:t>
      </w:r>
      <w:r w:rsidRPr="00C2719B">
        <w:rPr>
          <w:rFonts w:asciiTheme="minorHAnsi" w:hAnsiTheme="minorHAnsi" w:cstheme="minorHAnsi"/>
        </w:rPr>
        <w:t xml:space="preserve">category </w:t>
      </w:r>
      <w:r w:rsidRPr="00C2719B">
        <w:rPr>
          <w:rFonts w:asciiTheme="minorHAnsi" w:hAnsiTheme="minorHAnsi" w:cstheme="minorHAnsi"/>
          <w:i/>
          <w:iCs/>
        </w:rPr>
        <w:t xml:space="preserve">9.1 Support for national, regional or local policy, through </w:t>
      </w:r>
      <w:r w:rsidR="00406280">
        <w:rPr>
          <w:rFonts w:asciiTheme="minorHAnsi" w:hAnsiTheme="minorHAnsi" w:cstheme="minorHAnsi"/>
          <w:i/>
          <w:iCs/>
        </w:rPr>
        <w:t>TA</w:t>
      </w:r>
      <w:r w:rsidRPr="00C2719B">
        <w:rPr>
          <w:rFonts w:asciiTheme="minorHAnsi" w:hAnsiTheme="minorHAnsi" w:cstheme="minorHAnsi"/>
          <w:i/>
          <w:iCs/>
        </w:rPr>
        <w:t xml:space="preserve"> or policy lending</w:t>
      </w:r>
      <w:r w:rsidRPr="00C2719B">
        <w:rPr>
          <w:rFonts w:asciiTheme="minorHAnsi" w:hAnsiTheme="minorHAnsi" w:cstheme="minorHAnsi"/>
        </w:rPr>
        <w:t xml:space="preserve"> on the MDB list of eligible activities for mitigation. Prior action 6 has 50 percent mitigation co-benefits assigned for improving procurement regime to increase hydropower generation under </w:t>
      </w:r>
      <w:r w:rsidRPr="00C2719B">
        <w:rPr>
          <w:rFonts w:asciiTheme="minorHAnsi" w:hAnsiTheme="minorHAnsi" w:cstheme="minorHAnsi"/>
          <w:i/>
          <w:iCs/>
        </w:rPr>
        <w:t>category</w:t>
      </w:r>
      <w:r w:rsidRPr="00C2719B">
        <w:rPr>
          <w:rFonts w:asciiTheme="minorHAnsi" w:hAnsiTheme="minorHAnsi" w:cstheme="minorHAnsi"/>
        </w:rPr>
        <w:t xml:space="preserve"> </w:t>
      </w:r>
      <w:r w:rsidRPr="00C2719B">
        <w:rPr>
          <w:rFonts w:asciiTheme="minorHAnsi" w:hAnsiTheme="minorHAnsi" w:cstheme="minorHAnsi"/>
          <w:i/>
          <w:iCs/>
        </w:rPr>
        <w:t xml:space="preserve">9.1 Support for national, regional or local policy, through </w:t>
      </w:r>
      <w:r w:rsidR="00406280">
        <w:rPr>
          <w:rFonts w:asciiTheme="minorHAnsi" w:hAnsiTheme="minorHAnsi" w:cstheme="minorHAnsi"/>
          <w:i/>
          <w:iCs/>
        </w:rPr>
        <w:t>TA</w:t>
      </w:r>
      <w:r w:rsidRPr="00C2719B">
        <w:rPr>
          <w:rFonts w:asciiTheme="minorHAnsi" w:hAnsiTheme="minorHAnsi" w:cstheme="minorHAnsi"/>
          <w:i/>
          <w:iCs/>
        </w:rPr>
        <w:t xml:space="preserve"> or policy lending</w:t>
      </w:r>
      <w:r w:rsidRPr="00C2719B">
        <w:rPr>
          <w:rFonts w:asciiTheme="minorHAnsi" w:hAnsiTheme="minorHAnsi" w:cstheme="minorHAnsi"/>
        </w:rPr>
        <w:t xml:space="preserve"> on the MDB list of eligible activities for mitigation.</w:t>
      </w:r>
      <w:r w:rsidR="0067373E" w:rsidRPr="00C2719B">
        <w:rPr>
          <w:rFonts w:asciiTheme="minorHAnsi" w:hAnsiTheme="minorHAnsi" w:cstheme="minorHAnsi"/>
        </w:rPr>
        <w:t xml:space="preserve"> </w:t>
      </w:r>
      <w:r w:rsidR="00E351A5" w:rsidRPr="00C2719B">
        <w:rPr>
          <w:rFonts w:asciiTheme="minorHAnsi" w:hAnsiTheme="minorHAnsi" w:cstheme="minorHAnsi"/>
        </w:rPr>
        <w:t xml:space="preserve">The environmental impact from the elimination of the exemption </w:t>
      </w:r>
      <w:r w:rsidR="008E5AD5" w:rsidRPr="00B66802">
        <w:rPr>
          <w:rFonts w:asciiTheme="minorHAnsi" w:eastAsia="Calibri" w:hAnsiTheme="minorHAnsi" w:cstheme="minorHAnsi"/>
          <w:bCs/>
        </w:rPr>
        <w:t>on propane gas is expected to be insignificant</w:t>
      </w:r>
      <w:r w:rsidR="00E351A5" w:rsidRPr="00BD4A16">
        <w:rPr>
          <w:rFonts w:asciiTheme="minorHAnsi" w:eastAsia="Calibri" w:hAnsiTheme="minorHAnsi" w:cstheme="minorHAnsi"/>
          <w:bCs/>
        </w:rPr>
        <w:t>, even though the measure may contribute to higher charcoal usage</w:t>
      </w:r>
      <w:r w:rsidR="00A051FD" w:rsidRPr="00DC050B">
        <w:rPr>
          <w:rFonts w:asciiTheme="minorHAnsi" w:eastAsia="Calibri" w:hAnsiTheme="minorHAnsi" w:cstheme="minorHAnsi"/>
          <w:bCs/>
        </w:rPr>
        <w:t>,</w:t>
      </w:r>
      <w:r w:rsidR="00E351A5" w:rsidRPr="00DC050B">
        <w:rPr>
          <w:rFonts w:asciiTheme="minorHAnsi" w:eastAsia="Calibri" w:hAnsiTheme="minorHAnsi" w:cstheme="minorHAnsi"/>
          <w:bCs/>
        </w:rPr>
        <w:t xml:space="preserve"> since</w:t>
      </w:r>
      <w:r w:rsidR="008E5AD5" w:rsidRPr="00DC050B">
        <w:rPr>
          <w:rFonts w:asciiTheme="minorHAnsi" w:eastAsia="Calibri" w:hAnsiTheme="minorHAnsi" w:cstheme="minorHAnsi"/>
          <w:bCs/>
        </w:rPr>
        <w:t xml:space="preserve"> less than 1 percent of household</w:t>
      </w:r>
      <w:r w:rsidR="00CB75DD" w:rsidRPr="00DC050B">
        <w:rPr>
          <w:rFonts w:asciiTheme="minorHAnsi" w:eastAsia="Calibri" w:hAnsiTheme="minorHAnsi" w:cstheme="minorHAnsi"/>
          <w:bCs/>
        </w:rPr>
        <w:t>s</w:t>
      </w:r>
      <w:r w:rsidR="008E5AD5" w:rsidRPr="00DC050B">
        <w:rPr>
          <w:rFonts w:asciiTheme="minorHAnsi" w:eastAsia="Calibri" w:hAnsiTheme="minorHAnsi" w:cstheme="minorHAnsi"/>
          <w:bCs/>
        </w:rPr>
        <w:t xml:space="preserve"> declared using propane gas in the latest household survey.</w:t>
      </w:r>
    </w:p>
    <w:p w14:paraId="1DD888DC" w14:textId="160CDFBE" w:rsidR="00BD7CFD" w:rsidRPr="00DC050B" w:rsidRDefault="0045495A" w:rsidP="00895176">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DC050B">
        <w:rPr>
          <w:rFonts w:asciiTheme="minorHAnsi" w:hAnsiTheme="minorHAnsi" w:cstheme="minorHAnsi"/>
          <w:b/>
        </w:rPr>
        <w:t>The</w:t>
      </w:r>
      <w:r w:rsidRPr="00DC050B">
        <w:rPr>
          <w:rFonts w:asciiTheme="minorHAnsi" w:eastAsia="Calibri" w:hAnsiTheme="minorHAnsi" w:cstheme="minorHAnsi"/>
          <w:b/>
          <w:bCs/>
        </w:rPr>
        <w:t xml:space="preserve"> scaling-up of investments and PPPs may have potential environmental impacts</w:t>
      </w:r>
      <w:r w:rsidR="00BD7CFD" w:rsidRPr="006C66C2">
        <w:rPr>
          <w:rFonts w:asciiTheme="minorHAnsi" w:eastAsia="Calibri" w:hAnsiTheme="minorHAnsi" w:cstheme="minorHAnsi"/>
          <w:b/>
          <w:bCs/>
        </w:rPr>
        <w:t>, which are regulated by the Environment Charter,</w:t>
      </w:r>
      <w:r w:rsidR="00BD7CFD" w:rsidRPr="00B66802">
        <w:rPr>
          <w:rStyle w:val="FootnoteReference"/>
          <w:rFonts w:asciiTheme="minorHAnsi" w:hAnsiTheme="minorHAnsi" w:cstheme="minorHAnsi"/>
          <w:b/>
        </w:rPr>
        <w:footnoteReference w:id="56"/>
      </w:r>
      <w:r w:rsidR="00BD7CFD" w:rsidRPr="00B66802">
        <w:rPr>
          <w:rFonts w:asciiTheme="minorHAnsi" w:hAnsiTheme="minorHAnsi" w:cstheme="minorHAnsi"/>
          <w:b/>
        </w:rPr>
        <w:t>complemented by a wide range of sectoral regulatory framework</w:t>
      </w:r>
      <w:r w:rsidR="002D2BAB" w:rsidRPr="00B66802">
        <w:rPr>
          <w:rFonts w:asciiTheme="minorHAnsi" w:hAnsiTheme="minorHAnsi" w:cstheme="minorHAnsi"/>
          <w:b/>
        </w:rPr>
        <w:t>s</w:t>
      </w:r>
      <w:r w:rsidR="00BD7CFD" w:rsidRPr="00BD4A16">
        <w:rPr>
          <w:rFonts w:asciiTheme="minorHAnsi" w:hAnsiTheme="minorHAnsi" w:cstheme="minorHAnsi"/>
          <w:b/>
        </w:rPr>
        <w:t>.</w:t>
      </w:r>
      <w:r w:rsidR="00BD7CFD" w:rsidRPr="00B66802">
        <w:rPr>
          <w:rStyle w:val="FootnoteReference"/>
          <w:rFonts w:asciiTheme="minorHAnsi" w:hAnsiTheme="minorHAnsi" w:cstheme="minorHAnsi"/>
          <w:b/>
        </w:rPr>
        <w:footnoteReference w:id="57"/>
      </w:r>
      <w:r w:rsidR="00BD7CFD" w:rsidRPr="00B66802">
        <w:rPr>
          <w:rFonts w:asciiTheme="minorHAnsi" w:eastAsia="Calibri" w:hAnsiTheme="minorHAnsi" w:cstheme="minorHAnsi"/>
          <w:b/>
          <w:bCs/>
        </w:rPr>
        <w:t xml:space="preserve"> </w:t>
      </w:r>
      <w:r w:rsidR="008E5AD5" w:rsidRPr="00B66802">
        <w:rPr>
          <w:rFonts w:asciiTheme="minorHAnsi" w:hAnsiTheme="minorHAnsi" w:cstheme="minorHAnsi"/>
        </w:rPr>
        <w:t>By the end of th</w:t>
      </w:r>
      <w:r w:rsidR="00BD7CFD" w:rsidRPr="00B66802">
        <w:rPr>
          <w:rFonts w:asciiTheme="minorHAnsi" w:hAnsiTheme="minorHAnsi" w:cstheme="minorHAnsi"/>
        </w:rPr>
        <w:t>is programmatic DPO</w:t>
      </w:r>
      <w:r w:rsidR="008E5AD5" w:rsidRPr="00BD4A16">
        <w:rPr>
          <w:rFonts w:asciiTheme="minorHAnsi" w:hAnsiTheme="minorHAnsi" w:cstheme="minorHAnsi"/>
        </w:rPr>
        <w:t>, total investment</w:t>
      </w:r>
      <w:r w:rsidR="00BD7CFD" w:rsidRPr="00DC050B">
        <w:rPr>
          <w:rFonts w:asciiTheme="minorHAnsi" w:hAnsiTheme="minorHAnsi" w:cstheme="minorHAnsi"/>
        </w:rPr>
        <w:t>s are</w:t>
      </w:r>
      <w:r w:rsidR="008E5AD5" w:rsidRPr="00DC050B">
        <w:rPr>
          <w:rFonts w:asciiTheme="minorHAnsi" w:hAnsiTheme="minorHAnsi" w:cstheme="minorHAnsi"/>
        </w:rPr>
        <w:t xml:space="preserve"> projected to increase to 21.4 percent of GDP, supported by an improved investment climate. </w:t>
      </w:r>
      <w:r w:rsidR="00EC0F1E" w:rsidRPr="00DC050B">
        <w:rPr>
          <w:rFonts w:asciiTheme="minorHAnsi" w:hAnsiTheme="minorHAnsi" w:cstheme="minorHAnsi"/>
        </w:rPr>
        <w:t xml:space="preserve">the potential impact on the environment, positive or negative, depends on the nature of the </w:t>
      </w:r>
      <w:r w:rsidR="008E5AD5" w:rsidRPr="00DC050B">
        <w:rPr>
          <w:rFonts w:asciiTheme="minorHAnsi" w:hAnsiTheme="minorHAnsi" w:cstheme="minorHAnsi"/>
        </w:rPr>
        <w:t>investment projects</w:t>
      </w:r>
      <w:r w:rsidR="00EC0F1E" w:rsidRPr="00DC050B">
        <w:rPr>
          <w:rFonts w:asciiTheme="minorHAnsi" w:hAnsiTheme="minorHAnsi" w:cstheme="minorHAnsi"/>
        </w:rPr>
        <w:t>.</w:t>
      </w:r>
      <w:r w:rsidR="00920729" w:rsidRPr="00DC050B">
        <w:rPr>
          <w:rFonts w:asciiTheme="minorHAnsi" w:hAnsiTheme="minorHAnsi" w:cstheme="minorHAnsi"/>
        </w:rPr>
        <w:t xml:space="preserve"> </w:t>
      </w:r>
      <w:r w:rsidR="005B680B" w:rsidRPr="006C66C2">
        <w:rPr>
          <w:rFonts w:asciiTheme="minorHAnsi" w:hAnsiTheme="minorHAnsi" w:cstheme="minorHAnsi"/>
        </w:rPr>
        <w:t xml:space="preserve">The legislation requires that all investment projects private or public, </w:t>
      </w:r>
      <w:r w:rsidR="00EC0F1E" w:rsidRPr="006C66C2">
        <w:rPr>
          <w:rFonts w:asciiTheme="minorHAnsi" w:hAnsiTheme="minorHAnsi" w:cstheme="minorHAnsi"/>
        </w:rPr>
        <w:t>including domestic inve</w:t>
      </w:r>
      <w:r w:rsidR="00EC0F1E" w:rsidRPr="00A20F63">
        <w:rPr>
          <w:rFonts w:asciiTheme="minorHAnsi" w:hAnsiTheme="minorHAnsi" w:cstheme="minorHAnsi"/>
        </w:rPr>
        <w:t xml:space="preserve">stments that undergo the budget </w:t>
      </w:r>
      <w:r w:rsidR="00C62BD1" w:rsidRPr="00A20F63">
        <w:rPr>
          <w:rFonts w:asciiTheme="minorHAnsi" w:hAnsiTheme="minorHAnsi" w:cstheme="minorHAnsi"/>
        </w:rPr>
        <w:t xml:space="preserve">appraisal and </w:t>
      </w:r>
      <w:r w:rsidR="00EC0F1E" w:rsidRPr="00A20F63">
        <w:rPr>
          <w:rFonts w:asciiTheme="minorHAnsi" w:hAnsiTheme="minorHAnsi" w:cstheme="minorHAnsi"/>
        </w:rPr>
        <w:t xml:space="preserve">selection process, </w:t>
      </w:r>
      <w:r w:rsidR="005B680B" w:rsidRPr="00A20F63">
        <w:rPr>
          <w:rFonts w:asciiTheme="minorHAnsi" w:hAnsiTheme="minorHAnsi" w:cstheme="minorHAnsi"/>
        </w:rPr>
        <w:t>that are likely to have an environmental impact and require administrative approval, prepare an Environmental and Social Impact Assessment</w:t>
      </w:r>
      <w:r w:rsidR="005B680B" w:rsidRPr="00A20F63">
        <w:rPr>
          <w:rFonts w:asciiTheme="minorHAnsi" w:hAnsiTheme="minorHAnsi" w:cstheme="minorHAnsi"/>
          <w:b/>
        </w:rPr>
        <w:t xml:space="preserve"> </w:t>
      </w:r>
      <w:r w:rsidR="005B680B" w:rsidRPr="00A20F63">
        <w:rPr>
          <w:rFonts w:asciiTheme="minorHAnsi" w:hAnsiTheme="minorHAnsi" w:cstheme="minorHAnsi"/>
        </w:rPr>
        <w:t>(ESIA).</w:t>
      </w:r>
      <w:r w:rsidR="005B680B" w:rsidRPr="00B66802">
        <w:rPr>
          <w:rStyle w:val="FootnoteReference"/>
          <w:rFonts w:asciiTheme="minorHAnsi" w:hAnsiTheme="minorHAnsi" w:cstheme="minorHAnsi"/>
        </w:rPr>
        <w:footnoteReference w:id="58"/>
      </w:r>
      <w:r w:rsidR="005B680B" w:rsidRPr="00B66802">
        <w:rPr>
          <w:rFonts w:asciiTheme="minorHAnsi" w:hAnsiTheme="minorHAnsi" w:cstheme="minorHAnsi"/>
        </w:rPr>
        <w:t xml:space="preserve"> Each ESIA must be approved by the Ministry of Environment, and thereafter published in the project area and the Nat</w:t>
      </w:r>
      <w:r w:rsidR="005B680B" w:rsidRPr="00BD4A16">
        <w:rPr>
          <w:rFonts w:asciiTheme="minorHAnsi" w:hAnsiTheme="minorHAnsi" w:cstheme="minorHAnsi"/>
        </w:rPr>
        <w:t>ional Environment Office (NEO). The environmental impact assessment might require the elaboration of a Project Environmental Management Plan, the execution of which is monitored by the</w:t>
      </w:r>
      <w:r w:rsidR="005B680B" w:rsidRPr="00DC050B">
        <w:rPr>
          <w:rFonts w:asciiTheme="minorHAnsi" w:hAnsiTheme="minorHAnsi" w:cstheme="minorHAnsi"/>
        </w:rPr>
        <w:t xml:space="preserve"> NEO. The recently adopted PPP decrees states that a preliminary assessment of a project is undertaken to estimate the environmental and social feasibility (amongst others) and that this information is presented in a risk matrix.</w:t>
      </w:r>
    </w:p>
    <w:p w14:paraId="625D6D93" w14:textId="64C57BB6" w:rsidR="008E5AD5" w:rsidRPr="00A20F63" w:rsidRDefault="008E5AD5" w:rsidP="00C2719B">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DC050B">
        <w:rPr>
          <w:rFonts w:asciiTheme="minorHAnsi" w:hAnsiTheme="minorHAnsi" w:cstheme="minorHAnsi"/>
          <w:b/>
        </w:rPr>
        <w:t xml:space="preserve">The reforms </w:t>
      </w:r>
      <w:r w:rsidR="00FE7498" w:rsidRPr="006C66C2">
        <w:rPr>
          <w:rFonts w:asciiTheme="minorHAnsi" w:hAnsiTheme="minorHAnsi" w:cstheme="minorHAnsi"/>
          <w:b/>
        </w:rPr>
        <w:t>to</w:t>
      </w:r>
      <w:r w:rsidRPr="006C66C2">
        <w:rPr>
          <w:rFonts w:asciiTheme="minorHAnsi" w:hAnsiTheme="minorHAnsi" w:cstheme="minorHAnsi"/>
          <w:b/>
        </w:rPr>
        <w:t xml:space="preserve"> JIRAMA and the PPP </w:t>
      </w:r>
      <w:r w:rsidR="00FE7498" w:rsidRPr="006C66C2">
        <w:rPr>
          <w:rFonts w:asciiTheme="minorHAnsi" w:hAnsiTheme="minorHAnsi" w:cstheme="minorHAnsi"/>
          <w:b/>
        </w:rPr>
        <w:t xml:space="preserve">framework </w:t>
      </w:r>
      <w:r w:rsidRPr="006C66C2">
        <w:rPr>
          <w:rFonts w:asciiTheme="minorHAnsi" w:hAnsiTheme="minorHAnsi" w:cstheme="minorHAnsi"/>
          <w:b/>
        </w:rPr>
        <w:t>have the potential to increase the use of renewable energy</w:t>
      </w:r>
      <w:r w:rsidR="0072249C" w:rsidRPr="006C66C2">
        <w:rPr>
          <w:rFonts w:asciiTheme="minorHAnsi" w:hAnsiTheme="minorHAnsi" w:cstheme="minorHAnsi"/>
        </w:rPr>
        <w:t>. The</w:t>
      </w:r>
      <w:r w:rsidRPr="00A20F63">
        <w:rPr>
          <w:rFonts w:asciiTheme="minorHAnsi" w:hAnsiTheme="minorHAnsi" w:cstheme="minorHAnsi"/>
        </w:rPr>
        <w:t xml:space="preserve"> authorities are seeking to develop small solar and hydro projects to reduce the </w:t>
      </w:r>
      <w:r w:rsidRPr="00A20F63">
        <w:rPr>
          <w:rFonts w:asciiTheme="minorHAnsi" w:hAnsiTheme="minorHAnsi" w:cstheme="minorHAnsi"/>
          <w:bCs/>
        </w:rPr>
        <w:t>reliance on expensive fossil fuels</w:t>
      </w:r>
      <w:r w:rsidRPr="00A20F63">
        <w:rPr>
          <w:rFonts w:asciiTheme="minorHAnsi" w:hAnsiTheme="minorHAnsi" w:cstheme="minorHAnsi"/>
        </w:rPr>
        <w:t xml:space="preserve">. The environmental impact is expected to be positive. </w:t>
      </w:r>
      <w:r w:rsidRPr="00A20F63">
        <w:rPr>
          <w:rFonts w:asciiTheme="minorHAnsi" w:hAnsiTheme="minorHAnsi" w:cstheme="minorHAnsi"/>
          <w:bCs/>
        </w:rPr>
        <w:t xml:space="preserve">Moreover, the </w:t>
      </w:r>
      <w:r w:rsidRPr="00A20F63">
        <w:rPr>
          <w:rFonts w:asciiTheme="minorHAnsi" w:hAnsiTheme="minorHAnsi" w:cstheme="minorHAnsi"/>
          <w:bCs/>
        </w:rPr>
        <w:lastRenderedPageBreak/>
        <w:t xml:space="preserve">decentralized use of small solar and run-of-river hydro sites, located </w:t>
      </w:r>
      <w:r w:rsidR="00463BD6">
        <w:rPr>
          <w:rFonts w:asciiTheme="minorHAnsi" w:hAnsiTheme="minorHAnsi" w:cstheme="minorHAnsi"/>
          <w:bCs/>
        </w:rPr>
        <w:t xml:space="preserve">closer </w:t>
      </w:r>
      <w:r w:rsidRPr="00A20F63">
        <w:rPr>
          <w:rFonts w:asciiTheme="minorHAnsi" w:hAnsiTheme="minorHAnsi" w:cstheme="minorHAnsi"/>
          <w:bCs/>
        </w:rPr>
        <w:t>to demand, is further reducing any potential negative impacts on the environment compared to larger sites</w:t>
      </w:r>
      <w:r w:rsidRPr="00A20F63">
        <w:rPr>
          <w:rFonts w:asciiTheme="minorHAnsi" w:hAnsiTheme="minorHAnsi" w:cstheme="minorHAnsi"/>
        </w:rPr>
        <w:t xml:space="preserve"> Most of these projects are however at an early stage, thus making it </w:t>
      </w:r>
      <w:r w:rsidR="00F94683" w:rsidRPr="00A20F63">
        <w:rPr>
          <w:rFonts w:asciiTheme="minorHAnsi" w:hAnsiTheme="minorHAnsi" w:cstheme="minorHAnsi"/>
        </w:rPr>
        <w:t xml:space="preserve">challenging to quantify the </w:t>
      </w:r>
      <w:r w:rsidRPr="00A20F63">
        <w:rPr>
          <w:rFonts w:asciiTheme="minorHAnsi" w:hAnsiTheme="minorHAnsi" w:cstheme="minorHAnsi"/>
        </w:rPr>
        <w:t>environmental effects.</w:t>
      </w:r>
    </w:p>
    <w:p w14:paraId="379D6666" w14:textId="20F045B9" w:rsidR="004D0171" w:rsidRPr="00B66802" w:rsidRDefault="008E5AD5" w:rsidP="00C2719B">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A20F63">
        <w:rPr>
          <w:rFonts w:asciiTheme="minorHAnsi" w:hAnsiTheme="minorHAnsi" w:cstheme="minorHAnsi"/>
          <w:b/>
        </w:rPr>
        <w:t>The</w:t>
      </w:r>
      <w:r w:rsidRPr="00C2719B">
        <w:rPr>
          <w:rFonts w:asciiTheme="minorHAnsi" w:hAnsiTheme="minorHAnsi" w:cstheme="minorHAnsi"/>
          <w:b/>
        </w:rPr>
        <w:t xml:space="preserve"> World Bank energy project include</w:t>
      </w:r>
      <w:r w:rsidR="008C4B42" w:rsidRPr="00C2719B">
        <w:rPr>
          <w:rFonts w:asciiTheme="minorHAnsi" w:hAnsiTheme="minorHAnsi" w:cstheme="minorHAnsi"/>
          <w:b/>
        </w:rPr>
        <w:t>s</w:t>
      </w:r>
      <w:r w:rsidRPr="00C2719B">
        <w:rPr>
          <w:rFonts w:asciiTheme="minorHAnsi" w:hAnsiTheme="minorHAnsi" w:cstheme="minorHAnsi"/>
          <w:b/>
        </w:rPr>
        <w:t xml:space="preserve"> measures to strengthen the </w:t>
      </w:r>
      <w:r w:rsidR="00F76705" w:rsidRPr="00C2719B">
        <w:rPr>
          <w:rFonts w:asciiTheme="minorHAnsi" w:hAnsiTheme="minorHAnsi" w:cstheme="minorHAnsi"/>
          <w:b/>
        </w:rPr>
        <w:t>Government’s</w:t>
      </w:r>
      <w:r w:rsidRPr="00C2719B">
        <w:rPr>
          <w:rFonts w:asciiTheme="minorHAnsi" w:hAnsiTheme="minorHAnsi" w:cstheme="minorHAnsi"/>
          <w:b/>
        </w:rPr>
        <w:t xml:space="preserve"> implementation capacity of </w:t>
      </w:r>
      <w:r w:rsidRPr="00B66802">
        <w:rPr>
          <w:rFonts w:asciiTheme="minorHAnsi" w:hAnsiTheme="minorHAnsi" w:cstheme="minorHAnsi"/>
          <w:b/>
        </w:rPr>
        <w:t>social and environmental assessment mechanisms</w:t>
      </w:r>
      <w:r w:rsidRPr="00C2719B">
        <w:rPr>
          <w:rFonts w:asciiTheme="minorHAnsi" w:hAnsiTheme="minorHAnsi" w:cstheme="minorHAnsi"/>
        </w:rPr>
        <w:t xml:space="preserve"> particularly in the areas of preparing, reviewing, implementing and monitoring social and environmental assessment, management documents and resettlement plans and linking these documents with bidding and contract documents. </w:t>
      </w:r>
      <w:r w:rsidR="00C62BD1" w:rsidRPr="00C2719B">
        <w:rPr>
          <w:rFonts w:asciiTheme="minorHAnsi" w:hAnsiTheme="minorHAnsi" w:cstheme="minorHAnsi"/>
        </w:rPr>
        <w:t>The development of small hydro IPPs in Madagascar would be mainly financed with private sector investment. Safeguard frameworks</w:t>
      </w:r>
      <w:r w:rsidR="00463BD6">
        <w:rPr>
          <w:rFonts w:asciiTheme="minorHAnsi" w:hAnsiTheme="minorHAnsi" w:cstheme="minorHAnsi"/>
        </w:rPr>
        <w:t>,</w:t>
      </w:r>
      <w:r w:rsidR="00C62BD1" w:rsidRPr="00C2719B">
        <w:rPr>
          <w:rFonts w:asciiTheme="minorHAnsi" w:hAnsiTheme="minorHAnsi" w:cstheme="minorHAnsi"/>
        </w:rPr>
        <w:t xml:space="preserve"> namely Environmental and Social Management Framework (ESMF) and Resettlement Policy Framework (RPF)</w:t>
      </w:r>
      <w:r w:rsidR="00463BD6">
        <w:rPr>
          <w:rFonts w:asciiTheme="minorHAnsi" w:hAnsiTheme="minorHAnsi" w:cstheme="minorHAnsi"/>
        </w:rPr>
        <w:t>,</w:t>
      </w:r>
      <w:r w:rsidR="00C62BD1" w:rsidRPr="00C2719B">
        <w:rPr>
          <w:rFonts w:asciiTheme="minorHAnsi" w:hAnsiTheme="minorHAnsi" w:cstheme="minorHAnsi"/>
        </w:rPr>
        <w:t xml:space="preserve"> have been prepared to guide the development of priority small hydro sites.  </w:t>
      </w:r>
    </w:p>
    <w:p w14:paraId="06490C59" w14:textId="0E78E6A5" w:rsidR="00A70DB0" w:rsidRPr="00DC050B" w:rsidRDefault="00A70DB0" w:rsidP="00C2719B">
      <w:pPr>
        <w:pStyle w:val="Heading2"/>
        <w:numPr>
          <w:ilvl w:val="1"/>
          <w:numId w:val="46"/>
        </w:numPr>
        <w:ind w:hanging="720"/>
        <w:rPr>
          <w:rFonts w:asciiTheme="minorHAnsi" w:hAnsiTheme="minorHAnsi" w:cstheme="minorHAnsi"/>
          <w:szCs w:val="22"/>
        </w:rPr>
      </w:pPr>
      <w:bookmarkStart w:id="19" w:name="_Toc496204254"/>
      <w:r w:rsidRPr="00BD4A16">
        <w:rPr>
          <w:rFonts w:asciiTheme="minorHAnsi" w:hAnsiTheme="minorHAnsi" w:cstheme="minorHAnsi"/>
          <w:szCs w:val="22"/>
        </w:rPr>
        <w:t>PF</w:t>
      </w:r>
      <w:r w:rsidRPr="00DC050B">
        <w:rPr>
          <w:rFonts w:asciiTheme="minorHAnsi" w:hAnsiTheme="minorHAnsi" w:cstheme="minorHAnsi"/>
          <w:spacing w:val="-1"/>
          <w:szCs w:val="22"/>
        </w:rPr>
        <w:t>M</w:t>
      </w:r>
      <w:r w:rsidRPr="00DC050B">
        <w:rPr>
          <w:rFonts w:asciiTheme="minorHAnsi" w:hAnsiTheme="minorHAnsi" w:cstheme="minorHAnsi"/>
          <w:szCs w:val="22"/>
        </w:rPr>
        <w:t>, DISBURSE</w:t>
      </w:r>
      <w:r w:rsidRPr="00DC050B">
        <w:rPr>
          <w:rFonts w:asciiTheme="minorHAnsi" w:hAnsiTheme="minorHAnsi" w:cstheme="minorHAnsi"/>
          <w:spacing w:val="-1"/>
          <w:szCs w:val="22"/>
        </w:rPr>
        <w:t>M</w:t>
      </w:r>
      <w:r w:rsidRPr="00DC050B">
        <w:rPr>
          <w:rFonts w:asciiTheme="minorHAnsi" w:hAnsiTheme="minorHAnsi" w:cstheme="minorHAnsi"/>
          <w:szCs w:val="22"/>
        </w:rPr>
        <w:t>ENT AND AUDITI</w:t>
      </w:r>
      <w:r w:rsidRPr="00DC050B">
        <w:rPr>
          <w:rFonts w:asciiTheme="minorHAnsi" w:hAnsiTheme="minorHAnsi" w:cstheme="minorHAnsi"/>
          <w:spacing w:val="2"/>
          <w:szCs w:val="22"/>
        </w:rPr>
        <w:t>N</w:t>
      </w:r>
      <w:r w:rsidRPr="00DC050B">
        <w:rPr>
          <w:rFonts w:asciiTheme="minorHAnsi" w:hAnsiTheme="minorHAnsi" w:cstheme="minorHAnsi"/>
          <w:szCs w:val="22"/>
        </w:rPr>
        <w:t>G ASPECTS</w:t>
      </w:r>
      <w:bookmarkEnd w:id="19"/>
    </w:p>
    <w:p w14:paraId="3B6B74B8" w14:textId="34531DCA" w:rsidR="008B0BD1" w:rsidRPr="00C2719B" w:rsidRDefault="008B0BD1" w:rsidP="00C2719B">
      <w:pPr>
        <w:pStyle w:val="ListParagraph"/>
        <w:numPr>
          <w:ilvl w:val="0"/>
          <w:numId w:val="44"/>
        </w:numPr>
        <w:tabs>
          <w:tab w:val="clear" w:pos="360"/>
        </w:tabs>
        <w:autoSpaceDE w:val="0"/>
        <w:autoSpaceDN w:val="0"/>
        <w:adjustRightInd w:val="0"/>
        <w:spacing w:after="240" w:line="240" w:lineRule="auto"/>
        <w:ind w:left="0" w:firstLine="0"/>
        <w:jc w:val="both"/>
        <w:rPr>
          <w:rFonts w:asciiTheme="minorHAnsi" w:eastAsia="Times New Roman" w:hAnsiTheme="minorHAnsi" w:cstheme="minorHAnsi"/>
        </w:rPr>
      </w:pPr>
      <w:r w:rsidRPr="00C2719B">
        <w:rPr>
          <w:rFonts w:asciiTheme="minorHAnsi" w:eastAsia="Calibri" w:hAnsiTheme="minorHAnsi" w:cstheme="minorHAnsi"/>
          <w:b/>
          <w:bCs/>
        </w:rPr>
        <w:t>Addressing</w:t>
      </w:r>
      <w:r w:rsidRPr="00C2719B">
        <w:rPr>
          <w:rFonts w:asciiTheme="minorHAnsi" w:hAnsiTheme="minorHAnsi" w:cstheme="minorHAnsi"/>
          <w:b/>
        </w:rPr>
        <w:t xml:space="preserve"> the fiduciary risk and strengthening the PFM system has been part of the ongoing dialogue and has benefitted from </w:t>
      </w:r>
      <w:r w:rsidR="00180439" w:rsidRPr="00C2719B">
        <w:rPr>
          <w:rFonts w:asciiTheme="minorHAnsi" w:hAnsiTheme="minorHAnsi" w:cstheme="minorHAnsi"/>
          <w:b/>
        </w:rPr>
        <w:t>TA</w:t>
      </w:r>
      <w:r w:rsidRPr="00C2719B">
        <w:rPr>
          <w:rFonts w:asciiTheme="minorHAnsi" w:hAnsiTheme="minorHAnsi" w:cstheme="minorHAnsi"/>
          <w:b/>
        </w:rPr>
        <w:t xml:space="preserve"> over the last decades.</w:t>
      </w:r>
      <w:r w:rsidRPr="00C2719B">
        <w:rPr>
          <w:rFonts w:asciiTheme="minorHAnsi" w:hAnsiTheme="minorHAnsi" w:cstheme="minorHAnsi"/>
        </w:rPr>
        <w:t xml:space="preserve"> Tax administration, budgeting, treasury, and cash management reforms are underway. </w:t>
      </w:r>
      <w:r w:rsidRPr="00C2719B">
        <w:rPr>
          <w:rFonts w:asciiTheme="minorHAnsi" w:eastAsia="Times New Roman" w:hAnsiTheme="minorHAnsi" w:cstheme="minorHAnsi"/>
        </w:rPr>
        <w:t>The 2014 Public Expenditure and Financial Accountability (PEFA) self-assessment showed that revenue forecasting has improved. The budget law is published on the MFB website in a timely manner, and the Citizen’s Budget</w:t>
      </w:r>
      <w:r w:rsidRPr="00B66802">
        <w:rPr>
          <w:rStyle w:val="FootnoteReference"/>
          <w:rFonts w:asciiTheme="minorHAnsi" w:eastAsia="Times New Roman" w:hAnsiTheme="minorHAnsi" w:cstheme="minorHAnsi"/>
        </w:rPr>
        <w:footnoteReference w:id="59"/>
      </w:r>
      <w:r w:rsidRPr="00C2719B">
        <w:rPr>
          <w:rFonts w:asciiTheme="minorHAnsi" w:eastAsia="Times New Roman" w:hAnsiTheme="minorHAnsi" w:cstheme="minorHAnsi"/>
        </w:rPr>
        <w:t xml:space="preserve"> and Citizen’s Budget Execution reports are published. The Resilience DPO (P153084) supported the timely publication of Quarterly Budget Execution Reports</w:t>
      </w:r>
      <w:r w:rsidRPr="00C2719B">
        <w:rPr>
          <w:rFonts w:asciiTheme="minorHAnsi" w:hAnsiTheme="minorHAnsi" w:cstheme="minorHAnsi"/>
        </w:rPr>
        <w:t xml:space="preserve"> and the annual consolidated accounts. The Supreme Audit Institution </w:t>
      </w:r>
      <w:r w:rsidRPr="00C2719B">
        <w:rPr>
          <w:rFonts w:asciiTheme="minorHAnsi" w:eastAsia="Times New Roman" w:hAnsiTheme="minorHAnsi" w:cstheme="minorHAnsi"/>
        </w:rPr>
        <w:t>(</w:t>
      </w:r>
      <w:r w:rsidRPr="00C2719B">
        <w:rPr>
          <w:rFonts w:asciiTheme="minorHAnsi" w:hAnsiTheme="minorHAnsi" w:cstheme="minorHAnsi"/>
          <w:i/>
        </w:rPr>
        <w:t>Cour des Comptes</w:t>
      </w:r>
      <w:r w:rsidRPr="00C2719B">
        <w:rPr>
          <w:rFonts w:asciiTheme="minorHAnsi" w:hAnsiTheme="minorHAnsi" w:cstheme="minorHAnsi"/>
        </w:rPr>
        <w:t>)</w:t>
      </w:r>
      <w:r w:rsidRPr="00C2719B">
        <w:rPr>
          <w:rFonts w:asciiTheme="minorHAnsi" w:hAnsiTheme="minorHAnsi" w:cstheme="minorHAnsi"/>
          <w:i/>
        </w:rPr>
        <w:t xml:space="preserve"> </w:t>
      </w:r>
      <w:r w:rsidRPr="00C2719B">
        <w:rPr>
          <w:rFonts w:asciiTheme="minorHAnsi" w:hAnsiTheme="minorHAnsi" w:cstheme="minorHAnsi"/>
        </w:rPr>
        <w:t>published its first report covering the year 2014 in May 2016.</w:t>
      </w:r>
      <w:r w:rsidRPr="00C2719B">
        <w:rPr>
          <w:rFonts w:asciiTheme="minorHAnsi" w:eastAsia="Times New Roman" w:hAnsiTheme="minorHAnsi" w:cstheme="minorHAnsi"/>
        </w:rPr>
        <w:t xml:space="preserve"> The audited final accounts for 2009 to 2012 were validated by Parliament in 2015 and 2016, thereby catching up on the delay in auditing reports following the political crisis period. </w:t>
      </w:r>
    </w:p>
    <w:p w14:paraId="24698E23" w14:textId="5139974D" w:rsidR="008B0BD1" w:rsidRPr="00BD4A16" w:rsidRDefault="008B0BD1" w:rsidP="00C2719B">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6C66C2">
        <w:rPr>
          <w:rFonts w:asciiTheme="minorHAnsi" w:eastAsia="Times New Roman" w:hAnsiTheme="minorHAnsi" w:cstheme="minorHAnsi"/>
          <w:b/>
        </w:rPr>
        <w:t xml:space="preserve">The </w:t>
      </w:r>
      <w:r w:rsidRPr="006C66C2">
        <w:rPr>
          <w:rFonts w:asciiTheme="minorHAnsi" w:eastAsia="Calibri" w:hAnsiTheme="minorHAnsi" w:cstheme="minorHAnsi"/>
          <w:b/>
          <w:bCs/>
        </w:rPr>
        <w:t>Government</w:t>
      </w:r>
      <w:r w:rsidRPr="006C66C2">
        <w:rPr>
          <w:rFonts w:asciiTheme="minorHAnsi" w:eastAsia="Times New Roman" w:hAnsiTheme="minorHAnsi" w:cstheme="minorHAnsi"/>
          <w:b/>
        </w:rPr>
        <w:t xml:space="preserve"> must continue to respond to challenges in some areas</w:t>
      </w:r>
      <w:r w:rsidRPr="006C66C2">
        <w:rPr>
          <w:rFonts w:asciiTheme="minorHAnsi" w:eastAsia="Times New Roman" w:hAnsiTheme="minorHAnsi" w:cstheme="minorHAnsi"/>
        </w:rPr>
        <w:t xml:space="preserve">. The 2014 PEFA self-assessment indicates that limited progress has been made on improving the credibility of the budget. This finding reflects the policy adopted by the authorities during the political crisis, where cash was tightly controlled as revenues declined. A PEFA self-assessment is </w:t>
      </w:r>
      <w:r w:rsidR="00817CAF">
        <w:rPr>
          <w:rFonts w:asciiTheme="minorHAnsi" w:eastAsia="Times New Roman" w:hAnsiTheme="minorHAnsi" w:cstheme="minorHAnsi"/>
        </w:rPr>
        <w:t xml:space="preserve">being prepared </w:t>
      </w:r>
      <w:r w:rsidR="00032CCE">
        <w:rPr>
          <w:rFonts w:asciiTheme="minorHAnsi" w:eastAsia="Times New Roman" w:hAnsiTheme="minorHAnsi" w:cstheme="minorHAnsi"/>
        </w:rPr>
        <w:t xml:space="preserve">in 2017 </w:t>
      </w:r>
      <w:r w:rsidR="00817CAF">
        <w:rPr>
          <w:rFonts w:asciiTheme="minorHAnsi" w:eastAsia="Times New Roman" w:hAnsiTheme="minorHAnsi" w:cstheme="minorHAnsi"/>
        </w:rPr>
        <w:t>and the results are expected in 2018</w:t>
      </w:r>
      <w:r w:rsidRPr="006C66C2">
        <w:rPr>
          <w:rFonts w:asciiTheme="minorHAnsi" w:eastAsia="Times New Roman" w:hAnsiTheme="minorHAnsi" w:cstheme="minorHAnsi"/>
        </w:rPr>
        <w:t>. Further progress is required to consolidate and publish the accounts of quasi-fiscal entities, such as S</w:t>
      </w:r>
      <w:r w:rsidR="00C2719B">
        <w:rPr>
          <w:rFonts w:asciiTheme="minorHAnsi" w:eastAsia="Times New Roman" w:hAnsiTheme="minorHAnsi" w:cstheme="minorHAnsi"/>
        </w:rPr>
        <w:t>O</w:t>
      </w:r>
      <w:r w:rsidRPr="006C66C2">
        <w:rPr>
          <w:rFonts w:asciiTheme="minorHAnsi" w:eastAsia="Times New Roman" w:hAnsiTheme="minorHAnsi" w:cstheme="minorHAnsi"/>
        </w:rPr>
        <w:t>E and special funds. There are still a number of accounts that operate outside of the Govern</w:t>
      </w:r>
      <w:r w:rsidRPr="00A20F63">
        <w:rPr>
          <w:rFonts w:asciiTheme="minorHAnsi" w:eastAsia="Times New Roman" w:hAnsiTheme="minorHAnsi" w:cstheme="minorHAnsi"/>
        </w:rPr>
        <w:t xml:space="preserve">ment’s treasury system, with efforts to consolidate this process underway. The Government has made progress in arrears management through the </w:t>
      </w:r>
      <w:r w:rsidRPr="00A20F63">
        <w:rPr>
          <w:rFonts w:asciiTheme="minorHAnsi" w:hAnsiTheme="minorHAnsi" w:cstheme="minorHAnsi"/>
        </w:rPr>
        <w:t xml:space="preserve">negotiation of special government bonds, and the establishment of an escrow account with the Treasury to meet </w:t>
      </w:r>
      <w:r w:rsidR="00406280">
        <w:rPr>
          <w:rFonts w:asciiTheme="minorHAnsi" w:hAnsiTheme="minorHAnsi" w:cstheme="minorHAnsi"/>
        </w:rPr>
        <w:t>value added tax (</w:t>
      </w:r>
      <w:r w:rsidRPr="00A20F63">
        <w:rPr>
          <w:rFonts w:asciiTheme="minorHAnsi" w:hAnsiTheme="minorHAnsi" w:cstheme="minorHAnsi"/>
        </w:rPr>
        <w:t>VAT</w:t>
      </w:r>
      <w:r w:rsidR="00406280">
        <w:rPr>
          <w:rFonts w:asciiTheme="minorHAnsi" w:hAnsiTheme="minorHAnsi" w:cstheme="minorHAnsi"/>
        </w:rPr>
        <w:t>)</w:t>
      </w:r>
      <w:r w:rsidRPr="00A20F63">
        <w:rPr>
          <w:rFonts w:asciiTheme="minorHAnsi" w:hAnsiTheme="minorHAnsi" w:cstheme="minorHAnsi"/>
        </w:rPr>
        <w:t xml:space="preserve"> refunding and avoid arrears accumulation.</w:t>
      </w:r>
      <w:r w:rsidRPr="00B66802">
        <w:rPr>
          <w:rStyle w:val="FootnoteReference"/>
          <w:rFonts w:asciiTheme="minorHAnsi" w:hAnsiTheme="minorHAnsi" w:cstheme="minorHAnsi"/>
        </w:rPr>
        <w:footnoteReference w:id="60"/>
      </w:r>
      <w:r w:rsidRPr="00B66802">
        <w:rPr>
          <w:rFonts w:asciiTheme="minorHAnsi" w:hAnsiTheme="minorHAnsi" w:cstheme="minorHAnsi"/>
        </w:rPr>
        <w:t xml:space="preserve">  The recently approved </w:t>
      </w:r>
      <w:r w:rsidR="00442B64">
        <w:rPr>
          <w:rFonts w:asciiTheme="minorHAnsi" w:hAnsiTheme="minorHAnsi" w:cstheme="minorHAnsi"/>
        </w:rPr>
        <w:t xml:space="preserve">PAP of the </w:t>
      </w:r>
      <w:r w:rsidRPr="00B66802">
        <w:rPr>
          <w:rFonts w:asciiTheme="minorHAnsi" w:hAnsiTheme="minorHAnsi" w:cstheme="minorHAnsi"/>
        </w:rPr>
        <w:t xml:space="preserve">PFM </w:t>
      </w:r>
      <w:r w:rsidR="00265541">
        <w:rPr>
          <w:rFonts w:asciiTheme="minorHAnsi" w:hAnsiTheme="minorHAnsi" w:cstheme="minorHAnsi"/>
        </w:rPr>
        <w:t>modernization</w:t>
      </w:r>
      <w:r w:rsidR="00265541" w:rsidRPr="00B66802">
        <w:rPr>
          <w:rFonts w:asciiTheme="minorHAnsi" w:hAnsiTheme="minorHAnsi" w:cstheme="minorHAnsi"/>
        </w:rPr>
        <w:t xml:space="preserve"> </w:t>
      </w:r>
      <w:r w:rsidRPr="00B66802">
        <w:rPr>
          <w:rFonts w:asciiTheme="minorHAnsi" w:hAnsiTheme="minorHAnsi" w:cstheme="minorHAnsi"/>
        </w:rPr>
        <w:t>strategy (2016-2019) includes a number of reforms to address these challenges.</w:t>
      </w:r>
    </w:p>
    <w:p w14:paraId="007E9FA6" w14:textId="781943C6" w:rsidR="008B0BD1" w:rsidRPr="00DC050B" w:rsidRDefault="008B0BD1" w:rsidP="00C2719B">
      <w:pPr>
        <w:numPr>
          <w:ilvl w:val="0"/>
          <w:numId w:val="44"/>
        </w:numPr>
        <w:tabs>
          <w:tab w:val="clear" w:pos="360"/>
        </w:tabs>
        <w:autoSpaceDE w:val="0"/>
        <w:autoSpaceDN w:val="0"/>
        <w:adjustRightInd w:val="0"/>
        <w:spacing w:after="240" w:line="240" w:lineRule="auto"/>
        <w:ind w:left="0" w:firstLine="0"/>
        <w:jc w:val="both"/>
        <w:rPr>
          <w:rFonts w:asciiTheme="minorHAnsi" w:eastAsia="Times New Roman" w:hAnsiTheme="minorHAnsi" w:cstheme="minorHAnsi"/>
        </w:rPr>
      </w:pPr>
      <w:r w:rsidRPr="00DC050B">
        <w:rPr>
          <w:rFonts w:asciiTheme="minorHAnsi" w:eastAsia="Times New Roman" w:hAnsiTheme="minorHAnsi" w:cstheme="minorHAnsi"/>
          <w:b/>
        </w:rPr>
        <w:t>Progress has been made in strengthening the safeguards framework at the Central Bank of Madagascar (CBM)</w:t>
      </w:r>
      <w:r w:rsidRPr="00DC050B">
        <w:rPr>
          <w:rFonts w:asciiTheme="minorHAnsi" w:eastAsia="Times New Roman" w:hAnsiTheme="minorHAnsi" w:cstheme="minorHAnsi"/>
        </w:rPr>
        <w:t xml:space="preserve">. Governance arrangements and </w:t>
      </w:r>
      <w:r w:rsidR="00044579">
        <w:rPr>
          <w:rFonts w:asciiTheme="minorHAnsi" w:eastAsia="Times New Roman" w:hAnsiTheme="minorHAnsi" w:cstheme="minorHAnsi"/>
        </w:rPr>
        <w:t>C</w:t>
      </w:r>
      <w:r w:rsidRPr="00DC050B">
        <w:rPr>
          <w:rFonts w:asciiTheme="minorHAnsi" w:eastAsia="Times New Roman" w:hAnsiTheme="minorHAnsi" w:cstheme="minorHAnsi"/>
        </w:rPr>
        <w:t xml:space="preserve">entral </w:t>
      </w:r>
      <w:r w:rsidR="00044579">
        <w:rPr>
          <w:rFonts w:asciiTheme="minorHAnsi" w:eastAsia="Times New Roman" w:hAnsiTheme="minorHAnsi" w:cstheme="minorHAnsi"/>
        </w:rPr>
        <w:t>B</w:t>
      </w:r>
      <w:r w:rsidRPr="00DC050B">
        <w:rPr>
          <w:rFonts w:asciiTheme="minorHAnsi" w:eastAsia="Times New Roman" w:hAnsiTheme="minorHAnsi" w:cstheme="minorHAnsi"/>
        </w:rPr>
        <w:t xml:space="preserve">ank autonomy have been strengthened through the new Central Bank Act. The CBM has also reinforced its audit oversight and control environment, and is committed to undertake the necessary steps to implement International Financial </w:t>
      </w:r>
      <w:r w:rsidRPr="00DC050B">
        <w:rPr>
          <w:rFonts w:asciiTheme="minorHAnsi" w:eastAsia="Times New Roman" w:hAnsiTheme="minorHAnsi" w:cstheme="minorHAnsi"/>
        </w:rPr>
        <w:lastRenderedPageBreak/>
        <w:t>Reporting Standards. However, the timeliness of audit completion and publication of audited financial statements needs further improvement. The functioning of the foreign exchange market has improved since the CBM discontinued buy-back operation</w:t>
      </w:r>
      <w:r w:rsidR="00B1281A" w:rsidRPr="00DC050B">
        <w:rPr>
          <w:rFonts w:asciiTheme="minorHAnsi" w:eastAsia="Times New Roman" w:hAnsiTheme="minorHAnsi" w:cstheme="minorHAnsi"/>
        </w:rPr>
        <w:t>s</w:t>
      </w:r>
      <w:r w:rsidRPr="00DC050B">
        <w:rPr>
          <w:rFonts w:asciiTheme="minorHAnsi" w:eastAsia="Times New Roman" w:hAnsiTheme="minorHAnsi" w:cstheme="minorHAnsi"/>
        </w:rPr>
        <w:t xml:space="preserve"> in September 2016. The 2017 IMF safeguards assessment noted that foreign exchange investment practices, and currency procurement practices required improvement, which the CBM is committed to reforming.</w:t>
      </w:r>
    </w:p>
    <w:p w14:paraId="14BF48FF" w14:textId="72DBC5F5" w:rsidR="008B0BD1" w:rsidRPr="00A20F63" w:rsidRDefault="008B0BD1" w:rsidP="00C2719B">
      <w:pPr>
        <w:numPr>
          <w:ilvl w:val="0"/>
          <w:numId w:val="44"/>
        </w:numPr>
        <w:tabs>
          <w:tab w:val="clear" w:pos="360"/>
        </w:tabs>
        <w:autoSpaceDE w:val="0"/>
        <w:autoSpaceDN w:val="0"/>
        <w:adjustRightInd w:val="0"/>
        <w:spacing w:after="240" w:line="240" w:lineRule="auto"/>
        <w:ind w:left="0" w:firstLine="0"/>
        <w:jc w:val="both"/>
        <w:rPr>
          <w:rFonts w:asciiTheme="minorHAnsi" w:eastAsia="Times New Roman" w:hAnsiTheme="minorHAnsi" w:cstheme="minorHAnsi"/>
        </w:rPr>
      </w:pPr>
      <w:r w:rsidRPr="00DC050B">
        <w:rPr>
          <w:rFonts w:asciiTheme="minorHAnsi" w:eastAsia="Times New Roman" w:hAnsiTheme="minorHAnsi" w:cstheme="minorHAnsi"/>
          <w:b/>
        </w:rPr>
        <w:t xml:space="preserve">The </w:t>
      </w:r>
      <w:r w:rsidR="00406280">
        <w:rPr>
          <w:rFonts w:asciiTheme="minorHAnsi" w:eastAsia="Times New Roman" w:hAnsiTheme="minorHAnsi" w:cstheme="minorHAnsi"/>
          <w:b/>
        </w:rPr>
        <w:t xml:space="preserve">World </w:t>
      </w:r>
      <w:r w:rsidRPr="00DC050B">
        <w:rPr>
          <w:rFonts w:asciiTheme="minorHAnsi" w:eastAsia="Times New Roman" w:hAnsiTheme="minorHAnsi" w:cstheme="minorHAnsi"/>
          <w:b/>
        </w:rPr>
        <w:t xml:space="preserve">Bank is working with other partners to provide coordinated </w:t>
      </w:r>
      <w:r w:rsidR="00406280">
        <w:rPr>
          <w:rFonts w:asciiTheme="minorHAnsi" w:eastAsia="Times New Roman" w:hAnsiTheme="minorHAnsi" w:cstheme="minorHAnsi"/>
          <w:b/>
        </w:rPr>
        <w:t>TA</w:t>
      </w:r>
      <w:r w:rsidRPr="00DC050B">
        <w:rPr>
          <w:rFonts w:asciiTheme="minorHAnsi" w:eastAsia="Times New Roman" w:hAnsiTheme="minorHAnsi" w:cstheme="minorHAnsi"/>
          <w:b/>
        </w:rPr>
        <w:t xml:space="preserve">. </w:t>
      </w:r>
      <w:r w:rsidR="007A0A36" w:rsidRPr="00DC050B">
        <w:rPr>
          <w:rFonts w:asciiTheme="minorHAnsi" w:eastAsia="Times New Roman" w:hAnsiTheme="minorHAnsi" w:cstheme="minorHAnsi"/>
        </w:rPr>
        <w:t xml:space="preserve">The Public </w:t>
      </w:r>
      <w:r w:rsidRPr="00DC050B">
        <w:rPr>
          <w:rFonts w:asciiTheme="minorHAnsi" w:eastAsia="Times New Roman" w:hAnsiTheme="minorHAnsi" w:cstheme="minorHAnsi"/>
        </w:rPr>
        <w:t xml:space="preserve">Sector Performance Project (P150116) will help advance improvements in revenue management, improved controls at the local level and performance monitoring. The IMF’s </w:t>
      </w:r>
      <w:r w:rsidR="0026512F" w:rsidRPr="006C66C2">
        <w:rPr>
          <w:rFonts w:asciiTheme="minorHAnsi" w:eastAsia="Times New Roman" w:hAnsiTheme="minorHAnsi" w:cstheme="minorHAnsi"/>
        </w:rPr>
        <w:t>TA</w:t>
      </w:r>
      <w:r w:rsidRPr="006C66C2">
        <w:rPr>
          <w:rFonts w:asciiTheme="minorHAnsi" w:eastAsia="Times New Roman" w:hAnsiTheme="minorHAnsi" w:cstheme="minorHAnsi"/>
        </w:rPr>
        <w:t xml:space="preserve"> AFRITAC South has a substantial </w:t>
      </w:r>
      <w:r w:rsidR="0026512F" w:rsidRPr="00A20F63">
        <w:rPr>
          <w:rFonts w:asciiTheme="minorHAnsi" w:eastAsia="Times New Roman" w:hAnsiTheme="minorHAnsi" w:cstheme="minorHAnsi"/>
        </w:rPr>
        <w:t>TA</w:t>
      </w:r>
      <w:r w:rsidRPr="00A20F63">
        <w:rPr>
          <w:rFonts w:asciiTheme="minorHAnsi" w:eastAsia="Times New Roman" w:hAnsiTheme="minorHAnsi" w:cstheme="minorHAnsi"/>
        </w:rPr>
        <w:t xml:space="preserve"> program covering PIM (through coordinated support with the </w:t>
      </w:r>
      <w:r w:rsidR="00406280">
        <w:rPr>
          <w:rFonts w:asciiTheme="minorHAnsi" w:eastAsia="Times New Roman" w:hAnsiTheme="minorHAnsi" w:cstheme="minorHAnsi"/>
        </w:rPr>
        <w:t xml:space="preserve">World </w:t>
      </w:r>
      <w:r w:rsidRPr="00A20F63">
        <w:rPr>
          <w:rFonts w:asciiTheme="minorHAnsi" w:eastAsia="Times New Roman" w:hAnsiTheme="minorHAnsi" w:cstheme="minorHAnsi"/>
        </w:rPr>
        <w:t xml:space="preserve">Bank), fiscal risks management, and cash and arrears management. The US Treasury has seconded an advisor to support Treasury Single Account reforms. The AfDB and the </w:t>
      </w:r>
      <w:r w:rsidR="00E447D8">
        <w:rPr>
          <w:rFonts w:asciiTheme="minorHAnsi" w:eastAsia="Times New Roman" w:hAnsiTheme="minorHAnsi" w:cstheme="minorHAnsi"/>
        </w:rPr>
        <w:t>EU</w:t>
      </w:r>
      <w:r w:rsidRPr="00A20F63">
        <w:rPr>
          <w:rFonts w:asciiTheme="minorHAnsi" w:eastAsia="Times New Roman" w:hAnsiTheme="minorHAnsi" w:cstheme="minorHAnsi"/>
        </w:rPr>
        <w:t xml:space="preserve"> are supporting civil service reforms. The EU and the IMF are also engaged in medium-term budget reforms. </w:t>
      </w:r>
    </w:p>
    <w:p w14:paraId="09602021" w14:textId="25C06DF4" w:rsidR="008B0BD1" w:rsidRPr="006C66C2" w:rsidRDefault="008B0BD1" w:rsidP="00C2719B">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A20F63">
        <w:rPr>
          <w:rFonts w:asciiTheme="minorHAnsi" w:eastAsia="Times New Roman" w:hAnsiTheme="minorHAnsi" w:cstheme="minorHAnsi"/>
          <w:b/>
        </w:rPr>
        <w:t>The</w:t>
      </w:r>
      <w:r w:rsidRPr="00A20F63">
        <w:rPr>
          <w:rFonts w:asciiTheme="minorHAnsi" w:hAnsiTheme="minorHAnsi" w:cstheme="minorHAnsi"/>
          <w:b/>
        </w:rPr>
        <w:t xml:space="preserve"> proposed grant will be disbursed following the standard IDA procedures for </w:t>
      </w:r>
      <w:r w:rsidR="00180439" w:rsidRPr="00A20F63">
        <w:rPr>
          <w:rFonts w:asciiTheme="minorHAnsi" w:hAnsiTheme="minorHAnsi" w:cstheme="minorHAnsi"/>
          <w:b/>
        </w:rPr>
        <w:t>DPOs</w:t>
      </w:r>
      <w:r w:rsidRPr="00A20F63">
        <w:rPr>
          <w:rFonts w:asciiTheme="minorHAnsi" w:hAnsiTheme="minorHAnsi" w:cstheme="minorHAnsi"/>
        </w:rPr>
        <w:t xml:space="preserve">. A grant in the amount of SDR </w:t>
      </w:r>
      <w:r w:rsidR="009C2E62" w:rsidRPr="00A20F63">
        <w:rPr>
          <w:rFonts w:asciiTheme="minorHAnsi" w:hAnsiTheme="minorHAnsi" w:cstheme="minorHAnsi"/>
        </w:rPr>
        <w:t>31</w:t>
      </w:r>
      <w:r w:rsidR="00F44F53" w:rsidRPr="00A20F63">
        <w:rPr>
          <w:rFonts w:asciiTheme="minorHAnsi" w:hAnsiTheme="minorHAnsi" w:cstheme="minorHAnsi"/>
        </w:rPr>
        <w:t>.9</w:t>
      </w:r>
      <w:r w:rsidR="001A5ABC" w:rsidRPr="00A20F63">
        <w:rPr>
          <w:rFonts w:asciiTheme="minorHAnsi" w:hAnsiTheme="minorHAnsi" w:cstheme="minorHAnsi"/>
        </w:rPr>
        <w:t xml:space="preserve"> million (US$45</w:t>
      </w:r>
      <w:r w:rsidRPr="00A20F63">
        <w:rPr>
          <w:rFonts w:asciiTheme="minorHAnsi" w:hAnsiTheme="minorHAnsi" w:cstheme="minorHAnsi"/>
        </w:rPr>
        <w:t xml:space="preserve">.0 million equivalent) will be made available upon effectiveness and, provided IDA is satisfied with the implementation of the development policy financing </w:t>
      </w:r>
      <w:r w:rsidR="006C66C2">
        <w:rPr>
          <w:rFonts w:asciiTheme="minorHAnsi" w:hAnsiTheme="minorHAnsi" w:cstheme="minorHAnsi"/>
        </w:rPr>
        <w:t xml:space="preserve">(DPF) </w:t>
      </w:r>
      <w:r w:rsidRPr="006C66C2">
        <w:rPr>
          <w:rFonts w:asciiTheme="minorHAnsi" w:hAnsiTheme="minorHAnsi" w:cstheme="minorHAnsi"/>
        </w:rPr>
        <w:t xml:space="preserve">program and the appropriateness of the Recipient's macroeconomic policy framework, disbursed as a single tranche following the submission of an acceptable withdrawal application by the </w:t>
      </w:r>
      <w:r w:rsidR="0085470E">
        <w:rPr>
          <w:rFonts w:asciiTheme="minorHAnsi" w:hAnsiTheme="minorHAnsi" w:cstheme="minorHAnsi"/>
        </w:rPr>
        <w:t>G</w:t>
      </w:r>
      <w:r w:rsidRPr="006C66C2">
        <w:rPr>
          <w:rFonts w:asciiTheme="minorHAnsi" w:hAnsiTheme="minorHAnsi" w:cstheme="minorHAnsi"/>
        </w:rPr>
        <w:t>overnment.</w:t>
      </w:r>
      <w:r w:rsidRPr="006C66C2">
        <w:rPr>
          <w:rFonts w:asciiTheme="minorHAnsi" w:hAnsiTheme="minorHAnsi" w:cstheme="minorHAnsi"/>
          <w:b/>
        </w:rPr>
        <w:t xml:space="preserve"> </w:t>
      </w:r>
      <w:r w:rsidRPr="006C66C2">
        <w:rPr>
          <w:rFonts w:asciiTheme="minorHAnsi" w:hAnsiTheme="minorHAnsi" w:cstheme="minorHAnsi"/>
        </w:rPr>
        <w:t xml:space="preserve">IDA will disburse the proceeds into the treasury account US dollar-denominated account designated by the Recipient that is part of the country’s foreign exchange reserves account at the </w:t>
      </w:r>
      <w:r w:rsidRPr="00A20F63">
        <w:rPr>
          <w:rFonts w:asciiTheme="minorHAnsi" w:hAnsiTheme="minorHAnsi" w:cstheme="minorHAnsi"/>
        </w:rPr>
        <w:t xml:space="preserve">Central Bank of Madagascar. The dedicated account will be used exclusively for the proceeds of the </w:t>
      </w:r>
      <w:r w:rsidRPr="006C66C2">
        <w:rPr>
          <w:rFonts w:asciiTheme="minorHAnsi" w:hAnsiTheme="minorHAnsi" w:cstheme="minorHAnsi"/>
        </w:rPr>
        <w:t>DPF grant. The Recipient shall ensure that upon the deposit of the grant proceeds into said account, an equivalent amount is credited in the Recipient’s budget management system, in a manner acceptable to IDA. The Recipient will report to IDA on the amounts deposited in the foreign-currency account and credited to the budget-management system within 30 days of the disbursement.</w:t>
      </w:r>
    </w:p>
    <w:p w14:paraId="47BD4786" w14:textId="6DB433E0" w:rsidR="008B0BD1" w:rsidRPr="00406280" w:rsidRDefault="008B0BD1" w:rsidP="00C2719B">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6C66C2">
        <w:rPr>
          <w:rFonts w:asciiTheme="minorHAnsi" w:hAnsiTheme="minorHAnsi" w:cstheme="minorHAnsi"/>
          <w:b/>
          <w:bCs/>
        </w:rPr>
        <w:t>The financi</w:t>
      </w:r>
      <w:r w:rsidRPr="00A20F63">
        <w:rPr>
          <w:rFonts w:asciiTheme="minorHAnsi" w:hAnsiTheme="minorHAnsi" w:cstheme="minorHAnsi"/>
          <w:b/>
          <w:bCs/>
        </w:rPr>
        <w:t>al support provided under this operation is not intended to finance goods or services on the standard negative list</w:t>
      </w:r>
      <w:r w:rsidRPr="00A20F63">
        <w:rPr>
          <w:rFonts w:asciiTheme="minorHAnsi" w:hAnsiTheme="minorHAnsi" w:cstheme="minorHAnsi"/>
          <w:bCs/>
        </w:rPr>
        <w:t>.</w:t>
      </w:r>
      <w:r w:rsidRPr="00A20F63">
        <w:rPr>
          <w:rFonts w:asciiTheme="minorHAnsi" w:hAnsiTheme="minorHAnsi" w:cstheme="minorHAnsi"/>
          <w:b/>
          <w:bCs/>
        </w:rPr>
        <w:t xml:space="preserve"> </w:t>
      </w:r>
      <w:r w:rsidRPr="00A20F63">
        <w:rPr>
          <w:rFonts w:asciiTheme="minorHAnsi" w:hAnsiTheme="minorHAnsi" w:cstheme="minorHAnsi"/>
          <w:bCs/>
        </w:rPr>
        <w:t xml:space="preserve">If the proceeds of the grant are used for ineligible purposes as defined in the Financing Agreement, IDA will require the Recipient, promptly upon notice from IDA, to refund an amount equal to the ineligible expenditure. Amounts refunded to IDA upon such request shall be cancelled. At the request of the Association, an audit of the dedicated account could be carried out by the Recipient and the result of such audit will be furnished to the Association within four months of the request. </w:t>
      </w:r>
      <w:r w:rsidRPr="00A20F63">
        <w:rPr>
          <w:rFonts w:asciiTheme="minorHAnsi" w:hAnsiTheme="minorHAnsi" w:cstheme="minorHAnsi"/>
        </w:rPr>
        <w:t xml:space="preserve">Considering the limited capacity of the </w:t>
      </w:r>
      <w:r w:rsidRPr="00A20F63">
        <w:rPr>
          <w:rFonts w:asciiTheme="minorHAnsi" w:hAnsiTheme="minorHAnsi" w:cstheme="minorHAnsi"/>
          <w:bCs/>
        </w:rPr>
        <w:t>Supreme Audit Institution (</w:t>
      </w:r>
      <w:r w:rsidRPr="00A20F63">
        <w:rPr>
          <w:rFonts w:asciiTheme="minorHAnsi" w:hAnsiTheme="minorHAnsi" w:cstheme="minorHAnsi"/>
          <w:bCs/>
          <w:i/>
        </w:rPr>
        <w:t>Cour des Comptes</w:t>
      </w:r>
      <w:r w:rsidRPr="00A20F63">
        <w:rPr>
          <w:rFonts w:asciiTheme="minorHAnsi" w:hAnsiTheme="minorHAnsi" w:cstheme="minorHAnsi"/>
          <w:bCs/>
        </w:rPr>
        <w:t>), a legally registered, private and independent audit company meeting approp</w:t>
      </w:r>
      <w:r w:rsidRPr="00406280">
        <w:rPr>
          <w:rFonts w:asciiTheme="minorHAnsi" w:hAnsiTheme="minorHAnsi" w:cstheme="minorHAnsi"/>
          <w:bCs/>
        </w:rPr>
        <w:t>riate international standards will be contracted to perform the audit, in accordance with the Terms of Reference agreed upon with the Association. All audit costs will be borne by the Government of Madagascar.</w:t>
      </w:r>
    </w:p>
    <w:p w14:paraId="436DC459" w14:textId="372C1AA9" w:rsidR="00A70DB0" w:rsidRPr="0085470E" w:rsidRDefault="00A70DB0" w:rsidP="00C2719B">
      <w:pPr>
        <w:pStyle w:val="Heading2"/>
        <w:numPr>
          <w:ilvl w:val="1"/>
          <w:numId w:val="46"/>
        </w:numPr>
        <w:ind w:hanging="720"/>
        <w:rPr>
          <w:rFonts w:asciiTheme="minorHAnsi" w:hAnsiTheme="minorHAnsi" w:cstheme="minorHAnsi"/>
          <w:szCs w:val="22"/>
        </w:rPr>
      </w:pPr>
      <w:bookmarkStart w:id="20" w:name="_Toc496204255"/>
      <w:r w:rsidRPr="00601B29">
        <w:rPr>
          <w:rFonts w:asciiTheme="minorHAnsi" w:hAnsiTheme="minorHAnsi" w:cstheme="minorHAnsi"/>
          <w:spacing w:val="-1"/>
          <w:szCs w:val="22"/>
        </w:rPr>
        <w:t>M</w:t>
      </w:r>
      <w:r w:rsidRPr="0085470E">
        <w:rPr>
          <w:rFonts w:asciiTheme="minorHAnsi" w:hAnsiTheme="minorHAnsi" w:cstheme="minorHAnsi"/>
          <w:szCs w:val="22"/>
        </w:rPr>
        <w:t>ONITORING, EVALUATION AND ACCOUNTABILITY</w:t>
      </w:r>
      <w:bookmarkEnd w:id="20"/>
    </w:p>
    <w:p w14:paraId="65125243" w14:textId="672FEA1E" w:rsidR="00A70DB0" w:rsidRPr="00406280" w:rsidRDefault="00A70DB0" w:rsidP="00C2719B">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A46F16">
        <w:rPr>
          <w:rFonts w:asciiTheme="minorHAnsi" w:hAnsiTheme="minorHAnsi" w:cstheme="minorHAnsi"/>
          <w:b/>
        </w:rPr>
        <w:t>Progress on the results indicators will be monitored and evaluated jointly by the Recipient and the World Bank</w:t>
      </w:r>
      <w:r w:rsidRPr="00A46F16">
        <w:rPr>
          <w:rFonts w:asciiTheme="minorHAnsi" w:hAnsiTheme="minorHAnsi" w:cstheme="minorHAnsi"/>
        </w:rPr>
        <w:t xml:space="preserve">. The </w:t>
      </w:r>
      <w:r w:rsidR="00142D83" w:rsidRPr="00805BA2">
        <w:rPr>
          <w:rFonts w:asciiTheme="minorHAnsi" w:hAnsiTheme="minorHAnsi" w:cstheme="minorHAnsi"/>
        </w:rPr>
        <w:t xml:space="preserve">Government has established an Economic Council team, which consists of high level officials that are responsible for spearheading and implementing the reform agenda. This team comprises of members from the MFB, the CBM, the Presidency and other </w:t>
      </w:r>
      <w:r w:rsidR="00561991" w:rsidRPr="00805BA2">
        <w:rPr>
          <w:rFonts w:asciiTheme="minorHAnsi" w:hAnsiTheme="minorHAnsi" w:cstheme="minorHAnsi"/>
        </w:rPr>
        <w:t xml:space="preserve">relevant </w:t>
      </w:r>
      <w:r w:rsidR="00142D83" w:rsidRPr="00805BA2">
        <w:rPr>
          <w:rFonts w:asciiTheme="minorHAnsi" w:hAnsiTheme="minorHAnsi" w:cstheme="minorHAnsi"/>
        </w:rPr>
        <w:t xml:space="preserve">ministries. </w:t>
      </w:r>
      <w:r w:rsidR="00561991" w:rsidRPr="00805BA2">
        <w:rPr>
          <w:rFonts w:asciiTheme="minorHAnsi" w:hAnsiTheme="minorHAnsi" w:cstheme="minorHAnsi"/>
        </w:rPr>
        <w:t xml:space="preserve">The Government’s team is well-coordinated, and as the experience in implementing DPOs with the </w:t>
      </w:r>
      <w:r w:rsidR="00406280">
        <w:rPr>
          <w:rFonts w:asciiTheme="minorHAnsi" w:hAnsiTheme="minorHAnsi" w:cstheme="minorHAnsi"/>
        </w:rPr>
        <w:t xml:space="preserve">World </w:t>
      </w:r>
      <w:r w:rsidR="00561991" w:rsidRPr="00406280">
        <w:rPr>
          <w:rFonts w:asciiTheme="minorHAnsi" w:hAnsiTheme="minorHAnsi" w:cstheme="minorHAnsi"/>
        </w:rPr>
        <w:t xml:space="preserve">Bank deepens, they are increasingly well prepared to obtain and share data to monitor implementation against the agreed results indicators. The </w:t>
      </w:r>
      <w:r w:rsidR="00406280">
        <w:rPr>
          <w:rFonts w:asciiTheme="minorHAnsi" w:hAnsiTheme="minorHAnsi" w:cstheme="minorHAnsi"/>
        </w:rPr>
        <w:t xml:space="preserve">World </w:t>
      </w:r>
      <w:r w:rsidR="00561991" w:rsidRPr="00406280">
        <w:rPr>
          <w:rFonts w:asciiTheme="minorHAnsi" w:hAnsiTheme="minorHAnsi" w:cstheme="minorHAnsi"/>
        </w:rPr>
        <w:t xml:space="preserve">Bank closely follows this progress through supervision activities, and where relevant, joint monitoring activities are carried out with partners in the </w:t>
      </w:r>
      <w:r w:rsidR="005E7F81" w:rsidRPr="00406280">
        <w:rPr>
          <w:rFonts w:asciiTheme="minorHAnsi" w:hAnsiTheme="minorHAnsi" w:cstheme="minorHAnsi"/>
          <w:i/>
        </w:rPr>
        <w:t>Cadre de Partenariat</w:t>
      </w:r>
      <w:r w:rsidR="00561991" w:rsidRPr="00406280">
        <w:rPr>
          <w:rFonts w:asciiTheme="minorHAnsi" w:hAnsiTheme="minorHAnsi" w:cstheme="minorHAnsi"/>
          <w:i/>
        </w:rPr>
        <w:t>.</w:t>
      </w:r>
      <w:r w:rsidRPr="00406280">
        <w:rPr>
          <w:rFonts w:asciiTheme="minorHAnsi" w:hAnsiTheme="minorHAnsi" w:cstheme="minorHAnsi"/>
        </w:rPr>
        <w:t xml:space="preserve">  </w:t>
      </w:r>
    </w:p>
    <w:p w14:paraId="6FF126BD" w14:textId="186DF7E4" w:rsidR="00F040BF" w:rsidRPr="00C2719B" w:rsidRDefault="00F040BF" w:rsidP="00C2719B">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406280">
        <w:rPr>
          <w:rFonts w:asciiTheme="minorHAnsi" w:hAnsiTheme="minorHAnsi" w:cstheme="minorHAnsi"/>
          <w:b/>
        </w:rPr>
        <w:lastRenderedPageBreak/>
        <w:t xml:space="preserve">A number of direct measures have been taken to improve monitoring and evaluation practices. </w:t>
      </w:r>
      <w:r w:rsidRPr="00406280">
        <w:rPr>
          <w:rFonts w:asciiTheme="minorHAnsi" w:hAnsiTheme="minorHAnsi" w:cstheme="minorHAnsi"/>
        </w:rPr>
        <w:t>A</w:t>
      </w:r>
      <w:r w:rsidRPr="00C2719B">
        <w:rPr>
          <w:rFonts w:asciiTheme="minorHAnsi" w:hAnsiTheme="minorHAnsi" w:cstheme="minorHAnsi"/>
        </w:rPr>
        <w:t xml:space="preserve"> new Tax Policy Unit is being implement</w:t>
      </w:r>
      <w:r w:rsidR="006950EC" w:rsidRPr="00C2719B">
        <w:rPr>
          <w:rFonts w:asciiTheme="minorHAnsi" w:hAnsiTheme="minorHAnsi" w:cstheme="minorHAnsi"/>
        </w:rPr>
        <w:t>ed</w:t>
      </w:r>
      <w:r w:rsidRPr="00C2719B">
        <w:rPr>
          <w:rFonts w:asciiTheme="minorHAnsi" w:hAnsiTheme="minorHAnsi" w:cstheme="minorHAnsi"/>
        </w:rPr>
        <w:t xml:space="preserve"> at the MFB (structural benchmark in the IMF program) to produce the annual tax expenditure statement and assess the target on the elimination of tax expenditures. The indicators on public expenditures are regularly monitored through in-year budget execution reports. The indicator on PPPs will be monitored by the PPP Unit which is in charge of the appraisal of PPP projects. The indicator on PIM will be reported on by the Directorate of Budget. The Ministry of Justice regularly publishes statistics related to the progress in implementing the commercial justice reform action plan. The information on risk-based supervision will be generated by the CSBF.</w:t>
      </w:r>
    </w:p>
    <w:p w14:paraId="0AEABC92" w14:textId="791F7F01" w:rsidR="00A70DB0" w:rsidRPr="00B66802" w:rsidRDefault="00A70DB0" w:rsidP="00C2719B">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B66802">
        <w:rPr>
          <w:rFonts w:asciiTheme="minorHAnsi" w:hAnsiTheme="minorHAnsi" w:cstheme="minorHAnsi"/>
          <w:b/>
        </w:rPr>
        <w:t>Grievance Redress</w:t>
      </w:r>
      <w:r w:rsidRPr="00B66802">
        <w:rPr>
          <w:rFonts w:asciiTheme="minorHAnsi" w:hAnsiTheme="minorHAnsi" w:cstheme="minorHAnsi"/>
        </w:rPr>
        <w:t xml:space="preserve">. Communities and individuals who believe that they are adversely affected by specific country policies supported as prior actions or tranche release conditions under a World Bank Development Policy Operation </w:t>
      </w:r>
      <w:r w:rsidRPr="00BD4A16">
        <w:rPr>
          <w:rFonts w:asciiTheme="minorHAnsi" w:hAnsiTheme="minorHAnsi" w:cstheme="minorHAnsi"/>
        </w:rPr>
        <w:t xml:space="preserve">may submit complaints to the responsible country authorities, appropriate local/national grievance redress mechanisms, or the World Bank’s Grievance Redress Service (GRS). The GRS ensures that complaints received are promptly reviewed </w:t>
      </w:r>
      <w:r w:rsidRPr="00DC050B">
        <w:rPr>
          <w:rFonts w:asciiTheme="minorHAnsi" w:hAnsiTheme="minorHAnsi" w:cstheme="minorHAnsi"/>
        </w:rPr>
        <w:t xml:space="preserve">in order to address pertinent concerns. Affected communities and individuals may submit their complaint to the World Bank’s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GRS, please visit </w:t>
      </w:r>
      <w:hyperlink r:id="rId16" w:history="1">
        <w:r w:rsidRPr="00E36113">
          <w:rPr>
            <w:rStyle w:val="Hyperlink"/>
            <w:rFonts w:asciiTheme="minorHAnsi" w:hAnsiTheme="minorHAnsi" w:cstheme="minorHAnsi"/>
            <w:color w:val="auto"/>
          </w:rPr>
          <w:t>http://www.worldbank.org/GRS</w:t>
        </w:r>
      </w:hyperlink>
      <w:r w:rsidRPr="00B66802">
        <w:rPr>
          <w:rFonts w:asciiTheme="minorHAnsi" w:hAnsiTheme="minorHAnsi" w:cstheme="minorHAnsi"/>
        </w:rPr>
        <w:t xml:space="preserve">. For information on how to submit complaints to the World Bank Inspection Panel, please visit </w:t>
      </w:r>
      <w:hyperlink r:id="rId17" w:history="1">
        <w:r w:rsidRPr="00E36113">
          <w:rPr>
            <w:rStyle w:val="Hyperlink"/>
            <w:rFonts w:asciiTheme="minorHAnsi" w:hAnsiTheme="minorHAnsi" w:cstheme="minorHAnsi"/>
            <w:color w:val="auto"/>
          </w:rPr>
          <w:t>www.inspectionpanel.org</w:t>
        </w:r>
      </w:hyperlink>
      <w:r w:rsidRPr="00B66802">
        <w:rPr>
          <w:rFonts w:asciiTheme="minorHAnsi" w:hAnsiTheme="minorHAnsi" w:cstheme="minorHAnsi"/>
        </w:rPr>
        <w:t>.</w:t>
      </w:r>
    </w:p>
    <w:p w14:paraId="6A50D38D" w14:textId="1493B857" w:rsidR="00A70DB0" w:rsidRPr="00BD4A16" w:rsidRDefault="00A70DB0" w:rsidP="00C2719B">
      <w:pPr>
        <w:pStyle w:val="Heading1"/>
        <w:numPr>
          <w:ilvl w:val="0"/>
          <w:numId w:val="46"/>
        </w:numPr>
        <w:rPr>
          <w:rFonts w:asciiTheme="minorHAnsi" w:hAnsiTheme="minorHAnsi" w:cstheme="minorHAnsi"/>
          <w:szCs w:val="22"/>
        </w:rPr>
      </w:pPr>
      <w:bookmarkStart w:id="21" w:name="_Toc404067543"/>
      <w:bookmarkStart w:id="22" w:name="_Toc496204256"/>
      <w:r w:rsidRPr="00BD4A16">
        <w:rPr>
          <w:rFonts w:asciiTheme="minorHAnsi" w:hAnsiTheme="minorHAnsi" w:cstheme="minorHAnsi"/>
          <w:szCs w:val="22"/>
        </w:rPr>
        <w:t>SUMMARY OF RISKS AND MITIGATION</w:t>
      </w:r>
      <w:bookmarkEnd w:id="21"/>
      <w:bookmarkEnd w:id="22"/>
    </w:p>
    <w:p w14:paraId="39D0B000" w14:textId="0DB7D0B7" w:rsidR="00A70DB0" w:rsidRPr="00A20F63" w:rsidRDefault="00A70DB0" w:rsidP="00C2719B">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DC050B">
        <w:rPr>
          <w:rFonts w:asciiTheme="minorHAnsi" w:hAnsiTheme="minorHAnsi" w:cstheme="minorHAnsi"/>
          <w:b/>
        </w:rPr>
        <w:t xml:space="preserve">The overall risk rating for the operation is ‘substantial,’ with </w:t>
      </w:r>
      <w:r w:rsidR="00F759D4" w:rsidRPr="00DC050B">
        <w:rPr>
          <w:rFonts w:asciiTheme="minorHAnsi" w:hAnsiTheme="minorHAnsi" w:cstheme="minorHAnsi"/>
          <w:b/>
        </w:rPr>
        <w:t>five</w:t>
      </w:r>
      <w:r w:rsidRPr="00DC050B">
        <w:rPr>
          <w:rFonts w:asciiTheme="minorHAnsi" w:hAnsiTheme="minorHAnsi" w:cstheme="minorHAnsi"/>
          <w:b/>
        </w:rPr>
        <w:t xml:space="preserve"> main sources of risk that are inter-connected and that could potentially jeopardize the expected outcomes and benefits of this operation</w:t>
      </w:r>
      <w:r w:rsidRPr="00DC050B">
        <w:rPr>
          <w:rFonts w:asciiTheme="minorHAnsi" w:hAnsiTheme="minorHAnsi" w:cstheme="minorHAnsi"/>
        </w:rPr>
        <w:t>.  The risks are (i) political and governance; (ii) macroeconomic</w:t>
      </w:r>
      <w:r w:rsidR="00B711B9" w:rsidRPr="00DC050B">
        <w:rPr>
          <w:rFonts w:asciiTheme="minorHAnsi" w:hAnsiTheme="minorHAnsi" w:cstheme="minorHAnsi"/>
        </w:rPr>
        <w:t>; (iii) institutional capacity</w:t>
      </w:r>
      <w:r w:rsidR="00C2719B">
        <w:rPr>
          <w:rFonts w:asciiTheme="minorHAnsi" w:hAnsiTheme="minorHAnsi" w:cstheme="minorHAnsi"/>
        </w:rPr>
        <w:t xml:space="preserve"> for implementation and sustainability</w:t>
      </w:r>
      <w:r w:rsidR="00B711B9" w:rsidRPr="00DC050B">
        <w:rPr>
          <w:rFonts w:asciiTheme="minorHAnsi" w:hAnsiTheme="minorHAnsi" w:cstheme="minorHAnsi"/>
        </w:rPr>
        <w:t>; (iv) fiduciary</w:t>
      </w:r>
      <w:r w:rsidR="00F759D4" w:rsidRPr="006C66C2">
        <w:rPr>
          <w:rFonts w:asciiTheme="minorHAnsi" w:hAnsiTheme="minorHAnsi" w:cstheme="minorHAnsi"/>
        </w:rPr>
        <w:t xml:space="preserve">; and (v) </w:t>
      </w:r>
      <w:r w:rsidR="00C2719B">
        <w:rPr>
          <w:rFonts w:asciiTheme="minorHAnsi" w:hAnsiTheme="minorHAnsi" w:cstheme="minorHAnsi"/>
        </w:rPr>
        <w:t xml:space="preserve">vulnerability to weather-related shocks and </w:t>
      </w:r>
      <w:r w:rsidR="00F759D4" w:rsidRPr="006C66C2">
        <w:rPr>
          <w:rFonts w:asciiTheme="minorHAnsi" w:hAnsiTheme="minorHAnsi" w:cstheme="minorHAnsi"/>
        </w:rPr>
        <w:t>natural disasters</w:t>
      </w:r>
      <w:r w:rsidRPr="006C66C2">
        <w:rPr>
          <w:rFonts w:asciiTheme="minorHAnsi" w:hAnsiTheme="minorHAnsi" w:cstheme="minorHAnsi"/>
        </w:rPr>
        <w:t>. Measures to mitigate these risks are outlined below. The potential benefits of the proposed operation outweigh the re</w:t>
      </w:r>
      <w:r w:rsidRPr="00A20F63">
        <w:rPr>
          <w:rFonts w:asciiTheme="minorHAnsi" w:hAnsiTheme="minorHAnsi" w:cstheme="minorHAnsi"/>
        </w:rPr>
        <w:t xml:space="preserve">sidual risks and warrant IDA’s assistance.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705"/>
      </w:tblGrid>
      <w:tr w:rsidR="00A70DB0" w:rsidRPr="00B66802" w14:paraId="2E7F2BA1" w14:textId="77777777" w:rsidTr="00B3243C">
        <w:trPr>
          <w:tblHeader/>
        </w:trPr>
        <w:tc>
          <w:tcPr>
            <w:tcW w:w="7645" w:type="dxa"/>
            <w:tcBorders>
              <w:top w:val="single" w:sz="4" w:space="0" w:color="auto"/>
              <w:left w:val="single" w:sz="4" w:space="0" w:color="auto"/>
              <w:bottom w:val="single" w:sz="4" w:space="0" w:color="auto"/>
              <w:right w:val="single" w:sz="4" w:space="0" w:color="auto"/>
            </w:tcBorders>
            <w:shd w:val="clear" w:color="auto" w:fill="F2F2F2"/>
            <w:hideMark/>
          </w:tcPr>
          <w:p w14:paraId="15FCB96F" w14:textId="77777777" w:rsidR="00A70DB0" w:rsidRPr="00A20F63" w:rsidRDefault="00A70DB0" w:rsidP="009958FB">
            <w:pPr>
              <w:spacing w:after="0" w:line="240" w:lineRule="auto"/>
              <w:rPr>
                <w:rFonts w:asciiTheme="minorHAnsi" w:hAnsiTheme="minorHAnsi" w:cstheme="minorHAnsi"/>
                <w:b/>
              </w:rPr>
            </w:pPr>
            <w:r w:rsidRPr="00A20F63">
              <w:rPr>
                <w:rFonts w:asciiTheme="minorHAnsi" w:hAnsiTheme="minorHAnsi" w:cstheme="minorHAnsi"/>
                <w:b/>
              </w:rPr>
              <w:t>Risk categories</w:t>
            </w:r>
          </w:p>
        </w:tc>
        <w:tc>
          <w:tcPr>
            <w:tcW w:w="1705" w:type="dxa"/>
            <w:tcBorders>
              <w:top w:val="single" w:sz="4" w:space="0" w:color="auto"/>
              <w:left w:val="single" w:sz="4" w:space="0" w:color="auto"/>
              <w:bottom w:val="single" w:sz="4" w:space="0" w:color="auto"/>
              <w:right w:val="single" w:sz="4" w:space="0" w:color="auto"/>
            </w:tcBorders>
            <w:shd w:val="clear" w:color="auto" w:fill="F2F2F2"/>
          </w:tcPr>
          <w:p w14:paraId="1B628B1A" w14:textId="77777777" w:rsidR="00A70DB0" w:rsidRPr="00A20F63" w:rsidRDefault="00A70DB0" w:rsidP="009958FB">
            <w:pPr>
              <w:spacing w:after="0" w:line="240" w:lineRule="auto"/>
              <w:rPr>
                <w:rFonts w:asciiTheme="minorHAnsi" w:hAnsiTheme="minorHAnsi" w:cstheme="minorHAnsi"/>
              </w:rPr>
            </w:pPr>
          </w:p>
        </w:tc>
      </w:tr>
      <w:tr w:rsidR="00A70DB0" w:rsidRPr="00B66802" w14:paraId="3443788A" w14:textId="77777777" w:rsidTr="00B3243C">
        <w:tc>
          <w:tcPr>
            <w:tcW w:w="7645" w:type="dxa"/>
            <w:tcBorders>
              <w:top w:val="single" w:sz="4" w:space="0" w:color="auto"/>
              <w:left w:val="single" w:sz="4" w:space="0" w:color="auto"/>
              <w:bottom w:val="single" w:sz="4" w:space="0" w:color="auto"/>
              <w:right w:val="single" w:sz="4" w:space="0" w:color="auto"/>
            </w:tcBorders>
            <w:shd w:val="clear" w:color="auto" w:fill="auto"/>
            <w:hideMark/>
          </w:tcPr>
          <w:p w14:paraId="5FB98864" w14:textId="77777777" w:rsidR="00A70DB0" w:rsidRPr="00B66802" w:rsidRDefault="00A70DB0" w:rsidP="008B00C1">
            <w:pPr>
              <w:pStyle w:val="ListParagraph"/>
              <w:numPr>
                <w:ilvl w:val="0"/>
                <w:numId w:val="10"/>
              </w:numPr>
              <w:spacing w:after="0" w:line="240" w:lineRule="auto"/>
              <w:rPr>
                <w:rFonts w:asciiTheme="minorHAnsi" w:hAnsiTheme="minorHAnsi" w:cstheme="minorHAnsi"/>
              </w:rPr>
            </w:pPr>
            <w:r w:rsidRPr="00B66802">
              <w:rPr>
                <w:rFonts w:asciiTheme="minorHAnsi" w:hAnsiTheme="minorHAnsi" w:cstheme="minorHAnsi"/>
              </w:rPr>
              <w:t>Political and governance</w:t>
            </w:r>
          </w:p>
        </w:tc>
        <w:tc>
          <w:tcPr>
            <w:tcW w:w="1705" w:type="dxa"/>
            <w:tcBorders>
              <w:top w:val="single" w:sz="4" w:space="0" w:color="auto"/>
              <w:left w:val="single" w:sz="4" w:space="0" w:color="auto"/>
              <w:bottom w:val="single" w:sz="4" w:space="0" w:color="auto"/>
              <w:right w:val="single" w:sz="4" w:space="0" w:color="auto"/>
            </w:tcBorders>
            <w:shd w:val="clear" w:color="auto" w:fill="auto"/>
            <w:hideMark/>
          </w:tcPr>
          <w:p w14:paraId="6BB25A6A" w14:textId="77777777" w:rsidR="00A70DB0" w:rsidRPr="00BD4A16" w:rsidRDefault="00A70DB0" w:rsidP="009958FB">
            <w:pPr>
              <w:spacing w:after="0" w:line="240" w:lineRule="auto"/>
              <w:rPr>
                <w:rFonts w:asciiTheme="minorHAnsi" w:hAnsiTheme="minorHAnsi" w:cstheme="minorHAnsi"/>
              </w:rPr>
            </w:pPr>
            <w:r w:rsidRPr="00BD4A16">
              <w:rPr>
                <w:rFonts w:asciiTheme="minorHAnsi" w:hAnsiTheme="minorHAnsi" w:cstheme="minorHAnsi"/>
              </w:rPr>
              <w:t>High</w:t>
            </w:r>
          </w:p>
        </w:tc>
      </w:tr>
      <w:tr w:rsidR="00A70DB0" w:rsidRPr="00B66802" w14:paraId="57DFF0CE" w14:textId="77777777" w:rsidTr="00B3243C">
        <w:tc>
          <w:tcPr>
            <w:tcW w:w="7645" w:type="dxa"/>
            <w:tcBorders>
              <w:top w:val="single" w:sz="4" w:space="0" w:color="auto"/>
              <w:left w:val="single" w:sz="4" w:space="0" w:color="auto"/>
              <w:bottom w:val="single" w:sz="4" w:space="0" w:color="auto"/>
              <w:right w:val="single" w:sz="4" w:space="0" w:color="auto"/>
            </w:tcBorders>
            <w:shd w:val="clear" w:color="auto" w:fill="auto"/>
            <w:hideMark/>
          </w:tcPr>
          <w:p w14:paraId="1B740C7E" w14:textId="77777777" w:rsidR="00A70DB0" w:rsidRPr="00B66802" w:rsidRDefault="00A70DB0" w:rsidP="008B00C1">
            <w:pPr>
              <w:pStyle w:val="ListParagraph"/>
              <w:numPr>
                <w:ilvl w:val="0"/>
                <w:numId w:val="10"/>
              </w:numPr>
              <w:spacing w:after="0" w:line="240" w:lineRule="auto"/>
              <w:rPr>
                <w:rFonts w:asciiTheme="minorHAnsi" w:hAnsiTheme="minorHAnsi" w:cstheme="minorHAnsi"/>
              </w:rPr>
            </w:pPr>
            <w:r w:rsidRPr="00B66802">
              <w:rPr>
                <w:rFonts w:asciiTheme="minorHAnsi" w:hAnsiTheme="minorHAnsi" w:cstheme="minorHAnsi"/>
              </w:rPr>
              <w:t>Macroeconomic</w:t>
            </w:r>
          </w:p>
        </w:tc>
        <w:tc>
          <w:tcPr>
            <w:tcW w:w="1705" w:type="dxa"/>
            <w:tcBorders>
              <w:top w:val="single" w:sz="4" w:space="0" w:color="auto"/>
              <w:left w:val="single" w:sz="4" w:space="0" w:color="auto"/>
              <w:bottom w:val="single" w:sz="4" w:space="0" w:color="auto"/>
              <w:right w:val="single" w:sz="4" w:space="0" w:color="auto"/>
            </w:tcBorders>
            <w:shd w:val="clear" w:color="auto" w:fill="auto"/>
            <w:hideMark/>
          </w:tcPr>
          <w:p w14:paraId="4E1006C1" w14:textId="77777777" w:rsidR="00A70DB0" w:rsidRPr="00BD4A16" w:rsidRDefault="00A70DB0" w:rsidP="009958FB">
            <w:pPr>
              <w:spacing w:after="0" w:line="240" w:lineRule="auto"/>
              <w:rPr>
                <w:rFonts w:asciiTheme="minorHAnsi" w:hAnsiTheme="minorHAnsi" w:cstheme="minorHAnsi"/>
              </w:rPr>
            </w:pPr>
            <w:r w:rsidRPr="00BD4A16">
              <w:rPr>
                <w:rFonts w:asciiTheme="minorHAnsi" w:hAnsiTheme="minorHAnsi" w:cstheme="minorHAnsi"/>
              </w:rPr>
              <w:t>Substantial</w:t>
            </w:r>
          </w:p>
        </w:tc>
      </w:tr>
      <w:tr w:rsidR="00A70DB0" w:rsidRPr="00B66802" w14:paraId="7BBA76D9" w14:textId="77777777" w:rsidTr="00B3243C">
        <w:tc>
          <w:tcPr>
            <w:tcW w:w="7645" w:type="dxa"/>
            <w:tcBorders>
              <w:top w:val="single" w:sz="4" w:space="0" w:color="auto"/>
              <w:left w:val="single" w:sz="4" w:space="0" w:color="auto"/>
              <w:bottom w:val="single" w:sz="4" w:space="0" w:color="auto"/>
              <w:right w:val="single" w:sz="4" w:space="0" w:color="auto"/>
            </w:tcBorders>
            <w:shd w:val="clear" w:color="auto" w:fill="auto"/>
            <w:hideMark/>
          </w:tcPr>
          <w:p w14:paraId="4525EEBF" w14:textId="77777777" w:rsidR="00A70DB0" w:rsidRPr="00B66802" w:rsidRDefault="00A70DB0" w:rsidP="008B00C1">
            <w:pPr>
              <w:pStyle w:val="ListParagraph"/>
              <w:numPr>
                <w:ilvl w:val="0"/>
                <w:numId w:val="10"/>
              </w:numPr>
              <w:spacing w:after="0" w:line="240" w:lineRule="auto"/>
              <w:rPr>
                <w:rFonts w:asciiTheme="minorHAnsi" w:hAnsiTheme="minorHAnsi" w:cstheme="minorHAnsi"/>
              </w:rPr>
            </w:pPr>
            <w:r w:rsidRPr="00B66802">
              <w:rPr>
                <w:rFonts w:asciiTheme="minorHAnsi" w:hAnsiTheme="minorHAnsi" w:cstheme="minorHAnsi"/>
              </w:rPr>
              <w:t>Sector strategies and policies</w:t>
            </w:r>
          </w:p>
        </w:tc>
        <w:tc>
          <w:tcPr>
            <w:tcW w:w="1705" w:type="dxa"/>
            <w:tcBorders>
              <w:top w:val="single" w:sz="4" w:space="0" w:color="auto"/>
              <w:left w:val="single" w:sz="4" w:space="0" w:color="auto"/>
              <w:bottom w:val="single" w:sz="4" w:space="0" w:color="auto"/>
              <w:right w:val="single" w:sz="4" w:space="0" w:color="auto"/>
            </w:tcBorders>
            <w:shd w:val="clear" w:color="auto" w:fill="auto"/>
            <w:hideMark/>
          </w:tcPr>
          <w:p w14:paraId="5B44DC0B" w14:textId="77777777" w:rsidR="00A70DB0" w:rsidRPr="00BD4A16" w:rsidRDefault="00A70DB0" w:rsidP="009958FB">
            <w:pPr>
              <w:spacing w:after="0" w:line="240" w:lineRule="auto"/>
              <w:rPr>
                <w:rFonts w:asciiTheme="minorHAnsi" w:hAnsiTheme="minorHAnsi" w:cstheme="minorHAnsi"/>
              </w:rPr>
            </w:pPr>
            <w:r w:rsidRPr="00BD4A16">
              <w:rPr>
                <w:rFonts w:asciiTheme="minorHAnsi" w:hAnsiTheme="minorHAnsi" w:cstheme="minorHAnsi"/>
              </w:rPr>
              <w:t>Moderate</w:t>
            </w:r>
          </w:p>
        </w:tc>
      </w:tr>
      <w:tr w:rsidR="00A70DB0" w:rsidRPr="00B66802" w14:paraId="33477475" w14:textId="77777777" w:rsidTr="00B3243C">
        <w:tc>
          <w:tcPr>
            <w:tcW w:w="7645" w:type="dxa"/>
            <w:tcBorders>
              <w:top w:val="single" w:sz="4" w:space="0" w:color="auto"/>
              <w:left w:val="single" w:sz="4" w:space="0" w:color="auto"/>
              <w:bottom w:val="single" w:sz="4" w:space="0" w:color="auto"/>
              <w:right w:val="single" w:sz="4" w:space="0" w:color="auto"/>
            </w:tcBorders>
            <w:shd w:val="clear" w:color="auto" w:fill="auto"/>
            <w:hideMark/>
          </w:tcPr>
          <w:p w14:paraId="3B6E4F67" w14:textId="77777777" w:rsidR="00A70DB0" w:rsidRPr="00B66802" w:rsidRDefault="00A70DB0" w:rsidP="008B00C1">
            <w:pPr>
              <w:pStyle w:val="ListParagraph"/>
              <w:numPr>
                <w:ilvl w:val="0"/>
                <w:numId w:val="10"/>
              </w:numPr>
              <w:spacing w:after="0" w:line="240" w:lineRule="auto"/>
              <w:rPr>
                <w:rFonts w:asciiTheme="minorHAnsi" w:hAnsiTheme="minorHAnsi" w:cstheme="minorHAnsi"/>
              </w:rPr>
            </w:pPr>
            <w:r w:rsidRPr="00B66802">
              <w:rPr>
                <w:rFonts w:asciiTheme="minorHAnsi" w:hAnsiTheme="minorHAnsi" w:cstheme="minorHAnsi"/>
              </w:rPr>
              <w:t>Technical design of program</w:t>
            </w:r>
          </w:p>
        </w:tc>
        <w:tc>
          <w:tcPr>
            <w:tcW w:w="1705" w:type="dxa"/>
            <w:tcBorders>
              <w:top w:val="single" w:sz="4" w:space="0" w:color="auto"/>
              <w:left w:val="single" w:sz="4" w:space="0" w:color="auto"/>
              <w:bottom w:val="single" w:sz="4" w:space="0" w:color="auto"/>
              <w:right w:val="single" w:sz="4" w:space="0" w:color="auto"/>
            </w:tcBorders>
            <w:shd w:val="clear" w:color="auto" w:fill="auto"/>
            <w:hideMark/>
          </w:tcPr>
          <w:p w14:paraId="11E903E7" w14:textId="77777777" w:rsidR="00A70DB0" w:rsidRPr="00BD4A16" w:rsidRDefault="00A70DB0" w:rsidP="009958FB">
            <w:pPr>
              <w:spacing w:after="0" w:line="240" w:lineRule="auto"/>
              <w:rPr>
                <w:rFonts w:asciiTheme="minorHAnsi" w:hAnsiTheme="minorHAnsi" w:cstheme="minorHAnsi"/>
              </w:rPr>
            </w:pPr>
            <w:r w:rsidRPr="00BD4A16">
              <w:rPr>
                <w:rFonts w:asciiTheme="minorHAnsi" w:hAnsiTheme="minorHAnsi" w:cstheme="minorHAnsi"/>
              </w:rPr>
              <w:t>Moderate</w:t>
            </w:r>
          </w:p>
        </w:tc>
      </w:tr>
      <w:tr w:rsidR="00A70DB0" w:rsidRPr="00B66802" w14:paraId="7A5E9E37" w14:textId="77777777" w:rsidTr="00B3243C">
        <w:tc>
          <w:tcPr>
            <w:tcW w:w="7645" w:type="dxa"/>
            <w:tcBorders>
              <w:top w:val="single" w:sz="4" w:space="0" w:color="auto"/>
              <w:left w:val="single" w:sz="4" w:space="0" w:color="auto"/>
              <w:bottom w:val="single" w:sz="4" w:space="0" w:color="auto"/>
              <w:right w:val="single" w:sz="4" w:space="0" w:color="auto"/>
            </w:tcBorders>
            <w:shd w:val="clear" w:color="auto" w:fill="auto"/>
            <w:hideMark/>
          </w:tcPr>
          <w:p w14:paraId="574B878A" w14:textId="77777777" w:rsidR="00A70DB0" w:rsidRPr="00B66802" w:rsidRDefault="00A70DB0" w:rsidP="008B00C1">
            <w:pPr>
              <w:pStyle w:val="ListParagraph"/>
              <w:numPr>
                <w:ilvl w:val="0"/>
                <w:numId w:val="10"/>
              </w:numPr>
              <w:spacing w:after="0" w:line="240" w:lineRule="auto"/>
              <w:rPr>
                <w:rFonts w:asciiTheme="minorHAnsi" w:hAnsiTheme="minorHAnsi" w:cstheme="minorHAnsi"/>
              </w:rPr>
            </w:pPr>
            <w:r w:rsidRPr="00B66802">
              <w:rPr>
                <w:rFonts w:asciiTheme="minorHAnsi" w:hAnsiTheme="minorHAnsi" w:cstheme="minorHAnsi"/>
              </w:rPr>
              <w:t>Institutional capacity for implementation and sustainability</w:t>
            </w:r>
          </w:p>
        </w:tc>
        <w:tc>
          <w:tcPr>
            <w:tcW w:w="1705" w:type="dxa"/>
            <w:tcBorders>
              <w:top w:val="single" w:sz="4" w:space="0" w:color="auto"/>
              <w:left w:val="single" w:sz="4" w:space="0" w:color="auto"/>
              <w:bottom w:val="single" w:sz="4" w:space="0" w:color="auto"/>
              <w:right w:val="single" w:sz="4" w:space="0" w:color="auto"/>
            </w:tcBorders>
            <w:shd w:val="clear" w:color="auto" w:fill="auto"/>
            <w:hideMark/>
          </w:tcPr>
          <w:p w14:paraId="079BAD93" w14:textId="77777777" w:rsidR="00A70DB0" w:rsidRPr="00DC050B" w:rsidRDefault="00B711B9" w:rsidP="009958FB">
            <w:pPr>
              <w:spacing w:after="0" w:line="240" w:lineRule="auto"/>
              <w:rPr>
                <w:rFonts w:asciiTheme="minorHAnsi" w:hAnsiTheme="minorHAnsi" w:cstheme="minorHAnsi"/>
              </w:rPr>
            </w:pPr>
            <w:r w:rsidRPr="00BD4A16">
              <w:rPr>
                <w:rFonts w:asciiTheme="minorHAnsi" w:hAnsiTheme="minorHAnsi" w:cstheme="minorHAnsi"/>
              </w:rPr>
              <w:t>Substantial</w:t>
            </w:r>
          </w:p>
        </w:tc>
      </w:tr>
      <w:tr w:rsidR="00A70DB0" w:rsidRPr="00B66802" w14:paraId="532422FA" w14:textId="77777777" w:rsidTr="00B3243C">
        <w:tc>
          <w:tcPr>
            <w:tcW w:w="7645" w:type="dxa"/>
            <w:tcBorders>
              <w:top w:val="single" w:sz="4" w:space="0" w:color="auto"/>
              <w:left w:val="single" w:sz="4" w:space="0" w:color="auto"/>
              <w:bottom w:val="single" w:sz="4" w:space="0" w:color="auto"/>
              <w:right w:val="single" w:sz="4" w:space="0" w:color="auto"/>
            </w:tcBorders>
            <w:shd w:val="clear" w:color="auto" w:fill="auto"/>
            <w:hideMark/>
          </w:tcPr>
          <w:p w14:paraId="1AE89E91" w14:textId="77777777" w:rsidR="00A70DB0" w:rsidRPr="00B66802" w:rsidRDefault="00A70DB0" w:rsidP="008B00C1">
            <w:pPr>
              <w:pStyle w:val="ListParagraph"/>
              <w:numPr>
                <w:ilvl w:val="0"/>
                <w:numId w:val="10"/>
              </w:numPr>
              <w:spacing w:after="0" w:line="240" w:lineRule="auto"/>
              <w:rPr>
                <w:rFonts w:asciiTheme="minorHAnsi" w:hAnsiTheme="minorHAnsi" w:cstheme="minorHAnsi"/>
              </w:rPr>
            </w:pPr>
            <w:r w:rsidRPr="00B66802">
              <w:rPr>
                <w:rFonts w:asciiTheme="minorHAnsi" w:hAnsiTheme="minorHAnsi" w:cstheme="minorHAnsi"/>
              </w:rPr>
              <w:t>Fiduciary</w:t>
            </w:r>
          </w:p>
        </w:tc>
        <w:tc>
          <w:tcPr>
            <w:tcW w:w="1705" w:type="dxa"/>
            <w:tcBorders>
              <w:top w:val="single" w:sz="4" w:space="0" w:color="auto"/>
              <w:left w:val="single" w:sz="4" w:space="0" w:color="auto"/>
              <w:bottom w:val="single" w:sz="4" w:space="0" w:color="auto"/>
              <w:right w:val="single" w:sz="4" w:space="0" w:color="auto"/>
            </w:tcBorders>
            <w:shd w:val="clear" w:color="auto" w:fill="auto"/>
            <w:hideMark/>
          </w:tcPr>
          <w:p w14:paraId="6917DA71" w14:textId="77777777" w:rsidR="00A70DB0" w:rsidRPr="00DC050B" w:rsidRDefault="00B711B9" w:rsidP="009958FB">
            <w:pPr>
              <w:spacing w:after="0" w:line="240" w:lineRule="auto"/>
              <w:rPr>
                <w:rFonts w:asciiTheme="minorHAnsi" w:hAnsiTheme="minorHAnsi" w:cstheme="minorHAnsi"/>
              </w:rPr>
            </w:pPr>
            <w:r w:rsidRPr="00BD4A16">
              <w:rPr>
                <w:rFonts w:asciiTheme="minorHAnsi" w:hAnsiTheme="minorHAnsi" w:cstheme="minorHAnsi"/>
              </w:rPr>
              <w:t>Substantial</w:t>
            </w:r>
            <w:r w:rsidR="00A70DB0" w:rsidRPr="00DC050B">
              <w:rPr>
                <w:rFonts w:asciiTheme="minorHAnsi" w:hAnsiTheme="minorHAnsi" w:cstheme="minorHAnsi"/>
              </w:rPr>
              <w:t xml:space="preserve"> </w:t>
            </w:r>
          </w:p>
        </w:tc>
      </w:tr>
      <w:tr w:rsidR="00A70DB0" w:rsidRPr="00B66802" w14:paraId="704ADE88" w14:textId="77777777" w:rsidTr="00B3243C">
        <w:tc>
          <w:tcPr>
            <w:tcW w:w="7645" w:type="dxa"/>
            <w:tcBorders>
              <w:top w:val="single" w:sz="4" w:space="0" w:color="auto"/>
              <w:left w:val="single" w:sz="4" w:space="0" w:color="auto"/>
              <w:bottom w:val="single" w:sz="4" w:space="0" w:color="auto"/>
              <w:right w:val="single" w:sz="4" w:space="0" w:color="auto"/>
            </w:tcBorders>
            <w:shd w:val="clear" w:color="auto" w:fill="auto"/>
            <w:hideMark/>
          </w:tcPr>
          <w:p w14:paraId="2C5EA950" w14:textId="77777777" w:rsidR="00A70DB0" w:rsidRPr="00B66802" w:rsidRDefault="00A70DB0" w:rsidP="008B00C1">
            <w:pPr>
              <w:pStyle w:val="ListParagraph"/>
              <w:numPr>
                <w:ilvl w:val="0"/>
                <w:numId w:val="10"/>
              </w:numPr>
              <w:spacing w:after="0" w:line="240" w:lineRule="auto"/>
              <w:rPr>
                <w:rFonts w:asciiTheme="minorHAnsi" w:hAnsiTheme="minorHAnsi" w:cstheme="minorHAnsi"/>
              </w:rPr>
            </w:pPr>
            <w:r w:rsidRPr="00B66802">
              <w:rPr>
                <w:rFonts w:asciiTheme="minorHAnsi" w:hAnsiTheme="minorHAnsi" w:cstheme="minorHAnsi"/>
              </w:rPr>
              <w:t>Environment and social</w:t>
            </w:r>
          </w:p>
        </w:tc>
        <w:tc>
          <w:tcPr>
            <w:tcW w:w="1705" w:type="dxa"/>
            <w:tcBorders>
              <w:top w:val="single" w:sz="4" w:space="0" w:color="auto"/>
              <w:left w:val="single" w:sz="4" w:space="0" w:color="auto"/>
              <w:bottom w:val="single" w:sz="4" w:space="0" w:color="auto"/>
              <w:right w:val="single" w:sz="4" w:space="0" w:color="auto"/>
            </w:tcBorders>
            <w:shd w:val="clear" w:color="auto" w:fill="auto"/>
            <w:hideMark/>
          </w:tcPr>
          <w:p w14:paraId="46922965" w14:textId="77777777" w:rsidR="00A70DB0" w:rsidRPr="00BD4A16" w:rsidRDefault="00A70DB0" w:rsidP="009958FB">
            <w:pPr>
              <w:spacing w:after="0" w:line="240" w:lineRule="auto"/>
              <w:rPr>
                <w:rFonts w:asciiTheme="minorHAnsi" w:hAnsiTheme="minorHAnsi" w:cstheme="minorHAnsi"/>
              </w:rPr>
            </w:pPr>
            <w:r w:rsidRPr="00BD4A16">
              <w:rPr>
                <w:rFonts w:asciiTheme="minorHAnsi" w:hAnsiTheme="minorHAnsi" w:cstheme="minorHAnsi"/>
              </w:rPr>
              <w:t>Moderate</w:t>
            </w:r>
          </w:p>
        </w:tc>
      </w:tr>
      <w:tr w:rsidR="00A70DB0" w:rsidRPr="00B66802" w14:paraId="47071AE4" w14:textId="77777777" w:rsidTr="00B3243C">
        <w:tc>
          <w:tcPr>
            <w:tcW w:w="7645" w:type="dxa"/>
            <w:tcBorders>
              <w:top w:val="single" w:sz="4" w:space="0" w:color="auto"/>
              <w:left w:val="single" w:sz="4" w:space="0" w:color="auto"/>
              <w:bottom w:val="single" w:sz="4" w:space="0" w:color="auto"/>
              <w:right w:val="single" w:sz="4" w:space="0" w:color="auto"/>
            </w:tcBorders>
            <w:shd w:val="clear" w:color="auto" w:fill="auto"/>
            <w:hideMark/>
          </w:tcPr>
          <w:p w14:paraId="0347F541" w14:textId="77777777" w:rsidR="00A70DB0" w:rsidRPr="00B66802" w:rsidRDefault="00A70DB0" w:rsidP="008B00C1">
            <w:pPr>
              <w:pStyle w:val="ListParagraph"/>
              <w:numPr>
                <w:ilvl w:val="0"/>
                <w:numId w:val="10"/>
              </w:numPr>
              <w:spacing w:after="0" w:line="240" w:lineRule="auto"/>
              <w:rPr>
                <w:rFonts w:asciiTheme="minorHAnsi" w:hAnsiTheme="minorHAnsi" w:cstheme="minorHAnsi"/>
              </w:rPr>
            </w:pPr>
            <w:r w:rsidRPr="00B66802">
              <w:rPr>
                <w:rFonts w:asciiTheme="minorHAnsi" w:hAnsiTheme="minorHAnsi" w:cstheme="minorHAnsi"/>
              </w:rPr>
              <w:t>Stakeholders</w:t>
            </w:r>
          </w:p>
        </w:tc>
        <w:tc>
          <w:tcPr>
            <w:tcW w:w="1705" w:type="dxa"/>
            <w:tcBorders>
              <w:top w:val="single" w:sz="4" w:space="0" w:color="auto"/>
              <w:left w:val="single" w:sz="4" w:space="0" w:color="auto"/>
              <w:bottom w:val="single" w:sz="4" w:space="0" w:color="auto"/>
              <w:right w:val="single" w:sz="4" w:space="0" w:color="auto"/>
            </w:tcBorders>
            <w:shd w:val="clear" w:color="auto" w:fill="auto"/>
            <w:hideMark/>
          </w:tcPr>
          <w:p w14:paraId="7A987D2D" w14:textId="77777777" w:rsidR="00A70DB0" w:rsidRPr="00BD4A16" w:rsidRDefault="00A70DB0" w:rsidP="009958FB">
            <w:pPr>
              <w:spacing w:after="0" w:line="240" w:lineRule="auto"/>
              <w:rPr>
                <w:rFonts w:asciiTheme="minorHAnsi" w:hAnsiTheme="minorHAnsi" w:cstheme="minorHAnsi"/>
              </w:rPr>
            </w:pPr>
            <w:r w:rsidRPr="00BD4A16">
              <w:rPr>
                <w:rFonts w:asciiTheme="minorHAnsi" w:hAnsiTheme="minorHAnsi" w:cstheme="minorHAnsi"/>
              </w:rPr>
              <w:t>Moderate</w:t>
            </w:r>
          </w:p>
        </w:tc>
      </w:tr>
      <w:tr w:rsidR="00A70DB0" w:rsidRPr="00B66802" w14:paraId="04C49D6A" w14:textId="77777777" w:rsidTr="00B3243C">
        <w:tc>
          <w:tcPr>
            <w:tcW w:w="7645" w:type="dxa"/>
            <w:tcBorders>
              <w:top w:val="single" w:sz="4" w:space="0" w:color="auto"/>
              <w:left w:val="single" w:sz="4" w:space="0" w:color="auto"/>
              <w:bottom w:val="single" w:sz="4" w:space="0" w:color="auto"/>
              <w:right w:val="single" w:sz="4" w:space="0" w:color="auto"/>
            </w:tcBorders>
            <w:shd w:val="clear" w:color="auto" w:fill="auto"/>
            <w:hideMark/>
          </w:tcPr>
          <w:p w14:paraId="769F6AD3" w14:textId="77777777" w:rsidR="00A70DB0" w:rsidRPr="00B66802" w:rsidRDefault="00A70DB0" w:rsidP="008B00C1">
            <w:pPr>
              <w:pStyle w:val="ListParagraph"/>
              <w:numPr>
                <w:ilvl w:val="0"/>
                <w:numId w:val="10"/>
              </w:numPr>
              <w:spacing w:after="0" w:line="240" w:lineRule="auto"/>
              <w:rPr>
                <w:rFonts w:asciiTheme="minorHAnsi" w:hAnsiTheme="minorHAnsi" w:cstheme="minorHAnsi"/>
              </w:rPr>
            </w:pPr>
            <w:r w:rsidRPr="00B66802">
              <w:rPr>
                <w:rFonts w:asciiTheme="minorHAnsi" w:hAnsiTheme="minorHAnsi" w:cstheme="minorHAnsi"/>
              </w:rPr>
              <w:t>Others (i.e. vulnerability to weather-related shocks and natural disasters)</w:t>
            </w:r>
          </w:p>
        </w:tc>
        <w:tc>
          <w:tcPr>
            <w:tcW w:w="1705" w:type="dxa"/>
            <w:tcBorders>
              <w:top w:val="single" w:sz="4" w:space="0" w:color="auto"/>
              <w:left w:val="single" w:sz="4" w:space="0" w:color="auto"/>
              <w:bottom w:val="single" w:sz="4" w:space="0" w:color="auto"/>
              <w:right w:val="single" w:sz="4" w:space="0" w:color="auto"/>
            </w:tcBorders>
            <w:shd w:val="clear" w:color="auto" w:fill="auto"/>
            <w:hideMark/>
          </w:tcPr>
          <w:p w14:paraId="5CD2243A" w14:textId="77777777" w:rsidR="00A70DB0" w:rsidRPr="00DC050B" w:rsidRDefault="00B3243C" w:rsidP="009958FB">
            <w:pPr>
              <w:spacing w:after="0" w:line="240" w:lineRule="auto"/>
              <w:rPr>
                <w:rFonts w:asciiTheme="minorHAnsi" w:hAnsiTheme="minorHAnsi" w:cstheme="minorHAnsi"/>
              </w:rPr>
            </w:pPr>
            <w:r w:rsidRPr="00BD4A16">
              <w:rPr>
                <w:rFonts w:asciiTheme="minorHAnsi" w:hAnsiTheme="minorHAnsi" w:cstheme="minorHAnsi"/>
              </w:rPr>
              <w:t>Substantial</w:t>
            </w:r>
          </w:p>
        </w:tc>
      </w:tr>
      <w:tr w:rsidR="00A70DB0" w:rsidRPr="00B66802" w14:paraId="2E3F1A19" w14:textId="77777777" w:rsidTr="00B3243C">
        <w:tc>
          <w:tcPr>
            <w:tcW w:w="7645" w:type="dxa"/>
            <w:tcBorders>
              <w:top w:val="single" w:sz="4" w:space="0" w:color="auto"/>
              <w:left w:val="single" w:sz="4" w:space="0" w:color="auto"/>
              <w:bottom w:val="single" w:sz="4" w:space="0" w:color="auto"/>
              <w:right w:val="single" w:sz="4" w:space="0" w:color="auto"/>
            </w:tcBorders>
            <w:shd w:val="clear" w:color="auto" w:fill="F2F2F2"/>
            <w:hideMark/>
          </w:tcPr>
          <w:p w14:paraId="05D7A4E8" w14:textId="77777777" w:rsidR="00A70DB0" w:rsidRPr="00B66802" w:rsidRDefault="00A70DB0" w:rsidP="009958FB">
            <w:pPr>
              <w:spacing w:after="0" w:line="240" w:lineRule="auto"/>
              <w:rPr>
                <w:rFonts w:asciiTheme="minorHAnsi" w:hAnsiTheme="minorHAnsi" w:cstheme="minorHAnsi"/>
                <w:b/>
              </w:rPr>
            </w:pPr>
            <w:r w:rsidRPr="00B66802">
              <w:rPr>
                <w:rFonts w:asciiTheme="minorHAnsi" w:hAnsiTheme="minorHAnsi" w:cstheme="minorHAnsi"/>
                <w:b/>
              </w:rPr>
              <w:t>Overall</w:t>
            </w:r>
          </w:p>
        </w:tc>
        <w:tc>
          <w:tcPr>
            <w:tcW w:w="1705" w:type="dxa"/>
            <w:tcBorders>
              <w:top w:val="single" w:sz="4" w:space="0" w:color="auto"/>
              <w:left w:val="single" w:sz="4" w:space="0" w:color="auto"/>
              <w:bottom w:val="single" w:sz="4" w:space="0" w:color="auto"/>
              <w:right w:val="single" w:sz="4" w:space="0" w:color="auto"/>
            </w:tcBorders>
            <w:shd w:val="clear" w:color="auto" w:fill="F2F2F2"/>
            <w:hideMark/>
          </w:tcPr>
          <w:p w14:paraId="3CDE1101" w14:textId="77777777" w:rsidR="00A70DB0" w:rsidRPr="00BD4A16" w:rsidRDefault="00A70DB0" w:rsidP="009958FB">
            <w:pPr>
              <w:spacing w:after="0" w:line="240" w:lineRule="auto"/>
              <w:rPr>
                <w:rFonts w:asciiTheme="minorHAnsi" w:hAnsiTheme="minorHAnsi" w:cstheme="minorHAnsi"/>
              </w:rPr>
            </w:pPr>
            <w:r w:rsidRPr="00BD4A16">
              <w:rPr>
                <w:rFonts w:asciiTheme="minorHAnsi" w:hAnsiTheme="minorHAnsi" w:cstheme="minorHAnsi"/>
              </w:rPr>
              <w:t>Substantial</w:t>
            </w:r>
          </w:p>
        </w:tc>
      </w:tr>
    </w:tbl>
    <w:p w14:paraId="45D8F68A" w14:textId="77777777" w:rsidR="00A70DB0" w:rsidRPr="00B66802" w:rsidRDefault="00A70DB0" w:rsidP="00A70DB0">
      <w:pPr>
        <w:tabs>
          <w:tab w:val="left" w:pos="450"/>
        </w:tabs>
        <w:autoSpaceDE w:val="0"/>
        <w:autoSpaceDN w:val="0"/>
        <w:adjustRightInd w:val="0"/>
        <w:spacing w:after="0" w:line="240" w:lineRule="auto"/>
        <w:jc w:val="both"/>
        <w:rPr>
          <w:rFonts w:asciiTheme="minorHAnsi" w:hAnsiTheme="minorHAnsi" w:cstheme="minorHAnsi"/>
        </w:rPr>
      </w:pPr>
    </w:p>
    <w:p w14:paraId="2F76F496" w14:textId="38AD2C27" w:rsidR="00A70DB0" w:rsidRPr="0085470E" w:rsidRDefault="006A3944" w:rsidP="00C2719B">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BD4A16">
        <w:rPr>
          <w:rFonts w:asciiTheme="minorHAnsi" w:hAnsiTheme="minorHAnsi" w:cstheme="minorHAnsi"/>
          <w:b/>
        </w:rPr>
        <w:t xml:space="preserve">Political tensions and weak governance present </w:t>
      </w:r>
      <w:r w:rsidRPr="00DC050B">
        <w:rPr>
          <w:rFonts w:asciiTheme="minorHAnsi" w:hAnsiTheme="minorHAnsi" w:cstheme="minorHAnsi"/>
          <w:b/>
        </w:rPr>
        <w:t>high risks to maintaining</w:t>
      </w:r>
      <w:r w:rsidR="00A70DB0" w:rsidRPr="00DC050B">
        <w:rPr>
          <w:rFonts w:asciiTheme="minorHAnsi" w:hAnsiTheme="minorHAnsi" w:cstheme="minorHAnsi"/>
          <w:b/>
        </w:rPr>
        <w:t xml:space="preserve"> reform momentum</w:t>
      </w:r>
      <w:r w:rsidR="0078298F" w:rsidRPr="00DC050B">
        <w:rPr>
          <w:rFonts w:asciiTheme="minorHAnsi" w:hAnsiTheme="minorHAnsi" w:cstheme="minorHAnsi"/>
        </w:rPr>
        <w:t xml:space="preserve">. The country has </w:t>
      </w:r>
      <w:r w:rsidR="00A70DB0" w:rsidRPr="00DC050B">
        <w:rPr>
          <w:rFonts w:asciiTheme="minorHAnsi" w:hAnsiTheme="minorHAnsi" w:cstheme="minorHAnsi"/>
        </w:rPr>
        <w:t xml:space="preserve">deep rooted governance </w:t>
      </w:r>
      <w:r w:rsidR="0078298F" w:rsidRPr="00DC050B">
        <w:rPr>
          <w:rFonts w:asciiTheme="minorHAnsi" w:hAnsiTheme="minorHAnsi" w:cstheme="minorHAnsi"/>
        </w:rPr>
        <w:t xml:space="preserve">challenges that contribute to </w:t>
      </w:r>
      <w:r w:rsidR="005E0FE1" w:rsidRPr="00DC050B">
        <w:rPr>
          <w:rFonts w:asciiTheme="minorHAnsi" w:hAnsiTheme="minorHAnsi" w:cstheme="minorHAnsi"/>
        </w:rPr>
        <w:t xml:space="preserve">political </w:t>
      </w:r>
      <w:r w:rsidR="0078298F" w:rsidRPr="00DC050B">
        <w:rPr>
          <w:rFonts w:asciiTheme="minorHAnsi" w:hAnsiTheme="minorHAnsi" w:cstheme="minorHAnsi"/>
        </w:rPr>
        <w:t>fragility</w:t>
      </w:r>
      <w:r w:rsidR="00A70DB0" w:rsidRPr="00DC050B">
        <w:rPr>
          <w:rFonts w:asciiTheme="minorHAnsi" w:hAnsiTheme="minorHAnsi" w:cstheme="minorHAnsi"/>
        </w:rPr>
        <w:t>.</w:t>
      </w:r>
      <w:r w:rsidR="002745B1" w:rsidRPr="00DC050B">
        <w:rPr>
          <w:rFonts w:asciiTheme="minorHAnsi" w:hAnsiTheme="minorHAnsi" w:cstheme="minorHAnsi"/>
        </w:rPr>
        <w:t xml:space="preserve"> Key </w:t>
      </w:r>
      <w:r w:rsidR="003267EF" w:rsidRPr="00DC050B">
        <w:rPr>
          <w:rFonts w:asciiTheme="minorHAnsi" w:hAnsiTheme="minorHAnsi" w:cstheme="minorHAnsi"/>
        </w:rPr>
        <w:t>drivers of fragility include influential networks that shift alliances to access rents, social fragmentation, growth of</w:t>
      </w:r>
      <w:r w:rsidR="003267EF" w:rsidRPr="006C66C2">
        <w:rPr>
          <w:rFonts w:asciiTheme="minorHAnsi" w:hAnsiTheme="minorHAnsi" w:cstheme="minorHAnsi"/>
        </w:rPr>
        <w:t xml:space="preserve"> a trafficking economy, and a nascent system of checks and balances, as discussed in the CPF</w:t>
      </w:r>
      <w:r w:rsidR="00282FCD" w:rsidRPr="006C66C2">
        <w:rPr>
          <w:rFonts w:asciiTheme="minorHAnsi" w:hAnsiTheme="minorHAnsi" w:cstheme="minorHAnsi"/>
        </w:rPr>
        <w:t xml:space="preserve">. </w:t>
      </w:r>
      <w:r w:rsidR="00AF3406" w:rsidRPr="00A20F63">
        <w:rPr>
          <w:rFonts w:asciiTheme="minorHAnsi" w:hAnsiTheme="minorHAnsi" w:cstheme="minorHAnsi"/>
        </w:rPr>
        <w:t>The upcoming election, planned toward the end of 2018/early 2019 m</w:t>
      </w:r>
      <w:r w:rsidR="004552AB" w:rsidRPr="00A20F63">
        <w:rPr>
          <w:rFonts w:asciiTheme="minorHAnsi" w:hAnsiTheme="minorHAnsi" w:cstheme="minorHAnsi"/>
        </w:rPr>
        <w:t>ay intensify some of these drivers of fragility</w:t>
      </w:r>
      <w:r w:rsidR="004043C2" w:rsidRPr="00A20F63">
        <w:rPr>
          <w:rFonts w:asciiTheme="minorHAnsi" w:hAnsiTheme="minorHAnsi" w:cstheme="minorHAnsi"/>
        </w:rPr>
        <w:t xml:space="preserve">. </w:t>
      </w:r>
      <w:r w:rsidR="00217F74" w:rsidRPr="00A20F63">
        <w:rPr>
          <w:rFonts w:asciiTheme="minorHAnsi" w:hAnsiTheme="minorHAnsi" w:cstheme="minorHAnsi"/>
        </w:rPr>
        <w:t xml:space="preserve">While </w:t>
      </w:r>
      <w:r w:rsidR="00217F74" w:rsidRPr="00A20F63">
        <w:rPr>
          <w:rFonts w:asciiTheme="minorHAnsi" w:hAnsiTheme="minorHAnsi" w:cstheme="minorHAnsi"/>
        </w:rPr>
        <w:lastRenderedPageBreak/>
        <w:t xml:space="preserve">this operation supports the efforts </w:t>
      </w:r>
      <w:r w:rsidR="006050DC" w:rsidRPr="00A20F63">
        <w:rPr>
          <w:rFonts w:asciiTheme="minorHAnsi" w:hAnsiTheme="minorHAnsi" w:cstheme="minorHAnsi"/>
        </w:rPr>
        <w:t xml:space="preserve">of reformers, </w:t>
      </w:r>
      <w:r w:rsidR="0026512F" w:rsidRPr="00A20F63">
        <w:rPr>
          <w:rFonts w:asciiTheme="minorHAnsi" w:hAnsiTheme="minorHAnsi" w:cstheme="minorHAnsi"/>
        </w:rPr>
        <w:t>political tensions may slowdown the reform momentum</w:t>
      </w:r>
      <w:r w:rsidR="006050DC" w:rsidRPr="00A20F63">
        <w:rPr>
          <w:rFonts w:asciiTheme="minorHAnsi" w:hAnsiTheme="minorHAnsi" w:cstheme="minorHAnsi"/>
        </w:rPr>
        <w:t xml:space="preserve">. In particular, </w:t>
      </w:r>
      <w:r w:rsidR="00B1281A" w:rsidRPr="00A20F63">
        <w:rPr>
          <w:rFonts w:asciiTheme="minorHAnsi" w:hAnsiTheme="minorHAnsi" w:cstheme="minorHAnsi"/>
        </w:rPr>
        <w:t xml:space="preserve">procurement </w:t>
      </w:r>
      <w:r w:rsidR="006050DC" w:rsidRPr="00A20F63">
        <w:rPr>
          <w:rFonts w:asciiTheme="minorHAnsi" w:hAnsiTheme="minorHAnsi" w:cstheme="minorHAnsi"/>
        </w:rPr>
        <w:t xml:space="preserve">reforms </w:t>
      </w:r>
      <w:r w:rsidR="00703E70">
        <w:rPr>
          <w:rFonts w:asciiTheme="minorHAnsi" w:hAnsiTheme="minorHAnsi" w:cstheme="minorHAnsi"/>
        </w:rPr>
        <w:t>in</w:t>
      </w:r>
      <w:r w:rsidR="00703E70" w:rsidRPr="00A20F63">
        <w:rPr>
          <w:rFonts w:asciiTheme="minorHAnsi" w:hAnsiTheme="minorHAnsi" w:cstheme="minorHAnsi"/>
        </w:rPr>
        <w:t xml:space="preserve"> </w:t>
      </w:r>
      <w:r w:rsidR="006050DC" w:rsidRPr="00A20F63">
        <w:rPr>
          <w:rFonts w:asciiTheme="minorHAnsi" w:hAnsiTheme="minorHAnsi" w:cstheme="minorHAnsi"/>
        </w:rPr>
        <w:t xml:space="preserve">JIRAMA </w:t>
      </w:r>
      <w:r w:rsidR="000E78EC" w:rsidRPr="00A20F63">
        <w:rPr>
          <w:rFonts w:asciiTheme="minorHAnsi" w:hAnsiTheme="minorHAnsi" w:cstheme="minorHAnsi"/>
        </w:rPr>
        <w:t xml:space="preserve">may </w:t>
      </w:r>
      <w:r w:rsidR="00B1281A" w:rsidRPr="00A20F63">
        <w:rPr>
          <w:rFonts w:asciiTheme="minorHAnsi" w:hAnsiTheme="minorHAnsi" w:cstheme="minorHAnsi"/>
        </w:rPr>
        <w:t>result in certain individuals losing out financially</w:t>
      </w:r>
      <w:r w:rsidR="00546112" w:rsidRPr="00406280">
        <w:rPr>
          <w:rFonts w:asciiTheme="minorHAnsi" w:hAnsiTheme="minorHAnsi" w:cstheme="minorHAnsi"/>
        </w:rPr>
        <w:t xml:space="preserve">. </w:t>
      </w:r>
      <w:r w:rsidR="005E0FE1" w:rsidRPr="00406280">
        <w:rPr>
          <w:rFonts w:asciiTheme="minorHAnsi" w:hAnsiTheme="minorHAnsi" w:cstheme="minorHAnsi"/>
        </w:rPr>
        <w:t xml:space="preserve">These risks have been incorporated in the </w:t>
      </w:r>
      <w:r w:rsidR="006050DC" w:rsidRPr="00406280">
        <w:rPr>
          <w:rFonts w:asciiTheme="minorHAnsi" w:hAnsiTheme="minorHAnsi" w:cstheme="minorHAnsi"/>
        </w:rPr>
        <w:t xml:space="preserve">design of the operation by balancing ambition with realism. </w:t>
      </w:r>
      <w:r w:rsidR="00A467D5" w:rsidRPr="00601B29">
        <w:rPr>
          <w:rFonts w:asciiTheme="minorHAnsi" w:hAnsiTheme="minorHAnsi" w:cstheme="minorHAnsi"/>
        </w:rPr>
        <w:t xml:space="preserve">The reforms supported in this DPO are also actively supported by other development partners, ensuring consistency in the </w:t>
      </w:r>
      <w:r w:rsidR="006050DC" w:rsidRPr="0085470E">
        <w:rPr>
          <w:rFonts w:asciiTheme="minorHAnsi" w:hAnsiTheme="minorHAnsi" w:cstheme="minorHAnsi"/>
        </w:rPr>
        <w:t xml:space="preserve">policy dialogue. </w:t>
      </w:r>
    </w:p>
    <w:p w14:paraId="0191D9EA" w14:textId="13D14F70" w:rsidR="005B779A" w:rsidRPr="00E36113" w:rsidRDefault="006A3944" w:rsidP="00C2719B">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A46F16">
        <w:rPr>
          <w:rFonts w:asciiTheme="minorHAnsi" w:hAnsiTheme="minorHAnsi" w:cstheme="minorHAnsi"/>
          <w:b/>
        </w:rPr>
        <w:t>Macroeconomic risk</w:t>
      </w:r>
      <w:r w:rsidR="00C032A2" w:rsidRPr="00A46F16">
        <w:rPr>
          <w:rFonts w:asciiTheme="minorHAnsi" w:hAnsiTheme="minorHAnsi" w:cstheme="minorHAnsi"/>
          <w:b/>
        </w:rPr>
        <w:t>s</w:t>
      </w:r>
      <w:r w:rsidRPr="00805BA2">
        <w:rPr>
          <w:rFonts w:asciiTheme="minorHAnsi" w:hAnsiTheme="minorHAnsi" w:cstheme="minorHAnsi"/>
          <w:b/>
        </w:rPr>
        <w:t xml:space="preserve"> </w:t>
      </w:r>
      <w:r w:rsidR="00C032A2" w:rsidRPr="00805BA2">
        <w:rPr>
          <w:rFonts w:asciiTheme="minorHAnsi" w:hAnsiTheme="minorHAnsi" w:cstheme="minorHAnsi"/>
          <w:b/>
        </w:rPr>
        <w:t>are</w:t>
      </w:r>
      <w:r w:rsidRPr="00805BA2">
        <w:rPr>
          <w:rFonts w:asciiTheme="minorHAnsi" w:hAnsiTheme="minorHAnsi" w:cstheme="minorHAnsi"/>
          <w:b/>
        </w:rPr>
        <w:t xml:space="preserve"> substantial</w:t>
      </w:r>
      <w:r w:rsidR="00970078" w:rsidRPr="00805BA2">
        <w:rPr>
          <w:rFonts w:asciiTheme="minorHAnsi" w:hAnsiTheme="minorHAnsi" w:cstheme="minorHAnsi"/>
          <w:b/>
        </w:rPr>
        <w:t xml:space="preserve">, and are </w:t>
      </w:r>
      <w:r w:rsidR="005F0061" w:rsidRPr="00805BA2">
        <w:rPr>
          <w:rFonts w:asciiTheme="minorHAnsi" w:hAnsiTheme="minorHAnsi" w:cstheme="minorHAnsi"/>
          <w:b/>
        </w:rPr>
        <w:t>closely related</w:t>
      </w:r>
      <w:r w:rsidR="00970078" w:rsidRPr="00805BA2">
        <w:rPr>
          <w:rFonts w:asciiTheme="minorHAnsi" w:hAnsiTheme="minorHAnsi" w:cstheme="minorHAnsi"/>
          <w:b/>
        </w:rPr>
        <w:t xml:space="preserve"> </w:t>
      </w:r>
      <w:r w:rsidR="005F0061" w:rsidRPr="00805BA2">
        <w:rPr>
          <w:rFonts w:asciiTheme="minorHAnsi" w:hAnsiTheme="minorHAnsi" w:cstheme="minorHAnsi"/>
          <w:b/>
        </w:rPr>
        <w:t>with the political</w:t>
      </w:r>
      <w:r w:rsidR="00970078" w:rsidRPr="00051ABB">
        <w:rPr>
          <w:rFonts w:asciiTheme="minorHAnsi" w:hAnsiTheme="minorHAnsi" w:cstheme="minorHAnsi"/>
          <w:b/>
        </w:rPr>
        <w:t xml:space="preserve"> situation</w:t>
      </w:r>
      <w:r w:rsidR="00367E7C" w:rsidRPr="00051ABB">
        <w:rPr>
          <w:rFonts w:asciiTheme="minorHAnsi" w:hAnsiTheme="minorHAnsi" w:cstheme="minorHAnsi"/>
          <w:b/>
        </w:rPr>
        <w:t xml:space="preserve">. </w:t>
      </w:r>
      <w:r w:rsidR="00367E7C" w:rsidRPr="00051ABB">
        <w:rPr>
          <w:rFonts w:asciiTheme="minorHAnsi" w:hAnsiTheme="minorHAnsi" w:cstheme="minorHAnsi"/>
        </w:rPr>
        <w:t>The</w:t>
      </w:r>
      <w:r w:rsidR="00DD5A45" w:rsidRPr="00051ABB">
        <w:rPr>
          <w:rFonts w:asciiTheme="minorHAnsi" w:hAnsiTheme="minorHAnsi" w:cstheme="minorHAnsi"/>
        </w:rPr>
        <w:t xml:space="preserve"> fiscal framework is based on an upward trajectory of growth, which is expected to contribute to higher revenues and be reinforc</w:t>
      </w:r>
      <w:r w:rsidR="00DD5A45" w:rsidRPr="00E36113">
        <w:rPr>
          <w:rFonts w:asciiTheme="minorHAnsi" w:hAnsiTheme="minorHAnsi" w:cstheme="minorHAnsi"/>
        </w:rPr>
        <w:t xml:space="preserve">ed by a scale-up </w:t>
      </w:r>
      <w:r w:rsidR="00E8231F" w:rsidRPr="00E36113">
        <w:rPr>
          <w:rFonts w:asciiTheme="minorHAnsi" w:hAnsiTheme="minorHAnsi" w:cstheme="minorHAnsi"/>
        </w:rPr>
        <w:t>of</w:t>
      </w:r>
      <w:r w:rsidR="00DD5A45" w:rsidRPr="00E36113">
        <w:rPr>
          <w:rFonts w:asciiTheme="minorHAnsi" w:hAnsiTheme="minorHAnsi" w:cstheme="minorHAnsi"/>
        </w:rPr>
        <w:t xml:space="preserve"> investment activity. </w:t>
      </w:r>
      <w:r w:rsidR="005C31A1" w:rsidRPr="00E36113">
        <w:rPr>
          <w:rFonts w:asciiTheme="minorHAnsi" w:hAnsiTheme="minorHAnsi" w:cstheme="minorHAnsi"/>
        </w:rPr>
        <w:t xml:space="preserve">The needed increase in public and external financing is expected to be met largely through development partners’ support to the infrastructure spending scale-up. However, growth prospects could plummet in the event of political instability. Delays in reforms to JIRAMA and Air Madagascar could continue to drain public finances. To mitigate the impact of the risks it will be important to continue </w:t>
      </w:r>
      <w:r w:rsidR="00442B64" w:rsidRPr="00E36113">
        <w:rPr>
          <w:rFonts w:asciiTheme="minorHAnsi" w:hAnsiTheme="minorHAnsi" w:cstheme="minorHAnsi"/>
        </w:rPr>
        <w:t>S</w:t>
      </w:r>
      <w:r w:rsidR="00442B64">
        <w:rPr>
          <w:rFonts w:asciiTheme="minorHAnsi" w:hAnsiTheme="minorHAnsi" w:cstheme="minorHAnsi"/>
        </w:rPr>
        <w:t>O</w:t>
      </w:r>
      <w:r w:rsidR="00442B64" w:rsidRPr="00E36113">
        <w:rPr>
          <w:rFonts w:asciiTheme="minorHAnsi" w:hAnsiTheme="minorHAnsi" w:cstheme="minorHAnsi"/>
        </w:rPr>
        <w:t xml:space="preserve">E </w:t>
      </w:r>
      <w:r w:rsidR="005C31A1" w:rsidRPr="00E36113">
        <w:rPr>
          <w:rFonts w:asciiTheme="minorHAnsi" w:hAnsiTheme="minorHAnsi" w:cstheme="minorHAnsi"/>
        </w:rPr>
        <w:t>reforms.</w:t>
      </w:r>
    </w:p>
    <w:p w14:paraId="53619B0E" w14:textId="77777777" w:rsidR="005B779A" w:rsidRPr="00E36113" w:rsidRDefault="005B779A" w:rsidP="00C2719B">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E36113">
        <w:rPr>
          <w:rFonts w:asciiTheme="minorHAnsi" w:hAnsiTheme="minorHAnsi" w:cstheme="minorHAnsi"/>
          <w:b/>
          <w:bCs/>
        </w:rPr>
        <w:t xml:space="preserve">Fiduciary </w:t>
      </w:r>
      <w:r w:rsidRPr="00E36113">
        <w:rPr>
          <w:rFonts w:asciiTheme="minorHAnsi" w:hAnsiTheme="minorHAnsi" w:cstheme="minorHAnsi"/>
          <w:b/>
        </w:rPr>
        <w:t>risks remain substantial despite the ongoing implementation of PFM reforms.</w:t>
      </w:r>
      <w:r w:rsidRPr="00E36113">
        <w:rPr>
          <w:rFonts w:asciiTheme="minorHAnsi" w:hAnsiTheme="minorHAnsi" w:cstheme="minorHAnsi"/>
        </w:rPr>
        <w:t xml:space="preserve"> While there has been progress in implementing PFM reforms, the remaining fiduciary weaknesses are significant. They are partially mitigated </w:t>
      </w:r>
      <w:r w:rsidRPr="00E36113">
        <w:rPr>
          <w:rFonts w:asciiTheme="minorHAnsi" w:hAnsiTheme="minorHAnsi" w:cstheme="minorHAnsi"/>
          <w:bCs/>
        </w:rPr>
        <w:t>by</w:t>
      </w:r>
      <w:r w:rsidRPr="00E36113">
        <w:rPr>
          <w:rFonts w:asciiTheme="minorHAnsi" w:hAnsiTheme="minorHAnsi" w:cstheme="minorHAnsi"/>
          <w:b/>
          <w:bCs/>
        </w:rPr>
        <w:t xml:space="preserve"> </w:t>
      </w:r>
      <w:r w:rsidRPr="00E36113">
        <w:rPr>
          <w:rFonts w:asciiTheme="minorHAnsi" w:hAnsiTheme="minorHAnsi" w:cstheme="minorHAnsi"/>
        </w:rPr>
        <w:t xml:space="preserve">continued </w:t>
      </w:r>
      <w:r w:rsidR="0026512F" w:rsidRPr="00E36113">
        <w:rPr>
          <w:rFonts w:asciiTheme="minorHAnsi" w:hAnsiTheme="minorHAnsi" w:cstheme="minorHAnsi"/>
        </w:rPr>
        <w:t>TA</w:t>
      </w:r>
      <w:r w:rsidR="00587632" w:rsidRPr="00E36113">
        <w:rPr>
          <w:rFonts w:asciiTheme="minorHAnsi" w:hAnsiTheme="minorHAnsi" w:cstheme="minorHAnsi"/>
        </w:rPr>
        <w:t xml:space="preserve"> in PFM and p</w:t>
      </w:r>
      <w:r w:rsidRPr="00E36113">
        <w:rPr>
          <w:rFonts w:asciiTheme="minorHAnsi" w:hAnsiTheme="minorHAnsi" w:cstheme="minorHAnsi"/>
        </w:rPr>
        <w:t xml:space="preserve">ublic administration reforms, including the World Bank </w:t>
      </w:r>
      <w:r w:rsidRPr="00E36113">
        <w:rPr>
          <w:rFonts w:asciiTheme="minorHAnsi" w:eastAsia="Times New Roman" w:hAnsiTheme="minorHAnsi" w:cstheme="minorHAnsi"/>
        </w:rPr>
        <w:t>Public Sector Performance project</w:t>
      </w:r>
      <w:r w:rsidRPr="00E36113">
        <w:rPr>
          <w:rFonts w:asciiTheme="minorHAnsi" w:hAnsiTheme="minorHAnsi" w:cstheme="minorHAnsi"/>
        </w:rPr>
        <w:t xml:space="preserve">. </w:t>
      </w:r>
    </w:p>
    <w:p w14:paraId="62865901" w14:textId="217353DA" w:rsidR="006A3944" w:rsidRPr="00E36113" w:rsidRDefault="006A3944" w:rsidP="00C2719B">
      <w:pPr>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E36113">
        <w:rPr>
          <w:rFonts w:asciiTheme="minorHAnsi" w:hAnsiTheme="minorHAnsi" w:cstheme="minorHAnsi"/>
          <w:b/>
        </w:rPr>
        <w:t>Institutional capacity is weak and represents a significant risk.</w:t>
      </w:r>
      <w:r w:rsidRPr="00E36113">
        <w:rPr>
          <w:rFonts w:asciiTheme="minorHAnsi" w:hAnsiTheme="minorHAnsi" w:cstheme="minorHAnsi"/>
        </w:rPr>
        <w:t xml:space="preserve"> </w:t>
      </w:r>
      <w:r w:rsidR="005C5366" w:rsidRPr="00E36113">
        <w:rPr>
          <w:rFonts w:asciiTheme="minorHAnsi" w:hAnsiTheme="minorHAnsi" w:cstheme="minorHAnsi"/>
        </w:rPr>
        <w:t>Weak capacity, particularly at the technical level, poses the risk that the actions supported by this program might not be implemented as successfully as expected in the agreed timeframe, or that the capacity constraints prevent the attainment of the expected results. This</w:t>
      </w:r>
      <w:r w:rsidRPr="00E36113">
        <w:rPr>
          <w:rFonts w:asciiTheme="minorHAnsi" w:hAnsiTheme="minorHAnsi" w:cstheme="minorHAnsi"/>
        </w:rPr>
        <w:t xml:space="preserve"> operation mitigates </w:t>
      </w:r>
      <w:r w:rsidR="005C5366" w:rsidRPr="00E36113">
        <w:rPr>
          <w:rFonts w:asciiTheme="minorHAnsi" w:hAnsiTheme="minorHAnsi" w:cstheme="minorHAnsi"/>
        </w:rPr>
        <w:t xml:space="preserve">these risks </w:t>
      </w:r>
      <w:r w:rsidRPr="00E36113">
        <w:rPr>
          <w:rFonts w:asciiTheme="minorHAnsi" w:hAnsiTheme="minorHAnsi" w:cstheme="minorHAnsi"/>
        </w:rPr>
        <w:t xml:space="preserve">in two ways. First, it seeks to attain the strongest possible actions needed to build the reform momentum without overwhelming the capacity of the post-crisis </w:t>
      </w:r>
      <w:r w:rsidR="00630CFF">
        <w:rPr>
          <w:rFonts w:asciiTheme="minorHAnsi" w:hAnsiTheme="minorHAnsi" w:cstheme="minorHAnsi"/>
        </w:rPr>
        <w:t>G</w:t>
      </w:r>
      <w:r w:rsidRPr="00E36113">
        <w:rPr>
          <w:rFonts w:asciiTheme="minorHAnsi" w:hAnsiTheme="minorHAnsi" w:cstheme="minorHAnsi"/>
        </w:rPr>
        <w:t xml:space="preserve">overnment. Second, it </w:t>
      </w:r>
      <w:r w:rsidR="0026512F" w:rsidRPr="00E36113">
        <w:rPr>
          <w:rFonts w:asciiTheme="minorHAnsi" w:hAnsiTheme="minorHAnsi" w:cstheme="minorHAnsi"/>
        </w:rPr>
        <w:t>complements</w:t>
      </w:r>
      <w:r w:rsidRPr="00E36113">
        <w:rPr>
          <w:rFonts w:asciiTheme="minorHAnsi" w:hAnsiTheme="minorHAnsi" w:cstheme="minorHAnsi"/>
        </w:rPr>
        <w:t xml:space="preserve"> other projects and </w:t>
      </w:r>
      <w:r w:rsidR="0026512F" w:rsidRPr="00E36113">
        <w:rPr>
          <w:rFonts w:asciiTheme="minorHAnsi" w:hAnsiTheme="minorHAnsi" w:cstheme="minorHAnsi"/>
        </w:rPr>
        <w:t>TA</w:t>
      </w:r>
      <w:r w:rsidRPr="00E36113">
        <w:rPr>
          <w:rFonts w:asciiTheme="minorHAnsi" w:hAnsiTheme="minorHAnsi" w:cstheme="minorHAnsi"/>
        </w:rPr>
        <w:t xml:space="preserve"> provided by IDA and development partners, </w:t>
      </w:r>
      <w:r w:rsidR="0026512F" w:rsidRPr="00E36113">
        <w:rPr>
          <w:rFonts w:asciiTheme="minorHAnsi" w:hAnsiTheme="minorHAnsi" w:cstheme="minorHAnsi"/>
        </w:rPr>
        <w:t xml:space="preserve">providing </w:t>
      </w:r>
      <w:r w:rsidRPr="00E36113">
        <w:rPr>
          <w:rFonts w:asciiTheme="minorHAnsi" w:hAnsiTheme="minorHAnsi" w:cstheme="minorHAnsi"/>
        </w:rPr>
        <w:t xml:space="preserve">a more holistic support environment than one operation can offer.  </w:t>
      </w:r>
    </w:p>
    <w:p w14:paraId="57115666" w14:textId="2D437318" w:rsidR="00617F77" w:rsidRPr="0085470E" w:rsidRDefault="00A70DB0" w:rsidP="00C2719B">
      <w:pPr>
        <w:pStyle w:val="ListParagraph"/>
        <w:numPr>
          <w:ilvl w:val="0"/>
          <w:numId w:val="44"/>
        </w:numPr>
        <w:tabs>
          <w:tab w:val="clear" w:pos="360"/>
        </w:tabs>
        <w:autoSpaceDE w:val="0"/>
        <w:autoSpaceDN w:val="0"/>
        <w:adjustRightInd w:val="0"/>
        <w:spacing w:after="240" w:line="240" w:lineRule="auto"/>
        <w:ind w:left="0" w:firstLine="0"/>
        <w:jc w:val="both"/>
        <w:rPr>
          <w:rFonts w:asciiTheme="minorHAnsi" w:hAnsiTheme="minorHAnsi" w:cstheme="minorHAnsi"/>
        </w:rPr>
      </w:pPr>
      <w:r w:rsidRPr="00E36113">
        <w:rPr>
          <w:rFonts w:asciiTheme="minorHAnsi" w:hAnsiTheme="minorHAnsi" w:cstheme="minorHAnsi"/>
          <w:b/>
        </w:rPr>
        <w:t>Madagascar’s vulnerability to natural disasters and weather-related shocks represents a</w:t>
      </w:r>
      <w:r w:rsidR="005935A2" w:rsidRPr="00E36113">
        <w:rPr>
          <w:rFonts w:asciiTheme="minorHAnsi" w:hAnsiTheme="minorHAnsi" w:cstheme="minorHAnsi"/>
          <w:b/>
        </w:rPr>
        <w:t xml:space="preserve"> substantial</w:t>
      </w:r>
      <w:r w:rsidRPr="00E36113">
        <w:rPr>
          <w:rFonts w:asciiTheme="minorHAnsi" w:hAnsiTheme="minorHAnsi" w:cstheme="minorHAnsi"/>
          <w:b/>
        </w:rPr>
        <w:t xml:space="preserve"> risk to this operation.</w:t>
      </w:r>
      <w:r w:rsidRPr="00E36113">
        <w:rPr>
          <w:rFonts w:asciiTheme="minorHAnsi" w:hAnsiTheme="minorHAnsi" w:cstheme="minorHAnsi"/>
        </w:rPr>
        <w:t xml:space="preserve"> Madagascar ranks among the countries most exposed to droughts, floods and cyclones. Severe natural hazards present threats to public health, food security, and the </w:t>
      </w:r>
      <w:r w:rsidR="0085470E">
        <w:rPr>
          <w:rFonts w:asciiTheme="minorHAnsi" w:hAnsiTheme="minorHAnsi" w:cstheme="minorHAnsi"/>
        </w:rPr>
        <w:t>G</w:t>
      </w:r>
      <w:r w:rsidRPr="0085470E">
        <w:rPr>
          <w:rFonts w:asciiTheme="minorHAnsi" w:hAnsiTheme="minorHAnsi" w:cstheme="minorHAnsi"/>
        </w:rPr>
        <w:t>overnment’s poverty reduction goals.</w:t>
      </w:r>
      <w:r w:rsidR="009C619A" w:rsidRPr="00A46F16">
        <w:rPr>
          <w:rFonts w:asciiTheme="minorHAnsi" w:hAnsiTheme="minorHAnsi" w:cstheme="minorHAnsi"/>
        </w:rPr>
        <w:t xml:space="preserve"> Natural disasters can also have a significant impact on the fiscal framework. This </w:t>
      </w:r>
      <w:r w:rsidR="005935A2" w:rsidRPr="00A46F16">
        <w:rPr>
          <w:rFonts w:asciiTheme="minorHAnsi" w:hAnsiTheme="minorHAnsi" w:cstheme="minorHAnsi"/>
        </w:rPr>
        <w:t>risk is mitigated by the ongoing dialogue on enhancing resilience to natural disasters</w:t>
      </w:r>
      <w:r w:rsidR="00737CE2" w:rsidRPr="00805BA2">
        <w:rPr>
          <w:rFonts w:asciiTheme="minorHAnsi" w:hAnsiTheme="minorHAnsi" w:cstheme="minorHAnsi"/>
        </w:rPr>
        <w:t>,</w:t>
      </w:r>
      <w:r w:rsidR="009C619A" w:rsidRPr="00805BA2">
        <w:rPr>
          <w:rFonts w:asciiTheme="minorHAnsi" w:hAnsiTheme="minorHAnsi" w:cstheme="minorHAnsi"/>
        </w:rPr>
        <w:t xml:space="preserve"> and support being provided by the </w:t>
      </w:r>
      <w:r w:rsidR="00406280">
        <w:rPr>
          <w:rFonts w:asciiTheme="minorHAnsi" w:hAnsiTheme="minorHAnsi" w:cstheme="minorHAnsi"/>
        </w:rPr>
        <w:t xml:space="preserve">World </w:t>
      </w:r>
      <w:r w:rsidR="009C619A" w:rsidRPr="00406280">
        <w:rPr>
          <w:rFonts w:asciiTheme="minorHAnsi" w:hAnsiTheme="minorHAnsi" w:cstheme="minorHAnsi"/>
        </w:rPr>
        <w:t xml:space="preserve">Bank and other partners. </w:t>
      </w:r>
      <w:r w:rsidRPr="00406280">
        <w:rPr>
          <w:rFonts w:asciiTheme="minorHAnsi" w:hAnsiTheme="minorHAnsi" w:cstheme="minorHAnsi"/>
        </w:rPr>
        <w:t>For example, the World Bank is currently supporting the rehabilitation of cyclone and flood early warning systems an</w:t>
      </w:r>
      <w:r w:rsidRPr="00601B29">
        <w:rPr>
          <w:rFonts w:asciiTheme="minorHAnsi" w:hAnsiTheme="minorHAnsi" w:cstheme="minorHAnsi"/>
        </w:rPr>
        <w:t xml:space="preserve">d hydro meteorological station nationwide. </w:t>
      </w:r>
      <w:r w:rsidR="009C619A" w:rsidRPr="0085470E">
        <w:rPr>
          <w:rFonts w:asciiTheme="minorHAnsi" w:hAnsiTheme="minorHAnsi" w:cstheme="minorHAnsi"/>
        </w:rPr>
        <w:t xml:space="preserve">However, the impact of natural disasters cannot be totally controlled. </w:t>
      </w:r>
    </w:p>
    <w:p w14:paraId="4F2C7B7E" w14:textId="77777777" w:rsidR="00617F77" w:rsidRPr="00E36113" w:rsidRDefault="00617F77" w:rsidP="00A8216F">
      <w:pPr>
        <w:pStyle w:val="ListParagraph"/>
        <w:numPr>
          <w:ilvl w:val="0"/>
          <w:numId w:val="44"/>
        </w:numPr>
        <w:tabs>
          <w:tab w:val="left" w:pos="450"/>
          <w:tab w:val="num" w:pos="630"/>
        </w:tabs>
        <w:autoSpaceDE w:val="0"/>
        <w:autoSpaceDN w:val="0"/>
        <w:adjustRightInd w:val="0"/>
        <w:spacing w:after="240" w:line="240" w:lineRule="auto"/>
        <w:ind w:left="0" w:firstLine="0"/>
        <w:jc w:val="both"/>
        <w:rPr>
          <w:rFonts w:asciiTheme="minorHAnsi" w:hAnsiTheme="minorHAnsi" w:cstheme="minorHAnsi"/>
        </w:rPr>
        <w:sectPr w:rsidR="00617F77" w:rsidRPr="00E36113" w:rsidSect="008D6728">
          <w:footerReference w:type="default" r:id="rId18"/>
          <w:pgSz w:w="12240" w:h="15840"/>
          <w:pgMar w:top="1440" w:right="1440" w:bottom="1440" w:left="1440" w:header="720" w:footer="720" w:gutter="0"/>
          <w:pgNumType w:start="1"/>
          <w:cols w:space="720"/>
          <w:noEndnote/>
          <w:docGrid w:linePitch="299"/>
        </w:sectPr>
      </w:pPr>
    </w:p>
    <w:p w14:paraId="788A74F3" w14:textId="77777777" w:rsidR="003862B7" w:rsidRPr="00E36113" w:rsidRDefault="003862B7" w:rsidP="00F87395">
      <w:pPr>
        <w:rPr>
          <w:rFonts w:asciiTheme="minorHAnsi" w:hAnsiTheme="minorHAnsi" w:cstheme="minorHAnsi"/>
        </w:rPr>
      </w:pPr>
    </w:p>
    <w:p w14:paraId="72B588DB" w14:textId="77777777" w:rsidR="008A261B" w:rsidRPr="00E36113" w:rsidRDefault="00F87395" w:rsidP="00AC14EF">
      <w:pPr>
        <w:pStyle w:val="Heading3"/>
        <w:rPr>
          <w:rFonts w:asciiTheme="minorHAnsi" w:hAnsiTheme="minorHAnsi" w:cstheme="minorHAnsi"/>
        </w:rPr>
      </w:pPr>
      <w:bookmarkStart w:id="23" w:name="_Toc496204257"/>
      <w:r w:rsidRPr="00E36113">
        <w:rPr>
          <w:rFonts w:asciiTheme="minorHAnsi" w:hAnsiTheme="minorHAnsi" w:cstheme="minorHAnsi"/>
        </w:rPr>
        <w:t>ANNEX 1: POLICY AND RESULTS MATRIX</w:t>
      </w:r>
      <w:bookmarkEnd w:id="23"/>
    </w:p>
    <w:tbl>
      <w:tblPr>
        <w:tblW w:w="5000" w:type="pct"/>
        <w:jc w:val="center"/>
        <w:tblCellMar>
          <w:left w:w="0" w:type="dxa"/>
          <w:right w:w="0" w:type="dxa"/>
        </w:tblCellMar>
        <w:tblLook w:val="04A0" w:firstRow="1" w:lastRow="0" w:firstColumn="1" w:lastColumn="0" w:noHBand="0" w:noVBand="1"/>
      </w:tblPr>
      <w:tblGrid>
        <w:gridCol w:w="3532"/>
        <w:gridCol w:w="3672"/>
        <w:gridCol w:w="4011"/>
        <w:gridCol w:w="3510"/>
      </w:tblGrid>
      <w:tr w:rsidR="003C79BC" w:rsidRPr="00B66802" w14:paraId="652714BE" w14:textId="77777777" w:rsidTr="0082774F">
        <w:trPr>
          <w:trHeight w:val="592"/>
          <w:jc w:val="center"/>
        </w:trPr>
        <w:tc>
          <w:tcPr>
            <w:tcW w:w="1199" w:type="pct"/>
            <w:tcBorders>
              <w:top w:val="single" w:sz="8" w:space="0" w:color="000000"/>
              <w:left w:val="single" w:sz="8" w:space="0" w:color="000000"/>
              <w:bottom w:val="nil"/>
              <w:right w:val="single" w:sz="8" w:space="0" w:color="000000"/>
            </w:tcBorders>
            <w:shd w:val="clear" w:color="auto" w:fill="BFBFBF" w:themeFill="background1" w:themeFillShade="BF"/>
          </w:tcPr>
          <w:p w14:paraId="11C93322" w14:textId="77777777" w:rsidR="003C79BC" w:rsidRPr="00E36113" w:rsidRDefault="003C79BC" w:rsidP="008C0D36">
            <w:pPr>
              <w:spacing w:after="0" w:line="240" w:lineRule="auto"/>
              <w:ind w:left="187" w:right="115"/>
              <w:jc w:val="both"/>
              <w:rPr>
                <w:rFonts w:asciiTheme="minorHAnsi" w:hAnsiTheme="minorHAnsi" w:cstheme="minorHAnsi"/>
                <w:b/>
                <w:bCs/>
                <w:spacing w:val="2"/>
                <w:sz w:val="20"/>
                <w:szCs w:val="20"/>
              </w:rPr>
            </w:pPr>
            <w:r w:rsidRPr="00E36113">
              <w:rPr>
                <w:rFonts w:asciiTheme="minorHAnsi" w:hAnsiTheme="minorHAnsi" w:cstheme="minorHAnsi"/>
                <w:b/>
                <w:bCs/>
                <w:spacing w:val="2"/>
                <w:sz w:val="20"/>
                <w:szCs w:val="20"/>
              </w:rPr>
              <w:t xml:space="preserve">Rationale </w:t>
            </w:r>
          </w:p>
        </w:tc>
        <w:tc>
          <w:tcPr>
            <w:tcW w:w="1247" w:type="pct"/>
            <w:tcBorders>
              <w:top w:val="single" w:sz="8" w:space="0" w:color="000000"/>
              <w:left w:val="single" w:sz="8" w:space="0" w:color="000000"/>
              <w:bottom w:val="nil"/>
              <w:right w:val="single" w:sz="8" w:space="0" w:color="000000"/>
            </w:tcBorders>
            <w:shd w:val="clear" w:color="auto" w:fill="BFBFBF" w:themeFill="background1" w:themeFillShade="BF"/>
          </w:tcPr>
          <w:p w14:paraId="6EBB6196" w14:textId="77777777" w:rsidR="003C79BC" w:rsidRPr="00E36113" w:rsidRDefault="003C79BC" w:rsidP="008C0D36">
            <w:pPr>
              <w:spacing w:after="0" w:line="240" w:lineRule="auto"/>
              <w:ind w:left="187" w:right="115"/>
              <w:jc w:val="both"/>
              <w:rPr>
                <w:rFonts w:asciiTheme="minorHAnsi" w:hAnsiTheme="minorHAnsi" w:cstheme="minorHAnsi"/>
                <w:b/>
                <w:bCs/>
                <w:spacing w:val="2"/>
                <w:sz w:val="20"/>
                <w:szCs w:val="20"/>
              </w:rPr>
            </w:pPr>
            <w:r w:rsidRPr="00E36113">
              <w:rPr>
                <w:rFonts w:asciiTheme="minorHAnsi" w:hAnsiTheme="minorHAnsi" w:cstheme="minorHAnsi"/>
                <w:b/>
                <w:bCs/>
                <w:spacing w:val="2"/>
                <w:sz w:val="20"/>
                <w:szCs w:val="20"/>
              </w:rPr>
              <w:t xml:space="preserve">Prior Action (2016) </w:t>
            </w:r>
          </w:p>
          <w:p w14:paraId="259BA736" w14:textId="77777777" w:rsidR="003C79BC" w:rsidRPr="00E36113" w:rsidRDefault="003C79BC" w:rsidP="008C0D36">
            <w:pPr>
              <w:spacing w:after="0" w:line="240" w:lineRule="auto"/>
              <w:ind w:left="187" w:right="115"/>
              <w:jc w:val="both"/>
              <w:rPr>
                <w:rFonts w:asciiTheme="minorHAnsi" w:hAnsiTheme="minorHAnsi" w:cstheme="minorHAnsi"/>
                <w:b/>
                <w:bCs/>
                <w:spacing w:val="2"/>
                <w:sz w:val="20"/>
                <w:szCs w:val="20"/>
              </w:rPr>
            </w:pPr>
            <w:r w:rsidRPr="00E36113">
              <w:rPr>
                <w:rFonts w:asciiTheme="minorHAnsi" w:hAnsiTheme="minorHAnsi" w:cstheme="minorHAnsi"/>
                <w:b/>
                <w:bCs/>
                <w:spacing w:val="2"/>
                <w:sz w:val="20"/>
                <w:szCs w:val="20"/>
              </w:rPr>
              <w:t>(DPO 1)</w:t>
            </w:r>
          </w:p>
        </w:tc>
        <w:tc>
          <w:tcPr>
            <w:tcW w:w="1362" w:type="pct"/>
            <w:tcBorders>
              <w:top w:val="single" w:sz="8" w:space="0" w:color="000000"/>
              <w:left w:val="single" w:sz="8" w:space="0" w:color="000000"/>
              <w:bottom w:val="nil"/>
              <w:right w:val="single" w:sz="8" w:space="0" w:color="000000"/>
            </w:tcBorders>
            <w:shd w:val="clear" w:color="auto" w:fill="BFBFBF" w:themeFill="background1" w:themeFillShade="BF"/>
          </w:tcPr>
          <w:p w14:paraId="5F6A95DC" w14:textId="77777777" w:rsidR="003C79BC" w:rsidRPr="00E36113" w:rsidRDefault="003C79BC" w:rsidP="008C0D36">
            <w:pPr>
              <w:spacing w:after="0" w:line="240" w:lineRule="auto"/>
              <w:ind w:left="187" w:right="115"/>
              <w:jc w:val="both"/>
              <w:rPr>
                <w:rFonts w:asciiTheme="minorHAnsi" w:hAnsiTheme="minorHAnsi" w:cstheme="minorHAnsi"/>
                <w:b/>
                <w:bCs/>
                <w:sz w:val="20"/>
                <w:szCs w:val="20"/>
              </w:rPr>
            </w:pPr>
            <w:r w:rsidRPr="00E36113">
              <w:rPr>
                <w:rFonts w:asciiTheme="minorHAnsi" w:hAnsiTheme="minorHAnsi" w:cstheme="minorHAnsi"/>
                <w:b/>
                <w:bCs/>
                <w:spacing w:val="2"/>
                <w:sz w:val="20"/>
                <w:szCs w:val="20"/>
              </w:rPr>
              <w:t>Prior Action</w:t>
            </w:r>
            <w:r w:rsidRPr="00E36113">
              <w:rPr>
                <w:rFonts w:asciiTheme="minorHAnsi" w:hAnsiTheme="minorHAnsi" w:cstheme="minorHAnsi"/>
                <w:b/>
                <w:bCs/>
                <w:spacing w:val="-2"/>
                <w:sz w:val="20"/>
                <w:szCs w:val="20"/>
              </w:rPr>
              <w:t xml:space="preserve"> (</w:t>
            </w:r>
            <w:r w:rsidRPr="00E36113">
              <w:rPr>
                <w:rFonts w:asciiTheme="minorHAnsi" w:hAnsiTheme="minorHAnsi" w:cstheme="minorHAnsi"/>
                <w:b/>
                <w:bCs/>
                <w:sz w:val="20"/>
                <w:szCs w:val="20"/>
              </w:rPr>
              <w:t xml:space="preserve">2017) </w:t>
            </w:r>
          </w:p>
          <w:p w14:paraId="1704118F" w14:textId="77777777" w:rsidR="003C79BC" w:rsidRPr="00E36113" w:rsidRDefault="003C79BC" w:rsidP="008C0D36">
            <w:pPr>
              <w:spacing w:after="0" w:line="240" w:lineRule="auto"/>
              <w:ind w:left="187" w:right="115"/>
              <w:jc w:val="both"/>
              <w:rPr>
                <w:rFonts w:asciiTheme="minorHAnsi" w:hAnsiTheme="minorHAnsi" w:cstheme="minorHAnsi"/>
                <w:sz w:val="20"/>
                <w:szCs w:val="20"/>
              </w:rPr>
            </w:pPr>
            <w:r w:rsidRPr="00E36113">
              <w:rPr>
                <w:rFonts w:asciiTheme="minorHAnsi" w:hAnsiTheme="minorHAnsi" w:cstheme="minorHAnsi"/>
                <w:b/>
                <w:bCs/>
                <w:sz w:val="20"/>
                <w:szCs w:val="20"/>
              </w:rPr>
              <w:t>(</w:t>
            </w:r>
            <w:r w:rsidRPr="00E36113">
              <w:rPr>
                <w:rFonts w:asciiTheme="minorHAnsi" w:hAnsiTheme="minorHAnsi" w:cstheme="minorHAnsi"/>
                <w:b/>
                <w:bCs/>
                <w:spacing w:val="2"/>
                <w:sz w:val="20"/>
                <w:szCs w:val="20"/>
              </w:rPr>
              <w:t>DPO 2)</w:t>
            </w:r>
          </w:p>
        </w:tc>
        <w:tc>
          <w:tcPr>
            <w:tcW w:w="1192" w:type="pct"/>
            <w:tcBorders>
              <w:top w:val="single" w:sz="4" w:space="0" w:color="auto"/>
              <w:left w:val="single" w:sz="4" w:space="0" w:color="auto"/>
              <w:bottom w:val="nil"/>
              <w:right w:val="single" w:sz="4" w:space="0" w:color="auto"/>
            </w:tcBorders>
            <w:shd w:val="clear" w:color="auto" w:fill="BFBFBF" w:themeFill="background1" w:themeFillShade="BF"/>
          </w:tcPr>
          <w:p w14:paraId="12225F5D" w14:textId="77777777" w:rsidR="003C79BC" w:rsidRPr="00E36113" w:rsidRDefault="003C79BC" w:rsidP="008C0D36">
            <w:pPr>
              <w:spacing w:after="0" w:line="240" w:lineRule="auto"/>
              <w:ind w:left="245"/>
              <w:rPr>
                <w:rFonts w:asciiTheme="minorHAnsi" w:hAnsiTheme="minorHAnsi" w:cstheme="minorHAnsi"/>
                <w:b/>
                <w:bCs/>
                <w:spacing w:val="-1"/>
                <w:sz w:val="20"/>
                <w:szCs w:val="20"/>
              </w:rPr>
            </w:pPr>
            <w:r w:rsidRPr="00E36113">
              <w:rPr>
                <w:rFonts w:asciiTheme="minorHAnsi" w:hAnsiTheme="minorHAnsi" w:cstheme="minorHAnsi"/>
                <w:b/>
                <w:bCs/>
                <w:spacing w:val="-1"/>
                <w:sz w:val="20"/>
                <w:szCs w:val="20"/>
              </w:rPr>
              <w:t>Results</w:t>
            </w:r>
            <w:r w:rsidRPr="00E36113">
              <w:rPr>
                <w:rFonts w:asciiTheme="minorHAnsi" w:hAnsiTheme="minorHAnsi" w:cstheme="minorHAnsi"/>
                <w:b/>
                <w:bCs/>
                <w:sz w:val="20"/>
                <w:szCs w:val="20"/>
              </w:rPr>
              <w:t xml:space="preserve"> (2019)</w:t>
            </w:r>
          </w:p>
        </w:tc>
      </w:tr>
      <w:tr w:rsidR="003C79BC" w:rsidRPr="00B66802" w14:paraId="3E13ACC5" w14:textId="77777777" w:rsidTr="001E0B68">
        <w:trPr>
          <w:trHeight w:val="340"/>
          <w:jc w:val="center"/>
        </w:trPr>
        <w:tc>
          <w:tcPr>
            <w:tcW w:w="5000" w:type="pct"/>
            <w:gridSpan w:val="4"/>
            <w:tcBorders>
              <w:top w:val="single" w:sz="8" w:space="0" w:color="000000"/>
              <w:left w:val="single" w:sz="8" w:space="0" w:color="000000"/>
              <w:bottom w:val="nil"/>
              <w:right w:val="single" w:sz="8" w:space="0" w:color="000000"/>
            </w:tcBorders>
            <w:shd w:val="clear" w:color="auto" w:fill="F2F2F2" w:themeFill="background1" w:themeFillShade="F2"/>
          </w:tcPr>
          <w:p w14:paraId="2753B98E" w14:textId="0872E903" w:rsidR="003C79BC" w:rsidRPr="00B66802" w:rsidRDefault="003C79BC" w:rsidP="008C0D36">
            <w:pPr>
              <w:spacing w:after="0" w:line="240" w:lineRule="auto"/>
              <w:ind w:left="245"/>
              <w:jc w:val="center"/>
              <w:rPr>
                <w:rFonts w:asciiTheme="minorHAnsi" w:hAnsiTheme="minorHAnsi" w:cstheme="minorHAnsi"/>
                <w:b/>
                <w:bCs/>
                <w:i/>
                <w:iCs/>
                <w:sz w:val="20"/>
                <w:szCs w:val="20"/>
              </w:rPr>
            </w:pPr>
            <w:r w:rsidRPr="00B66802">
              <w:rPr>
                <w:rFonts w:asciiTheme="minorHAnsi" w:hAnsiTheme="minorHAnsi" w:cstheme="minorHAnsi"/>
                <w:b/>
                <w:bCs/>
                <w:i/>
                <w:iCs/>
                <w:sz w:val="20"/>
                <w:szCs w:val="20"/>
              </w:rPr>
              <w:t xml:space="preserve">Pillar A: </w:t>
            </w:r>
            <w:r w:rsidR="00F00A7C" w:rsidRPr="004C6EBE">
              <w:rPr>
                <w:rFonts w:asciiTheme="minorHAnsi" w:eastAsia="Times New Roman" w:hAnsiTheme="minorHAnsi" w:cstheme="minorHAnsi"/>
                <w:b/>
                <w:sz w:val="20"/>
                <w:szCs w:val="20"/>
              </w:rPr>
              <w:t>Strengthen the fiscal framework by creating fiscal space to support priority</w:t>
            </w:r>
            <w:r w:rsidR="00F00A7C" w:rsidRPr="0007045E">
              <w:rPr>
                <w:rFonts w:asciiTheme="minorHAnsi" w:eastAsia="Times New Roman" w:hAnsiTheme="minorHAnsi" w:cstheme="minorHAnsi"/>
                <w:sz w:val="20"/>
                <w:szCs w:val="20"/>
              </w:rPr>
              <w:t xml:space="preserve"> </w:t>
            </w:r>
            <w:r w:rsidR="00F00A7C" w:rsidRPr="004C6EBE">
              <w:rPr>
                <w:rFonts w:asciiTheme="minorHAnsi" w:eastAsia="Times New Roman" w:hAnsiTheme="minorHAnsi" w:cstheme="minorHAnsi"/>
                <w:b/>
                <w:sz w:val="20"/>
                <w:szCs w:val="20"/>
              </w:rPr>
              <w:t>expenditures</w:t>
            </w:r>
          </w:p>
        </w:tc>
      </w:tr>
      <w:tr w:rsidR="003C79BC" w:rsidRPr="00B66802" w14:paraId="76BFB9CE" w14:textId="77777777" w:rsidTr="0082774F">
        <w:trPr>
          <w:trHeight w:val="430"/>
          <w:jc w:val="center"/>
        </w:trPr>
        <w:tc>
          <w:tcPr>
            <w:tcW w:w="1199" w:type="pct"/>
            <w:tcBorders>
              <w:top w:val="single" w:sz="8" w:space="0" w:color="000000"/>
              <w:left w:val="single" w:sz="8" w:space="0" w:color="000000"/>
              <w:bottom w:val="single" w:sz="4" w:space="0" w:color="auto"/>
              <w:right w:val="single" w:sz="8" w:space="0" w:color="000000"/>
            </w:tcBorders>
          </w:tcPr>
          <w:p w14:paraId="13D7E3CD" w14:textId="77777777" w:rsidR="003C79BC" w:rsidRPr="00B66802" w:rsidRDefault="003C79BC" w:rsidP="008C0D36">
            <w:pPr>
              <w:spacing w:after="0" w:line="240" w:lineRule="auto"/>
              <w:ind w:left="245"/>
              <w:rPr>
                <w:rFonts w:asciiTheme="minorHAnsi" w:hAnsiTheme="minorHAnsi" w:cstheme="minorHAnsi"/>
                <w:b/>
                <w:sz w:val="20"/>
                <w:szCs w:val="20"/>
              </w:rPr>
            </w:pPr>
          </w:p>
        </w:tc>
        <w:tc>
          <w:tcPr>
            <w:tcW w:w="1247" w:type="pct"/>
            <w:tcBorders>
              <w:top w:val="single" w:sz="8" w:space="0" w:color="000000"/>
              <w:left w:val="single" w:sz="8" w:space="0" w:color="000000"/>
              <w:bottom w:val="single" w:sz="4" w:space="0" w:color="auto"/>
              <w:right w:val="single" w:sz="8" w:space="0" w:color="000000"/>
            </w:tcBorders>
          </w:tcPr>
          <w:p w14:paraId="5C4AE7F8" w14:textId="77777777" w:rsidR="003C79BC" w:rsidRPr="00BD4A16" w:rsidRDefault="003C79BC" w:rsidP="008C0D36">
            <w:pPr>
              <w:spacing w:after="0" w:line="240" w:lineRule="auto"/>
              <w:ind w:left="245"/>
              <w:rPr>
                <w:rFonts w:asciiTheme="minorHAnsi" w:hAnsiTheme="minorHAnsi" w:cstheme="minorHAnsi"/>
                <w:b/>
                <w:sz w:val="20"/>
                <w:szCs w:val="20"/>
              </w:rPr>
            </w:pPr>
            <w:r w:rsidRPr="00BD4A16">
              <w:rPr>
                <w:rFonts w:asciiTheme="minorHAnsi" w:hAnsiTheme="minorHAnsi" w:cstheme="minorHAnsi"/>
                <w:b/>
                <w:sz w:val="20"/>
                <w:szCs w:val="20"/>
              </w:rPr>
              <w:t>1.1 Increasing tax revenues</w:t>
            </w:r>
          </w:p>
        </w:tc>
        <w:tc>
          <w:tcPr>
            <w:tcW w:w="1362" w:type="pct"/>
            <w:tcBorders>
              <w:top w:val="single" w:sz="8" w:space="0" w:color="000000"/>
              <w:left w:val="single" w:sz="8" w:space="0" w:color="000000"/>
              <w:bottom w:val="single" w:sz="4" w:space="0" w:color="auto"/>
              <w:right w:val="single" w:sz="8" w:space="0" w:color="000000"/>
            </w:tcBorders>
          </w:tcPr>
          <w:p w14:paraId="40B1ED49" w14:textId="77777777" w:rsidR="003C79BC" w:rsidRPr="00DC050B" w:rsidRDefault="003C79BC" w:rsidP="008C0D36">
            <w:pPr>
              <w:spacing w:after="0" w:line="240" w:lineRule="auto"/>
              <w:ind w:left="245"/>
              <w:rPr>
                <w:rFonts w:asciiTheme="minorHAnsi" w:hAnsiTheme="minorHAnsi" w:cstheme="minorHAnsi"/>
                <w:b/>
                <w:sz w:val="20"/>
                <w:szCs w:val="20"/>
              </w:rPr>
            </w:pPr>
          </w:p>
        </w:tc>
        <w:tc>
          <w:tcPr>
            <w:tcW w:w="1192" w:type="pct"/>
            <w:tcBorders>
              <w:top w:val="single" w:sz="8" w:space="0" w:color="000000"/>
              <w:left w:val="single" w:sz="8" w:space="0" w:color="000000"/>
              <w:bottom w:val="single" w:sz="4" w:space="0" w:color="auto"/>
              <w:right w:val="single" w:sz="8" w:space="0" w:color="000000"/>
            </w:tcBorders>
          </w:tcPr>
          <w:p w14:paraId="04E8DB58" w14:textId="77777777" w:rsidR="003C79BC" w:rsidRPr="00DC050B" w:rsidRDefault="003C79BC" w:rsidP="008C0D36">
            <w:pPr>
              <w:spacing w:after="0" w:line="240" w:lineRule="auto"/>
              <w:ind w:left="245"/>
              <w:rPr>
                <w:rFonts w:asciiTheme="minorHAnsi" w:hAnsiTheme="minorHAnsi" w:cstheme="minorHAnsi"/>
                <w:b/>
                <w:sz w:val="20"/>
                <w:szCs w:val="20"/>
              </w:rPr>
            </w:pPr>
          </w:p>
        </w:tc>
      </w:tr>
      <w:tr w:rsidR="003C79BC" w:rsidRPr="00B66802" w14:paraId="399C850D" w14:textId="77777777" w:rsidTr="0082774F">
        <w:trPr>
          <w:trHeight w:val="440"/>
          <w:jc w:val="center"/>
        </w:trPr>
        <w:tc>
          <w:tcPr>
            <w:tcW w:w="1199" w:type="pct"/>
            <w:tcBorders>
              <w:top w:val="single" w:sz="4" w:space="0" w:color="auto"/>
              <w:left w:val="single" w:sz="4" w:space="0" w:color="auto"/>
              <w:bottom w:val="nil"/>
              <w:right w:val="single" w:sz="4" w:space="0" w:color="auto"/>
            </w:tcBorders>
          </w:tcPr>
          <w:p w14:paraId="344806DA" w14:textId="77777777" w:rsidR="003C79BC" w:rsidRPr="00BD4A16" w:rsidRDefault="003C79BC" w:rsidP="008C0D36">
            <w:pPr>
              <w:spacing w:after="0" w:line="240" w:lineRule="auto"/>
              <w:ind w:left="187" w:right="115"/>
              <w:rPr>
                <w:rFonts w:asciiTheme="minorHAnsi" w:hAnsiTheme="minorHAnsi" w:cstheme="minorHAnsi"/>
                <w:sz w:val="20"/>
                <w:szCs w:val="20"/>
              </w:rPr>
            </w:pPr>
            <w:r w:rsidRPr="00B66802">
              <w:rPr>
                <w:rFonts w:asciiTheme="minorHAnsi" w:hAnsiTheme="minorHAnsi" w:cstheme="minorHAnsi"/>
                <w:sz w:val="20"/>
                <w:szCs w:val="20"/>
              </w:rPr>
              <w:t xml:space="preserve">Tax revenue in Madagascar is low relative to peer countries. While tax policy is sound, tax administration is weak due to poor levels of governance, which was exacerbated during the political crisis. As part of the Government’s development </w:t>
            </w:r>
            <w:r w:rsidRPr="00BD4A16">
              <w:rPr>
                <w:rFonts w:asciiTheme="minorHAnsi" w:hAnsiTheme="minorHAnsi" w:cstheme="minorHAnsi"/>
                <w:sz w:val="20"/>
                <w:szCs w:val="20"/>
              </w:rPr>
              <w:t>program and PFM strategy a number of tax administration reforms are underway. This DPO supports two areas of tax administration:</w:t>
            </w:r>
          </w:p>
          <w:p w14:paraId="4A3BAC24" w14:textId="77777777" w:rsidR="003C79BC" w:rsidRPr="00DC050B" w:rsidRDefault="003C79BC" w:rsidP="008B00C1">
            <w:pPr>
              <w:pStyle w:val="ListParagraph"/>
              <w:numPr>
                <w:ilvl w:val="0"/>
                <w:numId w:val="19"/>
              </w:numPr>
              <w:spacing w:after="0" w:line="240" w:lineRule="auto"/>
              <w:ind w:left="187" w:right="115"/>
              <w:rPr>
                <w:rFonts w:asciiTheme="minorHAnsi" w:hAnsiTheme="minorHAnsi" w:cstheme="minorHAnsi"/>
                <w:b/>
                <w:sz w:val="20"/>
                <w:szCs w:val="20"/>
              </w:rPr>
            </w:pPr>
            <w:r w:rsidRPr="00DC050B">
              <w:rPr>
                <w:rFonts w:asciiTheme="minorHAnsi" w:hAnsiTheme="minorHAnsi" w:cstheme="minorHAnsi"/>
                <w:sz w:val="20"/>
                <w:szCs w:val="20"/>
              </w:rPr>
              <w:t>Rationalizing tax expenditures and exemptions by improving the institutional framework on customs exemptions and increasing transparency on tax expenditures as a basis for improved decision-making; and (ii) improving customs and tax controls through risk-based and objective audits, which focus on high-risk economic operators</w:t>
            </w:r>
          </w:p>
        </w:tc>
        <w:tc>
          <w:tcPr>
            <w:tcW w:w="1247" w:type="pct"/>
            <w:tcBorders>
              <w:top w:val="single" w:sz="4" w:space="0" w:color="auto"/>
              <w:left w:val="single" w:sz="4" w:space="0" w:color="auto"/>
              <w:bottom w:val="nil"/>
              <w:right w:val="single" w:sz="4" w:space="0" w:color="auto"/>
            </w:tcBorders>
          </w:tcPr>
          <w:p w14:paraId="6E47BDD6" w14:textId="77777777" w:rsidR="003C79BC" w:rsidRPr="00A20F63" w:rsidRDefault="003C79BC" w:rsidP="008C0D36">
            <w:pPr>
              <w:spacing w:after="0" w:line="240" w:lineRule="auto"/>
              <w:ind w:left="187" w:right="115"/>
              <w:jc w:val="both"/>
              <w:rPr>
                <w:rFonts w:asciiTheme="minorHAnsi" w:hAnsiTheme="minorHAnsi" w:cstheme="minorHAnsi"/>
                <w:sz w:val="20"/>
                <w:szCs w:val="20"/>
              </w:rPr>
            </w:pPr>
            <w:r w:rsidRPr="006C66C2">
              <w:rPr>
                <w:rFonts w:asciiTheme="minorHAnsi" w:hAnsiTheme="minorHAnsi" w:cstheme="minorHAnsi"/>
                <w:b/>
                <w:sz w:val="20"/>
                <w:szCs w:val="20"/>
              </w:rPr>
              <w:t>PA#1.</w:t>
            </w:r>
            <w:r w:rsidRPr="006C66C2">
              <w:rPr>
                <w:rFonts w:asciiTheme="minorHAnsi" w:hAnsiTheme="minorHAnsi" w:cstheme="minorHAnsi"/>
                <w:sz w:val="20"/>
                <w:szCs w:val="20"/>
              </w:rPr>
              <w:t xml:space="preserve"> The Recipient has, through its Ministry of Finance and Budget, issued an </w:t>
            </w:r>
            <w:r w:rsidRPr="006C66C2">
              <w:rPr>
                <w:rFonts w:asciiTheme="minorHAnsi" w:hAnsiTheme="minorHAnsi" w:cstheme="minorHAnsi"/>
                <w:i/>
                <w:sz w:val="20"/>
                <w:szCs w:val="20"/>
              </w:rPr>
              <w:t>Arrêté portant exonération des droits et taxes à l’importation</w:t>
            </w:r>
            <w:r w:rsidRPr="00A20F63">
              <w:rPr>
                <w:rFonts w:asciiTheme="minorHAnsi" w:hAnsiTheme="minorHAnsi" w:cstheme="minorHAnsi"/>
                <w:sz w:val="20"/>
                <w:szCs w:val="20"/>
              </w:rPr>
              <w:t xml:space="preserve"> that restricts the scope of the customs exemption regime in the Customs Code dated May 4, 2016 (N° 10416/2016/MFB/SG/DGD).</w:t>
            </w:r>
          </w:p>
          <w:p w14:paraId="514AB600" w14:textId="77777777" w:rsidR="003C79BC" w:rsidRPr="00A20F63" w:rsidRDefault="003C79BC" w:rsidP="008C0D36">
            <w:pPr>
              <w:spacing w:after="0" w:line="240" w:lineRule="auto"/>
              <w:ind w:left="187" w:right="115"/>
              <w:jc w:val="both"/>
              <w:rPr>
                <w:rFonts w:asciiTheme="minorHAnsi" w:hAnsiTheme="minorHAnsi" w:cstheme="minorHAnsi"/>
                <w:sz w:val="20"/>
                <w:szCs w:val="20"/>
              </w:rPr>
            </w:pPr>
          </w:p>
          <w:p w14:paraId="3A34F032" w14:textId="77777777" w:rsidR="003C79BC" w:rsidRPr="00A20F63" w:rsidRDefault="003C79BC" w:rsidP="008C0D36">
            <w:pPr>
              <w:spacing w:after="0" w:line="240" w:lineRule="auto"/>
              <w:ind w:left="187" w:right="115"/>
              <w:jc w:val="both"/>
              <w:rPr>
                <w:rFonts w:asciiTheme="minorHAnsi" w:hAnsiTheme="minorHAnsi" w:cstheme="minorHAnsi"/>
                <w:b/>
                <w:sz w:val="20"/>
                <w:szCs w:val="20"/>
              </w:rPr>
            </w:pPr>
            <w:r w:rsidRPr="00A20F63">
              <w:rPr>
                <w:rFonts w:asciiTheme="minorHAnsi" w:hAnsiTheme="minorHAnsi" w:cstheme="minorHAnsi"/>
                <w:b/>
                <w:sz w:val="20"/>
                <w:szCs w:val="20"/>
              </w:rPr>
              <w:t>PA#2.</w:t>
            </w:r>
            <w:r w:rsidRPr="00A20F63">
              <w:rPr>
                <w:rFonts w:asciiTheme="minorHAnsi" w:hAnsiTheme="minorHAnsi" w:cstheme="minorHAnsi"/>
                <w:sz w:val="20"/>
                <w:szCs w:val="20"/>
              </w:rPr>
              <w:t xml:space="preserve"> </w:t>
            </w:r>
            <w:r w:rsidRPr="00A20F63">
              <w:rPr>
                <w:rFonts w:asciiTheme="minorHAnsi" w:hAnsiTheme="minorHAnsi" w:cstheme="minorHAnsi"/>
                <w:bCs/>
                <w:iCs/>
                <w:sz w:val="20"/>
                <w:szCs w:val="20"/>
              </w:rPr>
              <w:t xml:space="preserve">The Recipient has, through two decisions of its General Directorate of Customs dated November 6, 2015 and September 19, 2016 respectively: (a) adopted an expedited custom clearance process based on objective measures for large importers, and (b) established a practice of performance contracts for customs inspectors at the port of </w:t>
            </w:r>
            <w:r w:rsidRPr="00A20F63">
              <w:rPr>
                <w:rFonts w:asciiTheme="minorHAnsi" w:hAnsiTheme="minorHAnsi" w:cstheme="minorHAnsi"/>
                <w:bCs/>
                <w:i/>
                <w:iCs/>
                <w:sz w:val="20"/>
                <w:szCs w:val="20"/>
              </w:rPr>
              <w:t>Toamasina</w:t>
            </w:r>
            <w:r w:rsidRPr="00A20F63">
              <w:rPr>
                <w:rFonts w:asciiTheme="minorHAnsi" w:hAnsiTheme="minorHAnsi" w:cstheme="minorHAnsi"/>
                <w:bCs/>
                <w:iCs/>
                <w:sz w:val="20"/>
                <w:szCs w:val="20"/>
              </w:rPr>
              <w:t>.</w:t>
            </w:r>
          </w:p>
        </w:tc>
        <w:tc>
          <w:tcPr>
            <w:tcW w:w="1362" w:type="pct"/>
            <w:tcBorders>
              <w:top w:val="single" w:sz="4" w:space="0" w:color="auto"/>
              <w:left w:val="single" w:sz="4" w:space="0" w:color="auto"/>
              <w:bottom w:val="nil"/>
              <w:right w:val="single" w:sz="4" w:space="0" w:color="auto"/>
            </w:tcBorders>
          </w:tcPr>
          <w:p w14:paraId="1BEF91F9" w14:textId="0F406AC5" w:rsidR="003C79BC" w:rsidRPr="00B66802" w:rsidRDefault="003C79BC" w:rsidP="0082774F">
            <w:pPr>
              <w:spacing w:after="0" w:line="240" w:lineRule="auto"/>
              <w:ind w:left="187" w:right="115"/>
              <w:rPr>
                <w:rFonts w:asciiTheme="minorHAnsi" w:hAnsiTheme="minorHAnsi" w:cstheme="minorHAnsi"/>
                <w:sz w:val="20"/>
                <w:szCs w:val="20"/>
              </w:rPr>
            </w:pPr>
            <w:r w:rsidRPr="00A20F63">
              <w:rPr>
                <w:rFonts w:asciiTheme="minorHAnsi" w:hAnsiTheme="minorHAnsi" w:cstheme="minorHAnsi"/>
                <w:b/>
                <w:sz w:val="20"/>
                <w:szCs w:val="20"/>
              </w:rPr>
              <w:t>PA#1.</w:t>
            </w:r>
            <w:r w:rsidRPr="00406280">
              <w:rPr>
                <w:rFonts w:asciiTheme="minorHAnsi" w:hAnsiTheme="minorHAnsi" w:cstheme="minorHAnsi"/>
                <w:sz w:val="20"/>
                <w:szCs w:val="20"/>
              </w:rPr>
              <w:t xml:space="preserve"> </w:t>
            </w:r>
            <w:r w:rsidR="003B4A49" w:rsidRPr="004C6EBE">
              <w:rPr>
                <w:rFonts w:asciiTheme="minorHAnsi" w:hAnsiTheme="minorHAnsi" w:cstheme="minorHAnsi"/>
                <w:bCs/>
                <w:iCs/>
                <w:sz w:val="20"/>
                <w:szCs w:val="20"/>
              </w:rPr>
              <w:t xml:space="preserve">The Recipient has, through its </w:t>
            </w:r>
            <w:r w:rsidR="00D67BC0" w:rsidRPr="004C6EBE">
              <w:rPr>
                <w:rFonts w:asciiTheme="minorHAnsi" w:hAnsiTheme="minorHAnsi" w:cstheme="minorHAnsi"/>
                <w:bCs/>
                <w:iCs/>
                <w:sz w:val="20"/>
                <w:szCs w:val="20"/>
              </w:rPr>
              <w:t>Ministry of Finance and Budget</w:t>
            </w:r>
            <w:r w:rsidR="003B4A49" w:rsidRPr="004C6EBE">
              <w:rPr>
                <w:rFonts w:asciiTheme="minorHAnsi" w:hAnsiTheme="minorHAnsi" w:cstheme="minorHAnsi"/>
                <w:bCs/>
                <w:iCs/>
                <w:sz w:val="20"/>
                <w:szCs w:val="20"/>
              </w:rPr>
              <w:t>, published the first annual tax expenditure statement.</w:t>
            </w:r>
          </w:p>
          <w:p w14:paraId="50BFAED6" w14:textId="77777777" w:rsidR="003C79BC" w:rsidRPr="00BD4A16" w:rsidRDefault="003C79BC" w:rsidP="008C0D36">
            <w:pPr>
              <w:spacing w:after="0" w:line="240" w:lineRule="auto"/>
              <w:ind w:left="187" w:right="115"/>
              <w:jc w:val="both"/>
              <w:rPr>
                <w:rFonts w:asciiTheme="minorHAnsi" w:hAnsiTheme="minorHAnsi" w:cstheme="minorHAnsi"/>
                <w:sz w:val="20"/>
                <w:szCs w:val="20"/>
              </w:rPr>
            </w:pPr>
          </w:p>
          <w:p w14:paraId="64A3161E" w14:textId="0D1A2FAB" w:rsidR="003C79BC" w:rsidRPr="00B66802" w:rsidRDefault="003C79BC" w:rsidP="0082774F">
            <w:pPr>
              <w:spacing w:after="0" w:line="240" w:lineRule="auto"/>
              <w:ind w:left="187" w:right="187"/>
              <w:jc w:val="both"/>
              <w:rPr>
                <w:rFonts w:asciiTheme="minorHAnsi" w:hAnsiTheme="minorHAnsi" w:cstheme="minorHAnsi"/>
                <w:sz w:val="20"/>
                <w:szCs w:val="20"/>
              </w:rPr>
            </w:pPr>
            <w:r w:rsidRPr="00DC050B">
              <w:rPr>
                <w:rFonts w:asciiTheme="minorHAnsi" w:hAnsiTheme="minorHAnsi" w:cstheme="minorHAnsi"/>
                <w:b/>
                <w:sz w:val="20"/>
                <w:szCs w:val="20"/>
              </w:rPr>
              <w:t>P#2.</w:t>
            </w:r>
            <w:r w:rsidRPr="00DC050B">
              <w:rPr>
                <w:rFonts w:asciiTheme="minorHAnsi" w:hAnsiTheme="minorHAnsi" w:cstheme="minorHAnsi"/>
                <w:sz w:val="20"/>
                <w:szCs w:val="20"/>
              </w:rPr>
              <w:t xml:space="preserve"> </w:t>
            </w:r>
            <w:r w:rsidR="003B4A49" w:rsidRPr="004C6EBE">
              <w:rPr>
                <w:rFonts w:asciiTheme="minorHAnsi" w:hAnsiTheme="minorHAnsi" w:cstheme="minorHAnsi"/>
                <w:bCs/>
                <w:iCs/>
                <w:sz w:val="20"/>
                <w:szCs w:val="20"/>
              </w:rPr>
              <w:t xml:space="preserve">The Recipient has, through its customs and tax directorates, issued a </w:t>
            </w:r>
            <w:r w:rsidR="003B4A49" w:rsidRPr="004C6EBE">
              <w:rPr>
                <w:rFonts w:asciiTheme="minorHAnsi" w:hAnsiTheme="minorHAnsi" w:cstheme="minorHAnsi"/>
                <w:bCs/>
                <w:i/>
                <w:iCs/>
                <w:sz w:val="20"/>
                <w:szCs w:val="20"/>
              </w:rPr>
              <w:t>Protocole d’Accord</w:t>
            </w:r>
            <w:r w:rsidR="003B4A49" w:rsidRPr="004C6EBE">
              <w:rPr>
                <w:rFonts w:asciiTheme="minorHAnsi" w:hAnsiTheme="minorHAnsi" w:cstheme="minorHAnsi"/>
                <w:bCs/>
                <w:iCs/>
                <w:sz w:val="20"/>
                <w:szCs w:val="20"/>
              </w:rPr>
              <w:t xml:space="preserve"> establishing procedures for verifying customs and tax data for 20 large, high risk importers and exporters, following a risk based approach to reducing fraud and expanding the tax base.</w:t>
            </w:r>
          </w:p>
          <w:p w14:paraId="5F945696" w14:textId="77777777" w:rsidR="003C79BC" w:rsidRPr="00BD4A16" w:rsidRDefault="003C79BC" w:rsidP="008C0D36">
            <w:pPr>
              <w:spacing w:after="0" w:line="240" w:lineRule="auto"/>
              <w:ind w:left="187" w:right="115"/>
              <w:jc w:val="both"/>
              <w:rPr>
                <w:rFonts w:asciiTheme="minorHAnsi" w:hAnsiTheme="minorHAnsi" w:cstheme="minorHAnsi"/>
                <w:sz w:val="20"/>
                <w:szCs w:val="20"/>
              </w:rPr>
            </w:pPr>
          </w:p>
          <w:p w14:paraId="58CAA297" w14:textId="77777777" w:rsidR="003C79BC" w:rsidRPr="00DC050B" w:rsidRDefault="003C79BC" w:rsidP="008C0D36">
            <w:pPr>
              <w:spacing w:after="0" w:line="240" w:lineRule="auto"/>
              <w:ind w:left="240" w:right="300"/>
              <w:jc w:val="both"/>
              <w:rPr>
                <w:rFonts w:asciiTheme="minorHAnsi" w:hAnsiTheme="minorHAnsi" w:cstheme="minorHAnsi"/>
                <w:sz w:val="20"/>
                <w:szCs w:val="20"/>
              </w:rPr>
            </w:pPr>
          </w:p>
          <w:p w14:paraId="70CC5C7C" w14:textId="77777777" w:rsidR="003C79BC" w:rsidRPr="00DC050B" w:rsidRDefault="003C79BC" w:rsidP="008C0D36">
            <w:pPr>
              <w:spacing w:after="0" w:line="240" w:lineRule="auto"/>
              <w:ind w:right="300"/>
              <w:jc w:val="both"/>
              <w:rPr>
                <w:rFonts w:asciiTheme="minorHAnsi" w:hAnsiTheme="minorHAnsi" w:cstheme="minorHAnsi"/>
                <w:sz w:val="20"/>
                <w:szCs w:val="20"/>
              </w:rPr>
            </w:pPr>
            <w:r w:rsidRPr="00DC050B">
              <w:rPr>
                <w:rFonts w:asciiTheme="minorHAnsi" w:hAnsiTheme="minorHAnsi" w:cstheme="minorHAnsi"/>
                <w:sz w:val="20"/>
                <w:szCs w:val="20"/>
              </w:rPr>
              <w:t xml:space="preserve"> </w:t>
            </w:r>
          </w:p>
        </w:tc>
        <w:tc>
          <w:tcPr>
            <w:tcW w:w="1192" w:type="pct"/>
            <w:tcBorders>
              <w:top w:val="single" w:sz="4" w:space="0" w:color="auto"/>
              <w:left w:val="single" w:sz="4" w:space="0" w:color="auto"/>
              <w:bottom w:val="nil"/>
              <w:right w:val="single" w:sz="4" w:space="0" w:color="auto"/>
            </w:tcBorders>
          </w:tcPr>
          <w:p w14:paraId="6B04F4E2" w14:textId="77777777" w:rsidR="003C79BC" w:rsidRPr="00DC050B" w:rsidRDefault="003C79BC" w:rsidP="008C0D36">
            <w:pPr>
              <w:spacing w:after="0" w:line="240" w:lineRule="auto"/>
              <w:ind w:left="245"/>
              <w:rPr>
                <w:rFonts w:asciiTheme="minorHAnsi" w:hAnsiTheme="minorHAnsi" w:cstheme="minorHAnsi"/>
                <w:sz w:val="20"/>
                <w:szCs w:val="20"/>
              </w:rPr>
            </w:pPr>
            <w:r w:rsidRPr="00DC050B">
              <w:rPr>
                <w:rFonts w:asciiTheme="minorHAnsi" w:hAnsiTheme="minorHAnsi" w:cstheme="minorHAnsi"/>
                <w:sz w:val="20"/>
                <w:szCs w:val="20"/>
              </w:rPr>
              <w:t>Revenue effort increased:</w:t>
            </w:r>
          </w:p>
          <w:p w14:paraId="38337B69" w14:textId="4FB0A60F" w:rsidR="003C79BC" w:rsidRPr="00DC050B" w:rsidRDefault="003C79BC" w:rsidP="008C0D36">
            <w:pPr>
              <w:spacing w:after="0" w:line="240" w:lineRule="auto"/>
              <w:ind w:left="245"/>
              <w:rPr>
                <w:rFonts w:asciiTheme="minorHAnsi" w:hAnsiTheme="minorHAnsi" w:cstheme="minorHAnsi"/>
                <w:sz w:val="20"/>
                <w:szCs w:val="20"/>
              </w:rPr>
            </w:pPr>
            <w:r w:rsidRPr="00DC050B">
              <w:rPr>
                <w:rFonts w:asciiTheme="minorHAnsi" w:hAnsiTheme="minorHAnsi" w:cstheme="minorHAnsi"/>
                <w:sz w:val="20"/>
                <w:szCs w:val="20"/>
              </w:rPr>
              <w:t>Baseline: 10.</w:t>
            </w:r>
            <w:r w:rsidR="00AF7D82">
              <w:rPr>
                <w:rFonts w:asciiTheme="minorHAnsi" w:hAnsiTheme="minorHAnsi" w:cstheme="minorHAnsi"/>
                <w:sz w:val="20"/>
                <w:szCs w:val="20"/>
              </w:rPr>
              <w:t>1</w:t>
            </w:r>
            <w:r w:rsidRPr="00DC050B">
              <w:rPr>
                <w:rFonts w:asciiTheme="minorHAnsi" w:hAnsiTheme="minorHAnsi" w:cstheme="minorHAnsi"/>
                <w:sz w:val="20"/>
                <w:szCs w:val="20"/>
              </w:rPr>
              <w:t xml:space="preserve"> percent of GDP (2015)</w:t>
            </w:r>
          </w:p>
          <w:p w14:paraId="2A1247FB" w14:textId="7A00A9AF" w:rsidR="003C79BC" w:rsidRPr="006C66C2" w:rsidRDefault="003C79BC" w:rsidP="008C0D36">
            <w:pPr>
              <w:spacing w:after="0" w:line="240" w:lineRule="auto"/>
              <w:ind w:left="245"/>
              <w:rPr>
                <w:rFonts w:asciiTheme="minorHAnsi" w:hAnsiTheme="minorHAnsi" w:cstheme="minorHAnsi"/>
                <w:sz w:val="20"/>
                <w:szCs w:val="20"/>
              </w:rPr>
            </w:pPr>
            <w:r w:rsidRPr="006C66C2">
              <w:rPr>
                <w:rFonts w:asciiTheme="minorHAnsi" w:hAnsiTheme="minorHAnsi" w:cstheme="minorHAnsi"/>
                <w:sz w:val="20"/>
                <w:szCs w:val="20"/>
              </w:rPr>
              <w:t xml:space="preserve">Intermediate result: 10.9 (2016) </w:t>
            </w:r>
          </w:p>
          <w:p w14:paraId="1A60440C" w14:textId="77777777" w:rsidR="003C79BC" w:rsidRPr="006C66C2" w:rsidRDefault="003C79BC" w:rsidP="008C0D36">
            <w:pPr>
              <w:spacing w:after="0" w:line="240" w:lineRule="auto"/>
              <w:ind w:left="245"/>
              <w:rPr>
                <w:rFonts w:asciiTheme="minorHAnsi" w:hAnsiTheme="minorHAnsi" w:cstheme="minorHAnsi"/>
                <w:sz w:val="20"/>
                <w:szCs w:val="20"/>
              </w:rPr>
            </w:pPr>
            <w:r w:rsidRPr="006C66C2">
              <w:rPr>
                <w:rFonts w:asciiTheme="minorHAnsi" w:hAnsiTheme="minorHAnsi" w:cstheme="minorHAnsi"/>
                <w:sz w:val="20"/>
                <w:szCs w:val="20"/>
              </w:rPr>
              <w:t>Target: 12.0 percent of GDP (2019)</w:t>
            </w:r>
          </w:p>
          <w:p w14:paraId="7A1F4E5B" w14:textId="77777777" w:rsidR="003C79BC" w:rsidRPr="00A20F63" w:rsidRDefault="003C79BC" w:rsidP="008C0D36">
            <w:pPr>
              <w:spacing w:after="0" w:line="240" w:lineRule="auto"/>
              <w:ind w:left="245"/>
              <w:rPr>
                <w:rFonts w:asciiTheme="minorHAnsi" w:hAnsiTheme="minorHAnsi" w:cstheme="minorHAnsi"/>
                <w:sz w:val="20"/>
                <w:szCs w:val="20"/>
              </w:rPr>
            </w:pPr>
          </w:p>
          <w:p w14:paraId="1E0DFCA3" w14:textId="77777777" w:rsidR="003C79BC" w:rsidRPr="00A20F63" w:rsidRDefault="003C79BC" w:rsidP="008C0D36">
            <w:pPr>
              <w:spacing w:after="0" w:line="240" w:lineRule="auto"/>
              <w:ind w:left="245"/>
              <w:rPr>
                <w:rFonts w:asciiTheme="minorHAnsi" w:hAnsiTheme="minorHAnsi" w:cstheme="minorHAnsi"/>
                <w:sz w:val="20"/>
                <w:szCs w:val="20"/>
              </w:rPr>
            </w:pPr>
          </w:p>
          <w:p w14:paraId="19A1AB32" w14:textId="0FFB728D" w:rsidR="003C79BC" w:rsidRPr="00A20F63" w:rsidRDefault="003C79BC" w:rsidP="008C0D36">
            <w:pPr>
              <w:spacing w:after="0" w:line="240" w:lineRule="auto"/>
              <w:ind w:left="245"/>
              <w:rPr>
                <w:rFonts w:asciiTheme="minorHAnsi" w:hAnsiTheme="minorHAnsi" w:cstheme="minorHAnsi"/>
                <w:sz w:val="20"/>
                <w:szCs w:val="20"/>
              </w:rPr>
            </w:pPr>
            <w:r w:rsidRPr="00A20F63">
              <w:rPr>
                <w:rFonts w:asciiTheme="minorHAnsi" w:hAnsiTheme="minorHAnsi" w:cstheme="minorHAnsi"/>
                <w:sz w:val="20"/>
                <w:szCs w:val="20"/>
              </w:rPr>
              <w:t>Value of tax expenditures eliminated</w:t>
            </w:r>
          </w:p>
          <w:p w14:paraId="39661C2A" w14:textId="269002DD" w:rsidR="00F00A7C" w:rsidRDefault="00F00A7C" w:rsidP="00F00A7C">
            <w:pPr>
              <w:spacing w:after="0" w:line="240" w:lineRule="auto"/>
              <w:ind w:left="245"/>
              <w:rPr>
                <w:rFonts w:asciiTheme="minorHAnsi" w:hAnsiTheme="minorHAnsi" w:cstheme="minorHAnsi"/>
                <w:sz w:val="20"/>
                <w:szCs w:val="20"/>
              </w:rPr>
            </w:pPr>
            <w:r w:rsidRPr="00A20F63">
              <w:rPr>
                <w:rFonts w:asciiTheme="minorHAnsi" w:hAnsiTheme="minorHAnsi" w:cstheme="minorHAnsi"/>
                <w:sz w:val="20"/>
                <w:szCs w:val="20"/>
              </w:rPr>
              <w:t>Baseline: MGA 0</w:t>
            </w:r>
            <w:r>
              <w:rPr>
                <w:rFonts w:asciiTheme="minorHAnsi" w:hAnsiTheme="minorHAnsi" w:cstheme="minorHAnsi"/>
                <w:sz w:val="20"/>
                <w:szCs w:val="20"/>
              </w:rPr>
              <w:t xml:space="preserve"> </w:t>
            </w:r>
            <w:r w:rsidRPr="00A20F63">
              <w:rPr>
                <w:rFonts w:asciiTheme="minorHAnsi" w:hAnsiTheme="minorHAnsi" w:cstheme="minorHAnsi"/>
                <w:sz w:val="20"/>
                <w:szCs w:val="20"/>
              </w:rPr>
              <w:t>b</w:t>
            </w:r>
            <w:r>
              <w:rPr>
                <w:rFonts w:asciiTheme="minorHAnsi" w:hAnsiTheme="minorHAnsi" w:cstheme="minorHAnsi"/>
                <w:sz w:val="20"/>
                <w:szCs w:val="20"/>
              </w:rPr>
              <w:t>illio</w:t>
            </w:r>
            <w:r w:rsidRPr="00A20F63">
              <w:rPr>
                <w:rFonts w:asciiTheme="minorHAnsi" w:hAnsiTheme="minorHAnsi" w:cstheme="minorHAnsi"/>
                <w:sz w:val="20"/>
                <w:szCs w:val="20"/>
              </w:rPr>
              <w:t xml:space="preserve">n </w:t>
            </w:r>
            <w:r>
              <w:rPr>
                <w:rFonts w:asciiTheme="minorHAnsi" w:hAnsiTheme="minorHAnsi" w:cstheme="minorHAnsi"/>
                <w:sz w:val="20"/>
                <w:szCs w:val="20"/>
              </w:rPr>
              <w:t>(2017)</w:t>
            </w:r>
          </w:p>
          <w:p w14:paraId="5B00A8EB" w14:textId="26377A93" w:rsidR="00F00A7C" w:rsidRPr="00A20F63" w:rsidRDefault="00F00A7C" w:rsidP="00F00A7C">
            <w:pPr>
              <w:spacing w:after="0" w:line="240" w:lineRule="auto"/>
              <w:ind w:left="245"/>
              <w:rPr>
                <w:rFonts w:asciiTheme="minorHAnsi" w:hAnsiTheme="minorHAnsi" w:cstheme="minorHAnsi"/>
                <w:sz w:val="20"/>
                <w:szCs w:val="20"/>
              </w:rPr>
            </w:pPr>
            <w:r w:rsidRPr="00A20F63">
              <w:rPr>
                <w:rFonts w:asciiTheme="minorHAnsi" w:hAnsiTheme="minorHAnsi" w:cstheme="minorHAnsi"/>
                <w:sz w:val="20"/>
                <w:szCs w:val="20"/>
              </w:rPr>
              <w:t>Target: MGA 70</w:t>
            </w:r>
            <w:r>
              <w:rPr>
                <w:rFonts w:asciiTheme="minorHAnsi" w:hAnsiTheme="minorHAnsi" w:cstheme="minorHAnsi"/>
                <w:sz w:val="20"/>
                <w:szCs w:val="20"/>
              </w:rPr>
              <w:t xml:space="preserve"> </w:t>
            </w:r>
            <w:r w:rsidRPr="00A20F63">
              <w:rPr>
                <w:rFonts w:asciiTheme="minorHAnsi" w:hAnsiTheme="minorHAnsi" w:cstheme="minorHAnsi"/>
                <w:sz w:val="20"/>
                <w:szCs w:val="20"/>
              </w:rPr>
              <w:t>b</w:t>
            </w:r>
            <w:r>
              <w:rPr>
                <w:rFonts w:asciiTheme="minorHAnsi" w:hAnsiTheme="minorHAnsi" w:cstheme="minorHAnsi"/>
                <w:sz w:val="20"/>
                <w:szCs w:val="20"/>
              </w:rPr>
              <w:t>illio</w:t>
            </w:r>
            <w:r w:rsidRPr="00A20F63">
              <w:rPr>
                <w:rFonts w:asciiTheme="minorHAnsi" w:hAnsiTheme="minorHAnsi" w:cstheme="minorHAnsi"/>
                <w:sz w:val="20"/>
                <w:szCs w:val="20"/>
              </w:rPr>
              <w:t xml:space="preserve">n (2019) </w:t>
            </w:r>
          </w:p>
          <w:p w14:paraId="052C9F01" w14:textId="77777777" w:rsidR="003C79BC" w:rsidRPr="00406280" w:rsidRDefault="003C79BC" w:rsidP="008C0D36">
            <w:pPr>
              <w:spacing w:after="0" w:line="240" w:lineRule="auto"/>
              <w:ind w:left="245"/>
              <w:rPr>
                <w:rFonts w:asciiTheme="minorHAnsi" w:hAnsiTheme="minorHAnsi" w:cstheme="minorHAnsi"/>
                <w:sz w:val="20"/>
                <w:szCs w:val="20"/>
              </w:rPr>
            </w:pPr>
          </w:p>
          <w:p w14:paraId="1BDCAED4" w14:textId="77777777" w:rsidR="003C79BC" w:rsidRPr="00406280" w:rsidRDefault="003C79BC" w:rsidP="008C0D36">
            <w:pPr>
              <w:spacing w:after="0" w:line="240" w:lineRule="auto"/>
              <w:ind w:left="245"/>
              <w:rPr>
                <w:rFonts w:asciiTheme="minorHAnsi" w:hAnsiTheme="minorHAnsi" w:cstheme="minorHAnsi"/>
                <w:sz w:val="20"/>
                <w:szCs w:val="20"/>
              </w:rPr>
            </w:pPr>
          </w:p>
          <w:p w14:paraId="7C2BADBB" w14:textId="77777777" w:rsidR="003C79BC" w:rsidRPr="00601B29" w:rsidRDefault="003C79BC" w:rsidP="008C0D36">
            <w:pPr>
              <w:spacing w:after="0" w:line="240" w:lineRule="auto"/>
              <w:ind w:left="245"/>
              <w:rPr>
                <w:rFonts w:asciiTheme="minorHAnsi" w:hAnsiTheme="minorHAnsi" w:cstheme="minorHAnsi"/>
                <w:sz w:val="20"/>
                <w:szCs w:val="20"/>
              </w:rPr>
            </w:pPr>
          </w:p>
          <w:p w14:paraId="32B4CEC4" w14:textId="77777777" w:rsidR="003C79BC" w:rsidRPr="0085470E" w:rsidRDefault="003C79BC" w:rsidP="008C0D36">
            <w:pPr>
              <w:spacing w:after="0" w:line="240" w:lineRule="auto"/>
              <w:ind w:left="245"/>
              <w:rPr>
                <w:rFonts w:asciiTheme="minorHAnsi" w:hAnsiTheme="minorHAnsi" w:cstheme="minorHAnsi"/>
                <w:sz w:val="20"/>
                <w:szCs w:val="20"/>
                <w:highlight w:val="yellow"/>
              </w:rPr>
            </w:pPr>
          </w:p>
        </w:tc>
      </w:tr>
      <w:tr w:rsidR="003C79BC" w:rsidRPr="00B66802" w14:paraId="455BA546" w14:textId="77777777" w:rsidTr="001E0B68">
        <w:trPr>
          <w:trHeight w:val="296"/>
          <w:jc w:val="center"/>
        </w:trPr>
        <w:tc>
          <w:tcPr>
            <w:tcW w:w="1199" w:type="pct"/>
            <w:tcBorders>
              <w:top w:val="single" w:sz="4" w:space="0" w:color="auto"/>
              <w:left w:val="single" w:sz="8" w:space="0" w:color="000000"/>
              <w:bottom w:val="single" w:sz="4" w:space="0" w:color="auto"/>
              <w:right w:val="single" w:sz="8" w:space="0" w:color="000000"/>
            </w:tcBorders>
          </w:tcPr>
          <w:p w14:paraId="44A919D1" w14:textId="77777777" w:rsidR="003C79BC" w:rsidRPr="00B66802" w:rsidRDefault="003C79BC" w:rsidP="008C0D36">
            <w:pPr>
              <w:spacing w:after="0" w:line="240" w:lineRule="auto"/>
              <w:ind w:left="180"/>
              <w:rPr>
                <w:rFonts w:asciiTheme="minorHAnsi" w:hAnsiTheme="minorHAnsi" w:cstheme="minorHAnsi"/>
                <w:b/>
                <w:sz w:val="20"/>
                <w:szCs w:val="20"/>
              </w:rPr>
            </w:pPr>
          </w:p>
        </w:tc>
        <w:tc>
          <w:tcPr>
            <w:tcW w:w="3801" w:type="pct"/>
            <w:gridSpan w:val="3"/>
            <w:tcBorders>
              <w:top w:val="single" w:sz="4" w:space="0" w:color="auto"/>
              <w:left w:val="single" w:sz="8" w:space="0" w:color="000000"/>
              <w:bottom w:val="single" w:sz="4" w:space="0" w:color="auto"/>
              <w:right w:val="single" w:sz="8" w:space="0" w:color="000000"/>
            </w:tcBorders>
          </w:tcPr>
          <w:p w14:paraId="26503574" w14:textId="45C529C8" w:rsidR="003C79BC" w:rsidRPr="00DC050B" w:rsidRDefault="003C79BC" w:rsidP="008C0D36">
            <w:pPr>
              <w:spacing w:after="0" w:line="240" w:lineRule="auto"/>
              <w:ind w:left="180"/>
              <w:rPr>
                <w:rFonts w:asciiTheme="minorHAnsi" w:hAnsiTheme="minorHAnsi" w:cstheme="minorHAnsi"/>
                <w:b/>
                <w:sz w:val="20"/>
                <w:szCs w:val="20"/>
              </w:rPr>
            </w:pPr>
            <w:r w:rsidRPr="00BD4A16">
              <w:rPr>
                <w:rFonts w:asciiTheme="minorHAnsi" w:hAnsiTheme="minorHAnsi" w:cstheme="minorHAnsi"/>
                <w:b/>
                <w:sz w:val="20"/>
                <w:szCs w:val="20"/>
              </w:rPr>
              <w:t xml:space="preserve">1.2 Reducing the costs of </w:t>
            </w:r>
            <w:r w:rsidR="00F21740" w:rsidRPr="00DC050B">
              <w:rPr>
                <w:rFonts w:asciiTheme="minorHAnsi" w:hAnsiTheme="minorHAnsi" w:cstheme="minorHAnsi"/>
                <w:b/>
                <w:sz w:val="20"/>
                <w:szCs w:val="20"/>
              </w:rPr>
              <w:t>selected transfers</w:t>
            </w:r>
          </w:p>
        </w:tc>
      </w:tr>
      <w:tr w:rsidR="003C79BC" w:rsidRPr="00B66802" w14:paraId="3B504317" w14:textId="77777777" w:rsidTr="0082774F">
        <w:trPr>
          <w:trHeight w:val="2258"/>
          <w:jc w:val="center"/>
        </w:trPr>
        <w:tc>
          <w:tcPr>
            <w:tcW w:w="1199" w:type="pct"/>
            <w:tcBorders>
              <w:top w:val="single" w:sz="4" w:space="0" w:color="auto"/>
              <w:left w:val="single" w:sz="4" w:space="0" w:color="auto"/>
              <w:bottom w:val="single" w:sz="4" w:space="0" w:color="auto"/>
              <w:right w:val="single" w:sz="4" w:space="0" w:color="auto"/>
            </w:tcBorders>
          </w:tcPr>
          <w:p w14:paraId="67E050F5" w14:textId="485EC7F9" w:rsidR="003C79BC" w:rsidRPr="00DC050B" w:rsidRDefault="003C79BC" w:rsidP="008C0D36">
            <w:pPr>
              <w:spacing w:after="0" w:line="240" w:lineRule="auto"/>
              <w:ind w:left="187" w:right="115"/>
              <w:rPr>
                <w:rFonts w:asciiTheme="minorHAnsi" w:hAnsiTheme="minorHAnsi" w:cstheme="minorHAnsi"/>
                <w:sz w:val="20"/>
                <w:szCs w:val="20"/>
              </w:rPr>
            </w:pPr>
            <w:r w:rsidRPr="00B66802">
              <w:rPr>
                <w:rFonts w:asciiTheme="minorHAnsi" w:hAnsiTheme="minorHAnsi" w:cstheme="minorHAnsi"/>
                <w:sz w:val="20"/>
                <w:szCs w:val="20"/>
              </w:rPr>
              <w:t xml:space="preserve">Low levels of tax collection and high levels of untargeted expenditures (e.g. to the fuel subsidy, the Pension Fund and to poorly performing SOEs) have constrained fiscal space. These reforms seek to improve the composition of public spending by reducing </w:t>
            </w:r>
            <w:r w:rsidR="00F21740" w:rsidRPr="00BD4A16">
              <w:rPr>
                <w:rFonts w:asciiTheme="minorHAnsi" w:hAnsiTheme="minorHAnsi" w:cstheme="minorHAnsi"/>
                <w:sz w:val="20"/>
                <w:szCs w:val="20"/>
              </w:rPr>
              <w:t>selected transfers</w:t>
            </w:r>
            <w:r w:rsidRPr="00DC050B">
              <w:rPr>
                <w:rFonts w:asciiTheme="minorHAnsi" w:hAnsiTheme="minorHAnsi" w:cstheme="minorHAnsi"/>
                <w:sz w:val="20"/>
                <w:szCs w:val="20"/>
              </w:rPr>
              <w:t xml:space="preserve"> and increasing spending on priority social sectors. </w:t>
            </w:r>
          </w:p>
          <w:p w14:paraId="238EC1BD" w14:textId="77777777" w:rsidR="003C79BC" w:rsidRPr="00DC050B" w:rsidRDefault="003C79BC" w:rsidP="008C0D36">
            <w:pPr>
              <w:spacing w:after="0" w:line="240" w:lineRule="auto"/>
              <w:ind w:left="187" w:right="115"/>
              <w:rPr>
                <w:rFonts w:asciiTheme="minorHAnsi" w:hAnsiTheme="minorHAnsi" w:cstheme="minorHAnsi"/>
                <w:sz w:val="20"/>
                <w:szCs w:val="20"/>
              </w:rPr>
            </w:pPr>
          </w:p>
          <w:p w14:paraId="36AB375E" w14:textId="77777777" w:rsidR="003C79BC" w:rsidRPr="00DC050B" w:rsidRDefault="003C79BC" w:rsidP="008C0D36">
            <w:pPr>
              <w:spacing w:after="0" w:line="240" w:lineRule="auto"/>
              <w:ind w:left="187" w:right="115"/>
              <w:rPr>
                <w:rFonts w:asciiTheme="minorHAnsi" w:hAnsiTheme="minorHAnsi" w:cstheme="minorHAnsi"/>
                <w:sz w:val="20"/>
                <w:szCs w:val="20"/>
              </w:rPr>
            </w:pPr>
            <w:r w:rsidRPr="00DC050B">
              <w:rPr>
                <w:rFonts w:asciiTheme="minorHAnsi" w:hAnsiTheme="minorHAnsi" w:cstheme="minorHAnsi"/>
                <w:sz w:val="20"/>
                <w:szCs w:val="20"/>
              </w:rPr>
              <w:t xml:space="preserve">The reforms focus on two areas of non-priority spending: (i) continuing to support the elimination of fuel subsidies through strengthening the institutional framework; and (ii) reducing transfers to the Pension Fund by improving controls of pension beneficiaries. </w:t>
            </w:r>
          </w:p>
          <w:p w14:paraId="6177E478" w14:textId="77777777" w:rsidR="003C79BC" w:rsidRPr="006C66C2" w:rsidRDefault="003C79BC" w:rsidP="008C0D36">
            <w:pPr>
              <w:spacing w:after="0" w:line="240" w:lineRule="auto"/>
              <w:ind w:left="187" w:right="115"/>
              <w:rPr>
                <w:rFonts w:asciiTheme="minorHAnsi" w:hAnsiTheme="minorHAnsi" w:cstheme="minorHAnsi"/>
                <w:sz w:val="20"/>
                <w:szCs w:val="20"/>
              </w:rPr>
            </w:pPr>
          </w:p>
          <w:p w14:paraId="4F84A8D5" w14:textId="77777777" w:rsidR="003C79BC" w:rsidRPr="006C66C2" w:rsidRDefault="003C79BC" w:rsidP="008C0D36">
            <w:pPr>
              <w:spacing w:after="0" w:line="240" w:lineRule="auto"/>
              <w:ind w:left="187" w:right="115"/>
              <w:rPr>
                <w:rFonts w:asciiTheme="minorHAnsi" w:hAnsiTheme="minorHAnsi" w:cstheme="minorHAnsi"/>
                <w:sz w:val="20"/>
                <w:szCs w:val="20"/>
              </w:rPr>
            </w:pPr>
          </w:p>
          <w:p w14:paraId="2F4DDA08" w14:textId="77777777" w:rsidR="003C79BC" w:rsidRPr="00A20F63" w:rsidRDefault="003C79BC" w:rsidP="008C0D36">
            <w:pPr>
              <w:spacing w:after="0" w:line="240" w:lineRule="auto"/>
              <w:ind w:left="187" w:right="115"/>
              <w:rPr>
                <w:rFonts w:asciiTheme="minorHAnsi" w:hAnsiTheme="minorHAnsi" w:cstheme="minorHAnsi"/>
                <w:sz w:val="20"/>
                <w:szCs w:val="20"/>
              </w:rPr>
            </w:pPr>
          </w:p>
        </w:tc>
        <w:tc>
          <w:tcPr>
            <w:tcW w:w="1247" w:type="pct"/>
            <w:tcBorders>
              <w:top w:val="single" w:sz="4" w:space="0" w:color="auto"/>
              <w:left w:val="single" w:sz="4" w:space="0" w:color="auto"/>
              <w:bottom w:val="single" w:sz="4" w:space="0" w:color="auto"/>
              <w:right w:val="single" w:sz="4" w:space="0" w:color="auto"/>
            </w:tcBorders>
          </w:tcPr>
          <w:p w14:paraId="58B238E6" w14:textId="77777777" w:rsidR="003C79BC" w:rsidRPr="00406280" w:rsidRDefault="003C79BC" w:rsidP="008C0D36">
            <w:pPr>
              <w:spacing w:after="0" w:line="240" w:lineRule="auto"/>
              <w:ind w:left="187" w:right="115"/>
              <w:jc w:val="both"/>
              <w:rPr>
                <w:rFonts w:asciiTheme="minorHAnsi" w:hAnsiTheme="minorHAnsi" w:cstheme="minorHAnsi"/>
                <w:sz w:val="20"/>
                <w:szCs w:val="20"/>
                <w:lang w:val="x-none"/>
              </w:rPr>
            </w:pPr>
            <w:r w:rsidRPr="00A20F63">
              <w:rPr>
                <w:rFonts w:asciiTheme="minorHAnsi" w:hAnsiTheme="minorHAnsi" w:cstheme="minorHAnsi"/>
                <w:b/>
                <w:sz w:val="20"/>
                <w:szCs w:val="20"/>
              </w:rPr>
              <w:lastRenderedPageBreak/>
              <w:t>PA#3.</w:t>
            </w:r>
            <w:r w:rsidRPr="00A20F63">
              <w:rPr>
                <w:rFonts w:asciiTheme="minorHAnsi" w:hAnsiTheme="minorHAnsi" w:cstheme="minorHAnsi"/>
                <w:sz w:val="20"/>
                <w:szCs w:val="20"/>
              </w:rPr>
              <w:t xml:space="preserve"> </w:t>
            </w:r>
            <w:r w:rsidRPr="00A20F63">
              <w:rPr>
                <w:rFonts w:asciiTheme="minorHAnsi" w:hAnsiTheme="minorHAnsi" w:cstheme="minorHAnsi"/>
                <w:sz w:val="20"/>
                <w:szCs w:val="20"/>
                <w:lang w:val="x-none"/>
              </w:rPr>
              <w:t xml:space="preserve">The Recipient has through its Ministry of Energy and Hydrocarbons, issued an </w:t>
            </w:r>
            <w:r w:rsidRPr="00A20F63">
              <w:rPr>
                <w:rFonts w:asciiTheme="minorHAnsi" w:hAnsiTheme="minorHAnsi" w:cstheme="minorHAnsi"/>
                <w:i/>
                <w:sz w:val="20"/>
                <w:szCs w:val="20"/>
                <w:lang w:val="x-none"/>
              </w:rPr>
              <w:t>Arrêté relative au mécanisme d’ajustement automatique de</w:t>
            </w:r>
            <w:r w:rsidRPr="00A20F63">
              <w:rPr>
                <w:rFonts w:asciiTheme="minorHAnsi" w:hAnsiTheme="minorHAnsi" w:cstheme="minorHAnsi"/>
                <w:i/>
                <w:sz w:val="20"/>
                <w:szCs w:val="20"/>
              </w:rPr>
              <w:t>s</w:t>
            </w:r>
            <w:r w:rsidRPr="00A20F63">
              <w:rPr>
                <w:rFonts w:asciiTheme="minorHAnsi" w:hAnsiTheme="minorHAnsi" w:cstheme="minorHAnsi"/>
                <w:i/>
                <w:sz w:val="20"/>
                <w:szCs w:val="20"/>
                <w:lang w:val="x-none"/>
              </w:rPr>
              <w:t xml:space="preserve"> prix maxima affichés à la pompe,</w:t>
            </w:r>
            <w:r w:rsidRPr="00406280">
              <w:rPr>
                <w:rFonts w:asciiTheme="minorHAnsi" w:hAnsiTheme="minorHAnsi" w:cstheme="minorHAnsi"/>
                <w:sz w:val="20"/>
                <w:szCs w:val="20"/>
                <w:lang w:val="x-none"/>
              </w:rPr>
              <w:t xml:space="preserve"> that establishes an automatic adjustment mechanism of fuel prices at retail locations</w:t>
            </w:r>
            <w:r w:rsidRPr="00406280">
              <w:rPr>
                <w:rFonts w:asciiTheme="minorHAnsi" w:hAnsiTheme="minorHAnsi" w:cstheme="minorHAnsi"/>
                <w:sz w:val="20"/>
                <w:szCs w:val="20"/>
              </w:rPr>
              <w:t xml:space="preserve"> </w:t>
            </w:r>
            <w:r w:rsidRPr="00406280">
              <w:rPr>
                <w:rFonts w:asciiTheme="minorHAnsi" w:hAnsiTheme="minorHAnsi" w:cstheme="minorHAnsi"/>
                <w:sz w:val="20"/>
                <w:szCs w:val="20"/>
                <w:lang w:val="x-none"/>
              </w:rPr>
              <w:t>, dated July 1, 2016 (N°14176/2016).</w:t>
            </w:r>
          </w:p>
          <w:p w14:paraId="483DC125" w14:textId="77777777" w:rsidR="003C79BC" w:rsidRPr="00601B29" w:rsidRDefault="003C79BC" w:rsidP="008C0D36">
            <w:pPr>
              <w:spacing w:after="0" w:line="240" w:lineRule="auto"/>
              <w:ind w:left="187" w:right="115"/>
              <w:jc w:val="both"/>
              <w:rPr>
                <w:rFonts w:asciiTheme="minorHAnsi" w:hAnsiTheme="minorHAnsi" w:cstheme="minorHAnsi"/>
                <w:b/>
                <w:sz w:val="20"/>
                <w:szCs w:val="20"/>
              </w:rPr>
            </w:pPr>
          </w:p>
          <w:p w14:paraId="0427905F" w14:textId="77777777" w:rsidR="003C79BC" w:rsidRPr="00A46F16" w:rsidRDefault="003C79BC" w:rsidP="008C0D36">
            <w:pPr>
              <w:spacing w:after="0" w:line="240" w:lineRule="auto"/>
              <w:ind w:left="187" w:right="115"/>
              <w:jc w:val="both"/>
              <w:rPr>
                <w:rFonts w:asciiTheme="minorHAnsi" w:hAnsiTheme="minorHAnsi" w:cstheme="minorHAnsi"/>
                <w:b/>
                <w:sz w:val="20"/>
                <w:szCs w:val="20"/>
              </w:rPr>
            </w:pPr>
            <w:r w:rsidRPr="0085470E">
              <w:rPr>
                <w:rFonts w:asciiTheme="minorHAnsi" w:hAnsiTheme="minorHAnsi" w:cstheme="minorHAnsi"/>
                <w:b/>
                <w:sz w:val="20"/>
                <w:szCs w:val="20"/>
              </w:rPr>
              <w:t>PA#4.</w:t>
            </w:r>
            <w:r w:rsidRPr="0085470E">
              <w:rPr>
                <w:rFonts w:asciiTheme="minorHAnsi" w:hAnsiTheme="minorHAnsi" w:cstheme="minorHAnsi"/>
                <w:sz w:val="20"/>
                <w:szCs w:val="20"/>
              </w:rPr>
              <w:t xml:space="preserve"> The Recipient has completed the verification of pension beneficiaries in the large urban centers to remove ineligible beneficiaries from the Pension Register.</w:t>
            </w:r>
          </w:p>
        </w:tc>
        <w:tc>
          <w:tcPr>
            <w:tcW w:w="1362" w:type="pct"/>
            <w:tcBorders>
              <w:top w:val="single" w:sz="4" w:space="0" w:color="auto"/>
              <w:left w:val="single" w:sz="4" w:space="0" w:color="auto"/>
              <w:bottom w:val="single" w:sz="4" w:space="0" w:color="auto"/>
              <w:right w:val="single" w:sz="4" w:space="0" w:color="auto"/>
            </w:tcBorders>
          </w:tcPr>
          <w:p w14:paraId="7CDA3D83" w14:textId="61D0D5F6" w:rsidR="003C79BC" w:rsidRPr="00B66802" w:rsidRDefault="003C79BC" w:rsidP="0082774F">
            <w:pPr>
              <w:spacing w:after="0" w:line="240" w:lineRule="auto"/>
              <w:ind w:left="187" w:right="115"/>
              <w:jc w:val="both"/>
              <w:rPr>
                <w:rFonts w:asciiTheme="minorHAnsi" w:hAnsiTheme="minorHAnsi" w:cstheme="minorHAnsi"/>
                <w:b/>
                <w:sz w:val="20"/>
                <w:szCs w:val="20"/>
              </w:rPr>
            </w:pPr>
            <w:r w:rsidRPr="00A46F16">
              <w:rPr>
                <w:rFonts w:asciiTheme="minorHAnsi" w:hAnsiTheme="minorHAnsi" w:cstheme="minorHAnsi"/>
                <w:b/>
                <w:sz w:val="20"/>
                <w:szCs w:val="20"/>
              </w:rPr>
              <w:lastRenderedPageBreak/>
              <w:t>PA#3.</w:t>
            </w:r>
            <w:r w:rsidRPr="00805BA2">
              <w:rPr>
                <w:rFonts w:asciiTheme="minorHAnsi" w:hAnsiTheme="minorHAnsi" w:cstheme="minorHAnsi"/>
                <w:sz w:val="20"/>
                <w:szCs w:val="20"/>
              </w:rPr>
              <w:t xml:space="preserve"> </w:t>
            </w:r>
            <w:r w:rsidR="00BE215C" w:rsidRPr="00805BA2">
              <w:rPr>
                <w:rFonts w:asciiTheme="minorHAnsi" w:hAnsiTheme="minorHAnsi" w:cstheme="minorHAnsi"/>
                <w:sz w:val="20"/>
                <w:szCs w:val="20"/>
              </w:rPr>
              <w:t xml:space="preserve">The </w:t>
            </w:r>
            <w:r w:rsidR="00BE215C" w:rsidRPr="004C6EBE">
              <w:rPr>
                <w:rFonts w:asciiTheme="minorHAnsi" w:hAnsiTheme="minorHAnsi" w:cstheme="minorHAnsi"/>
                <w:bCs/>
                <w:iCs/>
                <w:sz w:val="20"/>
                <w:szCs w:val="20"/>
              </w:rPr>
              <w:t xml:space="preserve">Recipient has passed </w:t>
            </w:r>
            <w:r w:rsidR="00BE215C" w:rsidRPr="004C6EBE">
              <w:rPr>
                <w:rFonts w:asciiTheme="minorHAnsi" w:hAnsiTheme="minorHAnsi" w:cstheme="minorHAnsi"/>
                <w:bCs/>
                <w:i/>
                <w:iCs/>
                <w:sz w:val="20"/>
                <w:szCs w:val="20"/>
              </w:rPr>
              <w:t>Décret no.2017-472 du 13 juin 2017 portant fixation des prix maxima affichés à la pompe,</w:t>
            </w:r>
            <w:r w:rsidR="00BE215C" w:rsidRPr="004C6EBE">
              <w:rPr>
                <w:rFonts w:asciiTheme="minorHAnsi" w:hAnsiTheme="minorHAnsi" w:cstheme="minorHAnsi"/>
                <w:bCs/>
                <w:iCs/>
                <w:sz w:val="20"/>
                <w:szCs w:val="20"/>
              </w:rPr>
              <w:t xml:space="preserve"> a decree which eliminates the fuel subsidy</w:t>
            </w:r>
            <w:r w:rsidR="00BE215C" w:rsidRPr="00B66802">
              <w:rPr>
                <w:rFonts w:asciiTheme="minorHAnsi" w:hAnsiTheme="minorHAnsi" w:cstheme="minorHAnsi"/>
                <w:sz w:val="20"/>
                <w:szCs w:val="20"/>
              </w:rPr>
              <w:t>.</w:t>
            </w:r>
          </w:p>
          <w:p w14:paraId="5B76C2D9" w14:textId="77777777" w:rsidR="003C79BC" w:rsidRPr="00BD4A16" w:rsidRDefault="003C79BC" w:rsidP="008C0D36">
            <w:pPr>
              <w:spacing w:after="0" w:line="240" w:lineRule="auto"/>
              <w:ind w:left="187" w:right="115"/>
              <w:jc w:val="both"/>
              <w:rPr>
                <w:rFonts w:asciiTheme="minorHAnsi" w:hAnsiTheme="minorHAnsi" w:cstheme="minorHAnsi"/>
                <w:b/>
                <w:sz w:val="20"/>
                <w:szCs w:val="20"/>
              </w:rPr>
            </w:pPr>
          </w:p>
          <w:p w14:paraId="761DED33" w14:textId="05BC1CF2" w:rsidR="003C79BC" w:rsidRPr="00B66802" w:rsidRDefault="003C79BC" w:rsidP="008C0D36">
            <w:pPr>
              <w:spacing w:after="0" w:line="240" w:lineRule="auto"/>
              <w:ind w:left="187" w:right="115"/>
              <w:jc w:val="both"/>
              <w:rPr>
                <w:rFonts w:asciiTheme="minorHAnsi" w:hAnsiTheme="minorHAnsi" w:cstheme="minorHAnsi"/>
                <w:sz w:val="20"/>
                <w:szCs w:val="20"/>
              </w:rPr>
            </w:pPr>
            <w:r w:rsidRPr="00DC050B">
              <w:rPr>
                <w:rFonts w:asciiTheme="minorHAnsi" w:hAnsiTheme="minorHAnsi" w:cstheme="minorHAnsi"/>
                <w:b/>
                <w:sz w:val="20"/>
                <w:szCs w:val="20"/>
              </w:rPr>
              <w:t>PA#4.</w:t>
            </w:r>
            <w:r w:rsidRPr="00DC050B">
              <w:rPr>
                <w:rFonts w:asciiTheme="minorHAnsi" w:hAnsiTheme="minorHAnsi" w:cstheme="minorHAnsi"/>
                <w:sz w:val="20"/>
                <w:szCs w:val="20"/>
              </w:rPr>
              <w:t xml:space="preserve"> </w:t>
            </w:r>
            <w:r w:rsidR="00BE215C" w:rsidRPr="00DC050B">
              <w:rPr>
                <w:rFonts w:asciiTheme="minorHAnsi" w:hAnsiTheme="minorHAnsi" w:cstheme="minorHAnsi"/>
                <w:sz w:val="20"/>
                <w:szCs w:val="20"/>
              </w:rPr>
              <w:t xml:space="preserve">The Recipient has </w:t>
            </w:r>
            <w:r w:rsidR="00BE215C" w:rsidRPr="004C6EBE">
              <w:rPr>
                <w:rFonts w:asciiTheme="minorHAnsi" w:hAnsiTheme="minorHAnsi" w:cstheme="minorHAnsi"/>
                <w:bCs/>
                <w:iCs/>
                <w:sz w:val="20"/>
                <w:szCs w:val="20"/>
              </w:rPr>
              <w:t xml:space="preserve">(i) completed a verification of the roster of pension beneficiaries in rural collectives to remove ineligible beneficiaries; and (ii) </w:t>
            </w:r>
            <w:r w:rsidR="00D67BC0" w:rsidRPr="004C6EBE">
              <w:rPr>
                <w:rFonts w:asciiTheme="minorHAnsi" w:hAnsiTheme="minorHAnsi" w:cstheme="minorHAnsi"/>
                <w:sz w:val="20"/>
                <w:szCs w:val="20"/>
              </w:rPr>
              <w:t xml:space="preserve">issued </w:t>
            </w:r>
            <w:r w:rsidR="00D67BC0" w:rsidRPr="004C6EBE">
              <w:rPr>
                <w:rFonts w:asciiTheme="minorHAnsi" w:hAnsiTheme="minorHAnsi" w:cstheme="minorHAnsi"/>
                <w:i/>
                <w:sz w:val="20"/>
                <w:szCs w:val="20"/>
              </w:rPr>
              <w:lastRenderedPageBreak/>
              <w:t>Circulaire no. 475-2017 du 9 août relative à la Standardisation des procédures de versement de cotisations à la Caisse de Prévoyance des Retraites et à la Caisse de Retraite Civile et Militaires</w:t>
            </w:r>
            <w:r w:rsidR="00D67BC0" w:rsidRPr="004C6EBE">
              <w:rPr>
                <w:rFonts w:asciiTheme="minorHAnsi" w:hAnsiTheme="minorHAnsi" w:cstheme="minorHAnsi"/>
                <w:sz w:val="20"/>
                <w:szCs w:val="20"/>
              </w:rPr>
              <w:t>, establishing the obligations and process related to the payment of contributions, and sanctions in the case of non-compliance, in order to reduce the transfers to the Pension Fund</w:t>
            </w:r>
            <w:r w:rsidR="00BE215C" w:rsidRPr="00B66802">
              <w:rPr>
                <w:rFonts w:asciiTheme="minorHAnsi" w:hAnsiTheme="minorHAnsi" w:cstheme="minorHAnsi"/>
                <w:sz w:val="20"/>
                <w:szCs w:val="20"/>
              </w:rPr>
              <w:t>.</w:t>
            </w:r>
          </w:p>
        </w:tc>
        <w:tc>
          <w:tcPr>
            <w:tcW w:w="1192" w:type="pct"/>
            <w:tcBorders>
              <w:top w:val="single" w:sz="4" w:space="0" w:color="auto"/>
              <w:left w:val="single" w:sz="4" w:space="0" w:color="auto"/>
              <w:bottom w:val="single" w:sz="4" w:space="0" w:color="auto"/>
              <w:right w:val="single" w:sz="4" w:space="0" w:color="auto"/>
            </w:tcBorders>
          </w:tcPr>
          <w:p w14:paraId="7521ACB8" w14:textId="77777777" w:rsidR="003C79BC" w:rsidRPr="00B66802" w:rsidRDefault="003C79BC" w:rsidP="008C0D36">
            <w:pPr>
              <w:spacing w:after="0" w:line="240" w:lineRule="auto"/>
              <w:ind w:left="245"/>
              <w:rPr>
                <w:rFonts w:asciiTheme="minorHAnsi" w:hAnsiTheme="minorHAnsi" w:cstheme="minorHAnsi"/>
                <w:sz w:val="20"/>
                <w:szCs w:val="20"/>
              </w:rPr>
            </w:pPr>
            <w:r w:rsidRPr="00BD4A16">
              <w:rPr>
                <w:rFonts w:asciiTheme="minorHAnsi" w:hAnsiTheme="minorHAnsi" w:cstheme="minorHAnsi"/>
                <w:sz w:val="20"/>
                <w:szCs w:val="20"/>
              </w:rPr>
              <w:lastRenderedPageBreak/>
              <w:t>Selected transfers reduced as a share of total expenditure</w:t>
            </w:r>
            <w:r w:rsidRPr="00B66802">
              <w:rPr>
                <w:rStyle w:val="FootnoteReference"/>
                <w:rFonts w:asciiTheme="minorHAnsi" w:hAnsiTheme="minorHAnsi" w:cstheme="minorHAnsi"/>
                <w:sz w:val="20"/>
                <w:szCs w:val="20"/>
              </w:rPr>
              <w:footnoteReference w:id="61"/>
            </w:r>
            <w:r w:rsidRPr="00B66802">
              <w:rPr>
                <w:rFonts w:asciiTheme="minorHAnsi" w:hAnsiTheme="minorHAnsi" w:cstheme="minorHAnsi"/>
                <w:sz w:val="20"/>
                <w:szCs w:val="20"/>
              </w:rPr>
              <w:t xml:space="preserve"> </w:t>
            </w:r>
          </w:p>
          <w:p w14:paraId="27EBFDF7" w14:textId="77777777" w:rsidR="003C79BC" w:rsidRPr="00BD4A16" w:rsidRDefault="003C79BC" w:rsidP="008C0D36">
            <w:pPr>
              <w:spacing w:after="0" w:line="240" w:lineRule="auto"/>
              <w:ind w:left="245"/>
              <w:rPr>
                <w:rFonts w:asciiTheme="minorHAnsi" w:hAnsiTheme="minorHAnsi" w:cstheme="minorHAnsi"/>
                <w:sz w:val="20"/>
                <w:szCs w:val="20"/>
              </w:rPr>
            </w:pPr>
            <w:r w:rsidRPr="00BD4A16">
              <w:rPr>
                <w:rFonts w:asciiTheme="minorHAnsi" w:hAnsiTheme="minorHAnsi" w:cstheme="minorHAnsi"/>
                <w:sz w:val="20"/>
                <w:szCs w:val="20"/>
              </w:rPr>
              <w:t>Baseline: 13 percent (2015)</w:t>
            </w:r>
          </w:p>
          <w:p w14:paraId="237AAE98" w14:textId="77777777" w:rsidR="003C79BC" w:rsidRPr="00DC050B" w:rsidRDefault="003C79BC" w:rsidP="008C0D36">
            <w:pPr>
              <w:spacing w:after="0" w:line="240" w:lineRule="auto"/>
              <w:ind w:left="245"/>
              <w:rPr>
                <w:rFonts w:asciiTheme="minorHAnsi" w:hAnsiTheme="minorHAnsi" w:cstheme="minorHAnsi"/>
                <w:sz w:val="20"/>
                <w:szCs w:val="20"/>
              </w:rPr>
            </w:pPr>
            <w:r w:rsidRPr="00DC050B">
              <w:rPr>
                <w:rFonts w:asciiTheme="minorHAnsi" w:hAnsiTheme="minorHAnsi" w:cstheme="minorHAnsi"/>
                <w:sz w:val="20"/>
                <w:szCs w:val="20"/>
              </w:rPr>
              <w:t>Target: 3 percent (2019)</w:t>
            </w:r>
          </w:p>
          <w:p w14:paraId="3488CA19" w14:textId="77777777" w:rsidR="003C79BC" w:rsidRPr="00DC050B" w:rsidRDefault="003C79BC" w:rsidP="008B00C1">
            <w:pPr>
              <w:pStyle w:val="ListParagraph"/>
              <w:numPr>
                <w:ilvl w:val="0"/>
                <w:numId w:val="18"/>
              </w:numPr>
              <w:spacing w:after="0" w:line="240" w:lineRule="auto"/>
              <w:rPr>
                <w:rFonts w:asciiTheme="minorHAnsi" w:hAnsiTheme="minorHAnsi" w:cstheme="minorHAnsi"/>
                <w:sz w:val="20"/>
                <w:szCs w:val="20"/>
              </w:rPr>
            </w:pPr>
            <w:r w:rsidRPr="00DC050B">
              <w:rPr>
                <w:rFonts w:asciiTheme="minorHAnsi" w:hAnsiTheme="minorHAnsi" w:cstheme="minorHAnsi"/>
                <w:sz w:val="20"/>
                <w:szCs w:val="20"/>
              </w:rPr>
              <w:t>o/w: transfer to the Pension Fund reduced from 5.8 percent to 1.6 percent</w:t>
            </w:r>
          </w:p>
          <w:p w14:paraId="7EBDE27E" w14:textId="77777777" w:rsidR="003C79BC" w:rsidRPr="00DC050B" w:rsidRDefault="003C79BC" w:rsidP="008B00C1">
            <w:pPr>
              <w:pStyle w:val="ListParagraph"/>
              <w:numPr>
                <w:ilvl w:val="0"/>
                <w:numId w:val="18"/>
              </w:numPr>
              <w:spacing w:after="60" w:line="240" w:lineRule="auto"/>
              <w:rPr>
                <w:rFonts w:asciiTheme="minorHAnsi" w:hAnsiTheme="minorHAnsi" w:cstheme="minorHAnsi"/>
                <w:sz w:val="20"/>
                <w:szCs w:val="20"/>
              </w:rPr>
            </w:pPr>
            <w:r w:rsidRPr="00DC050B">
              <w:rPr>
                <w:rFonts w:asciiTheme="minorHAnsi" w:hAnsiTheme="minorHAnsi" w:cstheme="minorHAnsi"/>
                <w:sz w:val="20"/>
                <w:szCs w:val="20"/>
              </w:rPr>
              <w:t>o/w: Fuel subsidies reduced from 1.8 percent to 0 percent</w:t>
            </w:r>
          </w:p>
          <w:p w14:paraId="55A6EB91" w14:textId="77777777" w:rsidR="003C79BC" w:rsidRPr="006C66C2" w:rsidRDefault="003C79BC" w:rsidP="008C0D36">
            <w:pPr>
              <w:spacing w:after="60" w:line="240" w:lineRule="auto"/>
              <w:ind w:left="245"/>
              <w:rPr>
                <w:rFonts w:asciiTheme="minorHAnsi" w:hAnsiTheme="minorHAnsi" w:cstheme="minorHAnsi"/>
                <w:sz w:val="20"/>
                <w:szCs w:val="20"/>
              </w:rPr>
            </w:pPr>
            <w:r w:rsidRPr="006C66C2">
              <w:rPr>
                <w:rFonts w:asciiTheme="minorHAnsi" w:hAnsiTheme="minorHAnsi" w:cstheme="minorHAnsi"/>
                <w:sz w:val="20"/>
                <w:szCs w:val="20"/>
              </w:rPr>
              <w:lastRenderedPageBreak/>
              <w:t>Intermediate results:</w:t>
            </w:r>
          </w:p>
          <w:p w14:paraId="7FA7F3D0" w14:textId="77777777" w:rsidR="003C79BC" w:rsidRPr="006C66C2" w:rsidRDefault="003C79BC" w:rsidP="008C0D36">
            <w:pPr>
              <w:spacing w:after="60" w:line="240" w:lineRule="auto"/>
              <w:ind w:left="245"/>
              <w:rPr>
                <w:rFonts w:asciiTheme="minorHAnsi" w:hAnsiTheme="minorHAnsi" w:cstheme="minorHAnsi"/>
                <w:sz w:val="20"/>
                <w:szCs w:val="20"/>
              </w:rPr>
            </w:pPr>
            <w:r w:rsidRPr="006C66C2">
              <w:rPr>
                <w:rFonts w:asciiTheme="minorHAnsi" w:hAnsiTheme="minorHAnsi" w:cstheme="minorHAnsi"/>
                <w:sz w:val="20"/>
                <w:szCs w:val="20"/>
              </w:rPr>
              <w:t>Selected transfers: 11 percent (2016)</w:t>
            </w:r>
          </w:p>
          <w:p w14:paraId="6941601B" w14:textId="77777777" w:rsidR="003C79BC" w:rsidRPr="00A20F63" w:rsidRDefault="003C79BC" w:rsidP="008B00C1">
            <w:pPr>
              <w:pStyle w:val="ListParagraph"/>
              <w:numPr>
                <w:ilvl w:val="0"/>
                <w:numId w:val="20"/>
              </w:numPr>
              <w:spacing w:after="60" w:line="240" w:lineRule="auto"/>
              <w:rPr>
                <w:rFonts w:asciiTheme="minorHAnsi" w:hAnsiTheme="minorHAnsi" w:cstheme="minorHAnsi"/>
                <w:sz w:val="20"/>
                <w:szCs w:val="20"/>
              </w:rPr>
            </w:pPr>
            <w:r w:rsidRPr="00A20F63">
              <w:rPr>
                <w:rFonts w:asciiTheme="minorHAnsi" w:hAnsiTheme="minorHAnsi" w:cstheme="minorHAnsi"/>
                <w:sz w:val="20"/>
                <w:szCs w:val="20"/>
              </w:rPr>
              <w:t>o/w: transfer to the pension fund: 5.7 percent (2016)</w:t>
            </w:r>
          </w:p>
          <w:p w14:paraId="0C10DB3B" w14:textId="77777777" w:rsidR="003C79BC" w:rsidRPr="00A20F63" w:rsidRDefault="003C79BC" w:rsidP="008B00C1">
            <w:pPr>
              <w:pStyle w:val="ListParagraph"/>
              <w:numPr>
                <w:ilvl w:val="0"/>
                <w:numId w:val="20"/>
              </w:numPr>
              <w:spacing w:after="60" w:line="240" w:lineRule="auto"/>
              <w:rPr>
                <w:rFonts w:asciiTheme="minorHAnsi" w:hAnsiTheme="minorHAnsi" w:cstheme="minorHAnsi"/>
                <w:sz w:val="20"/>
                <w:szCs w:val="20"/>
              </w:rPr>
            </w:pPr>
            <w:r w:rsidRPr="00A20F63">
              <w:rPr>
                <w:rFonts w:asciiTheme="minorHAnsi" w:hAnsiTheme="minorHAnsi" w:cstheme="minorHAnsi"/>
                <w:sz w:val="20"/>
                <w:szCs w:val="20"/>
              </w:rPr>
              <w:t>o/w: Fuel subsidies: 0 percent (2016)</w:t>
            </w:r>
          </w:p>
          <w:p w14:paraId="12970251" w14:textId="77777777" w:rsidR="003C79BC" w:rsidRPr="00B66802" w:rsidRDefault="003C79BC" w:rsidP="008C0D36">
            <w:pPr>
              <w:spacing w:after="0" w:line="240" w:lineRule="auto"/>
              <w:ind w:left="245"/>
              <w:rPr>
                <w:rFonts w:asciiTheme="minorHAnsi" w:hAnsiTheme="minorHAnsi" w:cstheme="minorHAnsi"/>
                <w:sz w:val="20"/>
                <w:szCs w:val="20"/>
              </w:rPr>
            </w:pPr>
            <w:r w:rsidRPr="00A20F63">
              <w:rPr>
                <w:rFonts w:asciiTheme="minorHAnsi" w:hAnsiTheme="minorHAnsi" w:cstheme="minorHAnsi"/>
                <w:sz w:val="20"/>
                <w:szCs w:val="20"/>
              </w:rPr>
              <w:t>Share of priority spending on social sectors</w:t>
            </w:r>
            <w:r w:rsidRPr="00B66802">
              <w:rPr>
                <w:rStyle w:val="FootnoteReference"/>
                <w:rFonts w:asciiTheme="minorHAnsi" w:hAnsiTheme="minorHAnsi" w:cstheme="minorHAnsi"/>
                <w:sz w:val="20"/>
                <w:szCs w:val="20"/>
              </w:rPr>
              <w:footnoteReference w:id="62"/>
            </w:r>
            <w:r w:rsidRPr="00B66802">
              <w:rPr>
                <w:rFonts w:asciiTheme="minorHAnsi" w:hAnsiTheme="minorHAnsi" w:cstheme="minorHAnsi"/>
                <w:sz w:val="20"/>
                <w:szCs w:val="20"/>
              </w:rPr>
              <w:t xml:space="preserve">  </w:t>
            </w:r>
          </w:p>
          <w:p w14:paraId="46409F70" w14:textId="77777777" w:rsidR="003C79BC" w:rsidRPr="00BD4A16" w:rsidRDefault="003C79BC" w:rsidP="008C0D36">
            <w:pPr>
              <w:spacing w:after="0" w:line="240" w:lineRule="auto"/>
              <w:ind w:left="245"/>
              <w:rPr>
                <w:rFonts w:asciiTheme="minorHAnsi" w:hAnsiTheme="minorHAnsi" w:cstheme="minorHAnsi"/>
                <w:sz w:val="20"/>
                <w:szCs w:val="20"/>
              </w:rPr>
            </w:pPr>
            <w:r w:rsidRPr="00BD4A16">
              <w:rPr>
                <w:rFonts w:asciiTheme="minorHAnsi" w:hAnsiTheme="minorHAnsi" w:cstheme="minorHAnsi"/>
                <w:sz w:val="20"/>
                <w:szCs w:val="20"/>
              </w:rPr>
              <w:t>Baseline: 0.7 percent of GDP (2015)</w:t>
            </w:r>
          </w:p>
          <w:p w14:paraId="38316680" w14:textId="77777777" w:rsidR="003C79BC" w:rsidRPr="00DC050B" w:rsidRDefault="003C79BC" w:rsidP="008C0D36">
            <w:pPr>
              <w:spacing w:after="0" w:line="240" w:lineRule="auto"/>
              <w:ind w:left="245"/>
              <w:rPr>
                <w:rFonts w:asciiTheme="minorHAnsi" w:hAnsiTheme="minorHAnsi" w:cstheme="minorHAnsi"/>
                <w:sz w:val="20"/>
                <w:szCs w:val="20"/>
              </w:rPr>
            </w:pPr>
            <w:r w:rsidRPr="00DC050B">
              <w:rPr>
                <w:rFonts w:asciiTheme="minorHAnsi" w:hAnsiTheme="minorHAnsi" w:cstheme="minorHAnsi"/>
                <w:sz w:val="20"/>
                <w:szCs w:val="20"/>
              </w:rPr>
              <w:t>Target: 1.3 percent of GDP (2019)</w:t>
            </w:r>
          </w:p>
          <w:p w14:paraId="5A361C08" w14:textId="77777777" w:rsidR="003C79BC" w:rsidRPr="00DC050B" w:rsidRDefault="003C79BC" w:rsidP="008C0D36">
            <w:pPr>
              <w:spacing w:after="0" w:line="240" w:lineRule="auto"/>
              <w:ind w:left="245"/>
              <w:rPr>
                <w:rFonts w:asciiTheme="minorHAnsi" w:hAnsiTheme="minorHAnsi" w:cstheme="minorHAnsi"/>
                <w:sz w:val="20"/>
                <w:szCs w:val="20"/>
                <w:highlight w:val="yellow"/>
              </w:rPr>
            </w:pPr>
            <w:r w:rsidRPr="00DC050B">
              <w:rPr>
                <w:rFonts w:asciiTheme="minorHAnsi" w:hAnsiTheme="minorHAnsi" w:cstheme="minorHAnsi"/>
                <w:sz w:val="20"/>
                <w:szCs w:val="20"/>
              </w:rPr>
              <w:t>Intermediate result: 0.8 percent of GDP (2016)</w:t>
            </w:r>
          </w:p>
        </w:tc>
      </w:tr>
      <w:tr w:rsidR="003C79BC" w:rsidRPr="00B66802" w14:paraId="040F1715" w14:textId="77777777" w:rsidTr="001E0B68">
        <w:trPr>
          <w:trHeight w:val="350"/>
          <w:jc w:val="center"/>
        </w:trPr>
        <w:tc>
          <w:tcPr>
            <w:tcW w:w="1199" w:type="pct"/>
            <w:tcBorders>
              <w:top w:val="single" w:sz="4" w:space="0" w:color="auto"/>
              <w:left w:val="single" w:sz="4" w:space="0" w:color="auto"/>
              <w:bottom w:val="single" w:sz="4" w:space="0" w:color="auto"/>
              <w:right w:val="single" w:sz="4" w:space="0" w:color="auto"/>
            </w:tcBorders>
          </w:tcPr>
          <w:p w14:paraId="112A95B6" w14:textId="77777777" w:rsidR="003C79BC" w:rsidRPr="00B66802" w:rsidRDefault="003C79BC" w:rsidP="008C0D36">
            <w:pPr>
              <w:spacing w:after="0" w:line="240" w:lineRule="auto"/>
              <w:ind w:left="180"/>
              <w:rPr>
                <w:rFonts w:asciiTheme="minorHAnsi" w:hAnsiTheme="minorHAnsi" w:cstheme="minorHAnsi"/>
                <w:b/>
                <w:sz w:val="20"/>
                <w:szCs w:val="20"/>
              </w:rPr>
            </w:pPr>
          </w:p>
        </w:tc>
        <w:tc>
          <w:tcPr>
            <w:tcW w:w="3801" w:type="pct"/>
            <w:gridSpan w:val="3"/>
            <w:tcBorders>
              <w:top w:val="single" w:sz="4" w:space="0" w:color="auto"/>
              <w:left w:val="single" w:sz="4" w:space="0" w:color="auto"/>
              <w:bottom w:val="single" w:sz="4" w:space="0" w:color="auto"/>
              <w:right w:val="single" w:sz="4" w:space="0" w:color="auto"/>
            </w:tcBorders>
          </w:tcPr>
          <w:p w14:paraId="29BE1E1E" w14:textId="77777777" w:rsidR="003C79BC" w:rsidRPr="00BD4A16" w:rsidRDefault="003C79BC" w:rsidP="008C0D36">
            <w:pPr>
              <w:spacing w:after="0" w:line="240" w:lineRule="auto"/>
              <w:ind w:left="180"/>
              <w:rPr>
                <w:rFonts w:asciiTheme="minorHAnsi" w:hAnsiTheme="minorHAnsi" w:cstheme="minorHAnsi"/>
                <w:b/>
                <w:sz w:val="20"/>
                <w:szCs w:val="20"/>
              </w:rPr>
            </w:pPr>
            <w:r w:rsidRPr="00BD4A16">
              <w:rPr>
                <w:rFonts w:asciiTheme="minorHAnsi" w:hAnsiTheme="minorHAnsi" w:cstheme="minorHAnsi"/>
                <w:b/>
                <w:sz w:val="20"/>
                <w:szCs w:val="20"/>
              </w:rPr>
              <w:t>1.3 Strengthening Public Investment Management</w:t>
            </w:r>
          </w:p>
        </w:tc>
      </w:tr>
      <w:tr w:rsidR="003C79BC" w:rsidRPr="00B66802" w14:paraId="02E838AB" w14:textId="77777777" w:rsidTr="0082774F">
        <w:trPr>
          <w:trHeight w:hRule="exact" w:val="2278"/>
          <w:jc w:val="center"/>
        </w:trPr>
        <w:tc>
          <w:tcPr>
            <w:tcW w:w="1199" w:type="pct"/>
            <w:tcBorders>
              <w:top w:val="single" w:sz="4" w:space="0" w:color="auto"/>
              <w:left w:val="single" w:sz="4" w:space="0" w:color="auto"/>
              <w:bottom w:val="single" w:sz="4" w:space="0" w:color="auto"/>
              <w:right w:val="single" w:sz="4" w:space="0" w:color="auto"/>
            </w:tcBorders>
          </w:tcPr>
          <w:p w14:paraId="51F53A19" w14:textId="77777777" w:rsidR="003C79BC" w:rsidRPr="00BD4A16" w:rsidRDefault="003C79BC" w:rsidP="008C0D36">
            <w:pPr>
              <w:spacing w:after="0" w:line="240" w:lineRule="auto"/>
              <w:ind w:left="180"/>
              <w:rPr>
                <w:rFonts w:asciiTheme="minorHAnsi" w:hAnsiTheme="minorHAnsi" w:cstheme="minorHAnsi"/>
                <w:sz w:val="20"/>
                <w:szCs w:val="20"/>
              </w:rPr>
            </w:pPr>
            <w:r w:rsidRPr="00B66802">
              <w:rPr>
                <w:rFonts w:asciiTheme="minorHAnsi" w:hAnsiTheme="minorHAnsi" w:cstheme="minorHAnsi"/>
                <w:sz w:val="20"/>
                <w:szCs w:val="20"/>
              </w:rPr>
              <w:t>The authorities intend to revive growth by scaling-up public investments, and through attracting private sector investment, particularly through PPPs (in line with the cascade approach). However, PIM capacity is weak and the institutional framework require</w:t>
            </w:r>
            <w:r w:rsidRPr="00BD4A16">
              <w:rPr>
                <w:rFonts w:asciiTheme="minorHAnsi" w:hAnsiTheme="minorHAnsi" w:cstheme="minorHAnsi"/>
                <w:sz w:val="20"/>
                <w:szCs w:val="20"/>
              </w:rPr>
              <w:t xml:space="preserve">s strengthening, as discussed in the WB-IMF PIM assessment (August, 2016). </w:t>
            </w:r>
          </w:p>
          <w:p w14:paraId="47C2B722" w14:textId="77777777" w:rsidR="003C79BC" w:rsidRPr="00DC050B" w:rsidRDefault="003C79BC" w:rsidP="008C0D36">
            <w:pPr>
              <w:spacing w:after="0" w:line="240" w:lineRule="auto"/>
              <w:ind w:left="180"/>
              <w:rPr>
                <w:rFonts w:asciiTheme="minorHAnsi" w:hAnsiTheme="minorHAnsi" w:cstheme="minorHAnsi"/>
                <w:sz w:val="20"/>
                <w:szCs w:val="20"/>
              </w:rPr>
            </w:pPr>
          </w:p>
          <w:p w14:paraId="13F87C54" w14:textId="77777777" w:rsidR="003C79BC" w:rsidRPr="00DC050B" w:rsidRDefault="003C79BC" w:rsidP="008C0D36">
            <w:pPr>
              <w:spacing w:after="0" w:line="240" w:lineRule="auto"/>
              <w:ind w:left="180"/>
              <w:rPr>
                <w:rFonts w:asciiTheme="minorHAnsi" w:hAnsiTheme="minorHAnsi" w:cstheme="minorHAnsi"/>
                <w:b/>
                <w:sz w:val="20"/>
                <w:szCs w:val="20"/>
              </w:rPr>
            </w:pPr>
          </w:p>
        </w:tc>
        <w:tc>
          <w:tcPr>
            <w:tcW w:w="1247" w:type="pct"/>
            <w:tcBorders>
              <w:top w:val="single" w:sz="4" w:space="0" w:color="auto"/>
              <w:left w:val="single" w:sz="4" w:space="0" w:color="auto"/>
              <w:bottom w:val="single" w:sz="4" w:space="0" w:color="auto"/>
              <w:right w:val="single" w:sz="4" w:space="0" w:color="auto"/>
            </w:tcBorders>
          </w:tcPr>
          <w:p w14:paraId="3EC66859" w14:textId="77777777" w:rsidR="003C79BC" w:rsidRPr="00DC050B" w:rsidRDefault="003C79BC" w:rsidP="008C0D36">
            <w:pPr>
              <w:keepLines/>
              <w:spacing w:after="0" w:line="240" w:lineRule="auto"/>
              <w:ind w:left="245" w:right="302"/>
              <w:jc w:val="both"/>
              <w:rPr>
                <w:rFonts w:asciiTheme="minorHAnsi" w:hAnsiTheme="minorHAnsi" w:cstheme="minorHAnsi"/>
                <w:b/>
                <w:sz w:val="20"/>
                <w:szCs w:val="20"/>
              </w:rPr>
            </w:pPr>
          </w:p>
        </w:tc>
        <w:tc>
          <w:tcPr>
            <w:tcW w:w="1362" w:type="pct"/>
            <w:tcBorders>
              <w:top w:val="single" w:sz="4" w:space="0" w:color="auto"/>
              <w:left w:val="single" w:sz="4" w:space="0" w:color="auto"/>
              <w:bottom w:val="single" w:sz="4" w:space="0" w:color="auto"/>
              <w:right w:val="single" w:sz="4" w:space="0" w:color="auto"/>
            </w:tcBorders>
          </w:tcPr>
          <w:p w14:paraId="5C9E0342" w14:textId="7E969DDB" w:rsidR="003C79BC" w:rsidRPr="00B66802" w:rsidRDefault="003C79BC" w:rsidP="008C0D36">
            <w:pPr>
              <w:keepLines/>
              <w:spacing w:after="0" w:line="240" w:lineRule="auto"/>
              <w:ind w:left="245" w:right="302"/>
              <w:jc w:val="both"/>
              <w:rPr>
                <w:rFonts w:asciiTheme="minorHAnsi" w:hAnsiTheme="minorHAnsi" w:cstheme="minorHAnsi"/>
                <w:sz w:val="20"/>
                <w:szCs w:val="20"/>
                <w:lang w:val="fr-FR"/>
              </w:rPr>
            </w:pPr>
            <w:r w:rsidRPr="00DC050B">
              <w:rPr>
                <w:rFonts w:asciiTheme="minorHAnsi" w:hAnsiTheme="minorHAnsi" w:cstheme="minorHAnsi"/>
                <w:b/>
                <w:sz w:val="20"/>
                <w:szCs w:val="20"/>
                <w:lang w:val="fr-FR"/>
              </w:rPr>
              <w:t>PA#5.</w:t>
            </w:r>
            <w:r w:rsidRPr="00DC050B">
              <w:rPr>
                <w:rFonts w:asciiTheme="minorHAnsi" w:hAnsiTheme="minorHAnsi" w:cstheme="minorHAnsi"/>
                <w:sz w:val="20"/>
                <w:szCs w:val="20"/>
                <w:lang w:val="fr-FR"/>
              </w:rPr>
              <w:t xml:space="preserve"> </w:t>
            </w:r>
            <w:r w:rsidR="00BE215C" w:rsidRPr="006C66C2">
              <w:rPr>
                <w:rFonts w:asciiTheme="minorHAnsi" w:hAnsiTheme="minorHAnsi" w:cstheme="minorHAnsi"/>
                <w:sz w:val="20"/>
                <w:szCs w:val="20"/>
                <w:lang w:val="fr-FR"/>
              </w:rPr>
              <w:t xml:space="preserve">The Recipient </w:t>
            </w:r>
            <w:r w:rsidR="00BE215C" w:rsidRPr="004C6EBE">
              <w:rPr>
                <w:rFonts w:asciiTheme="minorHAnsi" w:hAnsiTheme="minorHAnsi" w:cstheme="minorHAnsi"/>
                <w:bCs/>
                <w:iCs/>
                <w:sz w:val="20"/>
                <w:szCs w:val="20"/>
                <w:lang w:val="fr-FR"/>
              </w:rPr>
              <w:t>has adopted application decrees to give effect to the PPP Law:</w:t>
            </w:r>
            <w:r w:rsidR="00BE215C" w:rsidRPr="004C6EBE">
              <w:rPr>
                <w:rFonts w:asciiTheme="minorHAnsi" w:hAnsiTheme="minorHAnsi" w:cstheme="minorHAnsi"/>
                <w:bCs/>
                <w:i/>
                <w:iCs/>
                <w:sz w:val="20"/>
                <w:szCs w:val="20"/>
                <w:lang w:val="fr-FR"/>
              </w:rPr>
              <w:t xml:space="preserve"> Décret No. 2017-150 du 2 mars 2017 relatif au cadre institutionnel and Décret No.2017-149 du 2 mars 2017 relatif au</w:t>
            </w:r>
            <w:r w:rsidR="00D67BC0" w:rsidRPr="004C6EBE">
              <w:rPr>
                <w:rFonts w:asciiTheme="minorHAnsi" w:hAnsiTheme="minorHAnsi" w:cstheme="minorHAnsi"/>
                <w:bCs/>
                <w:i/>
                <w:iCs/>
                <w:sz w:val="20"/>
                <w:szCs w:val="20"/>
                <w:lang w:val="fr-FR"/>
              </w:rPr>
              <w:t>x</w:t>
            </w:r>
            <w:r w:rsidR="00BE215C" w:rsidRPr="004C6EBE">
              <w:rPr>
                <w:rFonts w:asciiTheme="minorHAnsi" w:hAnsiTheme="minorHAnsi" w:cstheme="minorHAnsi"/>
                <w:bCs/>
                <w:i/>
                <w:iCs/>
                <w:sz w:val="20"/>
                <w:szCs w:val="20"/>
                <w:lang w:val="fr-FR"/>
              </w:rPr>
              <w:t xml:space="preserve"> modalités d’application des dispositions concernant la passation des contrats de partenariat public-privé</w:t>
            </w:r>
            <w:r w:rsidR="00BE215C" w:rsidRPr="00B66802">
              <w:rPr>
                <w:rFonts w:asciiTheme="minorHAnsi" w:hAnsiTheme="minorHAnsi" w:cstheme="minorHAnsi"/>
                <w:sz w:val="20"/>
                <w:szCs w:val="20"/>
                <w:lang w:val="fr-FR"/>
              </w:rPr>
              <w:t>.</w:t>
            </w:r>
          </w:p>
          <w:p w14:paraId="34EFEE84" w14:textId="77777777" w:rsidR="003C79BC" w:rsidRPr="00BD4A16" w:rsidRDefault="003C79BC" w:rsidP="008C0D36">
            <w:pPr>
              <w:keepLines/>
              <w:spacing w:after="0" w:line="240" w:lineRule="auto"/>
              <w:ind w:left="245" w:right="302"/>
              <w:jc w:val="both"/>
              <w:rPr>
                <w:rFonts w:asciiTheme="minorHAnsi" w:hAnsiTheme="minorHAnsi" w:cstheme="minorHAnsi"/>
                <w:sz w:val="20"/>
                <w:szCs w:val="20"/>
                <w:lang w:val="fr-FR"/>
              </w:rPr>
            </w:pPr>
          </w:p>
        </w:tc>
        <w:tc>
          <w:tcPr>
            <w:tcW w:w="1192" w:type="pct"/>
            <w:tcBorders>
              <w:top w:val="single" w:sz="4" w:space="0" w:color="auto"/>
              <w:left w:val="single" w:sz="4" w:space="0" w:color="auto"/>
              <w:bottom w:val="single" w:sz="4" w:space="0" w:color="auto"/>
              <w:right w:val="single" w:sz="4" w:space="0" w:color="auto"/>
            </w:tcBorders>
          </w:tcPr>
          <w:p w14:paraId="3917F265" w14:textId="77777777" w:rsidR="00135527" w:rsidRDefault="003C79BC" w:rsidP="008C0D36">
            <w:pPr>
              <w:spacing w:after="0" w:line="240" w:lineRule="auto"/>
              <w:ind w:left="245"/>
              <w:rPr>
                <w:rFonts w:asciiTheme="minorHAnsi" w:hAnsiTheme="minorHAnsi" w:cstheme="minorHAnsi"/>
                <w:sz w:val="20"/>
                <w:szCs w:val="20"/>
              </w:rPr>
            </w:pPr>
            <w:r w:rsidRPr="004C6EBE">
              <w:rPr>
                <w:rFonts w:asciiTheme="minorHAnsi" w:hAnsiTheme="minorHAnsi" w:cstheme="minorHAnsi"/>
                <w:sz w:val="20"/>
                <w:szCs w:val="20"/>
              </w:rPr>
              <w:t xml:space="preserve">Share of new PPPs that follow appraisal and selection processes under the PPP Act </w:t>
            </w:r>
            <w:r w:rsidRPr="004C6EBE">
              <w:rPr>
                <w:rFonts w:asciiTheme="minorHAnsi" w:hAnsiTheme="minorHAnsi" w:cstheme="minorHAnsi"/>
                <w:sz w:val="20"/>
                <w:szCs w:val="20"/>
              </w:rPr>
              <w:br/>
            </w:r>
            <w:r w:rsidR="00135527" w:rsidRPr="00B66802">
              <w:rPr>
                <w:rFonts w:asciiTheme="minorHAnsi" w:hAnsiTheme="minorHAnsi" w:cstheme="minorHAnsi"/>
                <w:sz w:val="20"/>
                <w:szCs w:val="20"/>
              </w:rPr>
              <w:t xml:space="preserve">Baseline: 0 </w:t>
            </w:r>
            <w:r w:rsidR="00135527">
              <w:rPr>
                <w:rFonts w:asciiTheme="minorHAnsi" w:hAnsiTheme="minorHAnsi" w:cstheme="minorHAnsi"/>
                <w:sz w:val="20"/>
                <w:szCs w:val="20"/>
              </w:rPr>
              <w:t xml:space="preserve">percent </w:t>
            </w:r>
            <w:r w:rsidR="00135527" w:rsidRPr="00B66802">
              <w:rPr>
                <w:rFonts w:asciiTheme="minorHAnsi" w:hAnsiTheme="minorHAnsi" w:cstheme="minorHAnsi"/>
                <w:sz w:val="20"/>
                <w:szCs w:val="20"/>
              </w:rPr>
              <w:t>(2015)</w:t>
            </w:r>
          </w:p>
          <w:p w14:paraId="5CA2213B" w14:textId="6C1AC962" w:rsidR="003C79BC" w:rsidRPr="00DC050B" w:rsidRDefault="00135527" w:rsidP="008C0D36">
            <w:pPr>
              <w:spacing w:after="0" w:line="240" w:lineRule="auto"/>
              <w:ind w:left="245"/>
              <w:rPr>
                <w:rFonts w:asciiTheme="minorHAnsi" w:hAnsiTheme="minorHAnsi" w:cstheme="minorHAnsi"/>
                <w:sz w:val="20"/>
                <w:szCs w:val="20"/>
              </w:rPr>
            </w:pPr>
            <w:r w:rsidRPr="00B66802">
              <w:rPr>
                <w:rFonts w:asciiTheme="minorHAnsi" w:hAnsiTheme="minorHAnsi" w:cstheme="minorHAnsi"/>
                <w:sz w:val="20"/>
                <w:szCs w:val="20"/>
              </w:rPr>
              <w:t xml:space="preserve">Target: 100 </w:t>
            </w:r>
            <w:r>
              <w:rPr>
                <w:rFonts w:asciiTheme="minorHAnsi" w:hAnsiTheme="minorHAnsi" w:cstheme="minorHAnsi"/>
                <w:sz w:val="20"/>
                <w:szCs w:val="20"/>
              </w:rPr>
              <w:t xml:space="preserve">percent </w:t>
            </w:r>
            <w:r w:rsidRPr="00B66802">
              <w:rPr>
                <w:rFonts w:asciiTheme="minorHAnsi" w:hAnsiTheme="minorHAnsi" w:cstheme="minorHAnsi"/>
                <w:sz w:val="20"/>
                <w:szCs w:val="20"/>
              </w:rPr>
              <w:t>(2019)</w:t>
            </w:r>
          </w:p>
          <w:p w14:paraId="52E1B3E4" w14:textId="77777777" w:rsidR="003C79BC" w:rsidRPr="00DC050B" w:rsidRDefault="003C79BC" w:rsidP="008C0D36">
            <w:pPr>
              <w:spacing w:after="0" w:line="240" w:lineRule="auto"/>
              <w:ind w:left="245"/>
              <w:rPr>
                <w:rFonts w:asciiTheme="minorHAnsi" w:hAnsiTheme="minorHAnsi" w:cstheme="minorHAnsi"/>
                <w:sz w:val="20"/>
                <w:szCs w:val="20"/>
              </w:rPr>
            </w:pPr>
            <w:r w:rsidRPr="00DC050B">
              <w:rPr>
                <w:rFonts w:asciiTheme="minorHAnsi" w:hAnsiTheme="minorHAnsi" w:cstheme="minorHAnsi"/>
                <w:sz w:val="20"/>
                <w:szCs w:val="20"/>
              </w:rPr>
              <w:t>Intermediate result: no new PPP contract in 2016</w:t>
            </w:r>
          </w:p>
          <w:p w14:paraId="37BF1B67" w14:textId="77777777" w:rsidR="003C79BC" w:rsidRPr="00DC050B" w:rsidRDefault="003C79BC" w:rsidP="008C0D36">
            <w:pPr>
              <w:ind w:left="245"/>
              <w:rPr>
                <w:rFonts w:asciiTheme="minorHAnsi" w:hAnsiTheme="minorHAnsi" w:cstheme="minorHAnsi"/>
                <w:sz w:val="20"/>
                <w:szCs w:val="20"/>
              </w:rPr>
            </w:pPr>
          </w:p>
        </w:tc>
      </w:tr>
      <w:tr w:rsidR="003C79BC" w:rsidRPr="00B66802" w14:paraId="7632FCEC" w14:textId="77777777" w:rsidTr="0082774F">
        <w:trPr>
          <w:trHeight w:hRule="exact" w:val="2971"/>
          <w:jc w:val="center"/>
        </w:trPr>
        <w:tc>
          <w:tcPr>
            <w:tcW w:w="1199" w:type="pct"/>
            <w:tcBorders>
              <w:top w:val="single" w:sz="4" w:space="0" w:color="auto"/>
              <w:left w:val="single" w:sz="4" w:space="0" w:color="auto"/>
              <w:bottom w:val="single" w:sz="4" w:space="0" w:color="auto"/>
              <w:right w:val="single" w:sz="4" w:space="0" w:color="auto"/>
            </w:tcBorders>
          </w:tcPr>
          <w:p w14:paraId="21D2BC62" w14:textId="77777777" w:rsidR="003C79BC" w:rsidRPr="00BD4A16" w:rsidRDefault="003C79BC" w:rsidP="008C0D36">
            <w:pPr>
              <w:spacing w:after="0" w:line="240" w:lineRule="auto"/>
              <w:ind w:left="180"/>
              <w:rPr>
                <w:rFonts w:asciiTheme="minorHAnsi" w:hAnsiTheme="minorHAnsi" w:cstheme="minorHAnsi"/>
                <w:sz w:val="20"/>
                <w:szCs w:val="20"/>
              </w:rPr>
            </w:pPr>
            <w:r w:rsidRPr="00B66802">
              <w:rPr>
                <w:rFonts w:asciiTheme="minorHAnsi" w:hAnsiTheme="minorHAnsi" w:cstheme="minorHAnsi"/>
                <w:sz w:val="20"/>
                <w:szCs w:val="20"/>
              </w:rPr>
              <w:t>The reforms focus on two areas: (i) strengthening the institutional framework for PPPs); and (ii) improving the s</w:t>
            </w:r>
            <w:r w:rsidRPr="00BD4A16">
              <w:rPr>
                <w:rFonts w:asciiTheme="minorHAnsi" w:hAnsiTheme="minorHAnsi" w:cstheme="minorHAnsi"/>
                <w:sz w:val="20"/>
                <w:szCs w:val="20"/>
              </w:rPr>
              <w:t>election of investment projects to be financed with domestic resources</w:t>
            </w:r>
          </w:p>
        </w:tc>
        <w:tc>
          <w:tcPr>
            <w:tcW w:w="1247" w:type="pct"/>
            <w:tcBorders>
              <w:top w:val="single" w:sz="4" w:space="0" w:color="auto"/>
              <w:left w:val="single" w:sz="4" w:space="0" w:color="auto"/>
              <w:bottom w:val="single" w:sz="4" w:space="0" w:color="auto"/>
              <w:right w:val="single" w:sz="4" w:space="0" w:color="auto"/>
            </w:tcBorders>
          </w:tcPr>
          <w:p w14:paraId="2C91C14A" w14:textId="77777777" w:rsidR="003C79BC" w:rsidRPr="00DC050B" w:rsidRDefault="003C79BC" w:rsidP="008C0D36">
            <w:pPr>
              <w:spacing w:after="0" w:line="240" w:lineRule="auto"/>
              <w:ind w:left="187" w:right="115"/>
              <w:jc w:val="both"/>
              <w:rPr>
                <w:rFonts w:asciiTheme="minorHAnsi" w:hAnsiTheme="minorHAnsi" w:cstheme="minorHAnsi"/>
                <w:b/>
                <w:sz w:val="20"/>
                <w:szCs w:val="20"/>
              </w:rPr>
            </w:pPr>
          </w:p>
        </w:tc>
        <w:tc>
          <w:tcPr>
            <w:tcW w:w="1362" w:type="pct"/>
            <w:tcBorders>
              <w:top w:val="single" w:sz="4" w:space="0" w:color="auto"/>
              <w:left w:val="single" w:sz="4" w:space="0" w:color="auto"/>
              <w:bottom w:val="single" w:sz="4" w:space="0" w:color="auto"/>
              <w:right w:val="single" w:sz="4" w:space="0" w:color="auto"/>
            </w:tcBorders>
          </w:tcPr>
          <w:p w14:paraId="6EB0FB83" w14:textId="70FFFB67" w:rsidR="003C79BC" w:rsidRPr="00B66802" w:rsidRDefault="003C79BC" w:rsidP="0082774F">
            <w:pPr>
              <w:keepLines/>
              <w:spacing w:after="0" w:line="240" w:lineRule="auto"/>
              <w:ind w:left="245" w:right="302"/>
              <w:jc w:val="both"/>
              <w:rPr>
                <w:rFonts w:asciiTheme="minorHAnsi" w:hAnsiTheme="minorHAnsi" w:cstheme="minorHAnsi"/>
                <w:sz w:val="20"/>
                <w:szCs w:val="20"/>
              </w:rPr>
            </w:pPr>
            <w:r w:rsidRPr="00DC050B">
              <w:rPr>
                <w:rFonts w:asciiTheme="minorHAnsi" w:hAnsiTheme="minorHAnsi" w:cstheme="minorHAnsi"/>
                <w:b/>
                <w:sz w:val="20"/>
                <w:szCs w:val="20"/>
              </w:rPr>
              <w:t>PA#6.</w:t>
            </w:r>
            <w:r w:rsidRPr="00DC050B">
              <w:rPr>
                <w:rFonts w:asciiTheme="minorHAnsi" w:hAnsiTheme="minorHAnsi" w:cstheme="minorHAnsi"/>
                <w:sz w:val="20"/>
                <w:szCs w:val="20"/>
              </w:rPr>
              <w:t xml:space="preserve"> </w:t>
            </w:r>
            <w:r w:rsidR="00BE215C" w:rsidRPr="00DC050B">
              <w:rPr>
                <w:rFonts w:asciiTheme="minorHAnsi" w:hAnsiTheme="minorHAnsi" w:cstheme="minorHAnsi"/>
                <w:sz w:val="20"/>
                <w:szCs w:val="20"/>
              </w:rPr>
              <w:t xml:space="preserve">The Recipient </w:t>
            </w:r>
            <w:r w:rsidR="00BE215C" w:rsidRPr="004C6EBE">
              <w:rPr>
                <w:rFonts w:asciiTheme="minorHAnsi" w:hAnsiTheme="minorHAnsi" w:cstheme="minorHAnsi"/>
                <w:sz w:val="20"/>
                <w:szCs w:val="20"/>
              </w:rPr>
              <w:t xml:space="preserve">has issued a </w:t>
            </w:r>
            <w:r w:rsidR="00BE215C" w:rsidRPr="004C6EBE">
              <w:rPr>
                <w:rFonts w:asciiTheme="minorHAnsi" w:hAnsiTheme="minorHAnsi" w:cstheme="minorHAnsi"/>
                <w:i/>
                <w:iCs/>
                <w:sz w:val="20"/>
                <w:szCs w:val="20"/>
              </w:rPr>
              <w:t xml:space="preserve">Circulaire relative à la preparation des projets du Programme d’Investissement Public 2018-2020, Tranche 2018 (sur financement intérieur) N. 007-MFB/SG/DGB du 30 juin 2017 </w:t>
            </w:r>
            <w:r w:rsidR="00BE215C" w:rsidRPr="004C6EBE">
              <w:rPr>
                <w:rFonts w:asciiTheme="minorHAnsi" w:hAnsiTheme="minorHAnsi" w:cstheme="minorHAnsi"/>
                <w:sz w:val="20"/>
                <w:szCs w:val="20"/>
              </w:rPr>
              <w:t>to improve the selection process of domestically-financed investment projects through standardizing selection criteria and screening of all project proposals with pre-defined parameters, in line with the National Development Plan</w:t>
            </w:r>
            <w:r w:rsidR="00BE215C" w:rsidRPr="00B66802">
              <w:rPr>
                <w:rFonts w:asciiTheme="minorHAnsi" w:hAnsiTheme="minorHAnsi" w:cstheme="minorHAnsi"/>
                <w:sz w:val="20"/>
                <w:szCs w:val="20"/>
              </w:rPr>
              <w:t>.</w:t>
            </w:r>
          </w:p>
          <w:p w14:paraId="16ADC34F" w14:textId="77777777" w:rsidR="003C79BC" w:rsidRPr="00BD4A16" w:rsidRDefault="003C79BC" w:rsidP="008C0D36">
            <w:pPr>
              <w:keepLines/>
              <w:spacing w:after="0" w:line="240" w:lineRule="auto"/>
              <w:ind w:left="245" w:right="302"/>
              <w:rPr>
                <w:rFonts w:asciiTheme="minorHAnsi" w:hAnsiTheme="minorHAnsi" w:cstheme="minorHAnsi"/>
                <w:b/>
                <w:sz w:val="20"/>
                <w:szCs w:val="20"/>
              </w:rPr>
            </w:pPr>
          </w:p>
        </w:tc>
        <w:tc>
          <w:tcPr>
            <w:tcW w:w="1192" w:type="pct"/>
            <w:tcBorders>
              <w:top w:val="single" w:sz="4" w:space="0" w:color="auto"/>
              <w:left w:val="single" w:sz="4" w:space="0" w:color="auto"/>
              <w:bottom w:val="single" w:sz="4" w:space="0" w:color="auto"/>
              <w:right w:val="single" w:sz="4" w:space="0" w:color="auto"/>
            </w:tcBorders>
          </w:tcPr>
          <w:p w14:paraId="59C4150B" w14:textId="77777777" w:rsidR="0095560D" w:rsidRPr="006C66C2" w:rsidRDefault="0095560D" w:rsidP="0095560D">
            <w:pPr>
              <w:spacing w:after="0" w:line="240" w:lineRule="auto"/>
              <w:ind w:left="245"/>
              <w:rPr>
                <w:rFonts w:asciiTheme="minorHAnsi" w:hAnsiTheme="minorHAnsi" w:cstheme="minorHAnsi"/>
                <w:sz w:val="20"/>
                <w:szCs w:val="20"/>
              </w:rPr>
            </w:pPr>
            <w:r w:rsidRPr="00DC050B">
              <w:rPr>
                <w:rFonts w:asciiTheme="minorHAnsi" w:hAnsiTheme="minorHAnsi" w:cstheme="minorHAnsi"/>
                <w:sz w:val="20"/>
                <w:szCs w:val="20"/>
              </w:rPr>
              <w:t>Share of domestically financed investment projects above MGA 5</w:t>
            </w:r>
            <w:r>
              <w:rPr>
                <w:rFonts w:asciiTheme="minorHAnsi" w:hAnsiTheme="minorHAnsi" w:cstheme="minorHAnsi"/>
                <w:sz w:val="20"/>
                <w:szCs w:val="20"/>
              </w:rPr>
              <w:t xml:space="preserve"> </w:t>
            </w:r>
            <w:r w:rsidRPr="00DC050B">
              <w:rPr>
                <w:rFonts w:asciiTheme="minorHAnsi" w:hAnsiTheme="minorHAnsi" w:cstheme="minorHAnsi"/>
                <w:sz w:val="20"/>
                <w:szCs w:val="20"/>
              </w:rPr>
              <w:t>b</w:t>
            </w:r>
            <w:r>
              <w:rPr>
                <w:rFonts w:asciiTheme="minorHAnsi" w:hAnsiTheme="minorHAnsi" w:cstheme="minorHAnsi"/>
                <w:sz w:val="20"/>
                <w:szCs w:val="20"/>
              </w:rPr>
              <w:t>illio</w:t>
            </w:r>
            <w:r w:rsidRPr="00DC050B">
              <w:rPr>
                <w:rFonts w:asciiTheme="minorHAnsi" w:hAnsiTheme="minorHAnsi" w:cstheme="minorHAnsi"/>
                <w:sz w:val="20"/>
                <w:szCs w:val="20"/>
              </w:rPr>
              <w:t>n subject to the new standardized sele</w:t>
            </w:r>
            <w:r w:rsidRPr="006C66C2">
              <w:rPr>
                <w:rFonts w:asciiTheme="minorHAnsi" w:hAnsiTheme="minorHAnsi" w:cstheme="minorHAnsi"/>
                <w:sz w:val="20"/>
                <w:szCs w:val="20"/>
              </w:rPr>
              <w:t>ction criteria and appraisal methodology</w:t>
            </w:r>
          </w:p>
          <w:p w14:paraId="4A9FECF5" w14:textId="77777777" w:rsidR="003C79BC" w:rsidRPr="00DC050B" w:rsidRDefault="003C79BC" w:rsidP="008C0D36">
            <w:pPr>
              <w:spacing w:after="0" w:line="240" w:lineRule="auto"/>
              <w:ind w:left="245"/>
              <w:rPr>
                <w:rFonts w:asciiTheme="minorHAnsi" w:hAnsiTheme="minorHAnsi" w:cstheme="minorHAnsi"/>
                <w:sz w:val="20"/>
                <w:szCs w:val="20"/>
              </w:rPr>
            </w:pPr>
            <w:r w:rsidRPr="00DC050B">
              <w:rPr>
                <w:rFonts w:asciiTheme="minorHAnsi" w:hAnsiTheme="minorHAnsi" w:cstheme="minorHAnsi"/>
                <w:sz w:val="20"/>
                <w:szCs w:val="20"/>
              </w:rPr>
              <w:t xml:space="preserve">Baseline: 0 (2015) </w:t>
            </w:r>
          </w:p>
          <w:p w14:paraId="74525335" w14:textId="77777777" w:rsidR="003C79BC" w:rsidRPr="006C66C2" w:rsidRDefault="003C79BC" w:rsidP="008C0D36">
            <w:pPr>
              <w:spacing w:after="0" w:line="240" w:lineRule="auto"/>
              <w:ind w:left="245"/>
              <w:rPr>
                <w:rFonts w:asciiTheme="minorHAnsi" w:hAnsiTheme="minorHAnsi" w:cstheme="minorHAnsi"/>
                <w:sz w:val="20"/>
                <w:szCs w:val="20"/>
              </w:rPr>
            </w:pPr>
            <w:r w:rsidRPr="006C66C2">
              <w:rPr>
                <w:rFonts w:asciiTheme="minorHAnsi" w:hAnsiTheme="minorHAnsi" w:cstheme="minorHAnsi"/>
                <w:sz w:val="20"/>
                <w:szCs w:val="20"/>
              </w:rPr>
              <w:t xml:space="preserve">Target: 100 percent (2019) </w:t>
            </w:r>
          </w:p>
          <w:p w14:paraId="154F2127" w14:textId="77777777" w:rsidR="003C79BC" w:rsidRPr="00A20F63" w:rsidRDefault="003C79BC" w:rsidP="008C0D36">
            <w:pPr>
              <w:spacing w:after="0" w:line="240" w:lineRule="auto"/>
              <w:ind w:left="245"/>
              <w:rPr>
                <w:rFonts w:asciiTheme="minorHAnsi" w:hAnsiTheme="minorHAnsi" w:cstheme="minorHAnsi"/>
                <w:sz w:val="20"/>
                <w:szCs w:val="20"/>
              </w:rPr>
            </w:pPr>
            <w:r w:rsidRPr="006C66C2">
              <w:rPr>
                <w:rFonts w:asciiTheme="minorHAnsi" w:hAnsiTheme="minorHAnsi" w:cstheme="minorHAnsi"/>
                <w:sz w:val="20"/>
                <w:szCs w:val="20"/>
              </w:rPr>
              <w:t>Intermediate result: available</w:t>
            </w:r>
            <w:r w:rsidRPr="00A20F63">
              <w:rPr>
                <w:rFonts w:asciiTheme="minorHAnsi" w:hAnsiTheme="minorHAnsi" w:cstheme="minorHAnsi"/>
                <w:sz w:val="20"/>
                <w:szCs w:val="20"/>
              </w:rPr>
              <w:t xml:space="preserve"> after approval of 2018 budget law</w:t>
            </w:r>
          </w:p>
        </w:tc>
      </w:tr>
      <w:tr w:rsidR="003C79BC" w:rsidRPr="00B66802" w14:paraId="570B8DB5" w14:textId="77777777" w:rsidTr="001E0B68">
        <w:trPr>
          <w:trHeight w:hRule="exact" w:val="370"/>
          <w:jc w:val="center"/>
        </w:trPr>
        <w:tc>
          <w:tcPr>
            <w:tcW w:w="5000" w:type="pct"/>
            <w:gridSpan w:val="4"/>
            <w:tcBorders>
              <w:top w:val="single" w:sz="4" w:space="0" w:color="auto"/>
              <w:left w:val="single" w:sz="8" w:space="0" w:color="000000"/>
              <w:bottom w:val="single" w:sz="8" w:space="0" w:color="000000"/>
              <w:right w:val="single" w:sz="4" w:space="0" w:color="auto"/>
            </w:tcBorders>
          </w:tcPr>
          <w:p w14:paraId="1D1DDF4D" w14:textId="1799D454" w:rsidR="003C79BC" w:rsidRPr="00B66802" w:rsidRDefault="003C79BC" w:rsidP="008C0D36">
            <w:pPr>
              <w:spacing w:after="0" w:line="240" w:lineRule="auto"/>
              <w:ind w:left="245"/>
              <w:jc w:val="center"/>
              <w:rPr>
                <w:rFonts w:asciiTheme="minorHAnsi" w:hAnsiTheme="minorHAnsi" w:cstheme="minorHAnsi"/>
                <w:b/>
                <w:bCs/>
                <w:i/>
                <w:iCs/>
                <w:sz w:val="20"/>
                <w:szCs w:val="20"/>
              </w:rPr>
            </w:pPr>
            <w:r w:rsidRPr="00B66802">
              <w:rPr>
                <w:rFonts w:asciiTheme="minorHAnsi" w:hAnsiTheme="minorHAnsi" w:cstheme="minorHAnsi"/>
                <w:b/>
                <w:bCs/>
                <w:i/>
                <w:iCs/>
                <w:sz w:val="20"/>
                <w:szCs w:val="20"/>
              </w:rPr>
              <w:t xml:space="preserve">Pillar B- </w:t>
            </w:r>
            <w:r w:rsidR="00F00A7C" w:rsidRPr="00F00A7C">
              <w:rPr>
                <w:rFonts w:asciiTheme="minorHAnsi" w:hAnsiTheme="minorHAnsi" w:cstheme="minorHAnsi"/>
                <w:b/>
                <w:sz w:val="20"/>
                <w:szCs w:val="20"/>
              </w:rPr>
              <w:t>Improve the environment for investment</w:t>
            </w:r>
          </w:p>
        </w:tc>
      </w:tr>
      <w:tr w:rsidR="003C79BC" w:rsidRPr="00B66802" w14:paraId="1E6B4D7A" w14:textId="77777777" w:rsidTr="001E0B68">
        <w:trPr>
          <w:trHeight w:val="331"/>
          <w:jc w:val="center"/>
        </w:trPr>
        <w:tc>
          <w:tcPr>
            <w:tcW w:w="1199" w:type="pct"/>
            <w:tcBorders>
              <w:top w:val="single" w:sz="8" w:space="0" w:color="000000"/>
              <w:left w:val="single" w:sz="8" w:space="0" w:color="000000"/>
              <w:bottom w:val="single" w:sz="8" w:space="0" w:color="000000"/>
              <w:right w:val="single" w:sz="4" w:space="0" w:color="auto"/>
            </w:tcBorders>
          </w:tcPr>
          <w:p w14:paraId="71483A62" w14:textId="77777777" w:rsidR="003C79BC" w:rsidRPr="00B66802" w:rsidRDefault="003C79BC" w:rsidP="008C0D36">
            <w:pPr>
              <w:spacing w:after="0" w:line="240" w:lineRule="auto"/>
              <w:ind w:left="180"/>
              <w:rPr>
                <w:rFonts w:asciiTheme="minorHAnsi" w:hAnsiTheme="minorHAnsi" w:cstheme="minorHAnsi"/>
                <w:b/>
                <w:sz w:val="20"/>
                <w:szCs w:val="20"/>
              </w:rPr>
            </w:pPr>
          </w:p>
        </w:tc>
        <w:tc>
          <w:tcPr>
            <w:tcW w:w="3801" w:type="pct"/>
            <w:gridSpan w:val="3"/>
            <w:tcBorders>
              <w:top w:val="single" w:sz="8" w:space="0" w:color="000000"/>
              <w:left w:val="single" w:sz="8" w:space="0" w:color="000000"/>
              <w:bottom w:val="single" w:sz="8" w:space="0" w:color="000000"/>
              <w:right w:val="single" w:sz="4" w:space="0" w:color="auto"/>
            </w:tcBorders>
          </w:tcPr>
          <w:p w14:paraId="7AF4B570" w14:textId="77777777" w:rsidR="003C79BC" w:rsidRPr="00BD4A16" w:rsidRDefault="003C79BC" w:rsidP="008C0D36">
            <w:pPr>
              <w:spacing w:after="0" w:line="240" w:lineRule="auto"/>
              <w:ind w:left="180"/>
              <w:rPr>
                <w:rFonts w:asciiTheme="minorHAnsi" w:hAnsiTheme="minorHAnsi" w:cstheme="minorHAnsi"/>
                <w:b/>
                <w:sz w:val="20"/>
                <w:szCs w:val="20"/>
              </w:rPr>
            </w:pPr>
            <w:r w:rsidRPr="00BD4A16">
              <w:rPr>
                <w:rFonts w:asciiTheme="minorHAnsi" w:hAnsiTheme="minorHAnsi" w:cstheme="minorHAnsi"/>
                <w:b/>
                <w:sz w:val="20"/>
                <w:szCs w:val="20"/>
              </w:rPr>
              <w:t>2.1 Promoting the recovery of the electricity sector</w:t>
            </w:r>
          </w:p>
        </w:tc>
      </w:tr>
      <w:tr w:rsidR="003C79BC" w:rsidRPr="00B66802" w14:paraId="00823C9C" w14:textId="77777777" w:rsidTr="0082774F">
        <w:trPr>
          <w:trHeight w:val="3301"/>
          <w:jc w:val="center"/>
        </w:trPr>
        <w:tc>
          <w:tcPr>
            <w:tcW w:w="1199" w:type="pct"/>
            <w:tcBorders>
              <w:top w:val="single" w:sz="8" w:space="0" w:color="000000"/>
              <w:left w:val="single" w:sz="8" w:space="0" w:color="000000"/>
              <w:bottom w:val="single" w:sz="8" w:space="0" w:color="000000"/>
              <w:right w:val="single" w:sz="4" w:space="0" w:color="auto"/>
            </w:tcBorders>
          </w:tcPr>
          <w:p w14:paraId="1587F6D2" w14:textId="77777777" w:rsidR="003C79BC" w:rsidRPr="00DC050B" w:rsidRDefault="003C79BC" w:rsidP="008C0D36">
            <w:pPr>
              <w:spacing w:after="0" w:line="240" w:lineRule="auto"/>
              <w:ind w:left="187" w:right="115"/>
              <w:jc w:val="both"/>
              <w:rPr>
                <w:rFonts w:asciiTheme="minorHAnsi" w:hAnsiTheme="minorHAnsi" w:cstheme="minorHAnsi"/>
                <w:bCs/>
                <w:iCs/>
                <w:sz w:val="20"/>
                <w:szCs w:val="20"/>
              </w:rPr>
            </w:pPr>
            <w:r w:rsidRPr="00B66802">
              <w:rPr>
                <w:rFonts w:asciiTheme="minorHAnsi" w:hAnsiTheme="minorHAnsi" w:cstheme="minorHAnsi"/>
                <w:bCs/>
                <w:iCs/>
                <w:sz w:val="20"/>
                <w:szCs w:val="20"/>
                <w:lang w:val="x-none"/>
              </w:rPr>
              <w:lastRenderedPageBreak/>
              <w:t>The index for reliability of supply and transparency of tariff index, as measured by DBI is 0 out of 8</w:t>
            </w:r>
            <w:r w:rsidRPr="00BD4A16">
              <w:rPr>
                <w:rFonts w:asciiTheme="minorHAnsi" w:hAnsiTheme="minorHAnsi" w:cstheme="minorHAnsi"/>
                <w:bCs/>
                <w:iCs/>
                <w:sz w:val="20"/>
                <w:szCs w:val="20"/>
              </w:rPr>
              <w:t xml:space="preserve"> is 2</w:t>
            </w:r>
            <w:r w:rsidRPr="00DC050B">
              <w:rPr>
                <w:rFonts w:asciiTheme="minorHAnsi" w:hAnsiTheme="minorHAnsi" w:cstheme="minorHAnsi"/>
                <w:bCs/>
                <w:iCs/>
                <w:sz w:val="20"/>
                <w:szCs w:val="20"/>
              </w:rPr>
              <w:t>016</w:t>
            </w:r>
            <w:r w:rsidRPr="00DC050B">
              <w:rPr>
                <w:rFonts w:asciiTheme="minorHAnsi" w:hAnsiTheme="minorHAnsi" w:cstheme="minorHAnsi"/>
                <w:bCs/>
                <w:iCs/>
                <w:sz w:val="20"/>
                <w:szCs w:val="20"/>
                <w:lang w:val="x-none"/>
              </w:rPr>
              <w:t>.</w:t>
            </w:r>
            <w:r w:rsidRPr="00DC050B">
              <w:rPr>
                <w:rFonts w:asciiTheme="minorHAnsi" w:hAnsiTheme="minorHAnsi" w:cstheme="minorHAnsi"/>
                <w:bCs/>
                <w:iCs/>
                <w:sz w:val="20"/>
                <w:szCs w:val="20"/>
              </w:rPr>
              <w:t xml:space="preserve"> While the quality of supply is poor and unreliable, electricity tariffs are high compared to the region (and were recently increased in July 2017). </w:t>
            </w:r>
          </w:p>
          <w:p w14:paraId="1C14A44B" w14:textId="77777777" w:rsidR="003C79BC" w:rsidRPr="00DC050B" w:rsidRDefault="003C79BC" w:rsidP="008C0D36">
            <w:pPr>
              <w:spacing w:after="0" w:line="240" w:lineRule="auto"/>
              <w:ind w:left="187" w:right="115"/>
              <w:jc w:val="both"/>
              <w:rPr>
                <w:rFonts w:asciiTheme="minorHAnsi" w:hAnsiTheme="minorHAnsi" w:cstheme="minorHAnsi"/>
                <w:bCs/>
                <w:iCs/>
                <w:sz w:val="20"/>
                <w:szCs w:val="20"/>
              </w:rPr>
            </w:pPr>
            <w:r w:rsidRPr="00DC050B">
              <w:rPr>
                <w:rFonts w:asciiTheme="minorHAnsi" w:hAnsiTheme="minorHAnsi" w:cstheme="minorHAnsi"/>
                <w:bCs/>
                <w:iCs/>
                <w:sz w:val="20"/>
                <w:szCs w:val="20"/>
              </w:rPr>
              <w:t xml:space="preserve">Bad service and high costs are due to poor governance of this SOE, and more specifically, improper procurement practices. Therefore, the reforms seek to: (i) improve procurement practices through bringing procedures in line with the Public Procurement Code and using standardized contracts; and (ii) improve transparency on the cost of purchasing electricity with the aim of enhancing competition from other service providers. </w:t>
            </w:r>
          </w:p>
        </w:tc>
        <w:tc>
          <w:tcPr>
            <w:tcW w:w="1247" w:type="pct"/>
            <w:tcBorders>
              <w:top w:val="single" w:sz="8" w:space="0" w:color="000000"/>
              <w:left w:val="single" w:sz="8" w:space="0" w:color="000000"/>
              <w:bottom w:val="single" w:sz="8" w:space="0" w:color="000000"/>
              <w:right w:val="single" w:sz="4" w:space="0" w:color="auto"/>
            </w:tcBorders>
          </w:tcPr>
          <w:p w14:paraId="5EEF8818" w14:textId="77777777" w:rsidR="003C79BC" w:rsidRPr="00A20F63" w:rsidRDefault="003C79BC" w:rsidP="008C0D36">
            <w:pPr>
              <w:spacing w:after="0" w:line="240" w:lineRule="auto"/>
              <w:ind w:left="187" w:right="115"/>
              <w:jc w:val="both"/>
              <w:rPr>
                <w:rFonts w:asciiTheme="minorHAnsi" w:hAnsiTheme="minorHAnsi" w:cstheme="minorHAnsi"/>
                <w:sz w:val="20"/>
                <w:szCs w:val="20"/>
                <w:lang w:val="x-none"/>
              </w:rPr>
            </w:pPr>
            <w:r w:rsidRPr="00DC050B">
              <w:rPr>
                <w:rFonts w:asciiTheme="minorHAnsi" w:hAnsiTheme="minorHAnsi" w:cstheme="minorHAnsi"/>
                <w:b/>
                <w:sz w:val="20"/>
                <w:szCs w:val="20"/>
              </w:rPr>
              <w:t>PA#5.</w:t>
            </w:r>
            <w:r w:rsidRPr="006C66C2">
              <w:rPr>
                <w:rFonts w:asciiTheme="minorHAnsi" w:hAnsiTheme="minorHAnsi" w:cstheme="minorHAnsi"/>
                <w:sz w:val="20"/>
                <w:szCs w:val="20"/>
              </w:rPr>
              <w:t xml:space="preserve"> </w:t>
            </w:r>
            <w:r w:rsidRPr="006C66C2">
              <w:rPr>
                <w:rFonts w:asciiTheme="minorHAnsi" w:hAnsiTheme="minorHAnsi" w:cstheme="minorHAnsi"/>
                <w:bCs/>
                <w:iCs/>
                <w:sz w:val="20"/>
                <w:szCs w:val="20"/>
                <w:lang w:val="x-none"/>
              </w:rPr>
              <w:t xml:space="preserve">The Recipient has, through its Ministry of Finance and Budget, issued </w:t>
            </w:r>
            <w:r w:rsidRPr="006C66C2">
              <w:rPr>
                <w:rFonts w:asciiTheme="minorHAnsi" w:hAnsiTheme="minorHAnsi" w:cstheme="minorHAnsi"/>
                <w:sz w:val="20"/>
                <w:szCs w:val="20"/>
                <w:lang w:val="x-none"/>
              </w:rPr>
              <w:t xml:space="preserve">an </w:t>
            </w:r>
            <w:r w:rsidRPr="00A20F63">
              <w:rPr>
                <w:rFonts w:asciiTheme="minorHAnsi" w:hAnsiTheme="minorHAnsi" w:cstheme="minorHAnsi"/>
                <w:i/>
                <w:sz w:val="20"/>
                <w:szCs w:val="20"/>
                <w:lang w:val="x-none"/>
              </w:rPr>
              <w:t>Arrêté précisant le mode de computation des seuils des marchés publics et fixant leurs montants</w:t>
            </w:r>
            <w:r w:rsidRPr="00A20F63">
              <w:rPr>
                <w:rFonts w:asciiTheme="minorHAnsi" w:hAnsiTheme="minorHAnsi" w:cstheme="minorHAnsi"/>
                <w:sz w:val="20"/>
                <w:szCs w:val="20"/>
                <w:lang w:val="x-none"/>
              </w:rPr>
              <w:t>,</w:t>
            </w:r>
            <w:r w:rsidRPr="00A20F63">
              <w:rPr>
                <w:rFonts w:asciiTheme="minorHAnsi" w:hAnsiTheme="minorHAnsi" w:cstheme="minorHAnsi"/>
                <w:bCs/>
                <w:iCs/>
                <w:sz w:val="20"/>
                <w:szCs w:val="20"/>
                <w:lang w:val="x-none"/>
              </w:rPr>
              <w:t xml:space="preserve"> that imposes </w:t>
            </w:r>
            <w:r w:rsidRPr="00A20F63">
              <w:rPr>
                <w:rFonts w:asciiTheme="minorHAnsi" w:hAnsiTheme="minorHAnsi" w:cstheme="minorHAnsi"/>
                <w:bCs/>
                <w:i/>
                <w:iCs/>
                <w:sz w:val="20"/>
                <w:szCs w:val="20"/>
                <w:lang w:val="x-none"/>
              </w:rPr>
              <w:t>a priori</w:t>
            </w:r>
            <w:r w:rsidRPr="00A20F63">
              <w:rPr>
                <w:rFonts w:asciiTheme="minorHAnsi" w:hAnsiTheme="minorHAnsi" w:cstheme="minorHAnsi"/>
                <w:bCs/>
                <w:iCs/>
                <w:sz w:val="20"/>
                <w:szCs w:val="20"/>
                <w:lang w:val="x-none"/>
              </w:rPr>
              <w:t xml:space="preserve"> review of all JIRAMA procurement by the CNM in accordance with the provisions of the 2004 Public Procurement Code</w:t>
            </w:r>
            <w:r w:rsidRPr="00A20F63">
              <w:rPr>
                <w:rFonts w:asciiTheme="minorHAnsi" w:hAnsiTheme="minorHAnsi" w:cstheme="minorHAnsi"/>
                <w:sz w:val="20"/>
                <w:szCs w:val="20"/>
              </w:rPr>
              <w:t xml:space="preserve"> </w:t>
            </w:r>
            <w:r w:rsidRPr="00A20F63">
              <w:rPr>
                <w:rFonts w:asciiTheme="minorHAnsi" w:hAnsiTheme="minorHAnsi" w:cstheme="minorHAnsi"/>
                <w:bCs/>
                <w:iCs/>
                <w:sz w:val="20"/>
                <w:szCs w:val="20"/>
                <w:lang w:val="x-none"/>
              </w:rPr>
              <w:t>dated March 31, 2016 (N°7275 /2016/MFB).</w:t>
            </w:r>
            <w:r w:rsidRPr="00A20F63">
              <w:rPr>
                <w:rFonts w:asciiTheme="minorHAnsi" w:hAnsiTheme="minorHAnsi" w:cstheme="minorHAnsi"/>
                <w:bCs/>
                <w:iCs/>
                <w:sz w:val="20"/>
                <w:szCs w:val="20"/>
              </w:rPr>
              <w:t xml:space="preserve"> </w:t>
            </w:r>
          </w:p>
          <w:p w14:paraId="2644D910" w14:textId="7E1A2BFB" w:rsidR="003C79BC" w:rsidRPr="0085470E" w:rsidRDefault="003C79BC" w:rsidP="008C0D36">
            <w:pPr>
              <w:spacing w:after="0" w:line="240" w:lineRule="auto"/>
              <w:ind w:left="187" w:right="115"/>
              <w:jc w:val="both"/>
              <w:rPr>
                <w:rFonts w:asciiTheme="minorHAnsi" w:hAnsiTheme="minorHAnsi" w:cstheme="minorHAnsi"/>
                <w:b/>
                <w:sz w:val="20"/>
                <w:szCs w:val="20"/>
              </w:rPr>
            </w:pPr>
            <w:r w:rsidRPr="00406280">
              <w:rPr>
                <w:rFonts w:asciiTheme="minorHAnsi" w:hAnsiTheme="minorHAnsi" w:cstheme="minorHAnsi"/>
                <w:b/>
                <w:spacing w:val="2"/>
                <w:sz w:val="20"/>
                <w:szCs w:val="20"/>
              </w:rPr>
              <w:t>PA#6.</w:t>
            </w:r>
            <w:r w:rsidRPr="00406280">
              <w:rPr>
                <w:rFonts w:asciiTheme="minorHAnsi" w:hAnsiTheme="minorHAnsi" w:cstheme="minorHAnsi"/>
                <w:spacing w:val="2"/>
                <w:sz w:val="20"/>
                <w:szCs w:val="20"/>
              </w:rPr>
              <w:t xml:space="preserve"> The Recipient has caused JIRAMA to begin publication of quarterly statistics on th</w:t>
            </w:r>
            <w:r w:rsidRPr="00601B29">
              <w:rPr>
                <w:rFonts w:asciiTheme="minorHAnsi" w:hAnsiTheme="minorHAnsi" w:cstheme="minorHAnsi"/>
                <w:spacing w:val="2"/>
                <w:sz w:val="20"/>
                <w:szCs w:val="20"/>
              </w:rPr>
              <w:t>e cost of electricity per KW</w:t>
            </w:r>
            <w:r w:rsidR="000549F3">
              <w:rPr>
                <w:rFonts w:asciiTheme="minorHAnsi" w:hAnsiTheme="minorHAnsi" w:cstheme="minorHAnsi"/>
                <w:spacing w:val="2"/>
                <w:sz w:val="20"/>
                <w:szCs w:val="20"/>
              </w:rPr>
              <w:t>.</w:t>
            </w:r>
            <w:r w:rsidRPr="00601B29">
              <w:rPr>
                <w:rFonts w:asciiTheme="minorHAnsi" w:hAnsiTheme="minorHAnsi" w:cstheme="minorHAnsi"/>
                <w:spacing w:val="2"/>
                <w:sz w:val="20"/>
                <w:szCs w:val="20"/>
              </w:rPr>
              <w:t>h for each existing power supply contract beginning with the first two quarters of 2016.</w:t>
            </w:r>
          </w:p>
        </w:tc>
        <w:tc>
          <w:tcPr>
            <w:tcW w:w="1362" w:type="pct"/>
            <w:tcBorders>
              <w:top w:val="single" w:sz="8" w:space="0" w:color="000000"/>
              <w:left w:val="single" w:sz="8" w:space="0" w:color="000000"/>
              <w:bottom w:val="single" w:sz="8" w:space="0" w:color="000000"/>
              <w:right w:val="single" w:sz="4" w:space="0" w:color="auto"/>
            </w:tcBorders>
          </w:tcPr>
          <w:p w14:paraId="3A47F435" w14:textId="12121CAC" w:rsidR="003C79BC" w:rsidRPr="00B66802" w:rsidRDefault="003C79BC" w:rsidP="008C0D36">
            <w:pPr>
              <w:spacing w:after="0" w:line="240" w:lineRule="auto"/>
              <w:ind w:left="187" w:right="115"/>
              <w:jc w:val="both"/>
              <w:rPr>
                <w:rFonts w:asciiTheme="minorHAnsi" w:hAnsiTheme="minorHAnsi" w:cstheme="minorHAnsi"/>
                <w:sz w:val="20"/>
                <w:szCs w:val="20"/>
              </w:rPr>
            </w:pPr>
            <w:r w:rsidRPr="0085470E">
              <w:rPr>
                <w:rFonts w:asciiTheme="minorHAnsi" w:hAnsiTheme="minorHAnsi" w:cstheme="minorHAnsi"/>
                <w:b/>
                <w:sz w:val="20"/>
                <w:szCs w:val="20"/>
              </w:rPr>
              <w:t>PA#7.</w:t>
            </w:r>
            <w:r w:rsidRPr="0085470E">
              <w:rPr>
                <w:rFonts w:asciiTheme="minorHAnsi" w:hAnsiTheme="minorHAnsi" w:cstheme="minorHAnsi"/>
                <w:sz w:val="20"/>
                <w:szCs w:val="20"/>
              </w:rPr>
              <w:t xml:space="preserve"> </w:t>
            </w:r>
            <w:r w:rsidR="00BE215C" w:rsidRPr="004C6EBE">
              <w:rPr>
                <w:rFonts w:asciiTheme="minorHAnsi" w:hAnsiTheme="minorHAnsi" w:cstheme="minorHAnsi"/>
                <w:bCs/>
                <w:iCs/>
                <w:sz w:val="20"/>
                <w:szCs w:val="20"/>
              </w:rPr>
              <w:t>The Recipient has caused JIRAMA to adopt standard contracts for all new Power Generation Agreements</w:t>
            </w:r>
            <w:r w:rsidR="00BE215C" w:rsidRPr="00B66802">
              <w:rPr>
                <w:rFonts w:asciiTheme="minorHAnsi" w:hAnsiTheme="minorHAnsi" w:cstheme="minorHAnsi"/>
                <w:sz w:val="20"/>
                <w:szCs w:val="20"/>
              </w:rPr>
              <w:t>.</w:t>
            </w:r>
          </w:p>
        </w:tc>
        <w:tc>
          <w:tcPr>
            <w:tcW w:w="1192" w:type="pct"/>
            <w:tcBorders>
              <w:top w:val="single" w:sz="8" w:space="0" w:color="000000"/>
              <w:left w:val="single" w:sz="8" w:space="0" w:color="000000"/>
              <w:bottom w:val="single" w:sz="8" w:space="0" w:color="000000"/>
              <w:right w:val="single" w:sz="4" w:space="0" w:color="auto"/>
            </w:tcBorders>
          </w:tcPr>
          <w:p w14:paraId="75707456" w14:textId="45911901" w:rsidR="003C79BC" w:rsidRPr="00DC050B" w:rsidRDefault="003C79BC" w:rsidP="008C0D36">
            <w:pPr>
              <w:spacing w:after="0" w:line="240" w:lineRule="auto"/>
              <w:ind w:left="245"/>
              <w:rPr>
                <w:rFonts w:asciiTheme="minorHAnsi" w:hAnsiTheme="minorHAnsi" w:cstheme="minorHAnsi"/>
                <w:sz w:val="20"/>
                <w:szCs w:val="20"/>
              </w:rPr>
            </w:pPr>
            <w:r w:rsidRPr="00BD4A16">
              <w:rPr>
                <w:rFonts w:asciiTheme="minorHAnsi" w:hAnsiTheme="minorHAnsi" w:cstheme="minorHAnsi"/>
                <w:sz w:val="20"/>
                <w:szCs w:val="20"/>
              </w:rPr>
              <w:t>Share of new power generation co</w:t>
            </w:r>
            <w:r w:rsidRPr="00DC050B">
              <w:rPr>
                <w:rFonts w:asciiTheme="minorHAnsi" w:hAnsiTheme="minorHAnsi" w:cstheme="minorHAnsi"/>
                <w:sz w:val="20"/>
                <w:szCs w:val="20"/>
              </w:rPr>
              <w:t xml:space="preserve">ntracts awarded competitively and published of the total contracts </w:t>
            </w:r>
          </w:p>
          <w:p w14:paraId="762BF456" w14:textId="3BEF10BA" w:rsidR="003C79BC" w:rsidRPr="00DC050B" w:rsidRDefault="003C79BC" w:rsidP="008C0D36">
            <w:pPr>
              <w:spacing w:after="0" w:line="240" w:lineRule="auto"/>
              <w:ind w:left="245"/>
              <w:rPr>
                <w:rFonts w:asciiTheme="minorHAnsi" w:hAnsiTheme="minorHAnsi" w:cstheme="minorHAnsi"/>
                <w:sz w:val="20"/>
                <w:szCs w:val="20"/>
              </w:rPr>
            </w:pPr>
            <w:r w:rsidRPr="00DC050B">
              <w:rPr>
                <w:rFonts w:asciiTheme="minorHAnsi" w:hAnsiTheme="minorHAnsi" w:cstheme="minorHAnsi"/>
                <w:sz w:val="20"/>
                <w:szCs w:val="20"/>
              </w:rPr>
              <w:t xml:space="preserve">Baseline: 0 </w:t>
            </w:r>
            <w:r w:rsidR="00135527">
              <w:rPr>
                <w:rFonts w:asciiTheme="minorHAnsi" w:hAnsiTheme="minorHAnsi" w:cstheme="minorHAnsi"/>
                <w:sz w:val="20"/>
                <w:szCs w:val="20"/>
              </w:rPr>
              <w:t xml:space="preserve">percent </w:t>
            </w:r>
            <w:r w:rsidRPr="00DC050B">
              <w:rPr>
                <w:rFonts w:asciiTheme="minorHAnsi" w:hAnsiTheme="minorHAnsi" w:cstheme="minorHAnsi"/>
                <w:sz w:val="20"/>
                <w:szCs w:val="20"/>
              </w:rPr>
              <w:t xml:space="preserve">(2015)  </w:t>
            </w:r>
          </w:p>
          <w:p w14:paraId="0F497311" w14:textId="566CEC84" w:rsidR="003C79BC" w:rsidRPr="00DC050B" w:rsidRDefault="003C79BC" w:rsidP="008C0D36">
            <w:pPr>
              <w:spacing w:after="0" w:line="240" w:lineRule="auto"/>
              <w:ind w:left="245"/>
              <w:rPr>
                <w:rFonts w:asciiTheme="minorHAnsi" w:hAnsiTheme="minorHAnsi" w:cstheme="minorHAnsi"/>
                <w:sz w:val="20"/>
                <w:szCs w:val="20"/>
              </w:rPr>
            </w:pPr>
            <w:r w:rsidRPr="00DC050B">
              <w:rPr>
                <w:rFonts w:asciiTheme="minorHAnsi" w:hAnsiTheme="minorHAnsi" w:cstheme="minorHAnsi"/>
                <w:sz w:val="20"/>
                <w:szCs w:val="20"/>
              </w:rPr>
              <w:t xml:space="preserve">Target: 70 </w:t>
            </w:r>
            <w:r w:rsidR="00135527">
              <w:rPr>
                <w:rFonts w:asciiTheme="minorHAnsi" w:hAnsiTheme="minorHAnsi" w:cstheme="minorHAnsi"/>
                <w:sz w:val="20"/>
                <w:szCs w:val="20"/>
              </w:rPr>
              <w:t xml:space="preserve">percent </w:t>
            </w:r>
            <w:r w:rsidRPr="00DC050B">
              <w:rPr>
                <w:rFonts w:asciiTheme="minorHAnsi" w:hAnsiTheme="minorHAnsi" w:cstheme="minorHAnsi"/>
                <w:sz w:val="20"/>
                <w:szCs w:val="20"/>
              </w:rPr>
              <w:t>(2019)</w:t>
            </w:r>
          </w:p>
          <w:p w14:paraId="3CCF6CFE" w14:textId="77777777" w:rsidR="003C79BC" w:rsidRPr="00DC050B" w:rsidRDefault="003C79BC" w:rsidP="00BE50BF">
            <w:pPr>
              <w:spacing w:after="60" w:line="240" w:lineRule="auto"/>
              <w:ind w:left="245"/>
              <w:rPr>
                <w:rFonts w:asciiTheme="minorHAnsi" w:hAnsiTheme="minorHAnsi" w:cstheme="minorHAnsi"/>
                <w:sz w:val="20"/>
                <w:szCs w:val="20"/>
              </w:rPr>
            </w:pPr>
          </w:p>
        </w:tc>
      </w:tr>
      <w:tr w:rsidR="003C79BC" w:rsidRPr="00B66802" w14:paraId="6447E32E" w14:textId="77777777" w:rsidTr="001E0B68">
        <w:trPr>
          <w:trHeight w:val="331"/>
          <w:jc w:val="center"/>
        </w:trPr>
        <w:tc>
          <w:tcPr>
            <w:tcW w:w="1199" w:type="pct"/>
            <w:tcBorders>
              <w:top w:val="single" w:sz="8" w:space="0" w:color="000000"/>
              <w:left w:val="single" w:sz="8" w:space="0" w:color="000000"/>
              <w:bottom w:val="single" w:sz="8" w:space="0" w:color="000000"/>
              <w:right w:val="single" w:sz="4" w:space="0" w:color="auto"/>
            </w:tcBorders>
          </w:tcPr>
          <w:p w14:paraId="1F5BD25D" w14:textId="77777777" w:rsidR="003C79BC" w:rsidRPr="00B66802" w:rsidRDefault="003C79BC" w:rsidP="008C0D36">
            <w:pPr>
              <w:spacing w:after="0" w:line="240" w:lineRule="auto"/>
              <w:ind w:left="180"/>
              <w:rPr>
                <w:rFonts w:asciiTheme="minorHAnsi" w:hAnsiTheme="minorHAnsi" w:cstheme="minorHAnsi"/>
                <w:b/>
                <w:sz w:val="20"/>
                <w:szCs w:val="20"/>
              </w:rPr>
            </w:pPr>
          </w:p>
        </w:tc>
        <w:tc>
          <w:tcPr>
            <w:tcW w:w="3801" w:type="pct"/>
            <w:gridSpan w:val="3"/>
            <w:tcBorders>
              <w:top w:val="single" w:sz="8" w:space="0" w:color="000000"/>
              <w:left w:val="single" w:sz="8" w:space="0" w:color="000000"/>
              <w:bottom w:val="single" w:sz="8" w:space="0" w:color="000000"/>
              <w:right w:val="single" w:sz="4" w:space="0" w:color="auto"/>
            </w:tcBorders>
          </w:tcPr>
          <w:p w14:paraId="20A1FB47" w14:textId="77777777" w:rsidR="003C79BC" w:rsidRPr="00BD4A16" w:rsidRDefault="003C79BC" w:rsidP="008C0D36">
            <w:pPr>
              <w:spacing w:after="0" w:line="240" w:lineRule="auto"/>
              <w:ind w:left="180"/>
              <w:rPr>
                <w:rFonts w:asciiTheme="minorHAnsi" w:hAnsiTheme="minorHAnsi" w:cstheme="minorHAnsi"/>
                <w:b/>
                <w:sz w:val="20"/>
                <w:szCs w:val="20"/>
              </w:rPr>
            </w:pPr>
            <w:r w:rsidRPr="00BD4A16">
              <w:rPr>
                <w:rFonts w:asciiTheme="minorHAnsi" w:hAnsiTheme="minorHAnsi" w:cstheme="minorHAnsi"/>
                <w:b/>
                <w:sz w:val="20"/>
                <w:szCs w:val="20"/>
              </w:rPr>
              <w:t>2.2 Reinforcing commercial justice</w:t>
            </w:r>
          </w:p>
        </w:tc>
      </w:tr>
      <w:tr w:rsidR="003C79BC" w:rsidRPr="00B66802" w14:paraId="7A009BE4" w14:textId="77777777" w:rsidTr="0082774F">
        <w:trPr>
          <w:trHeight w:hRule="exact" w:val="2567"/>
          <w:jc w:val="center"/>
        </w:trPr>
        <w:tc>
          <w:tcPr>
            <w:tcW w:w="1199" w:type="pct"/>
            <w:tcBorders>
              <w:top w:val="single" w:sz="8" w:space="0" w:color="000000"/>
              <w:left w:val="single" w:sz="8" w:space="0" w:color="000000"/>
              <w:bottom w:val="single" w:sz="8" w:space="0" w:color="000000"/>
              <w:right w:val="single" w:sz="8" w:space="0" w:color="000000"/>
            </w:tcBorders>
          </w:tcPr>
          <w:p w14:paraId="34E34A0C" w14:textId="77777777" w:rsidR="003C79BC" w:rsidRPr="00DC050B" w:rsidRDefault="003C79BC" w:rsidP="008C0D36">
            <w:pPr>
              <w:spacing w:after="0" w:line="240" w:lineRule="auto"/>
              <w:ind w:left="180" w:right="120"/>
              <w:rPr>
                <w:rFonts w:asciiTheme="minorHAnsi" w:hAnsiTheme="minorHAnsi" w:cstheme="minorHAnsi"/>
                <w:b/>
                <w:sz w:val="20"/>
                <w:szCs w:val="20"/>
              </w:rPr>
            </w:pPr>
            <w:r w:rsidRPr="00B66802">
              <w:rPr>
                <w:rFonts w:asciiTheme="minorHAnsi" w:hAnsiTheme="minorHAnsi" w:cstheme="minorHAnsi"/>
                <w:bCs/>
                <w:iCs/>
                <w:sz w:val="20"/>
                <w:szCs w:val="20"/>
                <w:lang w:val="x-none"/>
              </w:rPr>
              <w:t xml:space="preserve">Mistrust in the judicial system is undermining the business environment. </w:t>
            </w:r>
            <w:r w:rsidRPr="00BD4A16">
              <w:rPr>
                <w:rFonts w:asciiTheme="minorHAnsi" w:hAnsiTheme="minorHAnsi" w:cstheme="minorHAnsi"/>
                <w:bCs/>
                <w:iCs/>
                <w:sz w:val="20"/>
                <w:szCs w:val="20"/>
              </w:rPr>
              <w:t xml:space="preserve">The reforms seek to </w:t>
            </w:r>
            <w:r w:rsidRPr="00DC050B">
              <w:rPr>
                <w:rFonts w:asciiTheme="minorHAnsi" w:hAnsiTheme="minorHAnsi" w:cstheme="minorHAnsi"/>
                <w:bCs/>
                <w:iCs/>
                <w:sz w:val="20"/>
                <w:szCs w:val="20"/>
                <w:lang w:val="x-none"/>
              </w:rPr>
              <w:t>improve the quality of judicial independence and judicial processes.</w:t>
            </w:r>
          </w:p>
        </w:tc>
        <w:tc>
          <w:tcPr>
            <w:tcW w:w="1247" w:type="pct"/>
            <w:tcBorders>
              <w:top w:val="single" w:sz="8" w:space="0" w:color="000000"/>
              <w:left w:val="single" w:sz="8" w:space="0" w:color="000000"/>
              <w:bottom w:val="single" w:sz="8" w:space="0" w:color="000000"/>
              <w:right w:val="single" w:sz="8" w:space="0" w:color="000000"/>
            </w:tcBorders>
          </w:tcPr>
          <w:p w14:paraId="0E9C6C07" w14:textId="77777777" w:rsidR="003C79BC" w:rsidRPr="00A20F63" w:rsidRDefault="003C79BC" w:rsidP="008C0D36">
            <w:pPr>
              <w:spacing w:after="0" w:line="240" w:lineRule="auto"/>
              <w:ind w:left="180" w:right="120"/>
              <w:jc w:val="both"/>
              <w:rPr>
                <w:rFonts w:asciiTheme="minorHAnsi" w:hAnsiTheme="minorHAnsi" w:cstheme="minorHAnsi"/>
                <w:b/>
                <w:sz w:val="20"/>
                <w:szCs w:val="20"/>
              </w:rPr>
            </w:pPr>
            <w:r w:rsidRPr="00DC050B">
              <w:rPr>
                <w:rFonts w:asciiTheme="minorHAnsi" w:hAnsiTheme="minorHAnsi" w:cstheme="minorHAnsi"/>
                <w:b/>
                <w:sz w:val="20"/>
                <w:szCs w:val="20"/>
              </w:rPr>
              <w:t>PA#7.</w:t>
            </w:r>
            <w:r w:rsidRPr="006C66C2">
              <w:rPr>
                <w:rFonts w:asciiTheme="minorHAnsi" w:hAnsiTheme="minorHAnsi" w:cstheme="minorHAnsi"/>
                <w:sz w:val="20"/>
                <w:szCs w:val="20"/>
              </w:rPr>
              <w:t xml:space="preserve"> </w:t>
            </w:r>
            <w:r w:rsidRPr="006C66C2">
              <w:rPr>
                <w:rFonts w:asciiTheme="minorHAnsi" w:hAnsiTheme="minorHAnsi" w:cstheme="minorHAnsi"/>
                <w:sz w:val="20"/>
                <w:szCs w:val="20"/>
                <w:lang w:val="x-none"/>
              </w:rPr>
              <w:t xml:space="preserve">The Recipient has strengthened the judicial procedures for commercial cases by its Ministry of Justice issuing a </w:t>
            </w:r>
            <w:r w:rsidRPr="006C66C2">
              <w:rPr>
                <w:rFonts w:asciiTheme="minorHAnsi" w:hAnsiTheme="minorHAnsi" w:cstheme="minorHAnsi"/>
                <w:i/>
                <w:sz w:val="20"/>
                <w:szCs w:val="20"/>
                <w:lang w:val="x-none"/>
              </w:rPr>
              <w:t>Circulaire pour l’Amélioration de la Justice commerciale et réduction des délais de t</w:t>
            </w:r>
            <w:r w:rsidRPr="00A20F63">
              <w:rPr>
                <w:rFonts w:asciiTheme="minorHAnsi" w:hAnsiTheme="minorHAnsi" w:cstheme="minorHAnsi"/>
                <w:i/>
                <w:sz w:val="20"/>
                <w:szCs w:val="20"/>
                <w:lang w:val="x-none"/>
              </w:rPr>
              <w:t xml:space="preserve">raitement des dossiers commerciaux </w:t>
            </w:r>
            <w:r w:rsidRPr="00A20F63">
              <w:rPr>
                <w:rFonts w:asciiTheme="minorHAnsi" w:hAnsiTheme="minorHAnsi" w:cstheme="minorHAnsi"/>
                <w:sz w:val="20"/>
                <w:szCs w:val="20"/>
                <w:lang w:val="x-none"/>
              </w:rPr>
              <w:t>that mandates the random allocation of commercial cases to magistrates</w:t>
            </w:r>
            <w:r w:rsidRPr="00A20F63">
              <w:rPr>
                <w:rFonts w:asciiTheme="minorHAnsi" w:hAnsiTheme="minorHAnsi" w:cstheme="minorHAnsi"/>
                <w:sz w:val="20"/>
                <w:szCs w:val="20"/>
              </w:rPr>
              <w:t xml:space="preserve"> </w:t>
            </w:r>
            <w:r w:rsidRPr="00A20F63">
              <w:rPr>
                <w:rFonts w:asciiTheme="minorHAnsi" w:hAnsiTheme="minorHAnsi" w:cstheme="minorHAnsi"/>
                <w:sz w:val="20"/>
                <w:szCs w:val="20"/>
                <w:lang w:val="x-none"/>
              </w:rPr>
              <w:t>dated May 25, 2016 (N°016-MJ/SG/DGAJER/DAJ/CIR/16).</w:t>
            </w:r>
          </w:p>
        </w:tc>
        <w:tc>
          <w:tcPr>
            <w:tcW w:w="1362" w:type="pct"/>
            <w:tcBorders>
              <w:top w:val="single" w:sz="8" w:space="0" w:color="000000"/>
              <w:left w:val="single" w:sz="8" w:space="0" w:color="000000"/>
              <w:bottom w:val="single" w:sz="8" w:space="0" w:color="000000"/>
              <w:right w:val="single" w:sz="8" w:space="0" w:color="000000"/>
            </w:tcBorders>
            <w:hideMark/>
          </w:tcPr>
          <w:p w14:paraId="04EA9D08" w14:textId="3173500C" w:rsidR="003C79BC" w:rsidRPr="00B66802" w:rsidRDefault="003C79BC" w:rsidP="008C0D36">
            <w:pPr>
              <w:spacing w:after="0" w:line="240" w:lineRule="auto"/>
              <w:ind w:left="180" w:right="120"/>
              <w:jc w:val="both"/>
              <w:rPr>
                <w:rFonts w:asciiTheme="minorHAnsi" w:hAnsiTheme="minorHAnsi" w:cstheme="minorHAnsi"/>
                <w:sz w:val="20"/>
                <w:szCs w:val="20"/>
              </w:rPr>
            </w:pPr>
            <w:r w:rsidRPr="00A20F63">
              <w:rPr>
                <w:rFonts w:asciiTheme="minorHAnsi" w:hAnsiTheme="minorHAnsi" w:cstheme="minorHAnsi"/>
                <w:b/>
                <w:sz w:val="20"/>
                <w:szCs w:val="20"/>
              </w:rPr>
              <w:t>PA#8.</w:t>
            </w:r>
            <w:r w:rsidRPr="00A20F63">
              <w:rPr>
                <w:rFonts w:asciiTheme="minorHAnsi" w:hAnsiTheme="minorHAnsi" w:cstheme="minorHAnsi"/>
                <w:sz w:val="20"/>
                <w:szCs w:val="20"/>
              </w:rPr>
              <w:t xml:space="preserve"> </w:t>
            </w:r>
            <w:r w:rsidR="00BE215C" w:rsidRPr="004C6EBE">
              <w:rPr>
                <w:rFonts w:asciiTheme="minorHAnsi" w:hAnsiTheme="minorHAnsi" w:cstheme="minorHAnsi"/>
                <w:bCs/>
                <w:iCs/>
                <w:sz w:val="20"/>
                <w:szCs w:val="20"/>
              </w:rPr>
              <w:t xml:space="preserve">The Recipient has adopted </w:t>
            </w:r>
            <w:r w:rsidR="00BE215C" w:rsidRPr="004C6EBE">
              <w:rPr>
                <w:rFonts w:asciiTheme="minorHAnsi" w:hAnsiTheme="minorHAnsi" w:cstheme="minorHAnsi"/>
                <w:bCs/>
                <w:i/>
                <w:iCs/>
                <w:sz w:val="20"/>
                <w:szCs w:val="20"/>
              </w:rPr>
              <w:t>Loi No. 2016-039 du 15 decembre 2016 modifiant et complétant certaines dispositions du Code de Procedure Civile Mal</w:t>
            </w:r>
            <w:r w:rsidR="00D67BC0" w:rsidRPr="004C6EBE">
              <w:rPr>
                <w:rFonts w:asciiTheme="minorHAnsi" w:hAnsiTheme="minorHAnsi" w:cstheme="minorHAnsi"/>
                <w:bCs/>
                <w:i/>
                <w:iCs/>
                <w:sz w:val="20"/>
                <w:szCs w:val="20"/>
              </w:rPr>
              <w:t>a</w:t>
            </w:r>
            <w:r w:rsidR="00BE215C" w:rsidRPr="004C6EBE">
              <w:rPr>
                <w:rFonts w:asciiTheme="minorHAnsi" w:hAnsiTheme="minorHAnsi" w:cstheme="minorHAnsi"/>
                <w:bCs/>
                <w:i/>
                <w:iCs/>
                <w:sz w:val="20"/>
                <w:szCs w:val="20"/>
              </w:rPr>
              <w:t>gasy</w:t>
            </w:r>
            <w:r w:rsidR="00BE215C" w:rsidRPr="004C6EBE">
              <w:rPr>
                <w:rFonts w:asciiTheme="minorHAnsi" w:hAnsiTheme="minorHAnsi" w:cstheme="minorHAnsi"/>
                <w:bCs/>
                <w:iCs/>
                <w:sz w:val="20"/>
                <w:szCs w:val="20"/>
              </w:rPr>
              <w:t xml:space="preserve"> to integrate commercial justice reforms in the legal framework and reduce the number of postponements of commercial cases</w:t>
            </w:r>
            <w:r w:rsidR="00BE215C" w:rsidRPr="00B66802">
              <w:rPr>
                <w:rFonts w:asciiTheme="minorHAnsi" w:hAnsiTheme="minorHAnsi" w:cstheme="minorHAnsi"/>
                <w:sz w:val="20"/>
                <w:szCs w:val="20"/>
              </w:rPr>
              <w:t>.</w:t>
            </w:r>
          </w:p>
          <w:p w14:paraId="3796F05B" w14:textId="77777777" w:rsidR="003C79BC" w:rsidRPr="00BD4A16" w:rsidRDefault="003C79BC" w:rsidP="008C0D36">
            <w:pPr>
              <w:spacing w:after="0" w:line="240" w:lineRule="auto"/>
              <w:ind w:left="180" w:right="120"/>
              <w:jc w:val="both"/>
              <w:rPr>
                <w:rFonts w:asciiTheme="minorHAnsi" w:hAnsiTheme="minorHAnsi" w:cstheme="minorHAnsi"/>
                <w:sz w:val="20"/>
                <w:szCs w:val="20"/>
              </w:rPr>
            </w:pPr>
          </w:p>
        </w:tc>
        <w:tc>
          <w:tcPr>
            <w:tcW w:w="1192" w:type="pct"/>
            <w:tcBorders>
              <w:top w:val="single" w:sz="4" w:space="0" w:color="auto"/>
              <w:left w:val="single" w:sz="4" w:space="0" w:color="auto"/>
              <w:bottom w:val="single" w:sz="4" w:space="0" w:color="auto"/>
              <w:right w:val="single" w:sz="4" w:space="0" w:color="auto"/>
            </w:tcBorders>
          </w:tcPr>
          <w:p w14:paraId="348FB298" w14:textId="77777777" w:rsidR="003C79BC" w:rsidRPr="00DC050B" w:rsidRDefault="003C79BC" w:rsidP="008C0D36">
            <w:pPr>
              <w:spacing w:after="0" w:line="240" w:lineRule="auto"/>
              <w:ind w:left="250"/>
              <w:rPr>
                <w:rFonts w:asciiTheme="minorHAnsi" w:hAnsiTheme="minorHAnsi" w:cstheme="minorHAnsi"/>
                <w:sz w:val="20"/>
                <w:szCs w:val="20"/>
              </w:rPr>
            </w:pPr>
            <w:r w:rsidRPr="00DC050B">
              <w:rPr>
                <w:rFonts w:asciiTheme="minorHAnsi" w:hAnsiTheme="minorHAnsi" w:cstheme="minorHAnsi"/>
                <w:sz w:val="20"/>
                <w:szCs w:val="20"/>
              </w:rPr>
              <w:t xml:space="preserve">Percentage of cases randomly assigned  </w:t>
            </w:r>
          </w:p>
          <w:p w14:paraId="07C33B67" w14:textId="77777777" w:rsidR="003C79BC" w:rsidRPr="00DC050B" w:rsidRDefault="003C79BC" w:rsidP="008C0D36">
            <w:pPr>
              <w:spacing w:after="0" w:line="240" w:lineRule="auto"/>
              <w:ind w:left="245"/>
              <w:rPr>
                <w:rFonts w:asciiTheme="minorHAnsi" w:hAnsiTheme="minorHAnsi" w:cstheme="minorHAnsi"/>
                <w:sz w:val="20"/>
                <w:szCs w:val="20"/>
              </w:rPr>
            </w:pPr>
            <w:r w:rsidRPr="00DC050B">
              <w:rPr>
                <w:rFonts w:asciiTheme="minorHAnsi" w:hAnsiTheme="minorHAnsi" w:cstheme="minorHAnsi"/>
                <w:sz w:val="20"/>
                <w:szCs w:val="20"/>
              </w:rPr>
              <w:t xml:space="preserve">Baseline: 0 (2015); </w:t>
            </w:r>
          </w:p>
          <w:p w14:paraId="67CA8B26" w14:textId="77777777" w:rsidR="003C79BC" w:rsidRPr="00DC050B" w:rsidRDefault="003C79BC" w:rsidP="008C0D36">
            <w:pPr>
              <w:spacing w:after="0" w:line="240" w:lineRule="auto"/>
              <w:ind w:left="245"/>
              <w:rPr>
                <w:rFonts w:asciiTheme="minorHAnsi" w:hAnsiTheme="minorHAnsi" w:cstheme="minorHAnsi"/>
                <w:sz w:val="20"/>
                <w:szCs w:val="20"/>
              </w:rPr>
            </w:pPr>
            <w:r w:rsidRPr="00DC050B">
              <w:rPr>
                <w:rFonts w:asciiTheme="minorHAnsi" w:hAnsiTheme="minorHAnsi" w:cstheme="minorHAnsi"/>
                <w:sz w:val="20"/>
                <w:szCs w:val="20"/>
              </w:rPr>
              <w:t>Target: 100 (2019)</w:t>
            </w:r>
          </w:p>
          <w:p w14:paraId="6FB0F083" w14:textId="7B7F11F3" w:rsidR="003C79BC" w:rsidRPr="006C66C2" w:rsidRDefault="003C79BC" w:rsidP="008E7AC7">
            <w:pPr>
              <w:spacing w:after="60" w:line="240" w:lineRule="auto"/>
              <w:ind w:left="245"/>
              <w:rPr>
                <w:rFonts w:asciiTheme="minorHAnsi" w:hAnsiTheme="minorHAnsi" w:cstheme="minorHAnsi"/>
                <w:sz w:val="20"/>
                <w:szCs w:val="20"/>
              </w:rPr>
            </w:pPr>
            <w:r w:rsidRPr="00DC050B">
              <w:rPr>
                <w:rFonts w:asciiTheme="minorHAnsi" w:hAnsiTheme="minorHAnsi" w:cstheme="minorHAnsi"/>
                <w:sz w:val="20"/>
                <w:szCs w:val="20"/>
              </w:rPr>
              <w:t>Intermediate result:</w:t>
            </w:r>
            <w:r w:rsidR="008E7AC7" w:rsidRPr="006C66C2">
              <w:rPr>
                <w:rFonts w:asciiTheme="minorHAnsi" w:hAnsiTheme="minorHAnsi" w:cstheme="minorHAnsi"/>
                <w:sz w:val="20"/>
                <w:szCs w:val="20"/>
              </w:rPr>
              <w:t xml:space="preserve"> 100</w:t>
            </w:r>
          </w:p>
          <w:p w14:paraId="7207CAD2" w14:textId="77777777" w:rsidR="003C79BC" w:rsidRPr="006C66C2" w:rsidRDefault="003C79BC" w:rsidP="008C0D36">
            <w:pPr>
              <w:spacing w:after="0" w:line="240" w:lineRule="auto"/>
              <w:ind w:left="250"/>
              <w:rPr>
                <w:rFonts w:asciiTheme="minorHAnsi" w:hAnsiTheme="minorHAnsi" w:cstheme="minorHAnsi"/>
                <w:sz w:val="20"/>
                <w:szCs w:val="20"/>
              </w:rPr>
            </w:pPr>
            <w:r w:rsidRPr="006C66C2">
              <w:rPr>
                <w:rFonts w:asciiTheme="minorHAnsi" w:hAnsiTheme="minorHAnsi" w:cstheme="minorHAnsi"/>
                <w:sz w:val="20"/>
                <w:szCs w:val="20"/>
              </w:rPr>
              <w:t xml:space="preserve">Number of days to resolve a commercial conflict </w:t>
            </w:r>
          </w:p>
          <w:p w14:paraId="2FFCD699" w14:textId="77777777" w:rsidR="003C79BC" w:rsidRPr="00A20F63" w:rsidRDefault="003C79BC" w:rsidP="008C0D36">
            <w:pPr>
              <w:spacing w:after="0" w:line="240" w:lineRule="auto"/>
              <w:ind w:left="245"/>
              <w:rPr>
                <w:rFonts w:asciiTheme="minorHAnsi" w:hAnsiTheme="minorHAnsi" w:cstheme="minorHAnsi"/>
                <w:sz w:val="20"/>
                <w:szCs w:val="20"/>
              </w:rPr>
            </w:pPr>
            <w:r w:rsidRPr="00A20F63">
              <w:rPr>
                <w:rFonts w:asciiTheme="minorHAnsi" w:hAnsiTheme="minorHAnsi" w:cstheme="minorHAnsi"/>
                <w:sz w:val="20"/>
                <w:szCs w:val="20"/>
              </w:rPr>
              <w:t xml:space="preserve">Baseline: 871 (2015) </w:t>
            </w:r>
          </w:p>
          <w:p w14:paraId="11C16C40" w14:textId="085E44C3" w:rsidR="003C79BC" w:rsidRPr="004C6EBE" w:rsidRDefault="003C79BC" w:rsidP="008C0D36">
            <w:pPr>
              <w:spacing w:after="0" w:line="240" w:lineRule="auto"/>
              <w:ind w:left="245"/>
              <w:rPr>
                <w:rFonts w:asciiTheme="minorHAnsi" w:hAnsiTheme="minorHAnsi" w:cstheme="minorHAnsi"/>
                <w:sz w:val="20"/>
                <w:szCs w:val="20"/>
              </w:rPr>
            </w:pPr>
            <w:r w:rsidRPr="00A20F63">
              <w:rPr>
                <w:rFonts w:asciiTheme="minorHAnsi" w:hAnsiTheme="minorHAnsi" w:cstheme="minorHAnsi"/>
                <w:sz w:val="20"/>
                <w:szCs w:val="20"/>
              </w:rPr>
              <w:t>Target: Less than 600 days (2019)</w:t>
            </w:r>
            <w:r w:rsidRPr="00B66802">
              <w:rPr>
                <w:rStyle w:val="FootnoteReference"/>
                <w:rFonts w:asciiTheme="minorHAnsi" w:hAnsiTheme="minorHAnsi" w:cstheme="minorHAnsi"/>
                <w:sz w:val="20"/>
                <w:szCs w:val="20"/>
              </w:rPr>
              <w:footnoteReference w:id="63"/>
            </w:r>
            <w:r w:rsidRPr="004C6EBE">
              <w:rPr>
                <w:rFonts w:asciiTheme="minorHAnsi" w:hAnsiTheme="minorHAnsi" w:cstheme="minorHAnsi"/>
                <w:sz w:val="20"/>
                <w:szCs w:val="20"/>
              </w:rPr>
              <w:t xml:space="preserve"> </w:t>
            </w:r>
          </w:p>
          <w:p w14:paraId="44627D5C" w14:textId="6AC3FF88" w:rsidR="003C79BC" w:rsidRPr="00BD4A16" w:rsidRDefault="003C79BC" w:rsidP="008C0D36">
            <w:pPr>
              <w:spacing w:after="0" w:line="240" w:lineRule="auto"/>
              <w:ind w:left="245"/>
              <w:rPr>
                <w:rFonts w:asciiTheme="minorHAnsi" w:hAnsiTheme="minorHAnsi" w:cstheme="minorHAnsi"/>
                <w:sz w:val="20"/>
                <w:szCs w:val="20"/>
              </w:rPr>
            </w:pPr>
            <w:r w:rsidRPr="00B66802">
              <w:rPr>
                <w:rFonts w:asciiTheme="minorHAnsi" w:hAnsiTheme="minorHAnsi" w:cstheme="minorHAnsi"/>
                <w:sz w:val="20"/>
                <w:szCs w:val="20"/>
              </w:rPr>
              <w:t>Intermediate result: 471</w:t>
            </w:r>
            <w:r w:rsidRPr="00B66802">
              <w:rPr>
                <w:rStyle w:val="FootnoteReference"/>
                <w:rFonts w:asciiTheme="minorHAnsi" w:hAnsiTheme="minorHAnsi" w:cstheme="minorHAnsi"/>
                <w:sz w:val="20"/>
                <w:szCs w:val="20"/>
              </w:rPr>
              <w:footnoteReference w:id="64"/>
            </w:r>
            <w:r w:rsidRPr="00B66802">
              <w:rPr>
                <w:rFonts w:asciiTheme="minorHAnsi" w:hAnsiTheme="minorHAnsi" w:cstheme="minorHAnsi"/>
                <w:sz w:val="20"/>
                <w:szCs w:val="20"/>
              </w:rPr>
              <w:t xml:space="preserve"> (2016)</w:t>
            </w:r>
          </w:p>
          <w:p w14:paraId="11700F69" w14:textId="77777777" w:rsidR="003C79BC" w:rsidRPr="00DC050B" w:rsidRDefault="003C79BC" w:rsidP="008C0D36">
            <w:pPr>
              <w:spacing w:after="0" w:line="240" w:lineRule="auto"/>
              <w:ind w:left="245"/>
              <w:rPr>
                <w:rFonts w:asciiTheme="minorHAnsi" w:hAnsiTheme="minorHAnsi" w:cstheme="minorHAnsi"/>
                <w:sz w:val="20"/>
                <w:szCs w:val="20"/>
              </w:rPr>
            </w:pPr>
          </w:p>
          <w:p w14:paraId="130BF295" w14:textId="77777777" w:rsidR="003C79BC" w:rsidRPr="00DC050B" w:rsidRDefault="003C79BC" w:rsidP="008C0D36">
            <w:pPr>
              <w:spacing w:after="0" w:line="240" w:lineRule="auto"/>
              <w:ind w:left="245"/>
              <w:rPr>
                <w:rFonts w:asciiTheme="minorHAnsi" w:hAnsiTheme="minorHAnsi" w:cstheme="minorHAnsi"/>
                <w:sz w:val="20"/>
                <w:szCs w:val="20"/>
              </w:rPr>
            </w:pPr>
          </w:p>
          <w:p w14:paraId="4C6603E3" w14:textId="77777777" w:rsidR="003C79BC" w:rsidRPr="00DC050B" w:rsidRDefault="003C79BC" w:rsidP="008C0D36">
            <w:pPr>
              <w:spacing w:after="0" w:line="240" w:lineRule="auto"/>
              <w:ind w:left="250"/>
              <w:rPr>
                <w:rFonts w:asciiTheme="minorHAnsi" w:hAnsiTheme="minorHAnsi" w:cstheme="minorHAnsi"/>
                <w:sz w:val="20"/>
                <w:szCs w:val="20"/>
              </w:rPr>
            </w:pPr>
          </w:p>
        </w:tc>
      </w:tr>
      <w:tr w:rsidR="003C79BC" w:rsidRPr="00B66802" w14:paraId="25BF693C" w14:textId="77777777" w:rsidTr="001E0B68">
        <w:trPr>
          <w:trHeight w:hRule="exact" w:val="353"/>
          <w:jc w:val="center"/>
        </w:trPr>
        <w:tc>
          <w:tcPr>
            <w:tcW w:w="1199" w:type="pct"/>
            <w:tcBorders>
              <w:top w:val="single" w:sz="8" w:space="0" w:color="000000"/>
              <w:left w:val="single" w:sz="8" w:space="0" w:color="000000"/>
              <w:bottom w:val="single" w:sz="8" w:space="0" w:color="000000"/>
              <w:right w:val="single" w:sz="4" w:space="0" w:color="auto"/>
            </w:tcBorders>
          </w:tcPr>
          <w:p w14:paraId="04697D1C" w14:textId="77777777" w:rsidR="003C79BC" w:rsidRPr="00B66802" w:rsidRDefault="003C79BC" w:rsidP="008C0D36">
            <w:pPr>
              <w:spacing w:after="0" w:line="240" w:lineRule="auto"/>
              <w:ind w:left="250"/>
              <w:rPr>
                <w:rFonts w:asciiTheme="minorHAnsi" w:hAnsiTheme="minorHAnsi" w:cstheme="minorHAnsi"/>
                <w:b/>
                <w:sz w:val="20"/>
                <w:szCs w:val="20"/>
              </w:rPr>
            </w:pPr>
          </w:p>
        </w:tc>
        <w:tc>
          <w:tcPr>
            <w:tcW w:w="3801" w:type="pct"/>
            <w:gridSpan w:val="3"/>
            <w:tcBorders>
              <w:top w:val="single" w:sz="8" w:space="0" w:color="000000"/>
              <w:left w:val="single" w:sz="8" w:space="0" w:color="000000"/>
              <w:bottom w:val="single" w:sz="8" w:space="0" w:color="000000"/>
              <w:right w:val="single" w:sz="4" w:space="0" w:color="auto"/>
            </w:tcBorders>
          </w:tcPr>
          <w:p w14:paraId="5DF13CD0" w14:textId="77777777" w:rsidR="003C79BC" w:rsidRPr="00DC050B" w:rsidRDefault="003C79BC" w:rsidP="008C0D36">
            <w:pPr>
              <w:spacing w:after="0" w:line="240" w:lineRule="auto"/>
              <w:ind w:left="250"/>
              <w:rPr>
                <w:rFonts w:asciiTheme="minorHAnsi" w:hAnsiTheme="minorHAnsi" w:cstheme="minorHAnsi"/>
                <w:sz w:val="20"/>
                <w:szCs w:val="20"/>
              </w:rPr>
            </w:pPr>
            <w:r w:rsidRPr="00BD4A16">
              <w:rPr>
                <w:rFonts w:asciiTheme="minorHAnsi" w:hAnsiTheme="minorHAnsi" w:cstheme="minorHAnsi"/>
                <w:b/>
                <w:sz w:val="20"/>
                <w:szCs w:val="20"/>
              </w:rPr>
              <w:t>2.3 Promoting the stability of the financial sector</w:t>
            </w:r>
          </w:p>
        </w:tc>
      </w:tr>
      <w:tr w:rsidR="003C79BC" w:rsidRPr="00B66802" w14:paraId="569C0911" w14:textId="77777777" w:rsidTr="0082774F">
        <w:trPr>
          <w:trHeight w:hRule="exact" w:val="2630"/>
          <w:jc w:val="center"/>
        </w:trPr>
        <w:tc>
          <w:tcPr>
            <w:tcW w:w="1199" w:type="pct"/>
            <w:tcBorders>
              <w:top w:val="single" w:sz="8" w:space="0" w:color="000000"/>
              <w:left w:val="single" w:sz="8" w:space="0" w:color="000000"/>
              <w:bottom w:val="single" w:sz="8" w:space="0" w:color="000000"/>
              <w:right w:val="single" w:sz="8" w:space="0" w:color="000000"/>
            </w:tcBorders>
          </w:tcPr>
          <w:p w14:paraId="3B34E496" w14:textId="77777777" w:rsidR="003C79BC" w:rsidRPr="00BD4A16" w:rsidRDefault="003C79BC" w:rsidP="0082774F">
            <w:pPr>
              <w:spacing w:after="0" w:line="240" w:lineRule="auto"/>
              <w:ind w:left="180" w:right="120"/>
              <w:jc w:val="both"/>
              <w:rPr>
                <w:rFonts w:asciiTheme="minorHAnsi" w:hAnsiTheme="minorHAnsi" w:cstheme="minorHAnsi"/>
                <w:sz w:val="20"/>
                <w:szCs w:val="20"/>
              </w:rPr>
            </w:pPr>
            <w:r w:rsidRPr="00B66802">
              <w:rPr>
                <w:rFonts w:asciiTheme="minorHAnsi" w:hAnsiTheme="minorHAnsi" w:cstheme="minorHAnsi"/>
                <w:sz w:val="20"/>
                <w:szCs w:val="20"/>
              </w:rPr>
              <w:lastRenderedPageBreak/>
              <w:t xml:space="preserve">The development of the private sector relies on the availability of accessible financing. The latest Financial System Stability Assessment (FSAP) highlights that financial deepening exposes the financial sector to vulnerability.  </w:t>
            </w:r>
          </w:p>
          <w:p w14:paraId="77321466" w14:textId="77777777" w:rsidR="003C79BC" w:rsidRPr="00DC050B" w:rsidRDefault="003C79BC" w:rsidP="008C0D36">
            <w:pPr>
              <w:spacing w:after="0" w:line="240" w:lineRule="auto"/>
              <w:ind w:left="180" w:right="120"/>
              <w:jc w:val="both"/>
              <w:rPr>
                <w:rFonts w:asciiTheme="minorHAnsi" w:hAnsiTheme="minorHAnsi" w:cstheme="minorHAnsi"/>
                <w:b/>
                <w:sz w:val="20"/>
                <w:szCs w:val="20"/>
              </w:rPr>
            </w:pPr>
            <w:r w:rsidRPr="00DC050B">
              <w:rPr>
                <w:rFonts w:asciiTheme="minorHAnsi" w:hAnsiTheme="minorHAnsi" w:cstheme="minorHAnsi"/>
                <w:sz w:val="20"/>
                <w:szCs w:val="20"/>
              </w:rPr>
              <w:t>The reforms seek to reinforce the stability of the financial sector. Microfinance institutions have collapsed in the past and are at risk.</w:t>
            </w:r>
          </w:p>
        </w:tc>
        <w:tc>
          <w:tcPr>
            <w:tcW w:w="1247" w:type="pct"/>
            <w:tcBorders>
              <w:top w:val="single" w:sz="8" w:space="0" w:color="000000"/>
              <w:left w:val="single" w:sz="8" w:space="0" w:color="000000"/>
              <w:bottom w:val="single" w:sz="8" w:space="0" w:color="000000"/>
              <w:right w:val="single" w:sz="8" w:space="0" w:color="000000"/>
            </w:tcBorders>
          </w:tcPr>
          <w:p w14:paraId="574578F3" w14:textId="77777777" w:rsidR="003C79BC" w:rsidRPr="00A20F63" w:rsidRDefault="003C79BC" w:rsidP="008C0D36">
            <w:pPr>
              <w:spacing w:after="0" w:line="240" w:lineRule="auto"/>
              <w:ind w:left="180" w:right="120"/>
              <w:jc w:val="both"/>
              <w:rPr>
                <w:rFonts w:asciiTheme="minorHAnsi" w:hAnsiTheme="minorHAnsi" w:cstheme="minorHAnsi"/>
                <w:b/>
                <w:sz w:val="20"/>
                <w:szCs w:val="20"/>
              </w:rPr>
            </w:pPr>
            <w:r w:rsidRPr="00DC050B">
              <w:rPr>
                <w:rFonts w:asciiTheme="minorHAnsi" w:hAnsiTheme="minorHAnsi" w:cstheme="minorHAnsi"/>
                <w:b/>
                <w:sz w:val="20"/>
                <w:szCs w:val="20"/>
              </w:rPr>
              <w:t>PA#8.</w:t>
            </w:r>
            <w:r w:rsidRPr="006C66C2">
              <w:rPr>
                <w:rFonts w:asciiTheme="minorHAnsi" w:hAnsiTheme="minorHAnsi" w:cstheme="minorHAnsi"/>
                <w:sz w:val="20"/>
                <w:szCs w:val="20"/>
              </w:rPr>
              <w:t xml:space="preserve"> </w:t>
            </w:r>
            <w:r w:rsidRPr="006C66C2">
              <w:rPr>
                <w:rFonts w:asciiTheme="minorHAnsi" w:hAnsiTheme="minorHAnsi" w:cstheme="minorHAnsi"/>
                <w:sz w:val="20"/>
                <w:szCs w:val="20"/>
                <w:lang w:val="x-none"/>
              </w:rPr>
              <w:t xml:space="preserve">The Recipient has caused the Central Bank, through the </w:t>
            </w:r>
            <w:r w:rsidRPr="006C66C2">
              <w:rPr>
                <w:rFonts w:asciiTheme="minorHAnsi" w:hAnsiTheme="minorHAnsi" w:cstheme="minorHAnsi"/>
                <w:i/>
                <w:iCs/>
                <w:sz w:val="20"/>
                <w:szCs w:val="20"/>
                <w:lang w:val="x-none"/>
              </w:rPr>
              <w:t>Commission de Supervision Bancaire et Financière (CSBF)</w:t>
            </w:r>
            <w:r w:rsidRPr="00A20F63">
              <w:rPr>
                <w:rFonts w:asciiTheme="minorHAnsi" w:hAnsiTheme="minorHAnsi" w:cstheme="minorHAnsi"/>
                <w:iCs/>
                <w:sz w:val="20"/>
                <w:szCs w:val="20"/>
                <w:lang w:val="x-none"/>
              </w:rPr>
              <w:t>,</w:t>
            </w:r>
            <w:r w:rsidRPr="00A20F63">
              <w:rPr>
                <w:rFonts w:asciiTheme="minorHAnsi" w:hAnsiTheme="minorHAnsi" w:cstheme="minorHAnsi"/>
                <w:sz w:val="20"/>
                <w:szCs w:val="20"/>
                <w:lang w:val="x-none"/>
              </w:rPr>
              <w:t xml:space="preserve"> to complete on-site supervision of the two largest banks in its territory</w:t>
            </w:r>
            <w:r w:rsidRPr="00A20F63">
              <w:rPr>
                <w:rFonts w:asciiTheme="minorHAnsi" w:hAnsiTheme="minorHAnsi" w:cstheme="minorHAnsi"/>
                <w:b/>
                <w:sz w:val="20"/>
                <w:szCs w:val="20"/>
                <w:lang w:val="x-none"/>
              </w:rPr>
              <w:t>.</w:t>
            </w:r>
          </w:p>
        </w:tc>
        <w:tc>
          <w:tcPr>
            <w:tcW w:w="1362" w:type="pct"/>
            <w:tcBorders>
              <w:top w:val="single" w:sz="8" w:space="0" w:color="000000"/>
              <w:left w:val="single" w:sz="8" w:space="0" w:color="000000"/>
              <w:bottom w:val="single" w:sz="8" w:space="0" w:color="000000"/>
              <w:right w:val="single" w:sz="8" w:space="0" w:color="000000"/>
            </w:tcBorders>
            <w:hideMark/>
          </w:tcPr>
          <w:p w14:paraId="266E1754" w14:textId="1E67514C" w:rsidR="003C79BC" w:rsidRPr="00B66802" w:rsidRDefault="003C79BC" w:rsidP="008C0D36">
            <w:pPr>
              <w:spacing w:after="0" w:line="240" w:lineRule="auto"/>
              <w:ind w:left="180" w:right="120"/>
              <w:jc w:val="both"/>
              <w:rPr>
                <w:rFonts w:asciiTheme="minorHAnsi" w:hAnsiTheme="minorHAnsi" w:cstheme="minorHAnsi"/>
                <w:sz w:val="20"/>
                <w:szCs w:val="20"/>
              </w:rPr>
            </w:pPr>
            <w:r w:rsidRPr="00A20F63">
              <w:rPr>
                <w:rFonts w:asciiTheme="minorHAnsi" w:hAnsiTheme="minorHAnsi" w:cstheme="minorHAnsi"/>
                <w:b/>
                <w:sz w:val="20"/>
                <w:szCs w:val="20"/>
              </w:rPr>
              <w:t xml:space="preserve">PA#9. </w:t>
            </w:r>
            <w:r w:rsidR="00F216CD" w:rsidRPr="004C6EBE">
              <w:rPr>
                <w:rFonts w:asciiTheme="minorHAnsi" w:hAnsiTheme="minorHAnsi" w:cstheme="minorHAnsi"/>
                <w:bCs/>
                <w:iCs/>
                <w:sz w:val="20"/>
                <w:szCs w:val="20"/>
              </w:rPr>
              <w:t xml:space="preserve">The Recipient has submitted to Parliament the </w:t>
            </w:r>
            <w:r w:rsidR="00F216CD" w:rsidRPr="004C6EBE">
              <w:rPr>
                <w:rFonts w:asciiTheme="minorHAnsi" w:hAnsiTheme="minorHAnsi" w:cstheme="minorHAnsi"/>
                <w:bCs/>
                <w:i/>
                <w:iCs/>
                <w:sz w:val="20"/>
                <w:szCs w:val="20"/>
              </w:rPr>
              <w:t xml:space="preserve">Projet de Loi No. 025/2017 du 27 septembre 2017 sur la microfinance, </w:t>
            </w:r>
            <w:r w:rsidR="00F216CD" w:rsidRPr="004C6EBE">
              <w:rPr>
                <w:rFonts w:asciiTheme="minorHAnsi" w:hAnsiTheme="minorHAnsi" w:cstheme="minorHAnsi"/>
                <w:bCs/>
                <w:iCs/>
                <w:sz w:val="20"/>
                <w:szCs w:val="20"/>
              </w:rPr>
              <w:t>the draft law on microfinance, including resolution schemes for microfinance institutions</w:t>
            </w:r>
            <w:r w:rsidR="00BE215C" w:rsidRPr="00B66802">
              <w:rPr>
                <w:rFonts w:asciiTheme="minorHAnsi" w:hAnsiTheme="minorHAnsi" w:cstheme="minorHAnsi"/>
                <w:sz w:val="20"/>
                <w:szCs w:val="20"/>
              </w:rPr>
              <w:t>.</w:t>
            </w:r>
          </w:p>
          <w:p w14:paraId="6881A6F0" w14:textId="77777777" w:rsidR="003C79BC" w:rsidRPr="00BD4A16" w:rsidRDefault="003C79BC" w:rsidP="005B5B50">
            <w:pPr>
              <w:shd w:val="clear" w:color="auto" w:fill="FFFFFF"/>
              <w:rPr>
                <w:rFonts w:asciiTheme="minorHAnsi" w:hAnsiTheme="minorHAnsi" w:cstheme="minorHAnsi"/>
                <w:sz w:val="20"/>
                <w:szCs w:val="20"/>
              </w:rPr>
            </w:pPr>
          </w:p>
        </w:tc>
        <w:tc>
          <w:tcPr>
            <w:tcW w:w="1192" w:type="pct"/>
            <w:tcBorders>
              <w:top w:val="single" w:sz="4" w:space="0" w:color="auto"/>
              <w:left w:val="single" w:sz="4" w:space="0" w:color="auto"/>
              <w:bottom w:val="single" w:sz="4" w:space="0" w:color="auto"/>
              <w:right w:val="single" w:sz="4" w:space="0" w:color="auto"/>
            </w:tcBorders>
          </w:tcPr>
          <w:p w14:paraId="50EE3295" w14:textId="77777777" w:rsidR="003C79BC" w:rsidRPr="00DC050B" w:rsidRDefault="003C79BC" w:rsidP="008C0D36">
            <w:pPr>
              <w:spacing w:after="0" w:line="240" w:lineRule="auto"/>
              <w:ind w:left="245"/>
              <w:rPr>
                <w:rFonts w:asciiTheme="minorHAnsi" w:hAnsiTheme="minorHAnsi" w:cstheme="minorHAnsi"/>
                <w:sz w:val="20"/>
                <w:szCs w:val="20"/>
              </w:rPr>
            </w:pPr>
            <w:r w:rsidRPr="00DC050B">
              <w:rPr>
                <w:rFonts w:asciiTheme="minorHAnsi" w:hAnsiTheme="minorHAnsi" w:cstheme="minorHAnsi"/>
                <w:sz w:val="20"/>
                <w:szCs w:val="20"/>
              </w:rPr>
              <w:t xml:space="preserve">Extent of risk based supervision. </w:t>
            </w:r>
          </w:p>
          <w:p w14:paraId="5D175F76" w14:textId="77777777" w:rsidR="003C79BC" w:rsidRPr="00DC050B" w:rsidRDefault="003C79BC" w:rsidP="008C0D36">
            <w:pPr>
              <w:spacing w:after="0" w:line="240" w:lineRule="auto"/>
              <w:ind w:left="245"/>
              <w:rPr>
                <w:rFonts w:asciiTheme="minorHAnsi" w:hAnsiTheme="minorHAnsi" w:cstheme="minorHAnsi"/>
                <w:sz w:val="20"/>
                <w:szCs w:val="20"/>
              </w:rPr>
            </w:pPr>
            <w:r w:rsidRPr="00DC050B">
              <w:rPr>
                <w:rFonts w:asciiTheme="minorHAnsi" w:hAnsiTheme="minorHAnsi" w:cstheme="minorHAnsi"/>
                <w:sz w:val="20"/>
                <w:szCs w:val="20"/>
              </w:rPr>
              <w:t xml:space="preserve">Baseline: no risk based supervision (2015) </w:t>
            </w:r>
          </w:p>
          <w:p w14:paraId="64B609D5" w14:textId="3F62024E" w:rsidR="003C79BC" w:rsidRPr="00B66802" w:rsidRDefault="003C79BC" w:rsidP="008C0D36">
            <w:pPr>
              <w:spacing w:after="0" w:line="240" w:lineRule="auto"/>
              <w:ind w:left="245"/>
              <w:rPr>
                <w:rFonts w:asciiTheme="minorHAnsi" w:hAnsiTheme="minorHAnsi" w:cstheme="minorHAnsi"/>
                <w:sz w:val="20"/>
                <w:szCs w:val="20"/>
              </w:rPr>
            </w:pPr>
            <w:r w:rsidRPr="00DC050B">
              <w:rPr>
                <w:rFonts w:asciiTheme="minorHAnsi" w:hAnsiTheme="minorHAnsi" w:cstheme="minorHAnsi"/>
                <w:sz w:val="20"/>
                <w:szCs w:val="20"/>
              </w:rPr>
              <w:t xml:space="preserve">Target: risk based supervision in place </w:t>
            </w:r>
            <w:r w:rsidR="00D90BE8" w:rsidRPr="006C66C2">
              <w:rPr>
                <w:rFonts w:asciiTheme="minorHAnsi" w:hAnsiTheme="minorHAnsi" w:cstheme="minorHAnsi"/>
                <w:sz w:val="20"/>
                <w:szCs w:val="20"/>
              </w:rPr>
              <w:t xml:space="preserve">for MFIs </w:t>
            </w:r>
            <w:r w:rsidRPr="006C66C2">
              <w:rPr>
                <w:rFonts w:asciiTheme="minorHAnsi" w:hAnsiTheme="minorHAnsi" w:cstheme="minorHAnsi"/>
                <w:sz w:val="20"/>
                <w:szCs w:val="20"/>
              </w:rPr>
              <w:t>(2019)</w:t>
            </w:r>
            <w:r w:rsidRPr="00B66802">
              <w:rPr>
                <w:rStyle w:val="FootnoteReference"/>
                <w:rFonts w:asciiTheme="minorHAnsi" w:hAnsiTheme="minorHAnsi" w:cstheme="minorHAnsi"/>
                <w:sz w:val="20"/>
                <w:szCs w:val="20"/>
              </w:rPr>
              <w:footnoteReference w:id="65"/>
            </w:r>
          </w:p>
          <w:p w14:paraId="36A413A9" w14:textId="77777777" w:rsidR="003C79BC" w:rsidRPr="00BD4A16" w:rsidRDefault="003C79BC" w:rsidP="008C0D36">
            <w:pPr>
              <w:spacing w:after="0" w:line="240" w:lineRule="auto"/>
              <w:ind w:left="245"/>
              <w:rPr>
                <w:rFonts w:asciiTheme="minorHAnsi" w:hAnsiTheme="minorHAnsi" w:cstheme="minorHAnsi"/>
                <w:sz w:val="20"/>
                <w:szCs w:val="20"/>
              </w:rPr>
            </w:pPr>
            <w:r w:rsidRPr="00BD4A16">
              <w:rPr>
                <w:rFonts w:asciiTheme="minorHAnsi" w:hAnsiTheme="minorHAnsi" w:cstheme="minorHAnsi"/>
                <w:sz w:val="20"/>
                <w:szCs w:val="20"/>
              </w:rPr>
              <w:t>Intermediate result: no risk based supervision (2016)</w:t>
            </w:r>
          </w:p>
        </w:tc>
      </w:tr>
    </w:tbl>
    <w:p w14:paraId="65474991" w14:textId="77777777" w:rsidR="00AC14EF" w:rsidRPr="00B66802" w:rsidRDefault="00AC14EF" w:rsidP="00AC14EF">
      <w:pPr>
        <w:rPr>
          <w:rFonts w:asciiTheme="minorHAnsi" w:hAnsiTheme="minorHAnsi" w:cstheme="minorHAnsi"/>
        </w:rPr>
      </w:pPr>
    </w:p>
    <w:p w14:paraId="7ADE1BC2" w14:textId="77777777" w:rsidR="008A261B" w:rsidRPr="00E36113" w:rsidRDefault="008A261B" w:rsidP="00AD1AA3">
      <w:pPr>
        <w:widowControl w:val="0"/>
        <w:autoSpaceDE w:val="0"/>
        <w:autoSpaceDN w:val="0"/>
        <w:adjustRightInd w:val="0"/>
        <w:spacing w:before="78" w:after="0" w:line="240" w:lineRule="auto"/>
        <w:ind w:left="5137" w:right="5019"/>
        <w:jc w:val="center"/>
        <w:rPr>
          <w:rFonts w:asciiTheme="minorHAnsi" w:hAnsiTheme="minorHAnsi" w:cstheme="minorHAnsi"/>
        </w:rPr>
        <w:sectPr w:rsidR="008A261B" w:rsidRPr="00E36113" w:rsidSect="003862B7">
          <w:pgSz w:w="15840" w:h="12240" w:orient="landscape"/>
          <w:pgMar w:top="450" w:right="600" w:bottom="280" w:left="500" w:header="720" w:footer="720" w:gutter="0"/>
          <w:cols w:space="720" w:equalWidth="0">
            <w:col w:w="14740"/>
          </w:cols>
          <w:noEndnote/>
        </w:sectPr>
      </w:pPr>
    </w:p>
    <w:p w14:paraId="35DBEABF" w14:textId="1744F086" w:rsidR="001862D7" w:rsidRPr="00E36113" w:rsidRDefault="001862D7" w:rsidP="001862D7">
      <w:pPr>
        <w:pStyle w:val="Heading3"/>
        <w:rPr>
          <w:rFonts w:asciiTheme="minorHAnsi" w:hAnsiTheme="minorHAnsi" w:cstheme="minorHAnsi"/>
        </w:rPr>
      </w:pPr>
      <w:bookmarkStart w:id="24" w:name="_Toc496204258"/>
      <w:r w:rsidRPr="00E36113">
        <w:rPr>
          <w:rFonts w:asciiTheme="minorHAnsi" w:hAnsiTheme="minorHAnsi" w:cstheme="minorHAnsi"/>
        </w:rPr>
        <w:lastRenderedPageBreak/>
        <w:t>ANNEX 2:</w:t>
      </w:r>
      <w:r w:rsidRPr="00E36113">
        <w:rPr>
          <w:rFonts w:asciiTheme="minorHAnsi" w:hAnsiTheme="minorHAnsi" w:cstheme="minorHAnsi"/>
          <w:spacing w:val="1"/>
        </w:rPr>
        <w:t xml:space="preserve"> </w:t>
      </w:r>
      <w:r w:rsidRPr="00E36113">
        <w:rPr>
          <w:rFonts w:asciiTheme="minorHAnsi" w:hAnsiTheme="minorHAnsi" w:cstheme="minorHAnsi"/>
        </w:rPr>
        <w:t xml:space="preserve">LETTER </w:t>
      </w:r>
      <w:r w:rsidRPr="00E36113">
        <w:rPr>
          <w:rFonts w:asciiTheme="minorHAnsi" w:hAnsiTheme="minorHAnsi" w:cstheme="minorHAnsi"/>
          <w:spacing w:val="1"/>
        </w:rPr>
        <w:t>O</w:t>
      </w:r>
      <w:r w:rsidRPr="00E36113">
        <w:rPr>
          <w:rFonts w:asciiTheme="minorHAnsi" w:hAnsiTheme="minorHAnsi" w:cstheme="minorHAnsi"/>
        </w:rPr>
        <w:t>F DEVEL</w:t>
      </w:r>
      <w:r w:rsidRPr="00E36113">
        <w:rPr>
          <w:rFonts w:asciiTheme="minorHAnsi" w:hAnsiTheme="minorHAnsi" w:cstheme="minorHAnsi"/>
          <w:spacing w:val="1"/>
        </w:rPr>
        <w:t>O</w:t>
      </w:r>
      <w:r w:rsidRPr="00E36113">
        <w:rPr>
          <w:rFonts w:asciiTheme="minorHAnsi" w:hAnsiTheme="minorHAnsi" w:cstheme="minorHAnsi"/>
          <w:spacing w:val="2"/>
        </w:rPr>
        <w:t>P</w:t>
      </w:r>
      <w:r w:rsidRPr="00E36113">
        <w:rPr>
          <w:rFonts w:asciiTheme="minorHAnsi" w:hAnsiTheme="minorHAnsi" w:cstheme="minorHAnsi"/>
        </w:rPr>
        <w:t>MENT</w:t>
      </w:r>
      <w:r w:rsidRPr="00E36113">
        <w:rPr>
          <w:rFonts w:asciiTheme="minorHAnsi" w:hAnsiTheme="minorHAnsi" w:cstheme="minorHAnsi"/>
          <w:spacing w:val="-3"/>
        </w:rPr>
        <w:t xml:space="preserve"> </w:t>
      </w:r>
      <w:r w:rsidRPr="00E36113">
        <w:rPr>
          <w:rFonts w:asciiTheme="minorHAnsi" w:hAnsiTheme="minorHAnsi" w:cstheme="minorHAnsi"/>
        </w:rPr>
        <w:t>P</w:t>
      </w:r>
      <w:r w:rsidRPr="00E36113">
        <w:rPr>
          <w:rFonts w:asciiTheme="minorHAnsi" w:hAnsiTheme="minorHAnsi" w:cstheme="minorHAnsi"/>
          <w:spacing w:val="1"/>
        </w:rPr>
        <w:t>O</w:t>
      </w:r>
      <w:r w:rsidRPr="00E36113">
        <w:rPr>
          <w:rFonts w:asciiTheme="minorHAnsi" w:hAnsiTheme="minorHAnsi" w:cstheme="minorHAnsi"/>
        </w:rPr>
        <w:t>L</w:t>
      </w:r>
      <w:r w:rsidRPr="00E36113">
        <w:rPr>
          <w:rFonts w:asciiTheme="minorHAnsi" w:hAnsiTheme="minorHAnsi" w:cstheme="minorHAnsi"/>
          <w:spacing w:val="-2"/>
        </w:rPr>
        <w:t>I</w:t>
      </w:r>
      <w:r w:rsidRPr="00E36113">
        <w:rPr>
          <w:rFonts w:asciiTheme="minorHAnsi" w:hAnsiTheme="minorHAnsi" w:cstheme="minorHAnsi"/>
        </w:rPr>
        <w:t>CY</w:t>
      </w:r>
      <w:bookmarkEnd w:id="24"/>
    </w:p>
    <w:p w14:paraId="50C9723C" w14:textId="535C6023" w:rsidR="00B05D6E" w:rsidRPr="00E36113" w:rsidRDefault="008550F2" w:rsidP="00B05D6E">
      <w:pPr>
        <w:jc w:val="center"/>
        <w:rPr>
          <w:rFonts w:asciiTheme="minorHAnsi" w:hAnsiTheme="minorHAnsi" w:cstheme="minorHAnsi"/>
        </w:rPr>
      </w:pPr>
      <w:r w:rsidRPr="00E36113">
        <w:rPr>
          <w:rFonts w:asciiTheme="minorHAnsi" w:hAnsiTheme="minorHAnsi" w:cstheme="minorHAnsi"/>
        </w:rPr>
        <w:t>T</w:t>
      </w:r>
      <w:r w:rsidR="00B05D6E" w:rsidRPr="00E36113">
        <w:rPr>
          <w:rFonts w:asciiTheme="minorHAnsi" w:hAnsiTheme="minorHAnsi" w:cstheme="minorHAnsi"/>
        </w:rPr>
        <w:t>ranslated from the original French</w:t>
      </w:r>
    </w:p>
    <w:p w14:paraId="4C7DC00F" w14:textId="77777777" w:rsidR="00A12218" w:rsidRPr="001B39F5" w:rsidRDefault="00A12218" w:rsidP="001B39F5">
      <w:pPr>
        <w:spacing w:after="0" w:line="240" w:lineRule="auto"/>
        <w:rPr>
          <w:rFonts w:asciiTheme="minorHAnsi" w:hAnsiTheme="minorHAnsi" w:cstheme="minorHAnsi"/>
          <w:b/>
        </w:rPr>
      </w:pPr>
      <w:r w:rsidRPr="001B39F5">
        <w:rPr>
          <w:rFonts w:asciiTheme="minorHAnsi" w:hAnsiTheme="minorHAnsi" w:cstheme="minorHAnsi"/>
          <w:b/>
        </w:rPr>
        <w:t>MINISTRY OF FINANCE</w:t>
      </w:r>
    </w:p>
    <w:p w14:paraId="0F3DE667" w14:textId="77777777" w:rsidR="00A12218" w:rsidRPr="001B39F5" w:rsidRDefault="00A12218" w:rsidP="001B39F5">
      <w:pPr>
        <w:spacing w:after="0" w:line="240" w:lineRule="auto"/>
        <w:rPr>
          <w:rFonts w:asciiTheme="minorHAnsi" w:hAnsiTheme="minorHAnsi" w:cstheme="minorHAnsi"/>
          <w:b/>
        </w:rPr>
      </w:pPr>
      <w:r w:rsidRPr="001B39F5">
        <w:rPr>
          <w:rFonts w:asciiTheme="minorHAnsi" w:hAnsiTheme="minorHAnsi" w:cstheme="minorHAnsi"/>
          <w:b/>
        </w:rPr>
        <w:t xml:space="preserve">     AND BUDGET</w:t>
      </w:r>
      <w:r w:rsidRPr="001B39F5">
        <w:rPr>
          <w:rFonts w:asciiTheme="minorHAnsi" w:hAnsiTheme="minorHAnsi" w:cstheme="minorHAnsi"/>
          <w:b/>
        </w:rPr>
        <w:tab/>
      </w:r>
      <w:r w:rsidRPr="001B39F5">
        <w:rPr>
          <w:rFonts w:asciiTheme="minorHAnsi" w:hAnsiTheme="minorHAnsi" w:cstheme="minorHAnsi"/>
          <w:b/>
        </w:rPr>
        <w:tab/>
      </w:r>
      <w:r w:rsidRPr="001B39F5">
        <w:rPr>
          <w:rFonts w:asciiTheme="minorHAnsi" w:hAnsiTheme="minorHAnsi" w:cstheme="minorHAnsi"/>
          <w:b/>
        </w:rPr>
        <w:tab/>
      </w:r>
      <w:r w:rsidRPr="001B39F5">
        <w:rPr>
          <w:rFonts w:asciiTheme="minorHAnsi" w:hAnsiTheme="minorHAnsi" w:cstheme="minorHAnsi"/>
          <w:b/>
        </w:rPr>
        <w:tab/>
      </w:r>
      <w:r w:rsidRPr="001B39F5">
        <w:rPr>
          <w:rFonts w:asciiTheme="minorHAnsi" w:hAnsiTheme="minorHAnsi" w:cstheme="minorHAnsi"/>
          <w:b/>
        </w:rPr>
        <w:tab/>
      </w:r>
      <w:r w:rsidRPr="001B39F5">
        <w:rPr>
          <w:rFonts w:asciiTheme="minorHAnsi" w:hAnsiTheme="minorHAnsi" w:cstheme="minorHAnsi"/>
          <w:b/>
        </w:rPr>
        <w:tab/>
      </w:r>
      <w:r w:rsidRPr="001B39F5">
        <w:rPr>
          <w:rFonts w:asciiTheme="minorHAnsi" w:hAnsiTheme="minorHAnsi" w:cstheme="minorHAnsi"/>
        </w:rPr>
        <w:t>Antananarivo, September 20, 2017</w:t>
      </w:r>
    </w:p>
    <w:p w14:paraId="54BCC6EC" w14:textId="77777777" w:rsidR="00A12218" w:rsidRPr="001B39F5" w:rsidRDefault="00A12218" w:rsidP="001B39F5">
      <w:pPr>
        <w:spacing w:after="0" w:line="240" w:lineRule="auto"/>
        <w:rPr>
          <w:rFonts w:asciiTheme="minorHAnsi" w:hAnsiTheme="minorHAnsi" w:cstheme="minorHAnsi"/>
          <w:b/>
        </w:rPr>
      </w:pPr>
      <w:r w:rsidRPr="001B39F5">
        <w:rPr>
          <w:rFonts w:asciiTheme="minorHAnsi" w:hAnsiTheme="minorHAnsi" w:cstheme="minorHAnsi"/>
          <w:b/>
        </w:rPr>
        <w:t xml:space="preserve">       *********</w:t>
      </w:r>
    </w:p>
    <w:p w14:paraId="69282CD7" w14:textId="77777777" w:rsidR="00A12218" w:rsidRPr="001B39F5" w:rsidRDefault="00A12218" w:rsidP="001B39F5">
      <w:pPr>
        <w:spacing w:after="0" w:line="240" w:lineRule="auto"/>
        <w:rPr>
          <w:rFonts w:asciiTheme="minorHAnsi" w:hAnsiTheme="minorHAnsi" w:cstheme="minorHAnsi"/>
          <w:b/>
        </w:rPr>
      </w:pPr>
      <w:r w:rsidRPr="001B39F5">
        <w:rPr>
          <w:rFonts w:asciiTheme="minorHAnsi" w:hAnsiTheme="minorHAnsi" w:cstheme="minorHAnsi"/>
          <w:b/>
        </w:rPr>
        <w:t xml:space="preserve">     The Minister</w:t>
      </w:r>
    </w:p>
    <w:p w14:paraId="454D1D88" w14:textId="77777777" w:rsidR="00A12218" w:rsidRPr="001B39F5" w:rsidRDefault="00A12218" w:rsidP="001B39F5">
      <w:pPr>
        <w:spacing w:after="0" w:line="240" w:lineRule="auto"/>
        <w:rPr>
          <w:rFonts w:asciiTheme="minorHAnsi" w:hAnsiTheme="minorHAnsi" w:cstheme="minorHAnsi"/>
          <w:b/>
        </w:rPr>
      </w:pPr>
      <w:r w:rsidRPr="001B39F5">
        <w:rPr>
          <w:rFonts w:asciiTheme="minorHAnsi" w:hAnsiTheme="minorHAnsi" w:cstheme="minorHAnsi"/>
          <w:b/>
        </w:rPr>
        <w:t xml:space="preserve">       *********</w:t>
      </w:r>
    </w:p>
    <w:p w14:paraId="3A72B3B0" w14:textId="77777777" w:rsidR="00A12218" w:rsidRPr="001B39F5" w:rsidRDefault="00A12218" w:rsidP="001B39F5">
      <w:pPr>
        <w:spacing w:after="0" w:line="240" w:lineRule="auto"/>
        <w:rPr>
          <w:rFonts w:asciiTheme="minorHAnsi" w:hAnsiTheme="minorHAnsi" w:cstheme="minorHAnsi"/>
          <w:b/>
        </w:rPr>
      </w:pPr>
      <w:r w:rsidRPr="001B39F5">
        <w:rPr>
          <w:rFonts w:asciiTheme="minorHAnsi" w:hAnsiTheme="minorHAnsi" w:cstheme="minorHAnsi"/>
        </w:rPr>
        <w:tab/>
      </w:r>
      <w:r w:rsidRPr="001B39F5">
        <w:rPr>
          <w:rFonts w:asciiTheme="minorHAnsi" w:hAnsiTheme="minorHAnsi" w:cstheme="minorHAnsi"/>
        </w:rPr>
        <w:tab/>
      </w:r>
      <w:r w:rsidRPr="001B39F5">
        <w:rPr>
          <w:rFonts w:asciiTheme="minorHAnsi" w:hAnsiTheme="minorHAnsi" w:cstheme="minorHAnsi"/>
        </w:rPr>
        <w:tab/>
      </w:r>
      <w:r w:rsidRPr="001B39F5">
        <w:rPr>
          <w:rFonts w:asciiTheme="minorHAnsi" w:hAnsiTheme="minorHAnsi" w:cstheme="minorHAnsi"/>
        </w:rPr>
        <w:tab/>
      </w:r>
      <w:r w:rsidRPr="001B39F5">
        <w:rPr>
          <w:rFonts w:asciiTheme="minorHAnsi" w:hAnsiTheme="minorHAnsi" w:cstheme="minorHAnsi"/>
        </w:rPr>
        <w:tab/>
      </w:r>
      <w:r w:rsidRPr="001B39F5">
        <w:rPr>
          <w:rFonts w:asciiTheme="minorHAnsi" w:hAnsiTheme="minorHAnsi" w:cstheme="minorHAnsi"/>
        </w:rPr>
        <w:tab/>
      </w:r>
      <w:r w:rsidRPr="001B39F5">
        <w:rPr>
          <w:rFonts w:asciiTheme="minorHAnsi" w:hAnsiTheme="minorHAnsi" w:cstheme="minorHAnsi"/>
        </w:rPr>
        <w:tab/>
      </w:r>
      <w:r w:rsidRPr="001B39F5">
        <w:rPr>
          <w:rFonts w:asciiTheme="minorHAnsi" w:hAnsiTheme="minorHAnsi" w:cstheme="minorHAnsi"/>
        </w:rPr>
        <w:tab/>
      </w:r>
      <w:r w:rsidRPr="001B39F5">
        <w:rPr>
          <w:rFonts w:asciiTheme="minorHAnsi" w:hAnsiTheme="minorHAnsi" w:cstheme="minorHAnsi"/>
          <w:b/>
        </w:rPr>
        <w:t>Dr. Jim Yong Kim</w:t>
      </w:r>
    </w:p>
    <w:p w14:paraId="5D643323" w14:textId="77777777" w:rsidR="00A12218" w:rsidRPr="001B39F5" w:rsidRDefault="00A12218" w:rsidP="001B39F5">
      <w:pPr>
        <w:spacing w:after="0" w:line="240" w:lineRule="auto"/>
        <w:rPr>
          <w:rFonts w:asciiTheme="minorHAnsi" w:hAnsiTheme="minorHAnsi" w:cstheme="minorHAnsi"/>
          <w:b/>
        </w:rPr>
      </w:pPr>
      <w:r w:rsidRPr="001B39F5">
        <w:rPr>
          <w:rFonts w:asciiTheme="minorHAnsi" w:hAnsiTheme="minorHAnsi" w:cstheme="minorHAnsi"/>
          <w:b/>
        </w:rPr>
        <w:tab/>
      </w:r>
      <w:r w:rsidRPr="001B39F5">
        <w:rPr>
          <w:rFonts w:asciiTheme="minorHAnsi" w:hAnsiTheme="minorHAnsi" w:cstheme="minorHAnsi"/>
          <w:b/>
        </w:rPr>
        <w:tab/>
      </w:r>
      <w:r w:rsidRPr="001B39F5">
        <w:rPr>
          <w:rFonts w:asciiTheme="minorHAnsi" w:hAnsiTheme="minorHAnsi" w:cstheme="minorHAnsi"/>
          <w:b/>
        </w:rPr>
        <w:tab/>
      </w:r>
      <w:r w:rsidRPr="001B39F5">
        <w:rPr>
          <w:rFonts w:asciiTheme="minorHAnsi" w:hAnsiTheme="minorHAnsi" w:cstheme="minorHAnsi"/>
          <w:b/>
        </w:rPr>
        <w:tab/>
      </w:r>
      <w:r w:rsidRPr="001B39F5">
        <w:rPr>
          <w:rFonts w:asciiTheme="minorHAnsi" w:hAnsiTheme="minorHAnsi" w:cstheme="minorHAnsi"/>
          <w:b/>
        </w:rPr>
        <w:tab/>
      </w:r>
      <w:r w:rsidRPr="001B39F5">
        <w:rPr>
          <w:rFonts w:asciiTheme="minorHAnsi" w:hAnsiTheme="minorHAnsi" w:cstheme="minorHAnsi"/>
          <w:b/>
        </w:rPr>
        <w:tab/>
      </w:r>
      <w:r w:rsidRPr="001B39F5">
        <w:rPr>
          <w:rFonts w:asciiTheme="minorHAnsi" w:hAnsiTheme="minorHAnsi" w:cstheme="minorHAnsi"/>
          <w:b/>
        </w:rPr>
        <w:tab/>
      </w:r>
      <w:r w:rsidRPr="001B39F5">
        <w:rPr>
          <w:rFonts w:asciiTheme="minorHAnsi" w:hAnsiTheme="minorHAnsi" w:cstheme="minorHAnsi"/>
          <w:b/>
        </w:rPr>
        <w:tab/>
        <w:t>World Bank</w:t>
      </w:r>
    </w:p>
    <w:p w14:paraId="680ABB80" w14:textId="77777777" w:rsidR="00A12218" w:rsidRPr="001B39F5" w:rsidRDefault="00A12218" w:rsidP="001B39F5">
      <w:pPr>
        <w:spacing w:after="0" w:line="240" w:lineRule="auto"/>
        <w:rPr>
          <w:rFonts w:asciiTheme="minorHAnsi" w:hAnsiTheme="minorHAnsi" w:cstheme="minorHAnsi"/>
          <w:b/>
        </w:rPr>
      </w:pPr>
      <w:r w:rsidRPr="001B39F5">
        <w:rPr>
          <w:rFonts w:asciiTheme="minorHAnsi" w:hAnsiTheme="minorHAnsi" w:cstheme="minorHAnsi"/>
          <w:b/>
        </w:rPr>
        <w:tab/>
      </w:r>
      <w:r w:rsidRPr="001B39F5">
        <w:rPr>
          <w:rFonts w:asciiTheme="minorHAnsi" w:hAnsiTheme="minorHAnsi" w:cstheme="minorHAnsi"/>
          <w:b/>
        </w:rPr>
        <w:tab/>
      </w:r>
      <w:r w:rsidRPr="001B39F5">
        <w:rPr>
          <w:rFonts w:asciiTheme="minorHAnsi" w:hAnsiTheme="minorHAnsi" w:cstheme="minorHAnsi"/>
          <w:b/>
        </w:rPr>
        <w:tab/>
      </w:r>
      <w:r w:rsidRPr="001B39F5">
        <w:rPr>
          <w:rFonts w:asciiTheme="minorHAnsi" w:hAnsiTheme="minorHAnsi" w:cstheme="minorHAnsi"/>
          <w:b/>
        </w:rPr>
        <w:tab/>
      </w:r>
      <w:r w:rsidRPr="001B39F5">
        <w:rPr>
          <w:rFonts w:asciiTheme="minorHAnsi" w:hAnsiTheme="minorHAnsi" w:cstheme="minorHAnsi"/>
          <w:b/>
        </w:rPr>
        <w:tab/>
      </w:r>
      <w:r w:rsidRPr="001B39F5">
        <w:rPr>
          <w:rFonts w:asciiTheme="minorHAnsi" w:hAnsiTheme="minorHAnsi" w:cstheme="minorHAnsi"/>
          <w:b/>
        </w:rPr>
        <w:tab/>
      </w:r>
      <w:r w:rsidRPr="001B39F5">
        <w:rPr>
          <w:rFonts w:asciiTheme="minorHAnsi" w:hAnsiTheme="minorHAnsi" w:cstheme="minorHAnsi"/>
          <w:b/>
        </w:rPr>
        <w:tab/>
        <w:t>1818 H Street  NW, Washington DC</w:t>
      </w:r>
    </w:p>
    <w:p w14:paraId="7EC80C04" w14:textId="77777777" w:rsidR="00A12218" w:rsidRPr="001B39F5" w:rsidRDefault="00A12218" w:rsidP="001B39F5">
      <w:pPr>
        <w:spacing w:after="0" w:line="240" w:lineRule="auto"/>
        <w:rPr>
          <w:rFonts w:asciiTheme="minorHAnsi" w:hAnsiTheme="minorHAnsi" w:cstheme="minorHAnsi"/>
          <w:b/>
        </w:rPr>
      </w:pPr>
    </w:p>
    <w:p w14:paraId="5B81F295" w14:textId="77777777" w:rsidR="00A12218" w:rsidRPr="001B39F5" w:rsidRDefault="00A12218" w:rsidP="001B39F5">
      <w:pPr>
        <w:spacing w:after="0" w:line="240" w:lineRule="auto"/>
        <w:ind w:firstLine="708"/>
        <w:rPr>
          <w:rFonts w:asciiTheme="minorHAnsi" w:hAnsiTheme="minorHAnsi" w:cstheme="minorHAnsi"/>
        </w:rPr>
      </w:pPr>
      <w:r w:rsidRPr="001B39F5">
        <w:rPr>
          <w:rFonts w:asciiTheme="minorHAnsi" w:hAnsiTheme="minorHAnsi" w:cstheme="minorHAnsi"/>
        </w:rPr>
        <w:t>Mr. President,</w:t>
      </w:r>
    </w:p>
    <w:p w14:paraId="23442528" w14:textId="77777777" w:rsidR="00A12218" w:rsidRPr="001B39F5" w:rsidRDefault="00A12218" w:rsidP="001B39F5">
      <w:pPr>
        <w:spacing w:after="0" w:line="240" w:lineRule="auto"/>
        <w:ind w:firstLine="708"/>
        <w:rPr>
          <w:rFonts w:asciiTheme="minorHAnsi" w:hAnsiTheme="minorHAnsi" w:cstheme="minorHAnsi"/>
        </w:rPr>
      </w:pPr>
    </w:p>
    <w:p w14:paraId="08524002" w14:textId="77777777"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Madagascar is pursuing the implementation of the National Development Plan (NDP) and the related Implementation Plan (PMO) with the aim of reducing poverty and promoting inclusive and sustainable development. The Government sets its objectives around three pillars, namely: (i) improving governance, (ii) promoting economic recovery, and (iii) expanding access to basic social services. This letter reflects the Government's commitment to meeting the challenges of economic development in the medium term by strengthening the tax and customs revenue performance and optimizing the allocation of resources in favor of investment projects and sectors with tangible impact on the population (education, health, and infrastructure). The Government is also implementing its action plan to improve the business climate by removing the barriers constraining the development of the private sector, with particular attention to access to electricity. These measures are an integral part of the Government's program to ensure sustainable growth and to ensure that the Malagasy population as a whole benefits from this growth.</w:t>
      </w:r>
    </w:p>
    <w:p w14:paraId="5F1A9721" w14:textId="77777777" w:rsidR="00A12218" w:rsidRPr="001B39F5" w:rsidRDefault="00A12218" w:rsidP="001B39F5">
      <w:pPr>
        <w:spacing w:after="0" w:line="240" w:lineRule="auto"/>
        <w:jc w:val="center"/>
        <w:rPr>
          <w:rFonts w:asciiTheme="minorHAnsi" w:hAnsiTheme="minorHAnsi" w:cstheme="minorHAnsi"/>
        </w:rPr>
      </w:pPr>
      <w:r w:rsidRPr="001B39F5">
        <w:rPr>
          <w:rFonts w:asciiTheme="minorHAnsi" w:hAnsiTheme="minorHAnsi" w:cstheme="minorHAnsi"/>
        </w:rPr>
        <w:t>*        *</w:t>
      </w:r>
    </w:p>
    <w:p w14:paraId="0DDE4523" w14:textId="1030876E" w:rsidR="00A12218" w:rsidRPr="001B39F5" w:rsidRDefault="00A12218" w:rsidP="001B39F5">
      <w:pPr>
        <w:spacing w:after="0" w:line="240" w:lineRule="auto"/>
        <w:jc w:val="center"/>
        <w:rPr>
          <w:rFonts w:asciiTheme="minorHAnsi" w:hAnsiTheme="minorHAnsi" w:cstheme="minorHAnsi"/>
        </w:rPr>
      </w:pPr>
      <w:r w:rsidRPr="001B39F5">
        <w:rPr>
          <w:rFonts w:asciiTheme="minorHAnsi" w:hAnsiTheme="minorHAnsi" w:cstheme="minorHAnsi"/>
        </w:rPr>
        <w:t>*</w:t>
      </w:r>
    </w:p>
    <w:p w14:paraId="230EFAA7" w14:textId="77777777"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Social indicators have not improved despite the Government's willingness to promote the mechanisms and systems for enhancing human capital and social protection. The 2016 Report on Human Development in Africa, established by the United Nations still confirmed that Madagascar is among the poorest countries in Africa, as it is ranked 154</w:t>
      </w:r>
      <w:r w:rsidRPr="001B39F5">
        <w:rPr>
          <w:rFonts w:asciiTheme="minorHAnsi" w:hAnsiTheme="minorHAnsi" w:cstheme="minorHAnsi"/>
          <w:vertAlign w:val="superscript"/>
        </w:rPr>
        <w:t xml:space="preserve">th </w:t>
      </w:r>
      <w:r w:rsidRPr="001B39F5">
        <w:rPr>
          <w:rFonts w:asciiTheme="minorHAnsi" w:hAnsiTheme="minorHAnsi" w:cstheme="minorHAnsi"/>
        </w:rPr>
        <w:t>out of 188 countries with a low Human Development Index of 0.510.</w:t>
      </w:r>
    </w:p>
    <w:p w14:paraId="10B28F38" w14:textId="77777777" w:rsidR="00A12218" w:rsidRPr="001B39F5" w:rsidRDefault="00A12218" w:rsidP="001B39F5">
      <w:pPr>
        <w:spacing w:after="0" w:line="240" w:lineRule="auto"/>
        <w:ind w:firstLine="708"/>
        <w:rPr>
          <w:rFonts w:asciiTheme="minorHAnsi" w:hAnsiTheme="minorHAnsi" w:cstheme="minorHAnsi"/>
        </w:rPr>
      </w:pPr>
    </w:p>
    <w:p w14:paraId="2D2D13D0" w14:textId="05F9E37A"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Economic activities are gradually recovering, recording a 4.1 percent growth rate in 2016 and is expected to reach 4.3 percent in 2017. This momentum is mainly due to the performance of the export processing zones following the return of African Growth and Opportunities Act (AGOA), the expansion of the construction industry and the recovery of the mining sector. However, climate hazards during 2016 and 2017, including a prolonged drought in the highlands and cyclone Enawo affected in particular, the northeastern area of the country, and has affected growth potential. These hazards have impacted the price level; the inflation rate for 2017 is estimated at an average of 7.8 percent.</w:t>
      </w:r>
    </w:p>
    <w:p w14:paraId="355DDC71" w14:textId="77777777" w:rsidR="00A12218" w:rsidRPr="001B39F5" w:rsidRDefault="00A12218" w:rsidP="001B39F5">
      <w:pPr>
        <w:spacing w:after="0" w:line="240" w:lineRule="auto"/>
        <w:rPr>
          <w:rFonts w:asciiTheme="minorHAnsi" w:hAnsiTheme="minorHAnsi" w:cstheme="minorHAnsi"/>
        </w:rPr>
      </w:pPr>
    </w:p>
    <w:p w14:paraId="6CDEB8A2" w14:textId="77777777" w:rsidR="00A12218" w:rsidRPr="001B39F5" w:rsidRDefault="00A12218" w:rsidP="001B39F5">
      <w:pPr>
        <w:spacing w:after="0" w:line="240" w:lineRule="auto"/>
        <w:jc w:val="center"/>
        <w:rPr>
          <w:rFonts w:asciiTheme="minorHAnsi" w:hAnsiTheme="minorHAnsi" w:cstheme="minorHAnsi"/>
        </w:rPr>
      </w:pPr>
      <w:r w:rsidRPr="001B39F5">
        <w:rPr>
          <w:rFonts w:asciiTheme="minorHAnsi" w:hAnsiTheme="minorHAnsi" w:cstheme="minorHAnsi"/>
        </w:rPr>
        <w:br w:type="page"/>
      </w:r>
    </w:p>
    <w:p w14:paraId="375E1A09" w14:textId="77777777"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lastRenderedPageBreak/>
        <w:t>The main economic and strategic orientations of the State have been aligned with the National Development Plan. The different sectoral strategies supporting the implementation of the NDP are summarized in the Economic Development Letter to ensure effectiveness in interventions. The Government is determined to face the urgent economic and social challenges of the country with the support of the Technical and Financial Partners.</w:t>
      </w:r>
    </w:p>
    <w:p w14:paraId="3019966D" w14:textId="77777777" w:rsidR="00A12218" w:rsidRPr="001B39F5" w:rsidRDefault="00A12218" w:rsidP="001B39F5">
      <w:pPr>
        <w:spacing w:after="0" w:line="240" w:lineRule="auto"/>
        <w:ind w:firstLine="708"/>
        <w:rPr>
          <w:rFonts w:asciiTheme="minorHAnsi" w:hAnsiTheme="minorHAnsi" w:cstheme="minorHAnsi"/>
        </w:rPr>
      </w:pPr>
    </w:p>
    <w:p w14:paraId="60AC8E31" w14:textId="77777777"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To this end, the Government organized the Conference of Donors and Investors in Paris in December 2016, bringing together donors, technical and financial partners and private investors in order to support the country in its development projects. A US$ 9.7 billion commitment was then announced, of which US$ 3.3 billion coming from the private sector.</w:t>
      </w:r>
    </w:p>
    <w:p w14:paraId="56D7C94A" w14:textId="77777777" w:rsidR="00A12218" w:rsidRPr="001B39F5" w:rsidRDefault="00A12218" w:rsidP="001B39F5">
      <w:pPr>
        <w:spacing w:after="0" w:line="240" w:lineRule="auto"/>
        <w:ind w:firstLine="708"/>
        <w:rPr>
          <w:rFonts w:asciiTheme="minorHAnsi" w:hAnsiTheme="minorHAnsi" w:cstheme="minorHAnsi"/>
        </w:rPr>
      </w:pPr>
    </w:p>
    <w:p w14:paraId="2F51ED68" w14:textId="0E879491"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 xml:space="preserve">In June 2017, the Executive Board of the International Monetary Fund granted an additional SDR 30.55 million (about </w:t>
      </w:r>
      <w:r w:rsidR="00BF0F8E" w:rsidRPr="001B39F5">
        <w:rPr>
          <w:rFonts w:asciiTheme="minorHAnsi" w:hAnsiTheme="minorHAnsi" w:cstheme="minorHAnsi"/>
        </w:rPr>
        <w:t>US$</w:t>
      </w:r>
      <w:r w:rsidRPr="001B39F5">
        <w:rPr>
          <w:rFonts w:asciiTheme="minorHAnsi" w:hAnsiTheme="minorHAnsi" w:cstheme="minorHAnsi"/>
        </w:rPr>
        <w:t xml:space="preserve">42.3 million) credit for Madagascar under the Extended Credit Facility (ECF). This credit was disbursed immediately with the expected second tranche in response to the impact of the natural disasters. The amount disbursed for 2017 is thus increased to SDR 61.98 million (approximately </w:t>
      </w:r>
      <w:r w:rsidR="00BF0F8E">
        <w:rPr>
          <w:rFonts w:asciiTheme="minorHAnsi" w:hAnsiTheme="minorHAnsi" w:cstheme="minorHAnsi"/>
        </w:rPr>
        <w:t>US$</w:t>
      </w:r>
      <w:r w:rsidRPr="001B39F5">
        <w:rPr>
          <w:rFonts w:asciiTheme="minorHAnsi" w:hAnsiTheme="minorHAnsi" w:cstheme="minorHAnsi"/>
        </w:rPr>
        <w:t>86 million). The Article IV review in March 2017 concluded that the results recorded by Madagascar as part of its economic program supported by the Extended Credit Facility are solid.</w:t>
      </w:r>
    </w:p>
    <w:p w14:paraId="21172644" w14:textId="77777777" w:rsidR="00A12218" w:rsidRPr="001B39F5" w:rsidRDefault="00A12218" w:rsidP="001B39F5">
      <w:pPr>
        <w:spacing w:after="0" w:line="240" w:lineRule="auto"/>
        <w:jc w:val="center"/>
        <w:rPr>
          <w:rFonts w:asciiTheme="minorHAnsi" w:hAnsiTheme="minorHAnsi" w:cstheme="minorHAnsi"/>
        </w:rPr>
      </w:pPr>
      <w:r w:rsidRPr="001B39F5">
        <w:rPr>
          <w:rFonts w:asciiTheme="minorHAnsi" w:hAnsiTheme="minorHAnsi" w:cstheme="minorHAnsi"/>
        </w:rPr>
        <w:t>*       *</w:t>
      </w:r>
    </w:p>
    <w:p w14:paraId="4803B784" w14:textId="025B3AB3" w:rsidR="00A12218" w:rsidRPr="001B39F5" w:rsidRDefault="00A12218" w:rsidP="001B39F5">
      <w:pPr>
        <w:spacing w:after="0" w:line="240" w:lineRule="auto"/>
        <w:jc w:val="center"/>
        <w:rPr>
          <w:rFonts w:asciiTheme="minorHAnsi" w:hAnsiTheme="minorHAnsi" w:cstheme="minorHAnsi"/>
        </w:rPr>
      </w:pPr>
      <w:r w:rsidRPr="001B39F5">
        <w:rPr>
          <w:rFonts w:asciiTheme="minorHAnsi" w:hAnsiTheme="minorHAnsi" w:cstheme="minorHAnsi"/>
        </w:rPr>
        <w:t>*</w:t>
      </w:r>
    </w:p>
    <w:p w14:paraId="51A41E71" w14:textId="77777777"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Public finance strategies aim to preserve the macroeconomic stability and will be based on support to socio-economic development as well as good governance practices.</w:t>
      </w:r>
    </w:p>
    <w:p w14:paraId="2030A693" w14:textId="77777777" w:rsidR="00A12218" w:rsidRPr="001B39F5" w:rsidRDefault="00A12218" w:rsidP="001B39F5">
      <w:pPr>
        <w:spacing w:after="0" w:line="240" w:lineRule="auto"/>
        <w:ind w:firstLine="708"/>
        <w:rPr>
          <w:rFonts w:asciiTheme="minorHAnsi" w:hAnsiTheme="minorHAnsi" w:cstheme="minorHAnsi"/>
        </w:rPr>
      </w:pPr>
    </w:p>
    <w:p w14:paraId="057320DC" w14:textId="0EB3F585"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Fiscal policy aims to increase fiscal space through reinforcement of tax administration in terms of collection, and intensification of efforts focused on public spending efficiency. Administrative reforms and improved coordination between the two tax departments were initiated. The net tax to GDP ratio will be 11.4 percent in 2017 versus 10.9 percent in 2016.</w:t>
      </w:r>
    </w:p>
    <w:p w14:paraId="2CC04807" w14:textId="77777777" w:rsidR="00A12218" w:rsidRPr="001B39F5" w:rsidRDefault="00A12218" w:rsidP="001B39F5">
      <w:pPr>
        <w:spacing w:after="0" w:line="240" w:lineRule="auto"/>
        <w:ind w:firstLine="708"/>
        <w:rPr>
          <w:rFonts w:asciiTheme="minorHAnsi" w:hAnsiTheme="minorHAnsi" w:cstheme="minorHAnsi"/>
        </w:rPr>
      </w:pPr>
    </w:p>
    <w:p w14:paraId="6797FF8B" w14:textId="60F59B7F"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Public spending is estimated at 20.2 percent of GDP in 2017, which records significant increase compared to that of 2016, estimated at 16 percent. Spending is focused on reconstruction, rehabilitation and humanitarian activities following the damage caused by the cyclone Enawo. The difficulties of public enterprises, especially JIRAMA and AIR MADAGASCAR, continue to weigh on the Malagasy economy. For JIRAMA, this predicament was compounded by the drought that plagued the country and will therefore require additional subsidies from the State.</w:t>
      </w:r>
    </w:p>
    <w:p w14:paraId="4D3370E1" w14:textId="77777777" w:rsidR="00A12218" w:rsidRPr="001B39F5" w:rsidRDefault="00A12218" w:rsidP="001B39F5">
      <w:pPr>
        <w:spacing w:after="0" w:line="240" w:lineRule="auto"/>
        <w:ind w:firstLine="708"/>
        <w:rPr>
          <w:rFonts w:asciiTheme="minorHAnsi" w:hAnsiTheme="minorHAnsi" w:cstheme="minorHAnsi"/>
        </w:rPr>
      </w:pPr>
    </w:p>
    <w:p w14:paraId="497E4B78" w14:textId="6AE4E5BE"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The social sectors (health, education, social protection) remain as priority despite the limited resources available to meet the needs of the State. The operating and capital expenditures of the four social ministries (Ministry of Water, Ministry of National Education, Ministry of Public Health, and Ministry of Population) will increase and reach 1.3 percent of GDP in 2019. These expenditures are estimated at 0.8 percent of GDP in 2016 and 2017.</w:t>
      </w:r>
    </w:p>
    <w:p w14:paraId="19357E42" w14:textId="77777777" w:rsidR="00A12218" w:rsidRPr="001B39F5" w:rsidRDefault="00A12218" w:rsidP="001B39F5">
      <w:pPr>
        <w:spacing w:after="0" w:line="240" w:lineRule="auto"/>
        <w:ind w:firstLine="708"/>
        <w:jc w:val="both"/>
        <w:rPr>
          <w:rFonts w:asciiTheme="minorHAnsi" w:hAnsiTheme="minorHAnsi" w:cstheme="minorHAnsi"/>
        </w:rPr>
      </w:pPr>
    </w:p>
    <w:p w14:paraId="3439713C" w14:textId="6A4EAD12"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To support inclusive and sustainable growth, the Government will intensify public investments. Capital expenditures will account for 8.3 percent of GDP in 2017, while they were estimated at 5.2 percent in 2016.</w:t>
      </w:r>
    </w:p>
    <w:p w14:paraId="6706C416" w14:textId="77777777" w:rsidR="00A12218" w:rsidRPr="001B39F5" w:rsidRDefault="00A12218" w:rsidP="001B39F5">
      <w:pPr>
        <w:spacing w:after="0" w:line="240" w:lineRule="auto"/>
        <w:jc w:val="center"/>
        <w:rPr>
          <w:rFonts w:asciiTheme="minorHAnsi" w:hAnsiTheme="minorHAnsi" w:cstheme="minorHAnsi"/>
        </w:rPr>
      </w:pPr>
      <w:r w:rsidRPr="001B39F5">
        <w:rPr>
          <w:rFonts w:asciiTheme="minorHAnsi" w:hAnsiTheme="minorHAnsi" w:cstheme="minorHAnsi"/>
        </w:rPr>
        <w:t>*       *</w:t>
      </w:r>
    </w:p>
    <w:p w14:paraId="76215FD0" w14:textId="00E7851A" w:rsidR="00A12218" w:rsidRPr="001B39F5" w:rsidRDefault="00A12218" w:rsidP="001B39F5">
      <w:pPr>
        <w:spacing w:after="0" w:line="240" w:lineRule="auto"/>
        <w:jc w:val="center"/>
        <w:rPr>
          <w:rFonts w:asciiTheme="minorHAnsi" w:hAnsiTheme="minorHAnsi" w:cstheme="minorHAnsi"/>
        </w:rPr>
      </w:pPr>
      <w:r w:rsidRPr="001B39F5">
        <w:rPr>
          <w:rFonts w:asciiTheme="minorHAnsi" w:hAnsiTheme="minorHAnsi" w:cstheme="minorHAnsi"/>
        </w:rPr>
        <w:t>*</w:t>
      </w:r>
    </w:p>
    <w:p w14:paraId="7965A8B1" w14:textId="4CE9E008"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 xml:space="preserve">Progress is visible following the reforms undertaken in recent years and the reforms achieved in 2016 have begun to bear fruit. This is reflected in the performance of tax and customs revenues. The target in raising revenue by 0.5 points per year was exceeded. In 2016, the tax to GDP ratio is estimated at 10.9 percent versus 10.1 percent achieved in 2015. The gradual reduction in transfers and subsidies is ongoing. The replenishment of pension accounts decreased by </w:t>
      </w:r>
      <w:r w:rsidR="006C4C8E">
        <w:rPr>
          <w:rFonts w:asciiTheme="minorHAnsi" w:hAnsiTheme="minorHAnsi" w:cstheme="minorHAnsi"/>
        </w:rPr>
        <w:t>MGA</w:t>
      </w:r>
      <w:r w:rsidRPr="001B39F5">
        <w:rPr>
          <w:rFonts w:asciiTheme="minorHAnsi" w:hAnsiTheme="minorHAnsi" w:cstheme="minorHAnsi"/>
        </w:rPr>
        <w:t xml:space="preserve"> 10 billion compared to the initial forecast. Subsidies on petroleum products were abolished as real prices were applied. Efforts have already been made on public investment expenditures; a 1.7 percentage point increase was observed compared to 2015.</w:t>
      </w:r>
    </w:p>
    <w:p w14:paraId="4C059180" w14:textId="77777777" w:rsidR="00A12218" w:rsidRPr="001B39F5" w:rsidRDefault="00A12218" w:rsidP="001B39F5">
      <w:pPr>
        <w:spacing w:after="0" w:line="240" w:lineRule="auto"/>
        <w:ind w:firstLine="708"/>
        <w:rPr>
          <w:rFonts w:asciiTheme="minorHAnsi" w:hAnsiTheme="minorHAnsi" w:cstheme="minorHAnsi"/>
        </w:rPr>
      </w:pPr>
    </w:p>
    <w:p w14:paraId="0CABB771" w14:textId="77777777"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lastRenderedPageBreak/>
        <w:t>The Government has put in place a Public Finance Modernization Strategy Plan up to 2026 in order to include medium and long-term public finance management reforms and to allow better monitoring of their implementation.</w:t>
      </w:r>
    </w:p>
    <w:p w14:paraId="32A918A8" w14:textId="77777777" w:rsidR="00A12218" w:rsidRPr="001B39F5" w:rsidRDefault="00A12218" w:rsidP="001B39F5">
      <w:pPr>
        <w:spacing w:after="0" w:line="240" w:lineRule="auto"/>
        <w:ind w:firstLine="708"/>
        <w:rPr>
          <w:rFonts w:asciiTheme="minorHAnsi" w:hAnsiTheme="minorHAnsi" w:cstheme="minorHAnsi"/>
        </w:rPr>
      </w:pPr>
    </w:p>
    <w:p w14:paraId="1C23BE20" w14:textId="77777777"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The Government will continue the reforms to strengthen the performance of tax and customs administrations. The objective is to establish an efficient and fair tax system while improving and ensuring tax revenue collection.</w:t>
      </w:r>
    </w:p>
    <w:p w14:paraId="224183FB" w14:textId="77777777" w:rsidR="00A12218" w:rsidRPr="001B39F5" w:rsidRDefault="00A12218" w:rsidP="001B39F5">
      <w:pPr>
        <w:spacing w:after="0" w:line="240" w:lineRule="auto"/>
        <w:ind w:firstLine="708"/>
        <w:rPr>
          <w:rFonts w:asciiTheme="minorHAnsi" w:hAnsiTheme="minorHAnsi" w:cstheme="minorHAnsi"/>
        </w:rPr>
      </w:pPr>
    </w:p>
    <w:p w14:paraId="4670EA0F" w14:textId="77777777"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As part of the administrative reforms undertaken by this Government, a medium-term action plan has been established, including improved coordination. A tax policy unit was created and will reconcile data from the 2 tax administrations. It will improve the analysis of tax policy and thus strengthen revenue mobilization. An audit and control plan was adopted for major importers and exporters accounting for at least 80 percent of the total value of exports and imports in 2016. This plan is based on the risks derived from data matching.</w:t>
      </w:r>
    </w:p>
    <w:p w14:paraId="74D00BED" w14:textId="77777777" w:rsidR="00A12218" w:rsidRPr="001B39F5" w:rsidRDefault="00A12218" w:rsidP="001B39F5">
      <w:pPr>
        <w:spacing w:after="0" w:line="240" w:lineRule="auto"/>
        <w:ind w:firstLine="708"/>
        <w:rPr>
          <w:rFonts w:asciiTheme="minorHAnsi" w:hAnsiTheme="minorHAnsi" w:cstheme="minorHAnsi"/>
        </w:rPr>
      </w:pPr>
    </w:p>
    <w:p w14:paraId="6C667210" w14:textId="77777777"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In addition, to ensure better fiscal transparency of exceptional tax measures, an inventory of tax expenditures is regularly undertaken with an annual report systematically published. The first report on tax expenditures for the financial year 2015 was published on the website of the Ministry of Finance and Budget in December 2016. Tax expenditures for which the socio-economic benefits are not established will be eliminated.</w:t>
      </w:r>
    </w:p>
    <w:p w14:paraId="3132D077" w14:textId="77777777" w:rsidR="00A12218" w:rsidRPr="001B39F5" w:rsidRDefault="00A12218" w:rsidP="001B39F5">
      <w:pPr>
        <w:spacing w:after="0" w:line="240" w:lineRule="auto"/>
        <w:ind w:firstLine="708"/>
        <w:rPr>
          <w:rFonts w:asciiTheme="minorHAnsi" w:hAnsiTheme="minorHAnsi" w:cstheme="minorHAnsi"/>
        </w:rPr>
      </w:pPr>
    </w:p>
    <w:p w14:paraId="05743A6E" w14:textId="77777777"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The structure of public spending will be improved by gradually reducing non-priority transfers and subsidies to the benefit of investment and social spending.</w:t>
      </w:r>
    </w:p>
    <w:p w14:paraId="56F22F3A" w14:textId="77777777" w:rsidR="00A12218" w:rsidRPr="001B39F5" w:rsidRDefault="00A12218" w:rsidP="001B39F5">
      <w:pPr>
        <w:spacing w:after="0" w:line="240" w:lineRule="auto"/>
        <w:ind w:firstLine="708"/>
        <w:rPr>
          <w:rFonts w:asciiTheme="minorHAnsi" w:hAnsiTheme="minorHAnsi" w:cstheme="minorHAnsi"/>
        </w:rPr>
      </w:pPr>
    </w:p>
    <w:p w14:paraId="240AB6CA" w14:textId="77777777" w:rsidR="00A12218" w:rsidRPr="001B39F5" w:rsidRDefault="00A12218" w:rsidP="001B39F5">
      <w:pPr>
        <w:spacing w:after="0" w:line="240" w:lineRule="auto"/>
        <w:jc w:val="both"/>
        <w:rPr>
          <w:rFonts w:asciiTheme="minorHAnsi" w:hAnsiTheme="minorHAnsi" w:cstheme="minorHAnsi"/>
        </w:rPr>
      </w:pPr>
      <w:r w:rsidRPr="001B39F5">
        <w:rPr>
          <w:rFonts w:asciiTheme="minorHAnsi" w:hAnsiTheme="minorHAnsi" w:cstheme="minorHAnsi"/>
        </w:rPr>
        <w:t xml:space="preserve">The Government aims to reduce transfers to the pension account by 0.2 percent of GDP for this year 2017. Employees' contributions have been increased. The Decree on this increase has already been adopted by the Council of Ministers in February 2017. A circular letter on the standardization of contribution payment procedures has also been established for the National Public Institutions (EPN), the Local Communities and the other affiliates of the </w:t>
      </w:r>
      <w:r w:rsidRPr="001B39F5">
        <w:rPr>
          <w:rFonts w:asciiTheme="minorHAnsi" w:hAnsiTheme="minorHAnsi" w:cstheme="minorHAnsi"/>
          <w:i/>
        </w:rPr>
        <w:t>Caisse de Prévoyance de Retraite</w:t>
      </w:r>
      <w:r w:rsidRPr="001B39F5">
        <w:rPr>
          <w:rFonts w:asciiTheme="minorHAnsi" w:hAnsiTheme="minorHAnsi" w:cstheme="minorHAnsi"/>
        </w:rPr>
        <w:t xml:space="preserve"> (CPR) and </w:t>
      </w:r>
      <w:r w:rsidRPr="001B39F5">
        <w:rPr>
          <w:rFonts w:asciiTheme="minorHAnsi" w:hAnsiTheme="minorHAnsi" w:cstheme="minorHAnsi"/>
          <w:i/>
        </w:rPr>
        <w:t>Caisse de Retraite Civile et Militaire</w:t>
      </w:r>
      <w:r w:rsidRPr="001B39F5">
        <w:rPr>
          <w:rFonts w:asciiTheme="minorHAnsi" w:hAnsiTheme="minorHAnsi" w:cstheme="minorHAnsi"/>
        </w:rPr>
        <w:t xml:space="preserve"> (CRCM) – [the two public pension funds]. Improvement in the management of the CPR - CRCM began in 2016 with the replacement of pensioners' cards and a physical verification of the beneficiaries in the major urban centers. This is continued by checking the records of all pensioners in both urban and rural areas in order to eliminate ineligible beneficiaries from the pensioners' register.</w:t>
      </w:r>
    </w:p>
    <w:p w14:paraId="4A131A61" w14:textId="77777777" w:rsidR="00A12218" w:rsidRPr="001B39F5" w:rsidRDefault="00A12218" w:rsidP="001B39F5">
      <w:pPr>
        <w:spacing w:after="0" w:line="240" w:lineRule="auto"/>
        <w:ind w:firstLine="708"/>
        <w:rPr>
          <w:rFonts w:asciiTheme="minorHAnsi" w:hAnsiTheme="minorHAnsi" w:cstheme="minorHAnsi"/>
        </w:rPr>
      </w:pPr>
    </w:p>
    <w:p w14:paraId="59E7E184" w14:textId="77777777"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The price base of petroleum products on the international market has led to the elimination of fuel subsidies. The difference between the pump price and the reference price has been eliminated since October 2015. In March 2016, an automatic pump price adjustment mechanism which is based on international prices and exchange rate fluctuations, was introduced. This mechanism, in agreement with the oil companies, was strengthened by a decree adopted by the Council of Ministers, which specifies the non-use of fuel subsidies. The objective is to sustain the non-use of subsidies.</w:t>
      </w:r>
    </w:p>
    <w:p w14:paraId="2FC35C78" w14:textId="77777777" w:rsidR="00A12218" w:rsidRPr="001B39F5" w:rsidRDefault="00A12218" w:rsidP="001B39F5">
      <w:pPr>
        <w:spacing w:after="0" w:line="240" w:lineRule="auto"/>
        <w:ind w:firstLine="708"/>
        <w:rPr>
          <w:rFonts w:asciiTheme="minorHAnsi" w:hAnsiTheme="minorHAnsi" w:cstheme="minorHAnsi"/>
        </w:rPr>
      </w:pPr>
    </w:p>
    <w:p w14:paraId="74BF476D" w14:textId="77777777"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The Government is committed to prioritizing public investment in sectors stimulating economic growth, including infrastructure, agriculture, tourism, industrial and mining sectors. Recourse to technical and financial partners as well as promoting PPP (Public Private Partnership) is necessary given the limited public resources.</w:t>
      </w:r>
    </w:p>
    <w:p w14:paraId="692406A6" w14:textId="77777777" w:rsidR="00A12218" w:rsidRPr="001B39F5" w:rsidRDefault="00A12218" w:rsidP="001B39F5">
      <w:pPr>
        <w:spacing w:after="0" w:line="240" w:lineRule="auto"/>
        <w:ind w:firstLine="708"/>
        <w:rPr>
          <w:rFonts w:asciiTheme="minorHAnsi" w:hAnsiTheme="minorHAnsi" w:cstheme="minorHAnsi"/>
        </w:rPr>
      </w:pPr>
    </w:p>
    <w:p w14:paraId="261FF76E" w14:textId="77777777"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The State has already confirmed its willingness to develop the Public Private Partnership by establishing a PPP Law, which was passed and promulgated in February 2016. In this respect, two decrees on procedures and institutions have been developed and adopted by the Cabinet’s Council.</w:t>
      </w:r>
    </w:p>
    <w:p w14:paraId="33640ABB" w14:textId="77777777" w:rsidR="00A12218" w:rsidRPr="001B39F5" w:rsidRDefault="00A12218" w:rsidP="001B39F5">
      <w:pPr>
        <w:spacing w:after="0" w:line="240" w:lineRule="auto"/>
        <w:ind w:firstLine="708"/>
        <w:rPr>
          <w:rFonts w:asciiTheme="minorHAnsi" w:hAnsiTheme="minorHAnsi" w:cstheme="minorHAnsi"/>
        </w:rPr>
      </w:pPr>
    </w:p>
    <w:p w14:paraId="1FFC849F" w14:textId="77777777"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t>To improve investment efficiency and impact, the Government will put in place a medium-term strategy to strengthen public investment management capacity. This strategy aims at improving the selection, budgeting, and monitoring of public investment projects and strengthening the related institutional framework. A tool for selecting and prioritizing investment projects has been developed with the support of the World Bank and will be operational in the preparation of the 2018 Public Investment Program.</w:t>
      </w:r>
    </w:p>
    <w:p w14:paraId="357895B0" w14:textId="77777777" w:rsidR="00A12218" w:rsidRPr="001B39F5" w:rsidRDefault="00A12218" w:rsidP="001B39F5">
      <w:pPr>
        <w:spacing w:after="0" w:line="240" w:lineRule="auto"/>
        <w:ind w:firstLine="708"/>
        <w:rPr>
          <w:rFonts w:asciiTheme="minorHAnsi" w:hAnsiTheme="minorHAnsi" w:cstheme="minorHAnsi"/>
        </w:rPr>
      </w:pPr>
    </w:p>
    <w:p w14:paraId="6E13572D" w14:textId="77777777" w:rsidR="00A12218" w:rsidRPr="001B39F5" w:rsidRDefault="00A12218" w:rsidP="001B39F5">
      <w:pPr>
        <w:spacing w:after="0" w:line="240" w:lineRule="auto"/>
        <w:ind w:firstLine="708"/>
        <w:jc w:val="both"/>
        <w:rPr>
          <w:rFonts w:asciiTheme="minorHAnsi" w:hAnsiTheme="minorHAnsi" w:cstheme="minorHAnsi"/>
        </w:rPr>
      </w:pPr>
      <w:r w:rsidRPr="001B39F5">
        <w:rPr>
          <w:rFonts w:asciiTheme="minorHAnsi" w:hAnsiTheme="minorHAnsi" w:cstheme="minorHAnsi"/>
        </w:rPr>
        <w:lastRenderedPageBreak/>
        <w:t>Proactive measures have been taken by the Government to limit transfers to JIRAMA. The latter has been called upon to adjust electricity tariffs, to switch from diesel generators to more economical fuel oil generators, and to prepare a new law that sanctions electricity and water theft. JIRAMA adopted its business plan in June 2017 to implement governance reforms and improve its financial performance. This plan provides for (i) limiting the need for transfers by improving revenue collection and to generate savings, (ii) cancelling or renegotiating expensive contracts and (iii) exclusively using competitive tenders. JIRAMA will adopt standard contracts for (hydraulic, thermal) power generation agreements.</w:t>
      </w:r>
    </w:p>
    <w:p w14:paraId="77045C2B" w14:textId="77777777" w:rsidR="00A12218" w:rsidRPr="001B39F5" w:rsidRDefault="00A12218" w:rsidP="001B39F5">
      <w:pPr>
        <w:spacing w:after="0" w:line="240" w:lineRule="auto"/>
        <w:ind w:firstLine="708"/>
        <w:rPr>
          <w:rFonts w:asciiTheme="minorHAnsi" w:hAnsiTheme="minorHAnsi" w:cstheme="minorHAnsi"/>
        </w:rPr>
      </w:pPr>
    </w:p>
    <w:p w14:paraId="7D50E384" w14:textId="77777777" w:rsidR="00A12218" w:rsidRPr="001B39F5" w:rsidRDefault="00A12218" w:rsidP="001B39F5">
      <w:pPr>
        <w:spacing w:after="0" w:line="240" w:lineRule="auto"/>
        <w:jc w:val="both"/>
        <w:rPr>
          <w:rFonts w:asciiTheme="minorHAnsi" w:hAnsiTheme="minorHAnsi" w:cstheme="minorHAnsi"/>
        </w:rPr>
      </w:pPr>
      <w:r w:rsidRPr="001B39F5">
        <w:rPr>
          <w:rFonts w:asciiTheme="minorHAnsi" w:hAnsiTheme="minorHAnsi" w:cstheme="minorHAnsi"/>
        </w:rPr>
        <w:t>The Government has strengthened commercial justice by improving judicial procedures in commercial cases. The Ministry of Justice issued a circular letter stating the reforms to improve commercial justice and to reduce processing time for commercial cases. In order to institutionalize these reforms, the Code of Civil Procedures is updated to incorporate the contents of the circular letter. Reforms at the level of Justice have already allowed a reduction in the time taken to process cases brought to the Commercial Court of Antananarivo.</w:t>
      </w:r>
    </w:p>
    <w:p w14:paraId="23352F93" w14:textId="77777777" w:rsidR="00A12218" w:rsidRPr="001B39F5" w:rsidRDefault="00A12218" w:rsidP="001B39F5">
      <w:pPr>
        <w:spacing w:after="0" w:line="240" w:lineRule="auto"/>
        <w:rPr>
          <w:rFonts w:asciiTheme="minorHAnsi" w:hAnsiTheme="minorHAnsi" w:cstheme="minorHAnsi"/>
        </w:rPr>
      </w:pPr>
    </w:p>
    <w:p w14:paraId="4A6ECE2D" w14:textId="77777777" w:rsidR="00A12218" w:rsidRPr="001B39F5" w:rsidRDefault="00A12218" w:rsidP="001B39F5">
      <w:pPr>
        <w:spacing w:after="0" w:line="240" w:lineRule="auto"/>
        <w:jc w:val="both"/>
        <w:rPr>
          <w:rFonts w:asciiTheme="minorHAnsi" w:hAnsiTheme="minorHAnsi" w:cstheme="minorHAnsi"/>
        </w:rPr>
      </w:pPr>
      <w:r w:rsidRPr="001B39F5">
        <w:rPr>
          <w:rFonts w:asciiTheme="minorHAnsi" w:hAnsiTheme="minorHAnsi" w:cstheme="minorHAnsi"/>
        </w:rPr>
        <w:t>With regard to microfinance, Governmenta regulatory framework has been put in place to ensure the development of microfinance initiatives. A Law on the activity and the control of Microfinance Institutions was adopted in September 2005 and is currently being revised. This revised Law provides for a dispute resolution scheme for microfinance institutions and will be submitted to Parliament for adoption.</w:t>
      </w:r>
    </w:p>
    <w:p w14:paraId="17E881E5" w14:textId="77777777" w:rsidR="00A12218" w:rsidRPr="001B39F5" w:rsidRDefault="00A12218" w:rsidP="001B39F5">
      <w:pPr>
        <w:spacing w:after="0" w:line="240" w:lineRule="auto"/>
        <w:rPr>
          <w:rFonts w:asciiTheme="minorHAnsi" w:hAnsiTheme="minorHAnsi" w:cstheme="minorHAnsi"/>
        </w:rPr>
      </w:pPr>
    </w:p>
    <w:p w14:paraId="0AE54FF2" w14:textId="004707C7" w:rsidR="00A61EEB" w:rsidRPr="00B66802" w:rsidRDefault="00A12218" w:rsidP="001B39F5">
      <w:pPr>
        <w:spacing w:after="0" w:line="240" w:lineRule="auto"/>
        <w:jc w:val="both"/>
        <w:rPr>
          <w:rFonts w:asciiTheme="minorHAnsi" w:hAnsiTheme="minorHAnsi" w:cstheme="minorHAnsi"/>
          <w:b/>
          <w:bCs/>
          <w:spacing w:val="-1"/>
        </w:rPr>
      </w:pPr>
      <w:r w:rsidRPr="001B39F5">
        <w:rPr>
          <w:rFonts w:asciiTheme="minorHAnsi" w:hAnsiTheme="minorHAnsi" w:cstheme="minorHAnsi"/>
        </w:rPr>
        <w:tab/>
        <w:t>The continued implementation of all actions envisaged under the National Development Plan will enable the Government to reach its objectives, through achieving high economic growth and reducing poverty. However, resource constraints have led the Government to seek financial support from the World Bank through budget support.</w:t>
      </w:r>
      <w:r w:rsidRPr="00B66802">
        <w:rPr>
          <w:rFonts w:asciiTheme="minorHAnsi" w:hAnsiTheme="minorHAnsi" w:cstheme="minorHAnsi"/>
          <w:b/>
          <w:bCs/>
          <w:spacing w:val="-1"/>
        </w:rPr>
        <w:t xml:space="preserve"> </w:t>
      </w:r>
    </w:p>
    <w:p w14:paraId="1C36013F" w14:textId="50618301" w:rsidR="004331B5" w:rsidRPr="000679E9" w:rsidRDefault="00A61EEB" w:rsidP="004331B5">
      <w:pPr>
        <w:spacing w:after="0" w:line="240" w:lineRule="auto"/>
        <w:rPr>
          <w:rFonts w:asciiTheme="minorHAnsi" w:hAnsiTheme="minorHAnsi" w:cstheme="minorHAnsi"/>
        </w:rPr>
      </w:pPr>
      <w:r w:rsidRPr="00E36113">
        <w:rPr>
          <w:rFonts w:asciiTheme="minorHAnsi" w:hAnsiTheme="minorHAnsi" w:cstheme="minorHAnsi"/>
          <w:b/>
          <w:bCs/>
          <w:spacing w:val="-1"/>
        </w:rPr>
        <w:br w:type="page"/>
      </w:r>
      <w:r w:rsidR="004331B5" w:rsidRPr="001B39F5">
        <w:rPr>
          <w:rFonts w:asciiTheme="minorHAnsi" w:hAnsiTheme="minorHAnsi" w:cstheme="minorHAnsi"/>
          <w:noProof/>
        </w:rPr>
        <w:lastRenderedPageBreak/>
        <w:drawing>
          <wp:inline distT="0" distB="0" distL="0" distR="0" wp14:anchorId="67688D18" wp14:editId="30F9C6C2">
            <wp:extent cx="5486400" cy="774952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749521"/>
                    </a:xfrm>
                    <a:prstGeom prst="rect">
                      <a:avLst/>
                    </a:prstGeom>
                    <a:noFill/>
                    <a:ln>
                      <a:noFill/>
                    </a:ln>
                  </pic:spPr>
                </pic:pic>
              </a:graphicData>
            </a:graphic>
          </wp:inline>
        </w:drawing>
      </w:r>
    </w:p>
    <w:p w14:paraId="65E2733B" w14:textId="77777777" w:rsidR="004331B5" w:rsidRPr="000679E9" w:rsidRDefault="004331B5" w:rsidP="004331B5">
      <w:pPr>
        <w:rPr>
          <w:rFonts w:asciiTheme="minorHAnsi" w:hAnsiTheme="minorHAnsi" w:cstheme="minorHAnsi"/>
        </w:rPr>
      </w:pPr>
      <w:r w:rsidRPr="000679E9">
        <w:rPr>
          <w:rFonts w:asciiTheme="minorHAnsi" w:hAnsiTheme="minorHAnsi" w:cstheme="minorHAnsi"/>
          <w:noProof/>
        </w:rPr>
        <w:lastRenderedPageBreak/>
        <w:drawing>
          <wp:anchor distT="0" distB="0" distL="114300" distR="114300" simplePos="0" relativeHeight="251660288" behindDoc="0" locked="0" layoutInCell="1" allowOverlap="1" wp14:anchorId="794ACFAC" wp14:editId="460DF976">
            <wp:simplePos x="0" y="0"/>
            <wp:positionH relativeFrom="margin">
              <wp:align>left</wp:align>
            </wp:positionH>
            <wp:positionV relativeFrom="paragraph">
              <wp:posOffset>0</wp:posOffset>
            </wp:positionV>
            <wp:extent cx="5486400" cy="782734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82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9E9">
        <w:rPr>
          <w:rFonts w:asciiTheme="minorHAnsi" w:hAnsiTheme="minorHAnsi" w:cstheme="minorHAnsi"/>
        </w:rPr>
        <w:br w:type="textWrapping" w:clear="all"/>
      </w:r>
    </w:p>
    <w:p w14:paraId="3B6B8131" w14:textId="652802EE" w:rsidR="004331B5" w:rsidRPr="000679E9" w:rsidRDefault="004331B5" w:rsidP="004331B5">
      <w:pPr>
        <w:rPr>
          <w:rFonts w:asciiTheme="minorHAnsi" w:hAnsiTheme="minorHAnsi" w:cstheme="minorHAnsi"/>
        </w:rPr>
      </w:pPr>
      <w:r w:rsidRPr="000679E9">
        <w:rPr>
          <w:rFonts w:asciiTheme="minorHAnsi" w:hAnsiTheme="minorHAnsi" w:cstheme="minorHAnsi"/>
          <w:noProof/>
        </w:rPr>
        <w:lastRenderedPageBreak/>
        <w:drawing>
          <wp:inline distT="0" distB="0" distL="0" distR="0" wp14:anchorId="21280700" wp14:editId="17A14A64">
            <wp:extent cx="5486400" cy="772886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7728861"/>
                    </a:xfrm>
                    <a:prstGeom prst="rect">
                      <a:avLst/>
                    </a:prstGeom>
                    <a:noFill/>
                    <a:ln>
                      <a:noFill/>
                    </a:ln>
                  </pic:spPr>
                </pic:pic>
              </a:graphicData>
            </a:graphic>
          </wp:inline>
        </w:drawing>
      </w:r>
    </w:p>
    <w:p w14:paraId="2647F7B7" w14:textId="437D6DC9" w:rsidR="004331B5" w:rsidRPr="000679E9" w:rsidRDefault="004331B5" w:rsidP="004331B5">
      <w:pPr>
        <w:rPr>
          <w:rFonts w:asciiTheme="minorHAnsi" w:hAnsiTheme="minorHAnsi" w:cstheme="minorHAnsi"/>
        </w:rPr>
      </w:pPr>
      <w:r w:rsidRPr="000679E9">
        <w:rPr>
          <w:rFonts w:asciiTheme="minorHAnsi" w:hAnsiTheme="minorHAnsi" w:cstheme="minorHAnsi"/>
          <w:noProof/>
        </w:rPr>
        <w:lastRenderedPageBreak/>
        <w:drawing>
          <wp:inline distT="0" distB="0" distL="0" distR="0" wp14:anchorId="21AFAB6E" wp14:editId="6B507147">
            <wp:extent cx="5486400" cy="77422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742211"/>
                    </a:xfrm>
                    <a:prstGeom prst="rect">
                      <a:avLst/>
                    </a:prstGeom>
                    <a:noFill/>
                    <a:ln>
                      <a:noFill/>
                    </a:ln>
                  </pic:spPr>
                </pic:pic>
              </a:graphicData>
            </a:graphic>
          </wp:inline>
        </w:drawing>
      </w:r>
    </w:p>
    <w:p w14:paraId="31F6E2D3" w14:textId="2DFCF6FE" w:rsidR="004331B5" w:rsidRPr="000679E9" w:rsidRDefault="004331B5" w:rsidP="004331B5">
      <w:pPr>
        <w:rPr>
          <w:rFonts w:asciiTheme="minorHAnsi" w:hAnsiTheme="minorHAnsi" w:cstheme="minorHAnsi"/>
        </w:rPr>
      </w:pPr>
      <w:r w:rsidRPr="000679E9">
        <w:rPr>
          <w:rFonts w:asciiTheme="minorHAnsi" w:hAnsiTheme="minorHAnsi" w:cstheme="minorHAnsi"/>
          <w:noProof/>
        </w:rPr>
        <w:lastRenderedPageBreak/>
        <w:drawing>
          <wp:inline distT="0" distB="0" distL="0" distR="0" wp14:anchorId="0816943A" wp14:editId="65412A0B">
            <wp:extent cx="5486400" cy="77771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777139"/>
                    </a:xfrm>
                    <a:prstGeom prst="rect">
                      <a:avLst/>
                    </a:prstGeom>
                    <a:noFill/>
                    <a:ln>
                      <a:noFill/>
                    </a:ln>
                  </pic:spPr>
                </pic:pic>
              </a:graphicData>
            </a:graphic>
          </wp:inline>
        </w:drawing>
      </w:r>
    </w:p>
    <w:p w14:paraId="73C4B12A" w14:textId="6993F9C4" w:rsidR="00FE2325" w:rsidRPr="000679E9" w:rsidRDefault="00FE2325" w:rsidP="004331B5">
      <w:pPr>
        <w:pStyle w:val="NoSpacing"/>
        <w:spacing w:before="120" w:after="120"/>
        <w:jc w:val="both"/>
        <w:rPr>
          <w:rFonts w:asciiTheme="minorHAnsi" w:hAnsiTheme="minorHAnsi" w:cstheme="minorHAnsi"/>
          <w:sz w:val="24"/>
          <w:szCs w:val="24"/>
          <w:lang w:val="en-US"/>
        </w:rPr>
        <w:sectPr w:rsidR="00FE2325" w:rsidRPr="000679E9">
          <w:pgSz w:w="12240" w:h="15840"/>
          <w:pgMar w:top="920" w:right="960" w:bottom="280" w:left="620" w:header="720" w:footer="720" w:gutter="0"/>
          <w:cols w:space="720" w:equalWidth="0">
            <w:col w:w="10660"/>
          </w:cols>
          <w:noEndnote/>
        </w:sectPr>
      </w:pPr>
    </w:p>
    <w:p w14:paraId="59609462" w14:textId="7E582325" w:rsidR="00BF724A" w:rsidRPr="00DC050B" w:rsidRDefault="00D35BC4" w:rsidP="00BF724A">
      <w:pPr>
        <w:pStyle w:val="Heading3"/>
        <w:rPr>
          <w:rFonts w:asciiTheme="minorHAnsi" w:hAnsiTheme="minorHAnsi" w:cstheme="minorHAnsi"/>
        </w:rPr>
      </w:pPr>
      <w:bookmarkStart w:id="25" w:name="_Toc496204259"/>
      <w:r w:rsidRPr="00B66802">
        <w:rPr>
          <w:rFonts w:asciiTheme="minorHAnsi" w:hAnsiTheme="minorHAnsi" w:cstheme="minorHAnsi"/>
        </w:rPr>
        <w:lastRenderedPageBreak/>
        <w:t xml:space="preserve">ANNEX </w:t>
      </w:r>
      <w:r w:rsidR="0042483E" w:rsidRPr="00B66802">
        <w:rPr>
          <w:rFonts w:asciiTheme="minorHAnsi" w:hAnsiTheme="minorHAnsi" w:cstheme="minorHAnsi"/>
        </w:rPr>
        <w:t>3</w:t>
      </w:r>
      <w:r w:rsidRPr="00BD4A16">
        <w:rPr>
          <w:rFonts w:asciiTheme="minorHAnsi" w:hAnsiTheme="minorHAnsi" w:cstheme="minorHAnsi"/>
        </w:rPr>
        <w:t>:</w:t>
      </w:r>
      <w:r w:rsidRPr="00DC050B">
        <w:rPr>
          <w:rFonts w:asciiTheme="minorHAnsi" w:hAnsiTheme="minorHAnsi" w:cstheme="minorHAnsi"/>
          <w:spacing w:val="1"/>
        </w:rPr>
        <w:t xml:space="preserve"> </w:t>
      </w:r>
      <w:r w:rsidRPr="00DC050B">
        <w:rPr>
          <w:rFonts w:asciiTheme="minorHAnsi" w:hAnsiTheme="minorHAnsi" w:cstheme="minorHAnsi"/>
          <w:spacing w:val="2"/>
        </w:rPr>
        <w:t>F</w:t>
      </w:r>
      <w:r w:rsidRPr="00DC050B">
        <w:rPr>
          <w:rFonts w:asciiTheme="minorHAnsi" w:hAnsiTheme="minorHAnsi" w:cstheme="minorHAnsi"/>
        </w:rPr>
        <w:t>UND RELATI</w:t>
      </w:r>
      <w:r w:rsidRPr="00DC050B">
        <w:rPr>
          <w:rFonts w:asciiTheme="minorHAnsi" w:hAnsiTheme="minorHAnsi" w:cstheme="minorHAnsi"/>
          <w:spacing w:val="1"/>
        </w:rPr>
        <w:t>O</w:t>
      </w:r>
      <w:r w:rsidRPr="00DC050B">
        <w:rPr>
          <w:rFonts w:asciiTheme="minorHAnsi" w:hAnsiTheme="minorHAnsi" w:cstheme="minorHAnsi"/>
        </w:rPr>
        <w:t>NS ANNEX</w:t>
      </w:r>
      <w:bookmarkEnd w:id="25"/>
    </w:p>
    <w:p w14:paraId="52D4C4C5" w14:textId="77777777" w:rsidR="009D0999" w:rsidRPr="000679E9" w:rsidRDefault="009D0999" w:rsidP="00F073FA">
      <w:pPr>
        <w:rPr>
          <w:rFonts w:asciiTheme="minorHAnsi" w:hAnsiTheme="minorHAnsi" w:cstheme="minorHAnsi"/>
          <w:sz w:val="36"/>
          <w:szCs w:val="36"/>
        </w:rPr>
      </w:pPr>
      <w:r w:rsidRPr="000679E9">
        <w:rPr>
          <w:rFonts w:asciiTheme="minorHAnsi" w:hAnsiTheme="minorHAnsi" w:cstheme="minorHAnsi"/>
        </w:rPr>
        <w:t>IMF Staff Completes Mission to Review Progress of Madagascar’s Economic Program</w:t>
      </w:r>
    </w:p>
    <w:p w14:paraId="478D90EF" w14:textId="77777777" w:rsidR="009D0999" w:rsidRPr="000679E9" w:rsidRDefault="009D0999" w:rsidP="009D0999">
      <w:pPr>
        <w:pStyle w:val="Date2"/>
        <w:shd w:val="clear" w:color="auto" w:fill="FFFFFF"/>
        <w:spacing w:before="240" w:beforeAutospacing="0" w:after="240" w:afterAutospacing="0"/>
        <w:rPr>
          <w:rFonts w:asciiTheme="minorHAnsi" w:hAnsiTheme="minorHAnsi" w:cstheme="minorHAnsi"/>
          <w:color w:val="A2A09B"/>
        </w:rPr>
      </w:pPr>
      <w:r w:rsidRPr="000679E9">
        <w:rPr>
          <w:rFonts w:asciiTheme="minorHAnsi" w:hAnsiTheme="minorHAnsi" w:cstheme="minorHAnsi"/>
          <w:color w:val="A2A09B"/>
        </w:rPr>
        <w:t>September 21, 2017</w:t>
      </w:r>
    </w:p>
    <w:p w14:paraId="1CFDF2B9" w14:textId="77777777" w:rsidR="009D0999" w:rsidRPr="000679E9" w:rsidRDefault="009D0999" w:rsidP="009D0999">
      <w:pPr>
        <w:pStyle w:val="NormalWeb"/>
        <w:shd w:val="clear" w:color="auto" w:fill="EFEFEF"/>
        <w:spacing w:before="240" w:beforeAutospacing="0" w:after="240" w:afterAutospacing="0"/>
        <w:rPr>
          <w:rFonts w:asciiTheme="minorHAnsi" w:hAnsiTheme="minorHAnsi" w:cstheme="minorHAnsi"/>
          <w:color w:val="2C2825"/>
          <w:lang w:val="en-US"/>
        </w:rPr>
      </w:pPr>
      <w:r w:rsidRPr="000679E9">
        <w:rPr>
          <w:rFonts w:asciiTheme="minorHAnsi" w:hAnsiTheme="minorHAnsi" w:cstheme="minorHAnsi"/>
          <w:color w:val="2C2825"/>
          <w:lang w:val="en-US"/>
        </w:rPr>
        <w:t>End-of-Mission press releases include statements of IMF staff teams that convey preliminary findings after a visit to a country. The views expressed in this statement are those of the IMF staff and do not necessarily represent the views of the IMF’s Executive Board. Based on the preliminary findings of this mission, staff will prepare a report that, subject to management approval, will be presented to the IMF's Executive Board for discussion and decision.</w:t>
      </w:r>
    </w:p>
    <w:p w14:paraId="55556B23" w14:textId="77777777" w:rsidR="009D0999" w:rsidRPr="000679E9" w:rsidRDefault="009D0999" w:rsidP="009D0999">
      <w:pPr>
        <w:numPr>
          <w:ilvl w:val="0"/>
          <w:numId w:val="36"/>
        </w:numPr>
        <w:shd w:val="clear" w:color="auto" w:fill="FFFFFF"/>
        <w:spacing w:before="100" w:beforeAutospacing="1" w:after="150" w:line="240" w:lineRule="auto"/>
        <w:ind w:left="0"/>
        <w:rPr>
          <w:rFonts w:asciiTheme="minorHAnsi" w:hAnsiTheme="minorHAnsi" w:cstheme="minorHAnsi"/>
          <w:color w:val="2C2825"/>
        </w:rPr>
      </w:pPr>
      <w:r w:rsidRPr="000679E9">
        <w:rPr>
          <w:rFonts w:asciiTheme="minorHAnsi" w:hAnsiTheme="minorHAnsi" w:cstheme="minorHAnsi"/>
          <w:color w:val="2C2825"/>
        </w:rPr>
        <w:t>Economic growth is projected at 4.1 percent in 2017.</w:t>
      </w:r>
    </w:p>
    <w:p w14:paraId="48FC05F1" w14:textId="77777777" w:rsidR="009D0999" w:rsidRPr="000679E9" w:rsidRDefault="009D0999" w:rsidP="009D0999">
      <w:pPr>
        <w:numPr>
          <w:ilvl w:val="0"/>
          <w:numId w:val="36"/>
        </w:numPr>
        <w:shd w:val="clear" w:color="auto" w:fill="FFFFFF"/>
        <w:spacing w:before="100" w:beforeAutospacing="1" w:after="150" w:line="240" w:lineRule="auto"/>
        <w:ind w:left="0"/>
        <w:rPr>
          <w:rFonts w:asciiTheme="minorHAnsi" w:hAnsiTheme="minorHAnsi" w:cstheme="minorHAnsi"/>
          <w:color w:val="2C2825"/>
        </w:rPr>
      </w:pPr>
      <w:r w:rsidRPr="000679E9">
        <w:rPr>
          <w:rFonts w:asciiTheme="minorHAnsi" w:hAnsiTheme="minorHAnsi" w:cstheme="minorHAnsi"/>
          <w:color w:val="2C2825"/>
        </w:rPr>
        <w:t>Performance under the ECF-supported program remains strong.</w:t>
      </w:r>
    </w:p>
    <w:p w14:paraId="077CBB6E" w14:textId="77777777" w:rsidR="009D0999" w:rsidRPr="000679E9" w:rsidRDefault="009D0999" w:rsidP="009D0999">
      <w:pPr>
        <w:numPr>
          <w:ilvl w:val="0"/>
          <w:numId w:val="36"/>
        </w:numPr>
        <w:shd w:val="clear" w:color="auto" w:fill="FFFFFF"/>
        <w:spacing w:before="100" w:beforeAutospacing="1" w:after="150" w:line="240" w:lineRule="auto"/>
        <w:ind w:left="0"/>
        <w:rPr>
          <w:rFonts w:asciiTheme="minorHAnsi" w:hAnsiTheme="minorHAnsi" w:cstheme="minorHAnsi"/>
          <w:color w:val="2C2825"/>
        </w:rPr>
      </w:pPr>
      <w:r w:rsidRPr="000679E9">
        <w:rPr>
          <w:rFonts w:asciiTheme="minorHAnsi" w:hAnsiTheme="minorHAnsi" w:cstheme="minorHAnsi"/>
          <w:color w:val="2C2825"/>
        </w:rPr>
        <w:t>Prudent monetary policy has helped to contain inflation.</w:t>
      </w:r>
    </w:p>
    <w:p w14:paraId="572F2C5F" w14:textId="77777777" w:rsidR="009D0999" w:rsidRPr="000679E9" w:rsidRDefault="009D0999" w:rsidP="008B4E47">
      <w:pPr>
        <w:pStyle w:val="NormalWeb"/>
        <w:shd w:val="clear" w:color="auto" w:fill="FFFFFF"/>
        <w:spacing w:before="240" w:beforeAutospacing="0" w:after="240" w:afterAutospacing="0"/>
        <w:jc w:val="both"/>
        <w:rPr>
          <w:rFonts w:asciiTheme="minorHAnsi" w:hAnsiTheme="minorHAnsi" w:cstheme="minorHAnsi"/>
          <w:color w:val="2C2825"/>
          <w:lang w:val="en-US"/>
        </w:rPr>
      </w:pPr>
      <w:r w:rsidRPr="000679E9">
        <w:rPr>
          <w:rFonts w:asciiTheme="minorHAnsi" w:hAnsiTheme="minorHAnsi" w:cstheme="minorHAnsi"/>
          <w:color w:val="2C2825"/>
          <w:lang w:val="en-US"/>
        </w:rPr>
        <w:t>A team from the International Monetary Fund (IMF) led by Marshall Mills, Mission Chief for Madagascar, visited Antananarivo from September 7–21, 2017 to hold discussions on the second review of Madagascar’s economic reform program supported by the IMF’s three-year Extended Credit Facility (ECF). </w:t>
      </w:r>
      <w:hyperlink r:id="rId24" w:anchor="1" w:history="1">
        <w:r w:rsidRPr="000679E9">
          <w:rPr>
            <w:rStyle w:val="Hyperlink"/>
            <w:rFonts w:asciiTheme="minorHAnsi" w:hAnsiTheme="minorHAnsi" w:cstheme="minorHAnsi"/>
            <w:color w:val="3979A6"/>
            <w:sz w:val="18"/>
            <w:szCs w:val="18"/>
            <w:vertAlign w:val="superscript"/>
            <w:lang w:val="en-US"/>
          </w:rPr>
          <w:t>[1]</w:t>
        </w:r>
      </w:hyperlink>
      <w:bookmarkStart w:id="26" w:name="_ftnref1"/>
      <w:r w:rsidRPr="000679E9">
        <w:rPr>
          <w:rFonts w:asciiTheme="minorHAnsi" w:hAnsiTheme="minorHAnsi" w:cstheme="minorHAnsi"/>
          <w:color w:val="2C2825"/>
          <w:sz w:val="18"/>
          <w:szCs w:val="18"/>
          <w:vertAlign w:val="superscript"/>
        </w:rPr>
        <w:fldChar w:fldCharType="begin"/>
      </w:r>
      <w:r w:rsidRPr="000679E9">
        <w:rPr>
          <w:rFonts w:asciiTheme="minorHAnsi" w:hAnsiTheme="minorHAnsi" w:cstheme="minorHAnsi"/>
          <w:color w:val="2C2825"/>
          <w:sz w:val="18"/>
          <w:szCs w:val="18"/>
          <w:vertAlign w:val="superscript"/>
          <w:lang w:val="en-US"/>
        </w:rPr>
        <w:instrText xml:space="preserve"> HYPERLINK "file:///C:\\Users\\mcuscanabernales\\OTmp\\PR17365%20-%20Madagascar%20-%20IMF%20Staff%20Completes%20Mission%20to%20Review%20Progress%20of%20Madagascars%20Economic%20Program.docx" \l "_ftn1" </w:instrText>
      </w:r>
      <w:r w:rsidRPr="000679E9">
        <w:rPr>
          <w:rFonts w:asciiTheme="minorHAnsi" w:hAnsiTheme="minorHAnsi" w:cstheme="minorHAnsi"/>
          <w:color w:val="2C2825"/>
          <w:sz w:val="18"/>
          <w:szCs w:val="18"/>
          <w:vertAlign w:val="superscript"/>
        </w:rPr>
        <w:fldChar w:fldCharType="separate"/>
      </w:r>
      <w:r w:rsidRPr="000679E9">
        <w:rPr>
          <w:rStyle w:val="Hyperlink"/>
          <w:rFonts w:asciiTheme="minorHAnsi" w:hAnsiTheme="minorHAnsi" w:cstheme="minorHAnsi"/>
          <w:color w:val="3979A6"/>
          <w:sz w:val="18"/>
          <w:szCs w:val="18"/>
          <w:vertAlign w:val="superscript"/>
          <w:lang w:val="en-US"/>
        </w:rPr>
        <w:t> </w:t>
      </w:r>
      <w:r w:rsidRPr="000679E9">
        <w:rPr>
          <w:rFonts w:asciiTheme="minorHAnsi" w:hAnsiTheme="minorHAnsi" w:cstheme="minorHAnsi"/>
          <w:color w:val="2C2825"/>
          <w:sz w:val="18"/>
          <w:szCs w:val="18"/>
          <w:vertAlign w:val="superscript"/>
        </w:rPr>
        <w:fldChar w:fldCharType="end"/>
      </w:r>
      <w:bookmarkEnd w:id="26"/>
      <w:r w:rsidRPr="000679E9">
        <w:rPr>
          <w:rFonts w:asciiTheme="minorHAnsi" w:hAnsiTheme="minorHAnsi" w:cstheme="minorHAnsi"/>
          <w:color w:val="2C2825"/>
          <w:sz w:val="18"/>
          <w:szCs w:val="18"/>
          <w:vertAlign w:val="superscript"/>
          <w:lang w:val="en-US"/>
        </w:rPr>
        <w:t> </w:t>
      </w:r>
      <w:r w:rsidRPr="000679E9">
        <w:rPr>
          <w:rFonts w:asciiTheme="minorHAnsi" w:hAnsiTheme="minorHAnsi" w:cstheme="minorHAnsi"/>
          <w:color w:val="2C2825"/>
          <w:lang w:val="en-US"/>
        </w:rPr>
        <w:t>Good progress was made during the discussions and they will continue in the coming weeks. Following conclusion of ongoing discussions, the IMF Executive Board could consider the second ECF review in December 2017 as planned.</w:t>
      </w:r>
    </w:p>
    <w:p w14:paraId="47C6284E" w14:textId="77777777" w:rsidR="009D0999" w:rsidRPr="000679E9" w:rsidRDefault="009D0999" w:rsidP="008B4E47">
      <w:pPr>
        <w:pStyle w:val="NormalWeb"/>
        <w:shd w:val="clear" w:color="auto" w:fill="FFFFFF"/>
        <w:spacing w:before="240" w:beforeAutospacing="0" w:after="240" w:afterAutospacing="0"/>
        <w:jc w:val="both"/>
        <w:rPr>
          <w:rFonts w:asciiTheme="minorHAnsi" w:hAnsiTheme="minorHAnsi" w:cstheme="minorHAnsi"/>
          <w:color w:val="2C2825"/>
          <w:lang w:val="en-US"/>
        </w:rPr>
      </w:pPr>
      <w:r w:rsidRPr="000679E9">
        <w:rPr>
          <w:rFonts w:asciiTheme="minorHAnsi" w:hAnsiTheme="minorHAnsi" w:cstheme="minorHAnsi"/>
          <w:color w:val="2C2825"/>
          <w:lang w:val="en-US"/>
        </w:rPr>
        <w:t>At the end of the mission, Mr. Mills issued the following statement:</w:t>
      </w:r>
    </w:p>
    <w:p w14:paraId="1805127A" w14:textId="77777777" w:rsidR="009D0999" w:rsidRPr="000679E9" w:rsidRDefault="009D0999" w:rsidP="008B4E47">
      <w:pPr>
        <w:pStyle w:val="NormalWeb"/>
        <w:shd w:val="clear" w:color="auto" w:fill="FFFFFF"/>
        <w:spacing w:before="240" w:beforeAutospacing="0" w:after="240" w:afterAutospacing="0"/>
        <w:jc w:val="both"/>
        <w:rPr>
          <w:rFonts w:asciiTheme="minorHAnsi" w:hAnsiTheme="minorHAnsi" w:cstheme="minorHAnsi"/>
          <w:color w:val="2C2825"/>
          <w:lang w:val="en-US"/>
        </w:rPr>
      </w:pPr>
      <w:r w:rsidRPr="000679E9">
        <w:rPr>
          <w:rFonts w:asciiTheme="minorHAnsi" w:hAnsiTheme="minorHAnsi" w:cstheme="minorHAnsi"/>
          <w:color w:val="2C2825"/>
          <w:lang w:val="en-US"/>
        </w:rPr>
        <w:t>“Madagascar’s economic conditions continue to be positive in 2017, with sustained macroeconomic stability despite shocks. Economic growth is projected at 4.1 percent in 2017. While still among the highest rates in sub-Saharan Africa, this is lower than expected, partly due to the impact of the cyclone and drought on agriculture and hydropower. Growth is projected to accelerate to 5.1 percent in 2018, led by rising public investment and a rebound in agriculture. Inflation, which ticked up earlier this year due to weather-related shocks, is expected to fall to around 8 percent by end-year, and to decline gradually in 2018.</w:t>
      </w:r>
    </w:p>
    <w:p w14:paraId="15A29981" w14:textId="77777777" w:rsidR="009D0999" w:rsidRPr="000679E9" w:rsidRDefault="009D0999" w:rsidP="008B4E47">
      <w:pPr>
        <w:pStyle w:val="NormalWeb"/>
        <w:shd w:val="clear" w:color="auto" w:fill="FFFFFF"/>
        <w:spacing w:before="240" w:beforeAutospacing="0" w:after="240" w:afterAutospacing="0"/>
        <w:jc w:val="both"/>
        <w:rPr>
          <w:rFonts w:asciiTheme="minorHAnsi" w:hAnsiTheme="minorHAnsi" w:cstheme="minorHAnsi"/>
          <w:color w:val="2C2825"/>
          <w:lang w:val="en-US"/>
        </w:rPr>
      </w:pPr>
      <w:r w:rsidRPr="000679E9">
        <w:rPr>
          <w:rFonts w:asciiTheme="minorHAnsi" w:hAnsiTheme="minorHAnsi" w:cstheme="minorHAnsi"/>
          <w:color w:val="2C2825"/>
          <w:lang w:val="en-US"/>
        </w:rPr>
        <w:t>“Performance under the ECF-supported program remains strong. Based on current data, all quantitative performance targets for end-June were met. Revenue collection continues to exceed program targets. The Central Bank of Madagascar has appropriately managed pressures linked to the positive vanilla price shock, with the accumulation of additional foreign exchange reserves, while the exchange rate appreciated, consistent with its flexible exchange rate regime. Prudent monetary policy has helped to contain inflation. Most structural reforms planned in the program were completed, although some with delays.</w:t>
      </w:r>
    </w:p>
    <w:p w14:paraId="19E7B2C5" w14:textId="77777777" w:rsidR="009D0999" w:rsidRPr="000679E9" w:rsidRDefault="009D0999" w:rsidP="008B4E47">
      <w:pPr>
        <w:pStyle w:val="NormalWeb"/>
        <w:shd w:val="clear" w:color="auto" w:fill="FFFFFF"/>
        <w:spacing w:before="240" w:beforeAutospacing="0" w:after="240" w:afterAutospacing="0"/>
        <w:jc w:val="both"/>
        <w:rPr>
          <w:rFonts w:asciiTheme="minorHAnsi" w:hAnsiTheme="minorHAnsi" w:cstheme="minorHAnsi"/>
          <w:color w:val="2C2825"/>
          <w:lang w:val="en-US"/>
        </w:rPr>
      </w:pPr>
      <w:r w:rsidRPr="000679E9">
        <w:rPr>
          <w:rFonts w:asciiTheme="minorHAnsi" w:hAnsiTheme="minorHAnsi" w:cstheme="minorHAnsi"/>
          <w:color w:val="2C2825"/>
          <w:lang w:val="en-US"/>
        </w:rPr>
        <w:t>“Concerning the remainder of 2017, the authorities are undertaking some additional budget measures to offset unexpected developments. Higher than expected outlays for the wage bill will be offset by over-performance on revenues and containing other spending. The authorities are also working to speed up the execution of foreign-financed investment projects. Work on Air Madagascar’s planned strategic partnership is advancing, and a final agreement will require a substantial transfer in the 2017 budget to cover its liabilities accumulated from past losses, as already envisaged under the IMF-supported program.</w:t>
      </w:r>
    </w:p>
    <w:p w14:paraId="68C1FF4A" w14:textId="542865FC" w:rsidR="009D0999" w:rsidRPr="000679E9" w:rsidRDefault="009D0999" w:rsidP="008B4E47">
      <w:pPr>
        <w:pStyle w:val="NormalWeb"/>
        <w:shd w:val="clear" w:color="auto" w:fill="FFFFFF"/>
        <w:spacing w:before="240" w:beforeAutospacing="0" w:after="240" w:afterAutospacing="0"/>
        <w:jc w:val="both"/>
        <w:rPr>
          <w:rFonts w:asciiTheme="minorHAnsi" w:hAnsiTheme="minorHAnsi" w:cstheme="minorHAnsi"/>
          <w:color w:val="2C2825"/>
          <w:lang w:val="en-US"/>
        </w:rPr>
      </w:pPr>
      <w:r w:rsidRPr="000679E9">
        <w:rPr>
          <w:rFonts w:asciiTheme="minorHAnsi" w:hAnsiTheme="minorHAnsi" w:cstheme="minorHAnsi"/>
          <w:color w:val="2C2825"/>
          <w:lang w:val="en-US"/>
        </w:rPr>
        <w:t xml:space="preserve">“Discussions on the 2018 budget focused on the program’s goals of increasing revenue collection and enhancing the quality of public spending. The authorities reiterated their commitment to these goals. They are elaborating additional tax policy and administration reforms to maintain strong revenue growth in 2018, </w:t>
      </w:r>
      <w:r w:rsidRPr="000679E9">
        <w:rPr>
          <w:rFonts w:asciiTheme="minorHAnsi" w:hAnsiTheme="minorHAnsi" w:cstheme="minorHAnsi"/>
          <w:color w:val="2C2825"/>
          <w:lang w:val="en-US"/>
        </w:rPr>
        <w:lastRenderedPageBreak/>
        <w:t xml:space="preserve">despite the negative impact of the stronger </w:t>
      </w:r>
      <w:r w:rsidR="006C4C8E">
        <w:rPr>
          <w:rFonts w:asciiTheme="minorHAnsi" w:hAnsiTheme="minorHAnsi" w:cstheme="minorHAnsi"/>
          <w:color w:val="2C2825"/>
          <w:lang w:val="en-US"/>
        </w:rPr>
        <w:t>MGA</w:t>
      </w:r>
      <w:r w:rsidRPr="000679E9">
        <w:rPr>
          <w:rFonts w:asciiTheme="minorHAnsi" w:hAnsiTheme="minorHAnsi" w:cstheme="minorHAnsi"/>
          <w:color w:val="2C2825"/>
          <w:lang w:val="en-US"/>
        </w:rPr>
        <w:t xml:space="preserve"> on customs revenues. On the spending side, discussions focused on promoting spending to support inclusive growth, as envisioned under the program. Progress will require faster execution of public investment, containing wage bill growth, and reducing transfers, especially to the public utility JIRAMA. Reforms at JIRAMA are advancing, notably to improve management and lower costs, and continued progress is essential to cut transfers as planned.</w:t>
      </w:r>
    </w:p>
    <w:p w14:paraId="756B9DE9" w14:textId="2CDD5AE7" w:rsidR="009D0999" w:rsidRPr="000679E9" w:rsidRDefault="009D0999" w:rsidP="008B4E47">
      <w:pPr>
        <w:pStyle w:val="NormalWeb"/>
        <w:shd w:val="clear" w:color="auto" w:fill="FFFFFF"/>
        <w:spacing w:before="240" w:beforeAutospacing="0" w:after="240" w:afterAutospacing="0"/>
        <w:jc w:val="both"/>
        <w:rPr>
          <w:rFonts w:asciiTheme="minorHAnsi" w:hAnsiTheme="minorHAnsi" w:cstheme="minorHAnsi"/>
          <w:color w:val="2C2825"/>
          <w:lang w:val="en-US"/>
        </w:rPr>
      </w:pPr>
      <w:r w:rsidRPr="000679E9">
        <w:rPr>
          <w:rFonts w:asciiTheme="minorHAnsi" w:hAnsiTheme="minorHAnsi" w:cstheme="minorHAnsi"/>
          <w:color w:val="2C2825"/>
          <w:lang w:val="en-US"/>
        </w:rPr>
        <w:t xml:space="preserve">“Discussions also addressed priority medium-term structural reforms in monetary policy, financial sector development, tax policy, and governance. The Central Bank is improving its operational framework for monetary policy implementation. Drawing on the recommendations of the Financial System Stability Assessment (FSSA), the authorities are also enhancing risk-based prudential supervision, tightening prudential regulations, and modernizing the banking legislation. On tax policy, discussions focused on ensuring that new tax incentives under consideration to promote private investment are cost-effective, attracting additional investment without jeopardizing future revenue performance. On governance, the </w:t>
      </w:r>
      <w:r w:rsidR="0085470E">
        <w:rPr>
          <w:rFonts w:asciiTheme="minorHAnsi" w:hAnsiTheme="minorHAnsi" w:cstheme="minorHAnsi"/>
          <w:color w:val="2C2825"/>
          <w:lang w:val="en-US"/>
        </w:rPr>
        <w:t>G</w:t>
      </w:r>
      <w:r w:rsidRPr="000679E9">
        <w:rPr>
          <w:rFonts w:asciiTheme="minorHAnsi" w:hAnsiTheme="minorHAnsi" w:cstheme="minorHAnsi"/>
          <w:color w:val="2C2825"/>
          <w:lang w:val="en-US"/>
        </w:rPr>
        <w:t>overnment has submitted draft laws on international cooperation and asset-recovery to parliament. In addition, it has prepared a draft Anti-Money Laundering law, which it also intends to submit to parliament this year. Staff urged the authorities to follow through on the submission this year, as well as to progressively strengthen their asset disclosure regime.</w:t>
      </w:r>
    </w:p>
    <w:p w14:paraId="3C95E04B" w14:textId="77777777" w:rsidR="009D0999" w:rsidRPr="000679E9" w:rsidRDefault="009D0999" w:rsidP="008B4E47">
      <w:pPr>
        <w:pStyle w:val="NormalWeb"/>
        <w:shd w:val="clear" w:color="auto" w:fill="FFFFFF"/>
        <w:spacing w:before="240" w:beforeAutospacing="0" w:after="240" w:afterAutospacing="0"/>
        <w:jc w:val="both"/>
        <w:rPr>
          <w:rFonts w:asciiTheme="minorHAnsi" w:hAnsiTheme="minorHAnsi" w:cstheme="minorHAnsi"/>
          <w:color w:val="2C2825"/>
          <w:lang w:val="en-US"/>
        </w:rPr>
      </w:pPr>
      <w:r w:rsidRPr="000679E9">
        <w:rPr>
          <w:rFonts w:asciiTheme="minorHAnsi" w:hAnsiTheme="minorHAnsi" w:cstheme="minorHAnsi"/>
          <w:color w:val="2C2825"/>
          <w:lang w:val="en-US"/>
        </w:rPr>
        <w:t>“The mission met with President Hery Rajaonarimampianina, Prime Minister Olivier Mahafaly Solonandrasana, Minister of Finance and Budget Vonintsalama Andriambololona, Minister of Economy and Plan Herilanto Raveloharison, Central Bank of Madagascar Governor Alain Rasolofondraibe, Commissioner General Léon Rajaobelina, senior officials, as well as private sector representatives, and development partners.</w:t>
      </w:r>
    </w:p>
    <w:p w14:paraId="5CCA5F68" w14:textId="77777777" w:rsidR="009D0999" w:rsidRPr="000679E9" w:rsidRDefault="009D0999" w:rsidP="008B4E47">
      <w:pPr>
        <w:pStyle w:val="NormalWeb"/>
        <w:shd w:val="clear" w:color="auto" w:fill="FFFFFF"/>
        <w:spacing w:before="240" w:beforeAutospacing="0" w:after="240" w:afterAutospacing="0"/>
        <w:jc w:val="both"/>
        <w:rPr>
          <w:rFonts w:asciiTheme="minorHAnsi" w:hAnsiTheme="minorHAnsi" w:cstheme="minorHAnsi"/>
          <w:color w:val="2C2825"/>
          <w:lang w:val="en-US"/>
        </w:rPr>
      </w:pPr>
      <w:r w:rsidRPr="000679E9">
        <w:rPr>
          <w:rFonts w:asciiTheme="minorHAnsi" w:hAnsiTheme="minorHAnsi" w:cstheme="minorHAnsi"/>
          <w:color w:val="2C2825"/>
          <w:lang w:val="en-US"/>
        </w:rPr>
        <w:t>“The mission thanks the Malagasy authorities for their strong cooperation and the constructive discussions.”</w:t>
      </w:r>
    </w:p>
    <w:p w14:paraId="5ABB0188" w14:textId="77777777" w:rsidR="009D0999" w:rsidRPr="000679E9" w:rsidRDefault="009D0999" w:rsidP="009D0999">
      <w:pPr>
        <w:shd w:val="clear" w:color="auto" w:fill="FFFFFF"/>
        <w:rPr>
          <w:rFonts w:asciiTheme="minorHAnsi" w:hAnsiTheme="minorHAnsi" w:cstheme="minorHAnsi"/>
          <w:color w:val="2C2825"/>
        </w:rPr>
      </w:pPr>
      <w:r w:rsidRPr="000679E9">
        <w:rPr>
          <w:rFonts w:asciiTheme="minorHAnsi" w:hAnsiTheme="minorHAnsi" w:cstheme="minorHAnsi"/>
          <w:color w:val="2C2825"/>
        </w:rPr>
        <w:br w:type="textWrapping" w:clear="all"/>
      </w:r>
    </w:p>
    <w:p w14:paraId="533695B2" w14:textId="77777777" w:rsidR="009D0999" w:rsidRPr="000679E9" w:rsidRDefault="008B4E47" w:rsidP="009D0999">
      <w:pPr>
        <w:shd w:val="clear" w:color="auto" w:fill="FFFFFF"/>
        <w:spacing w:before="240" w:after="240"/>
        <w:rPr>
          <w:rFonts w:asciiTheme="minorHAnsi" w:hAnsiTheme="minorHAnsi" w:cstheme="minorHAnsi"/>
          <w:color w:val="2C2825"/>
        </w:rPr>
      </w:pPr>
      <w:r>
        <w:rPr>
          <w:rFonts w:asciiTheme="minorHAnsi" w:hAnsiTheme="minorHAnsi" w:cstheme="minorHAnsi"/>
          <w:color w:val="2C2825"/>
        </w:rPr>
        <w:pict w14:anchorId="0DC4D2B9">
          <v:rect id="_x0000_i1025" style="width:175.9pt;height:.75pt" o:hrpct="330" o:hrstd="t" o:hr="t" fillcolor="#a0a0a0" stroked="f"/>
        </w:pict>
      </w:r>
    </w:p>
    <w:p w14:paraId="7019BEF4" w14:textId="0919BCF0" w:rsidR="009D0999" w:rsidRPr="000679E9" w:rsidRDefault="009D0999" w:rsidP="009D0999">
      <w:pPr>
        <w:pStyle w:val="NormalWeb"/>
        <w:shd w:val="clear" w:color="auto" w:fill="FFFFFF"/>
        <w:spacing w:before="240" w:beforeAutospacing="0" w:after="240" w:afterAutospacing="0"/>
        <w:rPr>
          <w:rFonts w:asciiTheme="minorHAnsi" w:hAnsiTheme="minorHAnsi" w:cstheme="minorHAnsi"/>
          <w:color w:val="2C2825"/>
          <w:lang w:val="en-US"/>
        </w:rPr>
      </w:pPr>
      <w:bookmarkStart w:id="27" w:name="1"/>
      <w:r w:rsidRPr="000679E9">
        <w:rPr>
          <w:rFonts w:asciiTheme="minorHAnsi" w:hAnsiTheme="minorHAnsi" w:cstheme="minorHAnsi"/>
          <w:color w:val="3979A6"/>
          <w:lang w:val="en-US"/>
        </w:rPr>
        <w:t>[1] </w:t>
      </w:r>
      <w:bookmarkEnd w:id="27"/>
      <w:r w:rsidRPr="000679E9">
        <w:rPr>
          <w:rFonts w:asciiTheme="minorHAnsi" w:hAnsiTheme="minorHAnsi" w:cstheme="minorHAnsi"/>
          <w:color w:val="2C2825"/>
          <w:lang w:val="en-US"/>
        </w:rPr>
        <w:t xml:space="preserve">The ECF is a lending arrangement that provides sustained program engagement over the medium to long term in case of protracted </w:t>
      </w:r>
      <w:r w:rsidR="00DC050B">
        <w:rPr>
          <w:rFonts w:asciiTheme="minorHAnsi" w:hAnsiTheme="minorHAnsi" w:cstheme="minorHAnsi"/>
          <w:color w:val="2C2825"/>
          <w:lang w:val="en-US"/>
        </w:rPr>
        <w:t>BoP</w:t>
      </w:r>
      <w:r w:rsidRPr="000679E9">
        <w:rPr>
          <w:rFonts w:asciiTheme="minorHAnsi" w:hAnsiTheme="minorHAnsi" w:cstheme="minorHAnsi"/>
          <w:color w:val="2C2825"/>
          <w:lang w:val="en-US"/>
        </w:rPr>
        <w:t xml:space="preserve"> problems. The arrangement for Madagascar in the amount of SDR 220 million (about US$304.7 million or 180 percent of quota) was approved by the IMF Executive Board on July 28, 2016 (see </w:t>
      </w:r>
      <w:hyperlink r:id="rId25" w:history="1">
        <w:r w:rsidRPr="000679E9">
          <w:rPr>
            <w:rStyle w:val="Hyperlink"/>
            <w:rFonts w:asciiTheme="minorHAnsi" w:hAnsiTheme="minorHAnsi" w:cstheme="minorHAnsi"/>
            <w:color w:val="3979A6"/>
            <w:lang w:val="en-US"/>
          </w:rPr>
          <w:t>Press Release No. 16/ 370</w:t>
        </w:r>
      </w:hyperlink>
      <w:r w:rsidRPr="000679E9">
        <w:rPr>
          <w:rFonts w:asciiTheme="minorHAnsi" w:hAnsiTheme="minorHAnsi" w:cstheme="minorHAnsi"/>
          <w:color w:val="2C2825"/>
          <w:lang w:val="en-US"/>
        </w:rPr>
        <w:t> ). Augmentation of access was granted under the program for SDR 30.55 million (about US$42.39 million) or 12.5 percent of the country’s quota following the IMF Executive Board on June 28 (see </w:t>
      </w:r>
      <w:r w:rsidR="00E02F65">
        <w:fldChar w:fldCharType="begin"/>
      </w:r>
      <w:r w:rsidR="00FE7670">
        <w:rPr>
          <w:lang w:val="en-US"/>
        </w:rPr>
        <w:instrText xml:space="preserve"> HYPER</w:instrText>
      </w:r>
      <w:r w:rsidR="00E02F65" w:rsidRPr="00FE7670">
        <w:rPr>
          <w:lang w:val="en-US"/>
        </w:rPr>
        <w:instrText xml:space="preserve">"http://www.imf.org/en/publications/cr/issues/2017/07/18/republic-of-madagascar-2017-article-iv-consultation-first-review-under-the-extended-credit-45097" </w:instrText>
      </w:r>
      <w:r w:rsidR="00E02F65">
        <w:fldChar w:fldCharType="separate"/>
      </w:r>
      <w:r w:rsidRPr="000679E9">
        <w:rPr>
          <w:rStyle w:val="Hyperlink"/>
          <w:rFonts w:asciiTheme="minorHAnsi" w:hAnsiTheme="minorHAnsi" w:cstheme="minorHAnsi"/>
          <w:color w:val="3979A6"/>
          <w:lang w:val="en-US"/>
        </w:rPr>
        <w:t>Country Report No. 17/223</w:t>
      </w:r>
      <w:r w:rsidR="00E02F65">
        <w:rPr>
          <w:rStyle w:val="Hyperlink"/>
          <w:rFonts w:asciiTheme="minorHAnsi" w:hAnsiTheme="minorHAnsi" w:cstheme="minorHAnsi"/>
          <w:color w:val="3979A6"/>
          <w:lang w:val="en-US"/>
        </w:rPr>
        <w:fldChar w:fldCharType="end"/>
      </w:r>
      <w:r w:rsidRPr="000679E9">
        <w:rPr>
          <w:rFonts w:asciiTheme="minorHAnsi" w:hAnsiTheme="minorHAnsi" w:cstheme="minorHAnsi"/>
          <w:color w:val="2C2825"/>
          <w:lang w:val="en-US"/>
        </w:rPr>
        <w:t>).</w:t>
      </w:r>
    </w:p>
    <w:p w14:paraId="0CDED9A1" w14:textId="77777777" w:rsidR="00662252" w:rsidRPr="00B66802" w:rsidRDefault="00662252">
      <w:pPr>
        <w:spacing w:after="0" w:line="240" w:lineRule="auto"/>
        <w:rPr>
          <w:rFonts w:asciiTheme="minorHAnsi" w:eastAsia="MS Gothic" w:hAnsiTheme="minorHAnsi" w:cstheme="minorHAnsi"/>
          <w:b/>
          <w:bCs/>
          <w:noProof/>
        </w:rPr>
      </w:pPr>
    </w:p>
    <w:p w14:paraId="7B0F18FD" w14:textId="77777777" w:rsidR="00E6359A" w:rsidRPr="00BD4A16" w:rsidRDefault="00E6359A">
      <w:pPr>
        <w:spacing w:after="0" w:line="240" w:lineRule="auto"/>
        <w:rPr>
          <w:rFonts w:asciiTheme="minorHAnsi" w:eastAsia="MS Gothic" w:hAnsiTheme="minorHAnsi" w:cstheme="minorHAnsi"/>
          <w:b/>
          <w:bCs/>
          <w:noProof/>
          <w:spacing w:val="-1"/>
        </w:rPr>
      </w:pPr>
      <w:r w:rsidRPr="00B66802">
        <w:rPr>
          <w:rFonts w:asciiTheme="minorHAnsi" w:hAnsiTheme="minorHAnsi" w:cstheme="minorHAnsi"/>
          <w:spacing w:val="-1"/>
        </w:rPr>
        <w:br w:type="page"/>
      </w:r>
    </w:p>
    <w:p w14:paraId="7964E2A1" w14:textId="0C6A2464" w:rsidR="00E62187" w:rsidRPr="00DC050B" w:rsidRDefault="000154E5" w:rsidP="00D63D18">
      <w:pPr>
        <w:pStyle w:val="Heading3"/>
        <w:spacing w:before="120" w:after="120" w:line="240" w:lineRule="auto"/>
        <w:rPr>
          <w:rFonts w:asciiTheme="minorHAnsi" w:hAnsiTheme="minorHAnsi" w:cstheme="minorHAnsi"/>
          <w:caps/>
        </w:rPr>
      </w:pPr>
      <w:bookmarkStart w:id="28" w:name="_Toc496204260"/>
      <w:r w:rsidRPr="00BD4A16">
        <w:rPr>
          <w:rFonts w:asciiTheme="minorHAnsi" w:hAnsiTheme="minorHAnsi" w:cstheme="minorHAnsi"/>
          <w:spacing w:val="-1"/>
        </w:rPr>
        <w:lastRenderedPageBreak/>
        <w:t>ANNE</w:t>
      </w:r>
      <w:r w:rsidRPr="00DC050B">
        <w:rPr>
          <w:rFonts w:asciiTheme="minorHAnsi" w:hAnsiTheme="minorHAnsi" w:cstheme="minorHAnsi"/>
        </w:rPr>
        <w:t>X</w:t>
      </w:r>
      <w:r w:rsidRPr="00DC050B">
        <w:rPr>
          <w:rFonts w:asciiTheme="minorHAnsi" w:hAnsiTheme="minorHAnsi" w:cstheme="minorHAnsi"/>
          <w:spacing w:val="-1"/>
        </w:rPr>
        <w:t xml:space="preserve"> </w:t>
      </w:r>
      <w:r w:rsidRPr="00DC050B">
        <w:rPr>
          <w:rFonts w:asciiTheme="minorHAnsi" w:hAnsiTheme="minorHAnsi" w:cstheme="minorHAnsi"/>
        </w:rPr>
        <w:t>4:</w:t>
      </w:r>
      <w:r w:rsidRPr="00DC050B">
        <w:rPr>
          <w:rFonts w:asciiTheme="minorHAnsi" w:hAnsiTheme="minorHAnsi" w:cstheme="minorHAnsi"/>
          <w:spacing w:val="1"/>
        </w:rPr>
        <w:t xml:space="preserve"> </w:t>
      </w:r>
      <w:r w:rsidRPr="00DC050B">
        <w:rPr>
          <w:rFonts w:asciiTheme="minorHAnsi" w:hAnsiTheme="minorHAnsi" w:cstheme="minorHAnsi"/>
        </w:rPr>
        <w:t>ENVIRONMENT AND POVERTY/SOCIAL ANALYSIS TABLE</w:t>
      </w:r>
      <w:bookmarkEnd w:id="28"/>
    </w:p>
    <w:tbl>
      <w:tblPr>
        <w:tblW w:w="10620" w:type="dxa"/>
        <w:tblInd w:w="-5" w:type="dxa"/>
        <w:tblLayout w:type="fixed"/>
        <w:tblCellMar>
          <w:left w:w="0" w:type="dxa"/>
          <w:right w:w="0" w:type="dxa"/>
        </w:tblCellMar>
        <w:tblLook w:val="0000" w:firstRow="0" w:lastRow="0" w:firstColumn="0" w:lastColumn="0" w:noHBand="0" w:noVBand="0"/>
      </w:tblPr>
      <w:tblGrid>
        <w:gridCol w:w="4500"/>
        <w:gridCol w:w="3060"/>
        <w:gridCol w:w="3060"/>
      </w:tblGrid>
      <w:tr w:rsidR="002B1763" w:rsidRPr="00B66802" w14:paraId="107CEBFC" w14:textId="77777777" w:rsidTr="008E7AC7">
        <w:trPr>
          <w:trHeight w:hRule="exact" w:val="1259"/>
        </w:trPr>
        <w:tc>
          <w:tcPr>
            <w:tcW w:w="4500" w:type="dxa"/>
            <w:tcBorders>
              <w:top w:val="single" w:sz="4" w:space="0" w:color="000000"/>
              <w:left w:val="single" w:sz="4" w:space="0" w:color="000000"/>
              <w:bottom w:val="single" w:sz="4" w:space="0" w:color="000000"/>
              <w:right w:val="single" w:sz="4" w:space="0" w:color="000000"/>
            </w:tcBorders>
          </w:tcPr>
          <w:p w14:paraId="1E36F5C4" w14:textId="77777777" w:rsidR="002B1763" w:rsidRPr="00AB5D73" w:rsidRDefault="002B1763" w:rsidP="008E7AC7">
            <w:pPr>
              <w:rPr>
                <w:rFonts w:asciiTheme="minorHAnsi" w:hAnsiTheme="minorHAnsi" w:cstheme="minorHAnsi"/>
                <w:b/>
              </w:rPr>
            </w:pPr>
            <w:r w:rsidRPr="00AB5D73">
              <w:rPr>
                <w:rFonts w:asciiTheme="minorHAnsi" w:hAnsiTheme="minorHAnsi" w:cstheme="minorHAnsi"/>
                <w:b/>
                <w:spacing w:val="1"/>
              </w:rPr>
              <w:t>P</w:t>
            </w:r>
            <w:r w:rsidRPr="00AB5D73">
              <w:rPr>
                <w:rFonts w:asciiTheme="minorHAnsi" w:hAnsiTheme="minorHAnsi" w:cstheme="minorHAnsi"/>
                <w:b/>
              </w:rPr>
              <w:t>ri</w:t>
            </w:r>
            <w:r w:rsidRPr="00AB5D73">
              <w:rPr>
                <w:rFonts w:asciiTheme="minorHAnsi" w:hAnsiTheme="minorHAnsi" w:cstheme="minorHAnsi"/>
                <w:b/>
                <w:spacing w:val="1"/>
              </w:rPr>
              <w:t>o</w:t>
            </w:r>
            <w:r w:rsidRPr="00AB5D73">
              <w:rPr>
                <w:rFonts w:asciiTheme="minorHAnsi" w:hAnsiTheme="minorHAnsi" w:cstheme="minorHAnsi"/>
                <w:b/>
              </w:rPr>
              <w:t>r</w:t>
            </w:r>
            <w:r w:rsidRPr="00AB5D73">
              <w:rPr>
                <w:rFonts w:asciiTheme="minorHAnsi" w:hAnsiTheme="minorHAnsi" w:cstheme="minorHAnsi"/>
                <w:b/>
                <w:spacing w:val="-4"/>
              </w:rPr>
              <w:t xml:space="preserve"> </w:t>
            </w:r>
            <w:r w:rsidRPr="00AB5D73">
              <w:rPr>
                <w:rFonts w:asciiTheme="minorHAnsi" w:hAnsiTheme="minorHAnsi" w:cstheme="minorHAnsi"/>
                <w:b/>
                <w:spacing w:val="1"/>
                <w:w w:val="99"/>
              </w:rPr>
              <w:t>a</w:t>
            </w:r>
            <w:r w:rsidRPr="00AB5D73">
              <w:rPr>
                <w:rFonts w:asciiTheme="minorHAnsi" w:hAnsiTheme="minorHAnsi" w:cstheme="minorHAnsi"/>
                <w:b/>
                <w:spacing w:val="-2"/>
                <w:w w:val="99"/>
              </w:rPr>
              <w:t>c</w:t>
            </w:r>
            <w:r w:rsidRPr="00AB5D73">
              <w:rPr>
                <w:rFonts w:asciiTheme="minorHAnsi" w:hAnsiTheme="minorHAnsi" w:cstheme="minorHAnsi"/>
                <w:b/>
                <w:spacing w:val="1"/>
                <w:w w:val="99"/>
              </w:rPr>
              <w:t>t</w:t>
            </w:r>
            <w:r w:rsidRPr="00AB5D73">
              <w:rPr>
                <w:rFonts w:asciiTheme="minorHAnsi" w:hAnsiTheme="minorHAnsi" w:cstheme="minorHAnsi"/>
                <w:b/>
                <w:w w:val="99"/>
              </w:rPr>
              <w:t>i</w:t>
            </w:r>
            <w:r w:rsidRPr="00AB5D73">
              <w:rPr>
                <w:rFonts w:asciiTheme="minorHAnsi" w:hAnsiTheme="minorHAnsi" w:cstheme="minorHAnsi"/>
                <w:b/>
                <w:spacing w:val="1"/>
                <w:w w:val="99"/>
              </w:rPr>
              <w:t>o</w:t>
            </w:r>
            <w:r w:rsidRPr="00AB5D73">
              <w:rPr>
                <w:rFonts w:asciiTheme="minorHAnsi" w:hAnsiTheme="minorHAnsi" w:cstheme="minorHAnsi"/>
                <w:b/>
                <w:w w:val="99"/>
              </w:rPr>
              <w:t>ns</w:t>
            </w:r>
          </w:p>
        </w:tc>
        <w:tc>
          <w:tcPr>
            <w:tcW w:w="3060" w:type="dxa"/>
            <w:tcBorders>
              <w:top w:val="single" w:sz="4" w:space="0" w:color="000000"/>
              <w:left w:val="single" w:sz="4" w:space="0" w:color="000000"/>
              <w:bottom w:val="single" w:sz="4" w:space="0" w:color="000000"/>
              <w:right w:val="single" w:sz="4" w:space="0" w:color="000000"/>
            </w:tcBorders>
          </w:tcPr>
          <w:p w14:paraId="3D7F1EFE" w14:textId="77777777" w:rsidR="002B1763" w:rsidRPr="00AB5D73" w:rsidRDefault="002B1763" w:rsidP="008E7AC7">
            <w:pPr>
              <w:rPr>
                <w:rFonts w:asciiTheme="minorHAnsi" w:hAnsiTheme="minorHAnsi" w:cstheme="minorHAnsi"/>
                <w:b/>
              </w:rPr>
            </w:pPr>
            <w:r w:rsidRPr="00AB5D73">
              <w:rPr>
                <w:rFonts w:asciiTheme="minorHAnsi" w:hAnsiTheme="minorHAnsi" w:cstheme="minorHAnsi"/>
                <w:b/>
              </w:rPr>
              <w:t xml:space="preserve">Significant positive or negative environment effects </w:t>
            </w:r>
            <w:r w:rsidRPr="00AB5D73">
              <w:rPr>
                <w:rFonts w:asciiTheme="minorHAnsi" w:hAnsiTheme="minorHAnsi" w:cstheme="minorHAnsi"/>
                <w:b/>
              </w:rPr>
              <w:br/>
              <w:t xml:space="preserve">(yes/no/to be determined) </w:t>
            </w:r>
          </w:p>
        </w:tc>
        <w:tc>
          <w:tcPr>
            <w:tcW w:w="3060" w:type="dxa"/>
            <w:tcBorders>
              <w:top w:val="single" w:sz="4" w:space="0" w:color="000000"/>
              <w:left w:val="single" w:sz="4" w:space="0" w:color="000000"/>
              <w:bottom w:val="single" w:sz="4" w:space="0" w:color="000000"/>
              <w:right w:val="single" w:sz="4" w:space="0" w:color="000000"/>
            </w:tcBorders>
          </w:tcPr>
          <w:p w14:paraId="50D4D85B" w14:textId="77777777" w:rsidR="002B1763" w:rsidRPr="00AB5D73" w:rsidRDefault="002B1763" w:rsidP="008E7AC7">
            <w:pPr>
              <w:rPr>
                <w:rFonts w:asciiTheme="minorHAnsi" w:hAnsiTheme="minorHAnsi" w:cstheme="minorHAnsi"/>
                <w:b/>
              </w:rPr>
            </w:pPr>
            <w:r w:rsidRPr="00AB5D73">
              <w:rPr>
                <w:rFonts w:asciiTheme="minorHAnsi" w:hAnsiTheme="minorHAnsi" w:cstheme="minorHAnsi"/>
                <w:b/>
              </w:rPr>
              <w:t>Significant poverty, social or distributional effects positive or negative</w:t>
            </w:r>
            <w:r w:rsidRPr="00AB5D73">
              <w:rPr>
                <w:rFonts w:asciiTheme="minorHAnsi" w:hAnsiTheme="minorHAnsi" w:cstheme="minorHAnsi"/>
                <w:b/>
                <w:color w:val="1F497D"/>
              </w:rPr>
              <w:t xml:space="preserve"> </w:t>
            </w:r>
            <w:r w:rsidRPr="00AB5D73">
              <w:rPr>
                <w:rFonts w:asciiTheme="minorHAnsi" w:hAnsiTheme="minorHAnsi" w:cstheme="minorHAnsi"/>
                <w:b/>
              </w:rPr>
              <w:t>(yes/no/to be determined)</w:t>
            </w:r>
          </w:p>
        </w:tc>
      </w:tr>
      <w:tr w:rsidR="002B1763" w:rsidRPr="00B66802" w14:paraId="610A6BF6" w14:textId="77777777" w:rsidTr="008E7AC7">
        <w:trPr>
          <w:trHeight w:hRule="exact" w:val="359"/>
        </w:trPr>
        <w:tc>
          <w:tcPr>
            <w:tcW w:w="10620" w:type="dxa"/>
            <w:gridSpan w:val="3"/>
            <w:tcBorders>
              <w:top w:val="single" w:sz="4" w:space="0" w:color="000000"/>
              <w:left w:val="single" w:sz="4" w:space="0" w:color="000000"/>
              <w:bottom w:val="single" w:sz="4" w:space="0" w:color="000000"/>
              <w:right w:val="single" w:sz="4" w:space="0" w:color="000000"/>
            </w:tcBorders>
          </w:tcPr>
          <w:p w14:paraId="2375DC9E" w14:textId="0C9FAFD2" w:rsidR="002B1763" w:rsidRPr="00DC050B" w:rsidRDefault="002B1763" w:rsidP="008E7AC7">
            <w:pPr>
              <w:widowControl w:val="0"/>
              <w:autoSpaceDE w:val="0"/>
              <w:autoSpaceDN w:val="0"/>
              <w:adjustRightInd w:val="0"/>
              <w:spacing w:after="0" w:line="240" w:lineRule="auto"/>
              <w:ind w:left="174" w:right="154"/>
              <w:rPr>
                <w:rFonts w:asciiTheme="minorHAnsi" w:hAnsiTheme="minorHAnsi" w:cstheme="minorHAnsi"/>
                <w:b/>
                <w:i/>
                <w:sz w:val="20"/>
                <w:szCs w:val="20"/>
              </w:rPr>
            </w:pPr>
            <w:r w:rsidRPr="00B66802">
              <w:rPr>
                <w:rFonts w:asciiTheme="minorHAnsi" w:hAnsiTheme="minorHAnsi" w:cstheme="minorHAnsi"/>
                <w:b/>
                <w:i/>
                <w:sz w:val="20"/>
                <w:szCs w:val="20"/>
              </w:rPr>
              <w:t>Pillar A: S</w:t>
            </w:r>
            <w:r w:rsidRPr="00BD4A16">
              <w:rPr>
                <w:rFonts w:asciiTheme="minorHAnsi" w:eastAsia="Times New Roman" w:hAnsiTheme="minorHAnsi" w:cstheme="minorHAnsi"/>
                <w:b/>
                <w:i/>
                <w:sz w:val="20"/>
                <w:szCs w:val="20"/>
              </w:rPr>
              <w:t xml:space="preserve">trengthen the Fiscal Framework </w:t>
            </w:r>
            <w:r w:rsidR="00AB5D73">
              <w:rPr>
                <w:rFonts w:asciiTheme="minorHAnsi" w:eastAsia="Times New Roman" w:hAnsiTheme="minorHAnsi" w:cstheme="minorHAnsi"/>
                <w:b/>
                <w:i/>
                <w:sz w:val="20"/>
                <w:szCs w:val="20"/>
              </w:rPr>
              <w:t>by creating fiscal space to support priority expenditures</w:t>
            </w:r>
          </w:p>
          <w:p w14:paraId="7B9D6A78" w14:textId="77777777" w:rsidR="002B1763" w:rsidRPr="00DC050B" w:rsidRDefault="002B1763" w:rsidP="008E7AC7">
            <w:pPr>
              <w:widowControl w:val="0"/>
              <w:autoSpaceDE w:val="0"/>
              <w:autoSpaceDN w:val="0"/>
              <w:adjustRightInd w:val="0"/>
              <w:spacing w:after="0" w:line="240" w:lineRule="auto"/>
              <w:ind w:left="102" w:right="-20"/>
              <w:jc w:val="center"/>
              <w:rPr>
                <w:rFonts w:asciiTheme="minorHAnsi" w:hAnsiTheme="minorHAnsi" w:cstheme="minorHAnsi"/>
                <w:sz w:val="20"/>
                <w:szCs w:val="20"/>
              </w:rPr>
            </w:pPr>
          </w:p>
        </w:tc>
      </w:tr>
      <w:tr w:rsidR="002B1763" w:rsidRPr="00B66802" w14:paraId="6CAADE7F" w14:textId="77777777" w:rsidTr="00410051">
        <w:trPr>
          <w:trHeight w:hRule="exact" w:val="2141"/>
        </w:trPr>
        <w:tc>
          <w:tcPr>
            <w:tcW w:w="4500" w:type="dxa"/>
            <w:tcBorders>
              <w:top w:val="single" w:sz="4" w:space="0" w:color="000000"/>
              <w:left w:val="single" w:sz="4" w:space="0" w:color="000000"/>
              <w:bottom w:val="single" w:sz="4" w:space="0" w:color="000000"/>
              <w:right w:val="single" w:sz="4" w:space="0" w:color="000000"/>
            </w:tcBorders>
          </w:tcPr>
          <w:p w14:paraId="67DCABA2" w14:textId="77777777" w:rsidR="002B1763" w:rsidRPr="00DC050B" w:rsidRDefault="002B1763" w:rsidP="008E7AC7">
            <w:pPr>
              <w:spacing w:after="0" w:line="240" w:lineRule="auto"/>
              <w:ind w:left="187" w:right="115"/>
              <w:jc w:val="both"/>
              <w:rPr>
                <w:rFonts w:asciiTheme="minorHAnsi" w:hAnsiTheme="minorHAnsi" w:cstheme="minorHAnsi"/>
                <w:sz w:val="20"/>
                <w:szCs w:val="20"/>
              </w:rPr>
            </w:pPr>
            <w:r w:rsidRPr="00B66802">
              <w:rPr>
                <w:rFonts w:asciiTheme="minorHAnsi" w:hAnsiTheme="minorHAnsi" w:cstheme="minorHAnsi"/>
                <w:b/>
                <w:sz w:val="20"/>
                <w:szCs w:val="20"/>
              </w:rPr>
              <w:t>PA#1</w:t>
            </w:r>
            <w:r w:rsidRPr="00BD4A16">
              <w:rPr>
                <w:rFonts w:asciiTheme="minorHAnsi" w:hAnsiTheme="minorHAnsi" w:cstheme="minorHAnsi"/>
                <w:b/>
                <w:sz w:val="20"/>
                <w:szCs w:val="20"/>
              </w:rPr>
              <w:t>.</w:t>
            </w:r>
            <w:r w:rsidRPr="00DC050B">
              <w:rPr>
                <w:rFonts w:asciiTheme="minorHAnsi" w:hAnsiTheme="minorHAnsi" w:cstheme="minorHAnsi"/>
                <w:sz w:val="20"/>
                <w:szCs w:val="20"/>
              </w:rPr>
              <w:t xml:space="preserve"> The Recipient, through its Ministry of Finance, has published the first annual tax expenditure statement.</w:t>
            </w:r>
          </w:p>
          <w:p w14:paraId="17B15BF1" w14:textId="77777777" w:rsidR="002B1763" w:rsidRPr="00DC050B" w:rsidRDefault="002B1763" w:rsidP="008E7AC7">
            <w:pPr>
              <w:widowControl w:val="0"/>
              <w:autoSpaceDE w:val="0"/>
              <w:autoSpaceDN w:val="0"/>
              <w:adjustRightInd w:val="0"/>
              <w:spacing w:after="0" w:line="240" w:lineRule="auto"/>
              <w:ind w:left="102" w:right="-20"/>
              <w:rPr>
                <w:rFonts w:asciiTheme="minorHAnsi" w:hAnsiTheme="minorHAnsi" w:cstheme="minorHAnsi"/>
                <w:b/>
                <w:sz w:val="20"/>
                <w:szCs w:val="20"/>
              </w:rPr>
            </w:pPr>
          </w:p>
        </w:tc>
        <w:tc>
          <w:tcPr>
            <w:tcW w:w="3060" w:type="dxa"/>
            <w:tcBorders>
              <w:top w:val="single" w:sz="4" w:space="0" w:color="000000"/>
              <w:left w:val="single" w:sz="4" w:space="0" w:color="000000"/>
              <w:bottom w:val="single" w:sz="4" w:space="0" w:color="000000"/>
              <w:right w:val="single" w:sz="4" w:space="0" w:color="000000"/>
            </w:tcBorders>
          </w:tcPr>
          <w:p w14:paraId="0A20EA38" w14:textId="77777777" w:rsidR="002B1763" w:rsidRPr="00DC050B" w:rsidRDefault="002B1763" w:rsidP="008E7AC7">
            <w:pPr>
              <w:widowControl w:val="0"/>
              <w:autoSpaceDE w:val="0"/>
              <w:autoSpaceDN w:val="0"/>
              <w:adjustRightInd w:val="0"/>
              <w:spacing w:after="0" w:line="240" w:lineRule="auto"/>
              <w:ind w:left="102" w:right="-20"/>
              <w:rPr>
                <w:rFonts w:asciiTheme="minorHAnsi" w:hAnsiTheme="minorHAnsi" w:cstheme="minorHAnsi"/>
                <w:sz w:val="20"/>
                <w:szCs w:val="20"/>
              </w:rPr>
            </w:pPr>
            <w:r w:rsidRPr="00DC050B">
              <w:rPr>
                <w:rFonts w:asciiTheme="minorHAnsi" w:hAnsiTheme="minorHAnsi" w:cstheme="minorHAnsi"/>
                <w:sz w:val="20"/>
                <w:szCs w:val="20"/>
              </w:rPr>
              <w:t>The elimination of exemption on propane gas might increase the use of charcoal and have negative impact on forest and air pollution. However, only 1 percent of the population use this source of energy.</w:t>
            </w:r>
          </w:p>
        </w:tc>
        <w:tc>
          <w:tcPr>
            <w:tcW w:w="3060" w:type="dxa"/>
            <w:tcBorders>
              <w:top w:val="single" w:sz="4" w:space="0" w:color="000000"/>
              <w:left w:val="single" w:sz="4" w:space="0" w:color="000000"/>
              <w:bottom w:val="single" w:sz="4" w:space="0" w:color="000000"/>
              <w:right w:val="single" w:sz="4" w:space="0" w:color="000000"/>
            </w:tcBorders>
          </w:tcPr>
          <w:p w14:paraId="2BC62CA1" w14:textId="77777777" w:rsidR="002B1763" w:rsidRPr="006C66C2" w:rsidRDefault="002B1763" w:rsidP="008E7AC7">
            <w:pPr>
              <w:widowControl w:val="0"/>
              <w:autoSpaceDE w:val="0"/>
              <w:autoSpaceDN w:val="0"/>
              <w:adjustRightInd w:val="0"/>
              <w:spacing w:after="0" w:line="240" w:lineRule="auto"/>
              <w:ind w:left="102" w:right="-20"/>
              <w:rPr>
                <w:rFonts w:asciiTheme="minorHAnsi" w:hAnsiTheme="minorHAnsi" w:cstheme="minorHAnsi"/>
                <w:sz w:val="20"/>
                <w:szCs w:val="20"/>
              </w:rPr>
            </w:pPr>
            <w:r w:rsidRPr="006C66C2">
              <w:rPr>
                <w:rFonts w:asciiTheme="minorHAnsi" w:hAnsiTheme="minorHAnsi" w:cstheme="minorHAnsi"/>
                <w:sz w:val="20"/>
                <w:szCs w:val="20"/>
              </w:rPr>
              <w:t xml:space="preserve">Yes, positive. The tax expenditures to be eliminated are mostly regressive. Reforming tax expenditures will have positive distributional effect. by increasing available public resources that can be used to increase pro-poor spending. </w:t>
            </w:r>
          </w:p>
        </w:tc>
      </w:tr>
      <w:tr w:rsidR="002B1763" w:rsidRPr="00B66802" w14:paraId="39D2F589" w14:textId="77777777" w:rsidTr="00410051">
        <w:trPr>
          <w:trHeight w:hRule="exact" w:val="1529"/>
        </w:trPr>
        <w:tc>
          <w:tcPr>
            <w:tcW w:w="4500" w:type="dxa"/>
            <w:tcBorders>
              <w:top w:val="single" w:sz="4" w:space="0" w:color="000000"/>
              <w:left w:val="single" w:sz="4" w:space="0" w:color="000000"/>
              <w:bottom w:val="single" w:sz="4" w:space="0" w:color="000000"/>
              <w:right w:val="single" w:sz="4" w:space="0" w:color="000000"/>
            </w:tcBorders>
          </w:tcPr>
          <w:p w14:paraId="7226AF4F" w14:textId="370CB791" w:rsidR="002B1763" w:rsidRPr="006C66C2" w:rsidRDefault="002B1763" w:rsidP="008E7AC7">
            <w:pPr>
              <w:spacing w:after="0" w:line="240" w:lineRule="auto"/>
              <w:ind w:left="187"/>
              <w:rPr>
                <w:rFonts w:asciiTheme="minorHAnsi" w:hAnsiTheme="minorHAnsi" w:cstheme="minorHAnsi"/>
                <w:sz w:val="20"/>
                <w:szCs w:val="20"/>
              </w:rPr>
            </w:pPr>
            <w:r w:rsidRPr="00B66802">
              <w:rPr>
                <w:rFonts w:asciiTheme="minorHAnsi" w:hAnsiTheme="minorHAnsi" w:cstheme="minorHAnsi"/>
                <w:b/>
                <w:sz w:val="20"/>
                <w:szCs w:val="20"/>
              </w:rPr>
              <w:t>PA#2</w:t>
            </w:r>
            <w:r w:rsidRPr="00BD4A16">
              <w:rPr>
                <w:rFonts w:asciiTheme="minorHAnsi" w:hAnsiTheme="minorHAnsi" w:cstheme="minorHAnsi"/>
                <w:b/>
                <w:sz w:val="20"/>
                <w:szCs w:val="20"/>
              </w:rPr>
              <w:t>.</w:t>
            </w:r>
            <w:r w:rsidRPr="00DC050B">
              <w:rPr>
                <w:rFonts w:asciiTheme="minorHAnsi" w:hAnsiTheme="minorHAnsi" w:cstheme="minorHAnsi"/>
                <w:sz w:val="18"/>
                <w:szCs w:val="20"/>
              </w:rPr>
              <w:t xml:space="preserve"> </w:t>
            </w:r>
            <w:r w:rsidRPr="00DC050B">
              <w:rPr>
                <w:rFonts w:asciiTheme="minorHAnsi" w:hAnsiTheme="minorHAnsi" w:cstheme="minorHAnsi"/>
                <w:sz w:val="20"/>
                <w:szCs w:val="20"/>
              </w:rPr>
              <w:t xml:space="preserve">The Recipient, through its customs and tax directorates, has issued a </w:t>
            </w:r>
            <w:r w:rsidRPr="00DC050B">
              <w:rPr>
                <w:rFonts w:asciiTheme="minorHAnsi" w:hAnsiTheme="minorHAnsi" w:cstheme="minorHAnsi"/>
                <w:i/>
                <w:sz w:val="20"/>
                <w:szCs w:val="20"/>
              </w:rPr>
              <w:t>Protocole d’Accord</w:t>
            </w:r>
            <w:r w:rsidRPr="00DC050B">
              <w:rPr>
                <w:rFonts w:asciiTheme="minorHAnsi" w:hAnsiTheme="minorHAnsi" w:cstheme="minorHAnsi"/>
                <w:sz w:val="20"/>
                <w:szCs w:val="20"/>
              </w:rPr>
              <w:t xml:space="preserve"> to establish procedures for verifying customs and tax data for 20 large importers and exporters at high risk, following a risk based approach to reducing fraud and expanding the tax base.</w:t>
            </w:r>
            <w:r w:rsidRPr="006C66C2">
              <w:rPr>
                <w:rFonts w:asciiTheme="minorHAnsi" w:hAnsiTheme="minorHAnsi" w:cstheme="minorHAnsi"/>
                <w:sz w:val="18"/>
                <w:szCs w:val="20"/>
              </w:rPr>
              <w:t xml:space="preserve"> </w:t>
            </w:r>
          </w:p>
          <w:p w14:paraId="51206F98" w14:textId="77777777" w:rsidR="002B1763" w:rsidRPr="006C66C2" w:rsidRDefault="002B1763" w:rsidP="008E7AC7">
            <w:pPr>
              <w:spacing w:after="0" w:line="240" w:lineRule="auto"/>
              <w:ind w:left="187"/>
              <w:rPr>
                <w:rFonts w:asciiTheme="minorHAnsi" w:hAnsiTheme="minorHAnsi" w:cstheme="minorHAnsi"/>
                <w:sz w:val="20"/>
                <w:szCs w:val="20"/>
              </w:rPr>
            </w:pPr>
          </w:p>
          <w:p w14:paraId="64660AD6" w14:textId="77777777" w:rsidR="002B1763" w:rsidRPr="00A20F63" w:rsidRDefault="002B1763" w:rsidP="008E7AC7">
            <w:pPr>
              <w:spacing w:after="0" w:line="240" w:lineRule="auto"/>
              <w:ind w:left="187" w:right="115"/>
              <w:jc w:val="both"/>
              <w:rPr>
                <w:rFonts w:asciiTheme="minorHAnsi" w:hAnsiTheme="minorHAnsi" w:cstheme="minorHAnsi"/>
                <w:sz w:val="20"/>
                <w:szCs w:val="20"/>
              </w:rPr>
            </w:pPr>
          </w:p>
        </w:tc>
        <w:tc>
          <w:tcPr>
            <w:tcW w:w="3060" w:type="dxa"/>
            <w:tcBorders>
              <w:top w:val="single" w:sz="4" w:space="0" w:color="000000"/>
              <w:left w:val="single" w:sz="4" w:space="0" w:color="000000"/>
              <w:bottom w:val="single" w:sz="4" w:space="0" w:color="000000"/>
              <w:right w:val="single" w:sz="4" w:space="0" w:color="000000"/>
            </w:tcBorders>
          </w:tcPr>
          <w:p w14:paraId="39BA8DCF" w14:textId="77777777" w:rsidR="002B1763" w:rsidRPr="00A20F63" w:rsidRDefault="002B1763" w:rsidP="008E7AC7">
            <w:pPr>
              <w:widowControl w:val="0"/>
              <w:autoSpaceDE w:val="0"/>
              <w:autoSpaceDN w:val="0"/>
              <w:adjustRightInd w:val="0"/>
              <w:spacing w:after="0" w:line="240" w:lineRule="auto"/>
              <w:ind w:left="102" w:right="-20"/>
              <w:rPr>
                <w:rFonts w:asciiTheme="minorHAnsi" w:hAnsiTheme="minorHAnsi" w:cstheme="minorHAnsi"/>
                <w:sz w:val="20"/>
                <w:szCs w:val="20"/>
              </w:rPr>
            </w:pPr>
            <w:r w:rsidRPr="00A20F63">
              <w:rPr>
                <w:rFonts w:asciiTheme="minorHAnsi" w:hAnsiTheme="minorHAnsi" w:cstheme="minorHAnsi"/>
                <w:sz w:val="20"/>
                <w:szCs w:val="20"/>
              </w:rPr>
              <w:t>No. This reform is to improve the tax administration which has been assessed not to have any impact on environment.</w:t>
            </w:r>
          </w:p>
        </w:tc>
        <w:tc>
          <w:tcPr>
            <w:tcW w:w="3060" w:type="dxa"/>
            <w:tcBorders>
              <w:top w:val="single" w:sz="4" w:space="0" w:color="000000"/>
              <w:left w:val="single" w:sz="4" w:space="0" w:color="000000"/>
              <w:bottom w:val="single" w:sz="4" w:space="0" w:color="000000"/>
              <w:right w:val="single" w:sz="4" w:space="0" w:color="000000"/>
            </w:tcBorders>
          </w:tcPr>
          <w:p w14:paraId="44DEFE6A" w14:textId="7B0E74A0" w:rsidR="002B1763" w:rsidRPr="00A20F63" w:rsidRDefault="002B1763" w:rsidP="008E7AC7">
            <w:pPr>
              <w:widowControl w:val="0"/>
              <w:autoSpaceDE w:val="0"/>
              <w:autoSpaceDN w:val="0"/>
              <w:adjustRightInd w:val="0"/>
              <w:spacing w:after="0" w:line="240" w:lineRule="auto"/>
              <w:ind w:left="102" w:right="-20"/>
              <w:rPr>
                <w:rFonts w:asciiTheme="minorHAnsi" w:hAnsiTheme="minorHAnsi" w:cstheme="minorHAnsi"/>
                <w:sz w:val="20"/>
                <w:szCs w:val="20"/>
              </w:rPr>
            </w:pPr>
            <w:r w:rsidRPr="00A20F63">
              <w:rPr>
                <w:rFonts w:asciiTheme="minorHAnsi" w:hAnsiTheme="minorHAnsi" w:cstheme="minorHAnsi"/>
                <w:sz w:val="20"/>
                <w:szCs w:val="20"/>
              </w:rPr>
              <w:t xml:space="preserve">Yes, positive. This measure is assessed to have positive poverty impact by increasing tax revenues generated through fraud reduction, and thus will increase fiscal space to invest in pro-poor spending. </w:t>
            </w:r>
          </w:p>
        </w:tc>
      </w:tr>
      <w:tr w:rsidR="002B1763" w:rsidRPr="00B66802" w14:paraId="0D2AA02F" w14:textId="77777777" w:rsidTr="00410051">
        <w:trPr>
          <w:trHeight w:hRule="exact" w:val="1349"/>
        </w:trPr>
        <w:tc>
          <w:tcPr>
            <w:tcW w:w="4500" w:type="dxa"/>
            <w:tcBorders>
              <w:top w:val="single" w:sz="4" w:space="0" w:color="000000"/>
              <w:left w:val="single" w:sz="4" w:space="0" w:color="000000"/>
              <w:bottom w:val="single" w:sz="4" w:space="0" w:color="000000"/>
              <w:right w:val="single" w:sz="4" w:space="0" w:color="000000"/>
            </w:tcBorders>
          </w:tcPr>
          <w:p w14:paraId="6D22581E" w14:textId="77777777" w:rsidR="002B1763" w:rsidRPr="00DC050B" w:rsidRDefault="002B1763" w:rsidP="008E7AC7">
            <w:pPr>
              <w:spacing w:after="0" w:line="240" w:lineRule="auto"/>
              <w:ind w:left="187" w:right="115"/>
              <w:rPr>
                <w:rFonts w:asciiTheme="minorHAnsi" w:hAnsiTheme="minorHAnsi" w:cstheme="minorHAnsi"/>
                <w:b/>
                <w:sz w:val="20"/>
                <w:szCs w:val="20"/>
              </w:rPr>
            </w:pPr>
            <w:r w:rsidRPr="00B66802">
              <w:rPr>
                <w:rFonts w:asciiTheme="minorHAnsi" w:hAnsiTheme="minorHAnsi" w:cstheme="minorHAnsi"/>
                <w:b/>
                <w:sz w:val="20"/>
                <w:szCs w:val="20"/>
              </w:rPr>
              <w:t>PA#3</w:t>
            </w:r>
            <w:r w:rsidRPr="00BD4A16">
              <w:rPr>
                <w:rFonts w:asciiTheme="minorHAnsi" w:hAnsiTheme="minorHAnsi" w:cstheme="minorHAnsi"/>
                <w:b/>
                <w:sz w:val="20"/>
                <w:szCs w:val="20"/>
              </w:rPr>
              <w:t>.</w:t>
            </w:r>
            <w:r w:rsidRPr="00DC050B">
              <w:rPr>
                <w:rFonts w:asciiTheme="minorHAnsi" w:hAnsiTheme="minorHAnsi" w:cstheme="minorHAnsi"/>
                <w:sz w:val="20"/>
                <w:szCs w:val="20"/>
              </w:rPr>
              <w:t xml:space="preserve"> The Recipient has passed a </w:t>
            </w:r>
            <w:r w:rsidRPr="00AB5D73">
              <w:rPr>
                <w:rFonts w:asciiTheme="minorHAnsi" w:hAnsiTheme="minorHAnsi" w:cstheme="minorHAnsi"/>
                <w:i/>
                <w:sz w:val="20"/>
              </w:rPr>
              <w:t>Décret n°2017- 472 portant fixation des prix maxima affichés à la pompe,</w:t>
            </w:r>
            <w:r w:rsidRPr="00B66802">
              <w:rPr>
                <w:rFonts w:asciiTheme="minorHAnsi" w:hAnsiTheme="minorHAnsi" w:cstheme="minorHAnsi"/>
                <w:sz w:val="18"/>
                <w:szCs w:val="20"/>
              </w:rPr>
              <w:t xml:space="preserve"> </w:t>
            </w:r>
            <w:r w:rsidRPr="00B66802">
              <w:rPr>
                <w:rFonts w:asciiTheme="minorHAnsi" w:hAnsiTheme="minorHAnsi" w:cstheme="minorHAnsi"/>
                <w:sz w:val="20"/>
                <w:szCs w:val="20"/>
              </w:rPr>
              <w:t xml:space="preserve">which eliminates the fuel subsidy. </w:t>
            </w:r>
            <w:r w:rsidRPr="00BD4A16">
              <w:rPr>
                <w:rFonts w:asciiTheme="minorHAnsi" w:hAnsiTheme="minorHAnsi" w:cstheme="minorHAnsi"/>
                <w:sz w:val="20"/>
                <w:szCs w:val="20"/>
              </w:rPr>
              <w:t xml:space="preserve">  </w:t>
            </w:r>
          </w:p>
          <w:p w14:paraId="599B5E73" w14:textId="77777777" w:rsidR="002B1763" w:rsidRPr="00DC050B" w:rsidRDefault="002B1763" w:rsidP="008E7AC7">
            <w:pPr>
              <w:widowControl w:val="0"/>
              <w:autoSpaceDE w:val="0"/>
              <w:autoSpaceDN w:val="0"/>
              <w:adjustRightInd w:val="0"/>
              <w:spacing w:after="0" w:line="240" w:lineRule="auto"/>
              <w:ind w:left="102" w:right="-20"/>
              <w:rPr>
                <w:rFonts w:asciiTheme="minorHAnsi" w:hAnsiTheme="minorHAnsi" w:cstheme="minorHAnsi"/>
                <w:b/>
                <w:sz w:val="20"/>
                <w:szCs w:val="20"/>
              </w:rPr>
            </w:pPr>
          </w:p>
        </w:tc>
        <w:tc>
          <w:tcPr>
            <w:tcW w:w="3060" w:type="dxa"/>
            <w:tcBorders>
              <w:top w:val="single" w:sz="4" w:space="0" w:color="000000"/>
              <w:left w:val="single" w:sz="4" w:space="0" w:color="000000"/>
              <w:bottom w:val="single" w:sz="4" w:space="0" w:color="000000"/>
              <w:right w:val="single" w:sz="4" w:space="0" w:color="000000"/>
            </w:tcBorders>
          </w:tcPr>
          <w:p w14:paraId="38833CD1" w14:textId="77777777" w:rsidR="002B1763" w:rsidRPr="00DC050B" w:rsidRDefault="002B1763" w:rsidP="008E7AC7">
            <w:pPr>
              <w:widowControl w:val="0"/>
              <w:autoSpaceDE w:val="0"/>
              <w:autoSpaceDN w:val="0"/>
              <w:adjustRightInd w:val="0"/>
              <w:spacing w:after="0" w:line="240" w:lineRule="auto"/>
              <w:ind w:left="102" w:right="-20"/>
              <w:rPr>
                <w:rFonts w:asciiTheme="minorHAnsi" w:hAnsiTheme="minorHAnsi" w:cstheme="minorHAnsi"/>
                <w:sz w:val="20"/>
                <w:szCs w:val="20"/>
              </w:rPr>
            </w:pPr>
            <w:r w:rsidRPr="00DC050B">
              <w:rPr>
                <w:rFonts w:asciiTheme="minorHAnsi" w:hAnsiTheme="minorHAnsi" w:cstheme="minorHAnsi"/>
                <w:sz w:val="20"/>
                <w:szCs w:val="20"/>
              </w:rPr>
              <w:t>Yes. This reform should have positive environmental impact by curbing fuel consumption. The extend depend on the responses of consumers to price increase.</w:t>
            </w:r>
          </w:p>
        </w:tc>
        <w:tc>
          <w:tcPr>
            <w:tcW w:w="3060" w:type="dxa"/>
            <w:tcBorders>
              <w:top w:val="single" w:sz="4" w:space="0" w:color="000000"/>
              <w:left w:val="single" w:sz="4" w:space="0" w:color="000000"/>
              <w:bottom w:val="single" w:sz="4" w:space="0" w:color="000000"/>
              <w:right w:val="single" w:sz="4" w:space="0" w:color="000000"/>
            </w:tcBorders>
          </w:tcPr>
          <w:p w14:paraId="1DC0EC01" w14:textId="77777777" w:rsidR="002B1763" w:rsidRPr="006C66C2" w:rsidRDefault="002B1763" w:rsidP="008E7AC7">
            <w:pPr>
              <w:widowControl w:val="0"/>
              <w:autoSpaceDE w:val="0"/>
              <w:autoSpaceDN w:val="0"/>
              <w:adjustRightInd w:val="0"/>
              <w:spacing w:after="0" w:line="240" w:lineRule="auto"/>
              <w:ind w:left="102" w:right="-20"/>
              <w:rPr>
                <w:rFonts w:asciiTheme="minorHAnsi" w:hAnsiTheme="minorHAnsi" w:cstheme="minorHAnsi"/>
                <w:sz w:val="20"/>
                <w:szCs w:val="20"/>
              </w:rPr>
            </w:pPr>
            <w:r w:rsidRPr="00DC050B">
              <w:rPr>
                <w:rFonts w:asciiTheme="minorHAnsi" w:hAnsiTheme="minorHAnsi" w:cstheme="minorHAnsi"/>
                <w:sz w:val="20"/>
                <w:szCs w:val="20"/>
              </w:rPr>
              <w:t>Yes, positive. The fuel subsidy was regressive.</w:t>
            </w:r>
            <w:r w:rsidRPr="006C66C2">
              <w:rPr>
                <w:rFonts w:asciiTheme="minorHAnsi" w:hAnsiTheme="minorHAnsi" w:cstheme="minorHAnsi"/>
                <w:sz w:val="20"/>
                <w:szCs w:val="20"/>
              </w:rPr>
              <w:t xml:space="preserve"> The elimination of the fuel subsidy frees up resources that can be used to increase social spending.</w:t>
            </w:r>
          </w:p>
        </w:tc>
      </w:tr>
      <w:tr w:rsidR="002B1763" w:rsidRPr="00B66802" w14:paraId="63763D25" w14:textId="77777777" w:rsidTr="002915FD">
        <w:trPr>
          <w:trHeight w:hRule="exact" w:val="3311"/>
        </w:trPr>
        <w:tc>
          <w:tcPr>
            <w:tcW w:w="4500" w:type="dxa"/>
            <w:tcBorders>
              <w:top w:val="single" w:sz="4" w:space="0" w:color="000000"/>
              <w:left w:val="single" w:sz="4" w:space="0" w:color="000000"/>
              <w:bottom w:val="single" w:sz="4" w:space="0" w:color="000000"/>
              <w:right w:val="single" w:sz="4" w:space="0" w:color="000000"/>
            </w:tcBorders>
          </w:tcPr>
          <w:p w14:paraId="374FD8EE" w14:textId="77777777" w:rsidR="002B1763" w:rsidRPr="00A20F63" w:rsidRDefault="002B1763" w:rsidP="008E7AC7">
            <w:pPr>
              <w:keepLines/>
              <w:spacing w:after="0" w:line="240" w:lineRule="auto"/>
              <w:ind w:left="245" w:right="302"/>
              <w:jc w:val="both"/>
              <w:rPr>
                <w:rFonts w:asciiTheme="minorHAnsi" w:hAnsiTheme="minorHAnsi" w:cstheme="minorHAnsi"/>
                <w:sz w:val="20"/>
                <w:szCs w:val="20"/>
              </w:rPr>
            </w:pPr>
            <w:r w:rsidRPr="00B66802">
              <w:rPr>
                <w:rFonts w:asciiTheme="minorHAnsi" w:hAnsiTheme="minorHAnsi" w:cstheme="minorHAnsi"/>
                <w:b/>
                <w:sz w:val="20"/>
                <w:szCs w:val="20"/>
              </w:rPr>
              <w:t>PA#4.</w:t>
            </w:r>
            <w:r w:rsidRPr="00BD4A16">
              <w:rPr>
                <w:rFonts w:asciiTheme="minorHAnsi" w:hAnsiTheme="minorHAnsi" w:cstheme="minorHAnsi"/>
                <w:sz w:val="20"/>
                <w:szCs w:val="20"/>
              </w:rPr>
              <w:t xml:space="preserve"> The Recipient has (i) completed the verification of the roster of pension beneficiaries in rural collectivities to remove ineligible beneficiaries </w:t>
            </w:r>
            <w:r w:rsidRPr="00DC050B">
              <w:rPr>
                <w:rFonts w:asciiTheme="minorHAnsi" w:hAnsiTheme="minorHAnsi" w:cstheme="minorHAnsi"/>
                <w:sz w:val="20"/>
                <w:szCs w:val="20"/>
              </w:rPr>
              <w:t xml:space="preserve">and (ii) issued a </w:t>
            </w:r>
            <w:r w:rsidRPr="00DC050B">
              <w:rPr>
                <w:rFonts w:asciiTheme="minorHAnsi" w:hAnsiTheme="minorHAnsi" w:cstheme="minorHAnsi"/>
                <w:i/>
                <w:sz w:val="20"/>
                <w:szCs w:val="20"/>
              </w:rPr>
              <w:t xml:space="preserve">Circulaire relative à la Standardisation des procédures de versement de cotisations à la Caisse de Prévoyance des Retraites et à la Caisse de Retraite Civile et Militaire n°475-2017/MFB/SG/DGGFPE/DGEAE/DSC du 9 Août 2017 </w:t>
            </w:r>
            <w:r w:rsidRPr="00DC050B">
              <w:rPr>
                <w:rFonts w:asciiTheme="minorHAnsi" w:hAnsiTheme="minorHAnsi" w:cstheme="minorHAnsi"/>
                <w:sz w:val="20"/>
                <w:szCs w:val="20"/>
              </w:rPr>
              <w:t>to outline the ob</w:t>
            </w:r>
            <w:r w:rsidRPr="006C66C2">
              <w:rPr>
                <w:rFonts w:asciiTheme="minorHAnsi" w:hAnsiTheme="minorHAnsi" w:cstheme="minorHAnsi"/>
                <w:sz w:val="20"/>
                <w:szCs w:val="20"/>
              </w:rPr>
              <w:t>ligations and process related to the payment of contributions, and the sanctions in the cases of non-compliance,</w:t>
            </w:r>
            <w:r w:rsidRPr="006C66C2">
              <w:rPr>
                <w:rFonts w:asciiTheme="minorHAnsi" w:hAnsiTheme="minorHAnsi" w:cstheme="minorHAnsi"/>
                <w:i/>
                <w:sz w:val="20"/>
                <w:szCs w:val="20"/>
              </w:rPr>
              <w:t xml:space="preserve"> </w:t>
            </w:r>
            <w:r w:rsidRPr="00A20F63">
              <w:rPr>
                <w:rFonts w:asciiTheme="minorHAnsi" w:hAnsiTheme="minorHAnsi" w:cstheme="minorHAnsi"/>
                <w:sz w:val="20"/>
                <w:szCs w:val="20"/>
              </w:rPr>
              <w:t>in order to reduce the transfer to the Pension Fund</w:t>
            </w:r>
          </w:p>
        </w:tc>
        <w:tc>
          <w:tcPr>
            <w:tcW w:w="3060" w:type="dxa"/>
            <w:tcBorders>
              <w:top w:val="single" w:sz="4" w:space="0" w:color="000000"/>
              <w:left w:val="single" w:sz="4" w:space="0" w:color="000000"/>
              <w:bottom w:val="single" w:sz="4" w:space="0" w:color="000000"/>
              <w:right w:val="single" w:sz="4" w:space="0" w:color="000000"/>
            </w:tcBorders>
          </w:tcPr>
          <w:p w14:paraId="0D420299" w14:textId="48A9BD7E" w:rsidR="002B1763" w:rsidRPr="00A20F63" w:rsidRDefault="002B1763" w:rsidP="008E7AC7">
            <w:pPr>
              <w:widowControl w:val="0"/>
              <w:autoSpaceDE w:val="0"/>
              <w:autoSpaceDN w:val="0"/>
              <w:adjustRightInd w:val="0"/>
              <w:spacing w:after="0" w:line="240" w:lineRule="auto"/>
              <w:ind w:left="102" w:right="-20"/>
              <w:rPr>
                <w:rFonts w:asciiTheme="minorHAnsi" w:hAnsiTheme="minorHAnsi" w:cstheme="minorHAnsi"/>
                <w:sz w:val="20"/>
                <w:szCs w:val="20"/>
              </w:rPr>
            </w:pPr>
            <w:r w:rsidRPr="00A20F63">
              <w:rPr>
                <w:rFonts w:asciiTheme="minorHAnsi" w:hAnsiTheme="minorHAnsi" w:cstheme="minorHAnsi"/>
                <w:sz w:val="20"/>
                <w:szCs w:val="20"/>
              </w:rPr>
              <w:t xml:space="preserve">No. This is an institutional reform </w:t>
            </w:r>
            <w:r w:rsidR="0096744D" w:rsidRPr="00A20F63">
              <w:rPr>
                <w:rFonts w:asciiTheme="minorHAnsi" w:hAnsiTheme="minorHAnsi" w:cstheme="minorHAnsi"/>
                <w:sz w:val="20"/>
                <w:szCs w:val="20"/>
              </w:rPr>
              <w:t>that</w:t>
            </w:r>
            <w:r w:rsidRPr="00A20F63">
              <w:rPr>
                <w:rFonts w:asciiTheme="minorHAnsi" w:hAnsiTheme="minorHAnsi" w:cstheme="minorHAnsi"/>
                <w:sz w:val="20"/>
                <w:szCs w:val="20"/>
              </w:rPr>
              <w:t xml:space="preserve"> is not expected to have an environmental impact.</w:t>
            </w:r>
          </w:p>
        </w:tc>
        <w:tc>
          <w:tcPr>
            <w:tcW w:w="3060" w:type="dxa"/>
            <w:tcBorders>
              <w:top w:val="single" w:sz="4" w:space="0" w:color="000000"/>
              <w:left w:val="single" w:sz="4" w:space="0" w:color="000000"/>
              <w:bottom w:val="single" w:sz="4" w:space="0" w:color="000000"/>
              <w:right w:val="single" w:sz="4" w:space="0" w:color="000000"/>
            </w:tcBorders>
          </w:tcPr>
          <w:p w14:paraId="386A5CC8" w14:textId="77777777" w:rsidR="002B1763" w:rsidRPr="00A20F63" w:rsidRDefault="002B1763" w:rsidP="008E7AC7">
            <w:pPr>
              <w:widowControl w:val="0"/>
              <w:autoSpaceDE w:val="0"/>
              <w:autoSpaceDN w:val="0"/>
              <w:adjustRightInd w:val="0"/>
              <w:spacing w:after="0" w:line="240" w:lineRule="auto"/>
              <w:ind w:left="102" w:right="-20"/>
              <w:rPr>
                <w:rFonts w:asciiTheme="minorHAnsi" w:hAnsiTheme="minorHAnsi" w:cstheme="minorHAnsi"/>
                <w:sz w:val="20"/>
                <w:szCs w:val="20"/>
              </w:rPr>
            </w:pPr>
            <w:r w:rsidRPr="00A20F63">
              <w:rPr>
                <w:rFonts w:asciiTheme="minorHAnsi" w:hAnsiTheme="minorHAnsi" w:cstheme="minorHAnsi"/>
                <w:sz w:val="20"/>
                <w:szCs w:val="20"/>
              </w:rPr>
              <w:t>Yes, positive. Over 90 percent of future beneficiaries of the Pension Fund are in the top two quintiles. Reducing budget transfers to the Pension Fund will free up budget resources that can be used for social spending.</w:t>
            </w:r>
          </w:p>
        </w:tc>
      </w:tr>
      <w:tr w:rsidR="002B1763" w:rsidRPr="00B66802" w14:paraId="79ABCFDD" w14:textId="77777777" w:rsidTr="008E7AC7">
        <w:trPr>
          <w:trHeight w:hRule="exact" w:val="791"/>
        </w:trPr>
        <w:tc>
          <w:tcPr>
            <w:tcW w:w="4500" w:type="dxa"/>
            <w:tcBorders>
              <w:top w:val="single" w:sz="4" w:space="0" w:color="000000"/>
              <w:left w:val="single" w:sz="4" w:space="0" w:color="000000"/>
              <w:bottom w:val="single" w:sz="4" w:space="0" w:color="000000"/>
              <w:right w:val="single" w:sz="4" w:space="0" w:color="000000"/>
            </w:tcBorders>
          </w:tcPr>
          <w:p w14:paraId="4A14A223" w14:textId="77777777" w:rsidR="002B1763" w:rsidRPr="00B66802" w:rsidRDefault="002B1763" w:rsidP="008E7AC7">
            <w:pPr>
              <w:keepLines/>
              <w:spacing w:after="0" w:line="240" w:lineRule="auto"/>
              <w:ind w:left="245" w:right="302"/>
              <w:jc w:val="both"/>
              <w:rPr>
                <w:rFonts w:asciiTheme="minorHAnsi" w:hAnsiTheme="minorHAnsi" w:cstheme="minorHAnsi"/>
                <w:sz w:val="20"/>
                <w:szCs w:val="20"/>
                <w:lang w:val="fr-FR"/>
              </w:rPr>
            </w:pPr>
            <w:r w:rsidRPr="00B66802">
              <w:rPr>
                <w:rFonts w:asciiTheme="minorHAnsi" w:hAnsiTheme="minorHAnsi" w:cstheme="minorHAnsi"/>
                <w:b/>
                <w:sz w:val="20"/>
                <w:szCs w:val="20"/>
                <w:lang w:val="fr-FR"/>
              </w:rPr>
              <w:t>PA#5.</w:t>
            </w:r>
            <w:r w:rsidRPr="00B66802">
              <w:rPr>
                <w:rFonts w:asciiTheme="minorHAnsi" w:hAnsiTheme="minorHAnsi" w:cstheme="minorHAnsi"/>
                <w:sz w:val="20"/>
                <w:szCs w:val="20"/>
                <w:lang w:val="fr-FR"/>
              </w:rPr>
              <w:t xml:space="preserve"> </w:t>
            </w:r>
            <w:r w:rsidRPr="00BD4A16">
              <w:rPr>
                <w:rFonts w:asciiTheme="minorHAnsi" w:hAnsiTheme="minorHAnsi" w:cstheme="minorHAnsi"/>
                <w:sz w:val="20"/>
                <w:szCs w:val="20"/>
                <w:lang w:val="fr-FR"/>
              </w:rPr>
              <w:t>The Recipient has adopted the a</w:t>
            </w:r>
            <w:r w:rsidRPr="00DC050B">
              <w:rPr>
                <w:rFonts w:asciiTheme="minorHAnsi" w:hAnsiTheme="minorHAnsi" w:cstheme="minorHAnsi"/>
                <w:sz w:val="20"/>
                <w:szCs w:val="20"/>
                <w:lang w:val="fr-FR"/>
              </w:rPr>
              <w:t xml:space="preserve">pplication decrees for the </w:t>
            </w:r>
            <w:r w:rsidRPr="00DC050B">
              <w:rPr>
                <w:rFonts w:asciiTheme="minorHAnsi" w:hAnsiTheme="minorHAnsi" w:cstheme="minorHAnsi"/>
                <w:i/>
                <w:sz w:val="20"/>
                <w:szCs w:val="20"/>
                <w:lang w:val="fr-FR"/>
              </w:rPr>
              <w:t xml:space="preserve">Loi n°2015-039 du 3 février 2016 sur le partenariat public-privé </w:t>
            </w:r>
            <w:r w:rsidRPr="00DC050B">
              <w:rPr>
                <w:rFonts w:asciiTheme="minorHAnsi" w:hAnsiTheme="minorHAnsi" w:cstheme="minorHAnsi"/>
                <w:sz w:val="20"/>
                <w:szCs w:val="20"/>
                <w:lang w:val="fr-FR"/>
              </w:rPr>
              <w:t>including : the</w:t>
            </w:r>
            <w:r w:rsidRPr="00DC050B">
              <w:rPr>
                <w:rFonts w:asciiTheme="minorHAnsi" w:hAnsiTheme="minorHAnsi" w:cstheme="minorHAnsi"/>
                <w:i/>
                <w:sz w:val="20"/>
                <w:szCs w:val="20"/>
                <w:lang w:val="fr-FR"/>
              </w:rPr>
              <w:t xml:space="preserve"> Décret N°2017- 150 relatif au cadre institutionnel </w:t>
            </w:r>
            <w:r w:rsidRPr="006C66C2">
              <w:rPr>
                <w:rFonts w:asciiTheme="minorHAnsi" w:hAnsiTheme="minorHAnsi" w:cstheme="minorHAnsi"/>
                <w:sz w:val="20"/>
                <w:szCs w:val="20"/>
                <w:lang w:val="fr-FR"/>
              </w:rPr>
              <w:t xml:space="preserve">and the </w:t>
            </w:r>
            <w:r w:rsidRPr="006C66C2">
              <w:rPr>
                <w:rFonts w:asciiTheme="minorHAnsi" w:hAnsiTheme="minorHAnsi" w:cstheme="minorHAnsi"/>
                <w:i/>
                <w:sz w:val="20"/>
                <w:szCs w:val="20"/>
                <w:lang w:val="fr-FR"/>
              </w:rPr>
              <w:t>Décret N°2017-149 relatif aux modalités d’application des dispositions concernant la passation des contrats de partenariat public-privé</w:t>
            </w:r>
            <w:r w:rsidRPr="00AB5D73">
              <w:rPr>
                <w:rFonts w:asciiTheme="minorHAnsi" w:hAnsiTheme="minorHAnsi" w:cstheme="minorHAnsi"/>
                <w:lang w:val="fr-FR"/>
              </w:rPr>
              <w:t>.</w:t>
            </w:r>
          </w:p>
          <w:p w14:paraId="149CEF8F" w14:textId="77777777" w:rsidR="002B1763" w:rsidRPr="00BD4A16" w:rsidRDefault="002B1763" w:rsidP="008E7AC7">
            <w:pPr>
              <w:keepLines/>
              <w:spacing w:after="0" w:line="240" w:lineRule="auto"/>
              <w:ind w:left="245" w:right="302"/>
              <w:jc w:val="both"/>
              <w:rPr>
                <w:rFonts w:asciiTheme="minorHAnsi" w:hAnsiTheme="minorHAnsi" w:cstheme="minorHAnsi"/>
                <w:sz w:val="20"/>
                <w:szCs w:val="20"/>
                <w:lang w:val="fr-FR"/>
              </w:rPr>
            </w:pPr>
          </w:p>
          <w:p w14:paraId="639F086E" w14:textId="77777777" w:rsidR="002B1763" w:rsidRPr="00DC050B" w:rsidRDefault="002B1763" w:rsidP="008E7AC7">
            <w:pPr>
              <w:widowControl w:val="0"/>
              <w:autoSpaceDE w:val="0"/>
              <w:autoSpaceDN w:val="0"/>
              <w:adjustRightInd w:val="0"/>
              <w:spacing w:after="0" w:line="240" w:lineRule="auto"/>
              <w:ind w:left="102" w:right="-20"/>
              <w:rPr>
                <w:rFonts w:asciiTheme="minorHAnsi" w:hAnsiTheme="minorHAnsi" w:cstheme="minorHAnsi"/>
                <w:sz w:val="20"/>
                <w:szCs w:val="20"/>
                <w:lang w:val="fr-FR"/>
              </w:rPr>
            </w:pPr>
          </w:p>
        </w:tc>
        <w:tc>
          <w:tcPr>
            <w:tcW w:w="3060" w:type="dxa"/>
            <w:tcBorders>
              <w:top w:val="single" w:sz="4" w:space="0" w:color="000000"/>
              <w:left w:val="single" w:sz="4" w:space="0" w:color="000000"/>
              <w:bottom w:val="single" w:sz="4" w:space="0" w:color="000000"/>
              <w:right w:val="single" w:sz="4" w:space="0" w:color="000000"/>
            </w:tcBorders>
          </w:tcPr>
          <w:p w14:paraId="671348BD" w14:textId="77777777" w:rsidR="002B1763" w:rsidRPr="00DC050B" w:rsidRDefault="002B1763" w:rsidP="008E7AC7">
            <w:pPr>
              <w:widowControl w:val="0"/>
              <w:autoSpaceDE w:val="0"/>
              <w:autoSpaceDN w:val="0"/>
              <w:adjustRightInd w:val="0"/>
              <w:spacing w:after="0" w:line="240" w:lineRule="auto"/>
              <w:ind w:left="102" w:right="-20"/>
              <w:rPr>
                <w:rFonts w:asciiTheme="minorHAnsi" w:hAnsiTheme="minorHAnsi" w:cstheme="minorHAnsi"/>
                <w:sz w:val="20"/>
                <w:szCs w:val="20"/>
              </w:rPr>
            </w:pPr>
            <w:r w:rsidRPr="00DC050B">
              <w:rPr>
                <w:rFonts w:asciiTheme="minorHAnsi" w:hAnsiTheme="minorHAnsi" w:cstheme="minorHAnsi"/>
                <w:sz w:val="20"/>
                <w:szCs w:val="20"/>
              </w:rPr>
              <w:t>Environmental impacts could be negative or positive depending on the type of investment that will be implemented.</w:t>
            </w:r>
          </w:p>
        </w:tc>
        <w:tc>
          <w:tcPr>
            <w:tcW w:w="3060" w:type="dxa"/>
            <w:tcBorders>
              <w:top w:val="single" w:sz="4" w:space="0" w:color="000000"/>
              <w:left w:val="single" w:sz="4" w:space="0" w:color="000000"/>
              <w:bottom w:val="single" w:sz="4" w:space="0" w:color="000000"/>
              <w:right w:val="single" w:sz="4" w:space="0" w:color="000000"/>
            </w:tcBorders>
          </w:tcPr>
          <w:p w14:paraId="69DA6043" w14:textId="5FB07145" w:rsidR="002B1763" w:rsidRPr="006C66C2" w:rsidRDefault="002B1763" w:rsidP="008E7AC7">
            <w:pPr>
              <w:widowControl w:val="0"/>
              <w:autoSpaceDE w:val="0"/>
              <w:autoSpaceDN w:val="0"/>
              <w:adjustRightInd w:val="0"/>
              <w:spacing w:after="0" w:line="240" w:lineRule="auto"/>
              <w:ind w:left="102" w:right="-20"/>
              <w:rPr>
                <w:rFonts w:asciiTheme="minorHAnsi" w:hAnsiTheme="minorHAnsi" w:cstheme="minorHAnsi"/>
                <w:sz w:val="20"/>
                <w:szCs w:val="20"/>
              </w:rPr>
            </w:pPr>
            <w:r w:rsidRPr="00DC050B">
              <w:rPr>
                <w:rFonts w:asciiTheme="minorHAnsi" w:hAnsiTheme="minorHAnsi" w:cstheme="minorHAnsi"/>
                <w:sz w:val="20"/>
                <w:szCs w:val="20"/>
              </w:rPr>
              <w:t>Yes. The investment generated by an improved PPP framework would fill the gap in public infr</w:t>
            </w:r>
            <w:r w:rsidRPr="006C66C2">
              <w:rPr>
                <w:rFonts w:asciiTheme="minorHAnsi" w:hAnsiTheme="minorHAnsi" w:cstheme="minorHAnsi"/>
                <w:sz w:val="20"/>
                <w:szCs w:val="20"/>
              </w:rPr>
              <w:t>astructure. As more private invest in the energy sector, access to electricity is expected to improve.</w:t>
            </w:r>
          </w:p>
        </w:tc>
      </w:tr>
      <w:tr w:rsidR="002B1763" w:rsidRPr="00B66802" w14:paraId="4F9FC166" w14:textId="77777777" w:rsidTr="00410051">
        <w:trPr>
          <w:trHeight w:hRule="exact" w:val="2807"/>
        </w:trPr>
        <w:tc>
          <w:tcPr>
            <w:tcW w:w="4500" w:type="dxa"/>
            <w:tcBorders>
              <w:top w:val="single" w:sz="4" w:space="0" w:color="000000"/>
              <w:left w:val="single" w:sz="4" w:space="0" w:color="000000"/>
              <w:bottom w:val="single" w:sz="4" w:space="0" w:color="000000"/>
              <w:right w:val="single" w:sz="4" w:space="0" w:color="000000"/>
            </w:tcBorders>
          </w:tcPr>
          <w:p w14:paraId="4F525635" w14:textId="77777777" w:rsidR="002B1763" w:rsidRPr="00B66802" w:rsidRDefault="002B1763" w:rsidP="00417985">
            <w:pPr>
              <w:keepLines/>
              <w:spacing w:after="0" w:line="240" w:lineRule="auto"/>
              <w:ind w:left="245" w:right="302"/>
              <w:jc w:val="both"/>
              <w:rPr>
                <w:rFonts w:asciiTheme="minorHAnsi" w:hAnsiTheme="minorHAnsi" w:cstheme="minorHAnsi"/>
                <w:sz w:val="20"/>
                <w:szCs w:val="20"/>
              </w:rPr>
            </w:pPr>
            <w:r w:rsidRPr="00B66802">
              <w:rPr>
                <w:rFonts w:asciiTheme="minorHAnsi" w:hAnsiTheme="minorHAnsi" w:cstheme="minorHAnsi"/>
                <w:b/>
                <w:sz w:val="20"/>
                <w:szCs w:val="20"/>
              </w:rPr>
              <w:lastRenderedPageBreak/>
              <w:t>PA#6.</w:t>
            </w:r>
            <w:r w:rsidRPr="00B66802">
              <w:rPr>
                <w:rFonts w:asciiTheme="minorHAnsi" w:hAnsiTheme="minorHAnsi" w:cstheme="minorHAnsi"/>
                <w:sz w:val="20"/>
                <w:szCs w:val="20"/>
              </w:rPr>
              <w:t xml:space="preserve"> </w:t>
            </w:r>
            <w:r w:rsidRPr="00AB5D73">
              <w:rPr>
                <w:rFonts w:asciiTheme="minorHAnsi" w:hAnsiTheme="minorHAnsi" w:cstheme="minorHAnsi"/>
                <w:sz w:val="20"/>
                <w:szCs w:val="20"/>
              </w:rPr>
              <w:t xml:space="preserve">The Recipient has issued a </w:t>
            </w:r>
            <w:r w:rsidRPr="00AB5D73">
              <w:rPr>
                <w:rFonts w:asciiTheme="minorHAnsi" w:hAnsiTheme="minorHAnsi" w:cstheme="minorHAnsi"/>
                <w:i/>
                <w:iCs/>
                <w:sz w:val="20"/>
                <w:szCs w:val="20"/>
              </w:rPr>
              <w:t xml:space="preserve">Circulaire relative à la preparation des projets du Programme d’Investissement Public 2018-2020, Tranche 2018 (sur financement intérieur) N. 007-MFB/SG/DGB du 30 Juin 2017 </w:t>
            </w:r>
            <w:r w:rsidRPr="00AB5D73">
              <w:rPr>
                <w:rFonts w:asciiTheme="minorHAnsi" w:hAnsiTheme="minorHAnsi" w:cstheme="minorHAnsi"/>
                <w:sz w:val="20"/>
                <w:szCs w:val="20"/>
              </w:rPr>
              <w:t>that improves the selection process of domestically-financed investment projects through standardizing selection criteria and the screening of all project proposals with pre-defined parameters in line with the National Development Plan</w:t>
            </w:r>
            <w:r w:rsidRPr="00B66802">
              <w:rPr>
                <w:rFonts w:asciiTheme="minorHAnsi" w:hAnsiTheme="minorHAnsi" w:cstheme="minorHAnsi"/>
                <w:sz w:val="20"/>
                <w:szCs w:val="20"/>
              </w:rPr>
              <w:t>.</w:t>
            </w:r>
          </w:p>
          <w:p w14:paraId="24C21216" w14:textId="77777777" w:rsidR="002B1763" w:rsidRPr="00BD4A16" w:rsidRDefault="002B1763" w:rsidP="008E7AC7">
            <w:pPr>
              <w:widowControl w:val="0"/>
              <w:autoSpaceDE w:val="0"/>
              <w:autoSpaceDN w:val="0"/>
              <w:adjustRightInd w:val="0"/>
              <w:spacing w:after="0" w:line="240" w:lineRule="auto"/>
              <w:ind w:left="102" w:right="-20"/>
              <w:rPr>
                <w:rFonts w:asciiTheme="minorHAnsi" w:hAnsiTheme="minorHAnsi" w:cstheme="minorHAnsi"/>
                <w:sz w:val="20"/>
                <w:szCs w:val="20"/>
              </w:rPr>
            </w:pPr>
          </w:p>
        </w:tc>
        <w:tc>
          <w:tcPr>
            <w:tcW w:w="3060" w:type="dxa"/>
            <w:tcBorders>
              <w:top w:val="single" w:sz="4" w:space="0" w:color="000000"/>
              <w:left w:val="single" w:sz="4" w:space="0" w:color="000000"/>
              <w:bottom w:val="single" w:sz="4" w:space="0" w:color="000000"/>
              <w:right w:val="single" w:sz="4" w:space="0" w:color="000000"/>
            </w:tcBorders>
          </w:tcPr>
          <w:p w14:paraId="443C9FDF" w14:textId="77777777" w:rsidR="002B1763" w:rsidRPr="00DC050B" w:rsidRDefault="002B1763" w:rsidP="008E7AC7">
            <w:pPr>
              <w:widowControl w:val="0"/>
              <w:autoSpaceDE w:val="0"/>
              <w:autoSpaceDN w:val="0"/>
              <w:adjustRightInd w:val="0"/>
              <w:spacing w:after="0" w:line="240" w:lineRule="auto"/>
              <w:ind w:left="102" w:right="-20"/>
              <w:rPr>
                <w:rFonts w:asciiTheme="minorHAnsi" w:hAnsiTheme="minorHAnsi" w:cstheme="minorHAnsi"/>
                <w:sz w:val="20"/>
                <w:szCs w:val="20"/>
              </w:rPr>
            </w:pPr>
          </w:p>
        </w:tc>
        <w:tc>
          <w:tcPr>
            <w:tcW w:w="3060" w:type="dxa"/>
            <w:tcBorders>
              <w:top w:val="single" w:sz="4" w:space="0" w:color="000000"/>
              <w:left w:val="single" w:sz="4" w:space="0" w:color="000000"/>
              <w:bottom w:val="single" w:sz="4" w:space="0" w:color="000000"/>
              <w:right w:val="single" w:sz="4" w:space="0" w:color="000000"/>
            </w:tcBorders>
          </w:tcPr>
          <w:p w14:paraId="64CE0B98" w14:textId="77777777" w:rsidR="002B1763" w:rsidRPr="00DC050B" w:rsidRDefault="002B1763" w:rsidP="008E7AC7">
            <w:pPr>
              <w:widowControl w:val="0"/>
              <w:autoSpaceDE w:val="0"/>
              <w:autoSpaceDN w:val="0"/>
              <w:adjustRightInd w:val="0"/>
              <w:spacing w:after="0" w:line="240" w:lineRule="auto"/>
              <w:ind w:left="102" w:right="-20"/>
              <w:rPr>
                <w:rFonts w:asciiTheme="minorHAnsi" w:hAnsiTheme="minorHAnsi" w:cstheme="minorHAnsi"/>
                <w:sz w:val="20"/>
                <w:szCs w:val="20"/>
              </w:rPr>
            </w:pPr>
            <w:r w:rsidRPr="00DC050B">
              <w:rPr>
                <w:rFonts w:asciiTheme="minorHAnsi" w:hAnsiTheme="minorHAnsi" w:cstheme="minorHAnsi"/>
                <w:sz w:val="20"/>
                <w:szCs w:val="20"/>
              </w:rPr>
              <w:t xml:space="preserve">Yes, positive. Projects should be selected that support the NDP, and therefore address economic, poverty and social challenges. </w:t>
            </w:r>
          </w:p>
        </w:tc>
      </w:tr>
      <w:tr w:rsidR="002B1763" w:rsidRPr="00B66802" w14:paraId="19EB5D00" w14:textId="77777777" w:rsidTr="008E7AC7">
        <w:trPr>
          <w:trHeight w:hRule="exact" w:val="359"/>
        </w:trPr>
        <w:tc>
          <w:tcPr>
            <w:tcW w:w="10620" w:type="dxa"/>
            <w:gridSpan w:val="3"/>
            <w:tcBorders>
              <w:top w:val="single" w:sz="4" w:space="0" w:color="000000"/>
              <w:left w:val="single" w:sz="4" w:space="0" w:color="000000"/>
              <w:bottom w:val="single" w:sz="4" w:space="0" w:color="000000"/>
              <w:right w:val="single" w:sz="4" w:space="0" w:color="000000"/>
            </w:tcBorders>
          </w:tcPr>
          <w:p w14:paraId="3ECB5792" w14:textId="77777777" w:rsidR="002B1763" w:rsidRPr="00DC050B" w:rsidRDefault="002B1763" w:rsidP="008E7AC7">
            <w:pPr>
              <w:widowControl w:val="0"/>
              <w:autoSpaceDE w:val="0"/>
              <w:autoSpaceDN w:val="0"/>
              <w:adjustRightInd w:val="0"/>
              <w:spacing w:after="0" w:line="240" w:lineRule="auto"/>
              <w:ind w:right="4203"/>
              <w:jc w:val="center"/>
              <w:rPr>
                <w:rFonts w:asciiTheme="minorHAnsi" w:hAnsiTheme="minorHAnsi" w:cstheme="minorHAnsi"/>
                <w:sz w:val="20"/>
                <w:szCs w:val="20"/>
              </w:rPr>
            </w:pPr>
            <w:r w:rsidRPr="00B66802">
              <w:rPr>
                <w:rFonts w:asciiTheme="minorHAnsi" w:hAnsiTheme="minorHAnsi" w:cstheme="minorHAnsi"/>
                <w:b/>
                <w:i/>
                <w:sz w:val="20"/>
                <w:szCs w:val="20"/>
              </w:rPr>
              <w:t xml:space="preserve">Pillar B: </w:t>
            </w:r>
            <w:r w:rsidRPr="00B66802">
              <w:rPr>
                <w:rFonts w:asciiTheme="minorHAnsi" w:hAnsiTheme="minorHAnsi" w:cstheme="minorHAnsi"/>
                <w:b/>
                <w:bCs/>
                <w:i/>
                <w:iCs/>
                <w:sz w:val="20"/>
                <w:szCs w:val="20"/>
              </w:rPr>
              <w:t>Improve</w:t>
            </w:r>
            <w:r w:rsidRPr="00BD4A16">
              <w:rPr>
                <w:rFonts w:asciiTheme="minorHAnsi" w:hAnsiTheme="minorHAnsi" w:cstheme="minorHAnsi"/>
                <w:b/>
                <w:i/>
                <w:sz w:val="20"/>
                <w:szCs w:val="20"/>
              </w:rPr>
              <w:t xml:space="preserve"> the Environment for Investment</w:t>
            </w:r>
          </w:p>
        </w:tc>
      </w:tr>
      <w:tr w:rsidR="0066600F" w:rsidRPr="00B66802" w14:paraId="3352DE72" w14:textId="77777777" w:rsidTr="00B66802">
        <w:trPr>
          <w:trHeight w:hRule="exact" w:val="1259"/>
        </w:trPr>
        <w:tc>
          <w:tcPr>
            <w:tcW w:w="4500" w:type="dxa"/>
            <w:tcBorders>
              <w:top w:val="single" w:sz="4" w:space="0" w:color="auto"/>
              <w:left w:val="single" w:sz="4" w:space="0" w:color="000000"/>
              <w:bottom w:val="single" w:sz="4" w:space="0" w:color="000000"/>
              <w:right w:val="single" w:sz="4" w:space="0" w:color="000000"/>
            </w:tcBorders>
          </w:tcPr>
          <w:p w14:paraId="755B7E1F" w14:textId="2EFB1D8E" w:rsidR="0066600F" w:rsidRPr="00B66802" w:rsidRDefault="0066600F" w:rsidP="0066600F">
            <w:pPr>
              <w:widowControl w:val="0"/>
              <w:autoSpaceDE w:val="0"/>
              <w:autoSpaceDN w:val="0"/>
              <w:adjustRightInd w:val="0"/>
              <w:spacing w:after="0" w:line="228" w:lineRule="exact"/>
              <w:ind w:left="102" w:right="-20"/>
              <w:rPr>
                <w:rFonts w:asciiTheme="minorHAnsi" w:hAnsiTheme="minorHAnsi" w:cstheme="minorHAnsi"/>
                <w:b/>
                <w:sz w:val="20"/>
                <w:szCs w:val="20"/>
              </w:rPr>
            </w:pPr>
            <w:r w:rsidRPr="00B66802">
              <w:rPr>
                <w:rFonts w:asciiTheme="minorHAnsi" w:hAnsiTheme="minorHAnsi" w:cstheme="minorHAnsi"/>
                <w:b/>
                <w:sz w:val="20"/>
              </w:rPr>
              <w:t>PA#7.</w:t>
            </w:r>
            <w:r w:rsidRPr="00B66802">
              <w:rPr>
                <w:rFonts w:asciiTheme="minorHAnsi" w:hAnsiTheme="minorHAnsi" w:cstheme="minorHAnsi"/>
                <w:sz w:val="20"/>
              </w:rPr>
              <w:t xml:space="preserve"> </w:t>
            </w:r>
            <w:r w:rsidRPr="00AB5D73">
              <w:rPr>
                <w:rFonts w:asciiTheme="minorHAnsi" w:hAnsiTheme="minorHAnsi" w:cstheme="minorHAnsi"/>
                <w:bCs/>
                <w:iCs/>
                <w:sz w:val="20"/>
              </w:rPr>
              <w:t>The Recipient has caused JIRAMA to adopt standard contracts for all new Power Generation Agreements</w:t>
            </w:r>
            <w:r w:rsidRPr="00B66802">
              <w:rPr>
                <w:rFonts w:asciiTheme="minorHAnsi" w:hAnsiTheme="minorHAnsi" w:cstheme="minorHAnsi"/>
                <w:sz w:val="20"/>
              </w:rPr>
              <w:t>.</w:t>
            </w:r>
          </w:p>
        </w:tc>
        <w:tc>
          <w:tcPr>
            <w:tcW w:w="3060" w:type="dxa"/>
            <w:tcBorders>
              <w:top w:val="single" w:sz="4" w:space="0" w:color="000000"/>
              <w:left w:val="single" w:sz="4" w:space="0" w:color="000000"/>
              <w:bottom w:val="single" w:sz="4" w:space="0" w:color="000000"/>
              <w:right w:val="single" w:sz="4" w:space="0" w:color="000000"/>
            </w:tcBorders>
          </w:tcPr>
          <w:p w14:paraId="52026325" w14:textId="24A745F9" w:rsidR="0066600F" w:rsidRPr="00DC050B" w:rsidRDefault="0066600F" w:rsidP="0066600F">
            <w:pPr>
              <w:widowControl w:val="0"/>
              <w:autoSpaceDE w:val="0"/>
              <w:autoSpaceDN w:val="0"/>
              <w:adjustRightInd w:val="0"/>
              <w:spacing w:after="0" w:line="228" w:lineRule="exact"/>
              <w:ind w:left="102" w:right="-20"/>
              <w:rPr>
                <w:rFonts w:asciiTheme="minorHAnsi" w:hAnsiTheme="minorHAnsi" w:cstheme="minorHAnsi"/>
                <w:sz w:val="20"/>
                <w:szCs w:val="20"/>
              </w:rPr>
            </w:pPr>
            <w:r w:rsidRPr="00BD4A16">
              <w:rPr>
                <w:rFonts w:asciiTheme="minorHAnsi" w:hAnsiTheme="minorHAnsi" w:cstheme="minorHAnsi"/>
                <w:sz w:val="20"/>
                <w:szCs w:val="20"/>
              </w:rPr>
              <w:t xml:space="preserve">No. This is an institutional reform </w:t>
            </w:r>
            <w:r w:rsidR="0096744D" w:rsidRPr="00DC050B">
              <w:rPr>
                <w:rFonts w:asciiTheme="minorHAnsi" w:hAnsiTheme="minorHAnsi" w:cstheme="minorHAnsi"/>
                <w:sz w:val="20"/>
                <w:szCs w:val="20"/>
              </w:rPr>
              <w:t>that is</w:t>
            </w:r>
            <w:r w:rsidRPr="00DC050B">
              <w:rPr>
                <w:rFonts w:asciiTheme="minorHAnsi" w:hAnsiTheme="minorHAnsi" w:cstheme="minorHAnsi"/>
                <w:sz w:val="20"/>
                <w:szCs w:val="20"/>
              </w:rPr>
              <w:t xml:space="preserve"> not expected to have environmental impact.</w:t>
            </w:r>
          </w:p>
        </w:tc>
        <w:tc>
          <w:tcPr>
            <w:tcW w:w="3060" w:type="dxa"/>
            <w:tcBorders>
              <w:top w:val="single" w:sz="4" w:space="0" w:color="000000"/>
              <w:left w:val="single" w:sz="4" w:space="0" w:color="000000"/>
              <w:bottom w:val="single" w:sz="4" w:space="0" w:color="000000"/>
              <w:right w:val="single" w:sz="4" w:space="0" w:color="000000"/>
            </w:tcBorders>
          </w:tcPr>
          <w:p w14:paraId="40A27442" w14:textId="77777777" w:rsidR="0066600F" w:rsidRPr="006C66C2" w:rsidRDefault="0066600F" w:rsidP="0066600F">
            <w:pPr>
              <w:widowControl w:val="0"/>
              <w:autoSpaceDE w:val="0"/>
              <w:autoSpaceDN w:val="0"/>
              <w:adjustRightInd w:val="0"/>
              <w:spacing w:after="0" w:line="228" w:lineRule="exact"/>
              <w:ind w:left="102" w:right="-20"/>
              <w:rPr>
                <w:rFonts w:asciiTheme="minorHAnsi" w:hAnsiTheme="minorHAnsi" w:cstheme="minorHAnsi"/>
                <w:sz w:val="20"/>
                <w:szCs w:val="20"/>
              </w:rPr>
            </w:pPr>
            <w:r w:rsidRPr="00DC050B">
              <w:rPr>
                <w:rFonts w:asciiTheme="minorHAnsi" w:hAnsiTheme="minorHAnsi" w:cstheme="minorHAnsi"/>
                <w:sz w:val="20"/>
                <w:szCs w:val="20"/>
              </w:rPr>
              <w:t xml:space="preserve">Yes. Improvement in the operational result of Jirama is expected to lead to lower subsidy and free up </w:t>
            </w:r>
            <w:r w:rsidRPr="006C66C2">
              <w:rPr>
                <w:rFonts w:asciiTheme="minorHAnsi" w:hAnsiTheme="minorHAnsi" w:cstheme="minorHAnsi"/>
                <w:sz w:val="20"/>
                <w:szCs w:val="20"/>
              </w:rPr>
              <w:t xml:space="preserve">resources for pro-poor spending. </w:t>
            </w:r>
          </w:p>
        </w:tc>
      </w:tr>
      <w:tr w:rsidR="0066600F" w:rsidRPr="00B66802" w14:paraId="07FD17E4" w14:textId="77777777" w:rsidTr="0066600F">
        <w:trPr>
          <w:trHeight w:hRule="exact" w:val="2060"/>
        </w:trPr>
        <w:tc>
          <w:tcPr>
            <w:tcW w:w="4500" w:type="dxa"/>
            <w:tcBorders>
              <w:top w:val="single" w:sz="4" w:space="0" w:color="000000"/>
              <w:left w:val="single" w:sz="4" w:space="0" w:color="000000"/>
              <w:bottom w:val="single" w:sz="4" w:space="0" w:color="000000"/>
              <w:right w:val="single" w:sz="4" w:space="0" w:color="000000"/>
            </w:tcBorders>
          </w:tcPr>
          <w:p w14:paraId="002D89E5" w14:textId="72A9AA92" w:rsidR="0066600F" w:rsidRPr="00B66802" w:rsidRDefault="0066600F" w:rsidP="0066600F">
            <w:pPr>
              <w:widowControl w:val="0"/>
              <w:autoSpaceDE w:val="0"/>
              <w:autoSpaceDN w:val="0"/>
              <w:adjustRightInd w:val="0"/>
              <w:spacing w:after="0" w:line="240" w:lineRule="auto"/>
              <w:ind w:left="102" w:right="-20"/>
              <w:rPr>
                <w:rFonts w:asciiTheme="minorHAnsi" w:hAnsiTheme="minorHAnsi" w:cstheme="minorHAnsi"/>
                <w:sz w:val="20"/>
                <w:szCs w:val="20"/>
              </w:rPr>
            </w:pPr>
            <w:r w:rsidRPr="00B66802">
              <w:rPr>
                <w:rFonts w:asciiTheme="minorHAnsi" w:hAnsiTheme="minorHAnsi" w:cstheme="minorHAnsi"/>
                <w:b/>
                <w:sz w:val="20"/>
              </w:rPr>
              <w:t>PA#8.</w:t>
            </w:r>
            <w:r w:rsidRPr="00AB5D73">
              <w:rPr>
                <w:rFonts w:asciiTheme="minorHAnsi" w:hAnsiTheme="minorHAnsi" w:cstheme="minorHAnsi"/>
                <w:bCs/>
                <w:i/>
                <w:iCs/>
                <w:sz w:val="20"/>
              </w:rPr>
              <w:t xml:space="preserve"> </w:t>
            </w:r>
            <w:r w:rsidRPr="00AB5D73">
              <w:rPr>
                <w:rFonts w:asciiTheme="minorHAnsi" w:hAnsiTheme="minorHAnsi" w:cstheme="minorHAnsi"/>
                <w:bCs/>
                <w:iCs/>
                <w:sz w:val="20"/>
              </w:rPr>
              <w:t xml:space="preserve">The Recipient has adopted </w:t>
            </w:r>
            <w:r w:rsidRPr="00AB5D73">
              <w:rPr>
                <w:rFonts w:asciiTheme="minorHAnsi" w:hAnsiTheme="minorHAnsi" w:cstheme="minorHAnsi"/>
                <w:bCs/>
                <w:i/>
                <w:iCs/>
                <w:sz w:val="20"/>
              </w:rPr>
              <w:t xml:space="preserve">Loi No. 2016-039 du 15 decembre 2016 modifiant et complétant certaines dispositions du Code de Procedure Civile Malagasy </w:t>
            </w:r>
            <w:r w:rsidRPr="00AB5D73">
              <w:rPr>
                <w:rFonts w:asciiTheme="minorHAnsi" w:hAnsiTheme="minorHAnsi" w:cstheme="minorHAnsi"/>
                <w:bCs/>
                <w:iCs/>
                <w:sz w:val="20"/>
              </w:rPr>
              <w:t>to integrate commercial justice reforms in the legal framework and reduce the number of postponements of commercial cases.</w:t>
            </w:r>
          </w:p>
        </w:tc>
        <w:tc>
          <w:tcPr>
            <w:tcW w:w="3060" w:type="dxa"/>
            <w:tcBorders>
              <w:top w:val="single" w:sz="4" w:space="0" w:color="000000"/>
              <w:left w:val="single" w:sz="4" w:space="0" w:color="000000"/>
              <w:bottom w:val="single" w:sz="4" w:space="0" w:color="000000"/>
              <w:right w:val="single" w:sz="4" w:space="0" w:color="000000"/>
            </w:tcBorders>
          </w:tcPr>
          <w:p w14:paraId="6E0FD38E" w14:textId="1DDF26C9" w:rsidR="0066600F" w:rsidRPr="00DC050B" w:rsidRDefault="0066600F" w:rsidP="0066600F">
            <w:pPr>
              <w:widowControl w:val="0"/>
              <w:autoSpaceDE w:val="0"/>
              <w:autoSpaceDN w:val="0"/>
              <w:adjustRightInd w:val="0"/>
              <w:spacing w:after="0" w:line="240" w:lineRule="auto"/>
              <w:ind w:left="102" w:right="-20"/>
              <w:rPr>
                <w:rFonts w:asciiTheme="minorHAnsi" w:hAnsiTheme="minorHAnsi" w:cstheme="minorHAnsi"/>
                <w:sz w:val="20"/>
                <w:szCs w:val="20"/>
              </w:rPr>
            </w:pPr>
            <w:r w:rsidRPr="00BD4A16">
              <w:rPr>
                <w:rFonts w:asciiTheme="minorHAnsi" w:hAnsiTheme="minorHAnsi" w:cstheme="minorHAnsi"/>
                <w:sz w:val="20"/>
                <w:szCs w:val="20"/>
              </w:rPr>
              <w:t xml:space="preserve">No. This is an institutional reform </w:t>
            </w:r>
            <w:r w:rsidR="0096744D" w:rsidRPr="00DC050B">
              <w:rPr>
                <w:rFonts w:asciiTheme="minorHAnsi" w:hAnsiTheme="minorHAnsi" w:cstheme="minorHAnsi"/>
                <w:sz w:val="20"/>
                <w:szCs w:val="20"/>
              </w:rPr>
              <w:t>that is</w:t>
            </w:r>
            <w:r w:rsidRPr="00DC050B">
              <w:rPr>
                <w:rFonts w:asciiTheme="minorHAnsi" w:hAnsiTheme="minorHAnsi" w:cstheme="minorHAnsi"/>
                <w:sz w:val="20"/>
                <w:szCs w:val="20"/>
              </w:rPr>
              <w:t xml:space="preserve"> not expected to have environmental impact.</w:t>
            </w:r>
          </w:p>
        </w:tc>
        <w:tc>
          <w:tcPr>
            <w:tcW w:w="3060" w:type="dxa"/>
            <w:tcBorders>
              <w:top w:val="single" w:sz="4" w:space="0" w:color="000000"/>
              <w:left w:val="single" w:sz="4" w:space="0" w:color="000000"/>
              <w:bottom w:val="single" w:sz="4" w:space="0" w:color="000000"/>
              <w:right w:val="single" w:sz="4" w:space="0" w:color="000000"/>
            </w:tcBorders>
          </w:tcPr>
          <w:p w14:paraId="7033E5B9" w14:textId="3A5E9733" w:rsidR="0066600F" w:rsidRPr="006C66C2" w:rsidRDefault="0066600F" w:rsidP="0066600F">
            <w:pPr>
              <w:widowControl w:val="0"/>
              <w:autoSpaceDE w:val="0"/>
              <w:autoSpaceDN w:val="0"/>
              <w:adjustRightInd w:val="0"/>
              <w:spacing w:after="0" w:line="240" w:lineRule="auto"/>
              <w:ind w:left="102" w:right="-20"/>
              <w:rPr>
                <w:rFonts w:asciiTheme="minorHAnsi" w:hAnsiTheme="minorHAnsi" w:cstheme="minorHAnsi"/>
                <w:sz w:val="20"/>
                <w:szCs w:val="20"/>
              </w:rPr>
            </w:pPr>
            <w:r w:rsidRPr="00DC050B">
              <w:rPr>
                <w:rFonts w:asciiTheme="minorHAnsi" w:hAnsiTheme="minorHAnsi" w:cstheme="minorHAnsi"/>
                <w:sz w:val="20"/>
                <w:szCs w:val="20"/>
              </w:rPr>
              <w:t>Yes, as a quicker and more efficient commercial justice system can reduce uncertainty and improve the business cli</w:t>
            </w:r>
            <w:r w:rsidRPr="006C66C2">
              <w:rPr>
                <w:rFonts w:asciiTheme="minorHAnsi" w:hAnsiTheme="minorHAnsi" w:cstheme="minorHAnsi"/>
                <w:sz w:val="20"/>
                <w:szCs w:val="20"/>
              </w:rPr>
              <w:t xml:space="preserve">mate, which could incentivize new enterprises to establish and create jobs, or existing businesses to expand.  </w:t>
            </w:r>
          </w:p>
          <w:p w14:paraId="1200CB18" w14:textId="77777777" w:rsidR="0066600F" w:rsidRPr="006C66C2" w:rsidRDefault="0066600F" w:rsidP="0066600F">
            <w:pPr>
              <w:widowControl w:val="0"/>
              <w:autoSpaceDE w:val="0"/>
              <w:autoSpaceDN w:val="0"/>
              <w:adjustRightInd w:val="0"/>
              <w:spacing w:after="0" w:line="240" w:lineRule="auto"/>
              <w:ind w:left="102" w:right="-20"/>
              <w:rPr>
                <w:rFonts w:asciiTheme="minorHAnsi" w:hAnsiTheme="minorHAnsi" w:cstheme="minorHAnsi"/>
                <w:sz w:val="20"/>
                <w:szCs w:val="20"/>
              </w:rPr>
            </w:pPr>
          </w:p>
          <w:p w14:paraId="437C05F3" w14:textId="77777777" w:rsidR="0066600F" w:rsidRPr="00A20F63" w:rsidRDefault="0066600F" w:rsidP="0066600F">
            <w:pPr>
              <w:widowControl w:val="0"/>
              <w:autoSpaceDE w:val="0"/>
              <w:autoSpaceDN w:val="0"/>
              <w:adjustRightInd w:val="0"/>
              <w:spacing w:after="0" w:line="240" w:lineRule="auto"/>
              <w:ind w:left="102" w:right="-20"/>
              <w:rPr>
                <w:rFonts w:asciiTheme="minorHAnsi" w:hAnsiTheme="minorHAnsi" w:cstheme="minorHAnsi"/>
                <w:sz w:val="20"/>
                <w:szCs w:val="20"/>
              </w:rPr>
            </w:pPr>
          </w:p>
        </w:tc>
      </w:tr>
      <w:tr w:rsidR="0066600F" w:rsidRPr="00B66802" w14:paraId="7170BED7" w14:textId="77777777" w:rsidTr="008E7AC7">
        <w:trPr>
          <w:trHeight w:hRule="exact" w:val="971"/>
        </w:trPr>
        <w:tc>
          <w:tcPr>
            <w:tcW w:w="4500" w:type="dxa"/>
            <w:tcBorders>
              <w:top w:val="single" w:sz="4" w:space="0" w:color="000000"/>
              <w:left w:val="single" w:sz="4" w:space="0" w:color="000000"/>
              <w:bottom w:val="single" w:sz="4" w:space="0" w:color="000000"/>
              <w:right w:val="single" w:sz="4" w:space="0" w:color="000000"/>
            </w:tcBorders>
          </w:tcPr>
          <w:p w14:paraId="138A4CCA" w14:textId="44BDA93D" w:rsidR="0066600F" w:rsidRPr="00B66802" w:rsidRDefault="0066600F" w:rsidP="0066600F">
            <w:pPr>
              <w:widowControl w:val="0"/>
              <w:autoSpaceDE w:val="0"/>
              <w:autoSpaceDN w:val="0"/>
              <w:adjustRightInd w:val="0"/>
              <w:spacing w:after="0" w:line="240" w:lineRule="auto"/>
              <w:ind w:left="102" w:right="-20"/>
              <w:rPr>
                <w:rFonts w:asciiTheme="minorHAnsi" w:hAnsiTheme="minorHAnsi" w:cstheme="minorHAnsi"/>
                <w:sz w:val="20"/>
                <w:szCs w:val="20"/>
              </w:rPr>
            </w:pPr>
            <w:r w:rsidRPr="00B66802">
              <w:rPr>
                <w:rFonts w:asciiTheme="minorHAnsi" w:hAnsiTheme="minorHAnsi" w:cstheme="minorHAnsi"/>
                <w:b/>
                <w:sz w:val="20"/>
              </w:rPr>
              <w:t>PA#9.</w:t>
            </w:r>
            <w:r w:rsidRPr="00B66802">
              <w:rPr>
                <w:rFonts w:asciiTheme="minorHAnsi" w:hAnsiTheme="minorHAnsi" w:cstheme="minorHAnsi"/>
                <w:sz w:val="20"/>
              </w:rPr>
              <w:t xml:space="preserve"> </w:t>
            </w:r>
            <w:r w:rsidRPr="00AB5D73">
              <w:rPr>
                <w:rFonts w:asciiTheme="minorHAnsi" w:hAnsiTheme="minorHAnsi" w:cstheme="minorHAnsi"/>
                <w:bCs/>
                <w:iCs/>
                <w:sz w:val="20"/>
              </w:rPr>
              <w:t xml:space="preserve">The Recipient has submitted to Parliament the </w:t>
            </w:r>
            <w:r w:rsidRPr="00AB5D73">
              <w:rPr>
                <w:rFonts w:asciiTheme="minorHAnsi" w:hAnsiTheme="minorHAnsi" w:cstheme="minorHAnsi"/>
                <w:bCs/>
                <w:i/>
                <w:iCs/>
                <w:sz w:val="20"/>
              </w:rPr>
              <w:t xml:space="preserve">Projet de Loi No. 025/2017 du 27 septembre 2017 sur la microfinance, </w:t>
            </w:r>
            <w:r w:rsidRPr="00AB5D73">
              <w:rPr>
                <w:rFonts w:asciiTheme="minorHAnsi" w:hAnsiTheme="minorHAnsi" w:cstheme="minorHAnsi"/>
                <w:bCs/>
                <w:iCs/>
                <w:sz w:val="20"/>
              </w:rPr>
              <w:t>the draft law on microfinance, including resolution schemes for microfinance institutions</w:t>
            </w:r>
            <w:r w:rsidRPr="00B66802">
              <w:rPr>
                <w:rFonts w:asciiTheme="minorHAnsi" w:hAnsiTheme="minorHAnsi" w:cstheme="minorHAnsi"/>
                <w:sz w:val="20"/>
              </w:rPr>
              <w:t>.</w:t>
            </w:r>
          </w:p>
        </w:tc>
        <w:tc>
          <w:tcPr>
            <w:tcW w:w="3060" w:type="dxa"/>
            <w:tcBorders>
              <w:top w:val="single" w:sz="4" w:space="0" w:color="000000"/>
              <w:left w:val="single" w:sz="4" w:space="0" w:color="000000"/>
              <w:bottom w:val="single" w:sz="4" w:space="0" w:color="000000"/>
              <w:right w:val="single" w:sz="4" w:space="0" w:color="000000"/>
            </w:tcBorders>
          </w:tcPr>
          <w:p w14:paraId="3BB09562" w14:textId="53B4AC30" w:rsidR="0066600F" w:rsidRPr="00DC050B" w:rsidRDefault="0066600F" w:rsidP="0066600F">
            <w:pPr>
              <w:widowControl w:val="0"/>
              <w:autoSpaceDE w:val="0"/>
              <w:autoSpaceDN w:val="0"/>
              <w:adjustRightInd w:val="0"/>
              <w:spacing w:after="0" w:line="240" w:lineRule="auto"/>
              <w:ind w:left="102" w:right="-20"/>
              <w:rPr>
                <w:rFonts w:asciiTheme="minorHAnsi" w:hAnsiTheme="minorHAnsi" w:cstheme="minorHAnsi"/>
                <w:sz w:val="20"/>
                <w:szCs w:val="20"/>
              </w:rPr>
            </w:pPr>
            <w:r w:rsidRPr="00BD4A16">
              <w:rPr>
                <w:rFonts w:asciiTheme="minorHAnsi" w:hAnsiTheme="minorHAnsi" w:cstheme="minorHAnsi"/>
                <w:sz w:val="20"/>
                <w:szCs w:val="20"/>
              </w:rPr>
              <w:t xml:space="preserve">No. This is an institutional reform </w:t>
            </w:r>
            <w:r w:rsidR="0096744D" w:rsidRPr="00DC050B">
              <w:rPr>
                <w:rFonts w:asciiTheme="minorHAnsi" w:hAnsiTheme="minorHAnsi" w:cstheme="minorHAnsi"/>
                <w:sz w:val="20"/>
                <w:szCs w:val="20"/>
              </w:rPr>
              <w:t>that is</w:t>
            </w:r>
            <w:r w:rsidRPr="00DC050B">
              <w:rPr>
                <w:rFonts w:asciiTheme="minorHAnsi" w:hAnsiTheme="minorHAnsi" w:cstheme="minorHAnsi"/>
                <w:sz w:val="20"/>
                <w:szCs w:val="20"/>
              </w:rPr>
              <w:t xml:space="preserve"> not expected to have environmental impact.</w:t>
            </w:r>
          </w:p>
        </w:tc>
        <w:tc>
          <w:tcPr>
            <w:tcW w:w="3060" w:type="dxa"/>
            <w:tcBorders>
              <w:top w:val="single" w:sz="4" w:space="0" w:color="000000"/>
              <w:left w:val="single" w:sz="4" w:space="0" w:color="000000"/>
              <w:bottom w:val="single" w:sz="4" w:space="0" w:color="000000"/>
              <w:right w:val="single" w:sz="4" w:space="0" w:color="000000"/>
            </w:tcBorders>
          </w:tcPr>
          <w:p w14:paraId="005FACB1" w14:textId="77777777" w:rsidR="0066600F" w:rsidRPr="006C66C2" w:rsidRDefault="0066600F" w:rsidP="0066600F">
            <w:pPr>
              <w:widowControl w:val="0"/>
              <w:autoSpaceDE w:val="0"/>
              <w:autoSpaceDN w:val="0"/>
              <w:adjustRightInd w:val="0"/>
              <w:spacing w:after="0" w:line="240" w:lineRule="auto"/>
              <w:ind w:left="102" w:right="-20"/>
              <w:rPr>
                <w:rFonts w:asciiTheme="minorHAnsi" w:hAnsiTheme="minorHAnsi" w:cstheme="minorHAnsi"/>
                <w:sz w:val="20"/>
                <w:szCs w:val="20"/>
              </w:rPr>
            </w:pPr>
            <w:r w:rsidRPr="00DC050B">
              <w:rPr>
                <w:rFonts w:asciiTheme="minorHAnsi" w:hAnsiTheme="minorHAnsi" w:cstheme="minorHAnsi"/>
                <w:sz w:val="20"/>
                <w:szCs w:val="20"/>
              </w:rPr>
              <w:t>Yes, positive. A more stable and better-supervised MFI system is expected to benefit the populatio</w:t>
            </w:r>
            <w:r w:rsidRPr="006C66C2">
              <w:rPr>
                <w:rFonts w:asciiTheme="minorHAnsi" w:hAnsiTheme="minorHAnsi" w:cstheme="minorHAnsi"/>
                <w:sz w:val="20"/>
                <w:szCs w:val="20"/>
              </w:rPr>
              <w:t xml:space="preserve">n at large. </w:t>
            </w:r>
          </w:p>
        </w:tc>
      </w:tr>
    </w:tbl>
    <w:p w14:paraId="76D68C9D" w14:textId="77777777" w:rsidR="00744CA8" w:rsidRPr="006D0B4E" w:rsidRDefault="00744CA8" w:rsidP="00744CA8">
      <w:pPr>
        <w:rPr>
          <w:rFonts w:asciiTheme="minorHAnsi" w:hAnsiTheme="minorHAnsi" w:cstheme="minorHAnsi"/>
        </w:rPr>
      </w:pPr>
    </w:p>
    <w:sectPr w:rsidR="00744CA8" w:rsidRPr="006D0B4E">
      <w:pgSz w:w="12240" w:h="15840"/>
      <w:pgMar w:top="920" w:right="960" w:bottom="280" w:left="620" w:header="720" w:footer="720" w:gutter="0"/>
      <w:cols w:space="720" w:equalWidth="0">
        <w:col w:w="106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EB814A" w14:textId="77777777" w:rsidR="008B4E47" w:rsidRDefault="008B4E47" w:rsidP="00020D4D">
      <w:pPr>
        <w:spacing w:after="0" w:line="240" w:lineRule="auto"/>
      </w:pPr>
      <w:r>
        <w:separator/>
      </w:r>
    </w:p>
  </w:endnote>
  <w:endnote w:type="continuationSeparator" w:id="0">
    <w:p w14:paraId="4F481875" w14:textId="77777777" w:rsidR="008B4E47" w:rsidRDefault="008B4E47" w:rsidP="00020D4D">
      <w:pPr>
        <w:spacing w:after="0" w:line="240" w:lineRule="auto"/>
      </w:pPr>
      <w:r>
        <w:continuationSeparator/>
      </w:r>
    </w:p>
  </w:endnote>
  <w:endnote w:type="continuationNotice" w:id="1">
    <w:p w14:paraId="5C1EAFD1" w14:textId="77777777" w:rsidR="008B4E47" w:rsidRDefault="008B4E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Calibri"/>
    <w:panose1 w:val="02020609040205080304"/>
    <w:charset w:val="4E"/>
    <w:family w:val="auto"/>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Albertus Medium">
    <w:altName w:val="Malgun Gothic"/>
    <w:charset w:val="00"/>
    <w:family w:val="roman"/>
    <w:pitch w:val="variable"/>
    <w:sig w:usb0="00000000"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40B27" w14:textId="77777777" w:rsidR="008B4E47" w:rsidRDefault="008B4E47">
    <w:pPr>
      <w:pStyle w:val="Footer"/>
      <w:jc w:val="center"/>
    </w:pPr>
  </w:p>
  <w:p w14:paraId="261CB834" w14:textId="77777777" w:rsidR="008B4E47" w:rsidRDefault="008B4E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FB6F2" w14:textId="5D820E3B" w:rsidR="008B4E47" w:rsidRDefault="008B4E47">
    <w:pPr>
      <w:pStyle w:val="Footer"/>
      <w:jc w:val="center"/>
    </w:pPr>
    <w:r>
      <w:fldChar w:fldCharType="begin"/>
    </w:r>
    <w:r>
      <w:instrText xml:space="preserve"> PAGE   \* MERGEFORMAT </w:instrText>
    </w:r>
    <w:r>
      <w:fldChar w:fldCharType="separate"/>
    </w:r>
    <w:r w:rsidR="00BE52FE">
      <w:rPr>
        <w:noProof/>
      </w:rPr>
      <w:t>i</w:t>
    </w:r>
    <w:r>
      <w:rPr>
        <w:noProof/>
      </w:rPr>
      <w:fldChar w:fldCharType="end"/>
    </w:r>
  </w:p>
  <w:p w14:paraId="384A541B" w14:textId="77777777" w:rsidR="008B4E47" w:rsidRDefault="008B4E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E62E0" w14:textId="18972CE8" w:rsidR="008B4E47" w:rsidRDefault="008B4E47">
    <w:pPr>
      <w:pStyle w:val="Footer"/>
      <w:jc w:val="center"/>
    </w:pPr>
    <w:r>
      <w:fldChar w:fldCharType="begin"/>
    </w:r>
    <w:r>
      <w:instrText xml:space="preserve"> PAGE   \* MERGEFORMAT </w:instrText>
    </w:r>
    <w:r>
      <w:fldChar w:fldCharType="separate"/>
    </w:r>
    <w:r w:rsidR="006D54FB">
      <w:rPr>
        <w:noProof/>
      </w:rPr>
      <w:t>vi</w:t>
    </w:r>
    <w:r>
      <w:rPr>
        <w:noProof/>
      </w:rPr>
      <w:fldChar w:fldCharType="end"/>
    </w:r>
  </w:p>
  <w:p w14:paraId="6A440044" w14:textId="77777777" w:rsidR="008B4E47" w:rsidRDefault="008B4E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7703028"/>
      <w:docPartObj>
        <w:docPartGallery w:val="Page Numbers (Bottom of Page)"/>
        <w:docPartUnique/>
      </w:docPartObj>
    </w:sdtPr>
    <w:sdtEndPr>
      <w:rPr>
        <w:noProof/>
      </w:rPr>
    </w:sdtEndPr>
    <w:sdtContent>
      <w:p w14:paraId="66CF5184" w14:textId="34B7467A" w:rsidR="008B4E47" w:rsidRDefault="008B4E47">
        <w:pPr>
          <w:pStyle w:val="Footer"/>
          <w:jc w:val="center"/>
        </w:pPr>
        <w:r>
          <w:fldChar w:fldCharType="begin"/>
        </w:r>
        <w:r>
          <w:instrText xml:space="preserve"> PAGE   \* MERGEFORMAT </w:instrText>
        </w:r>
        <w:r>
          <w:fldChar w:fldCharType="separate"/>
        </w:r>
        <w:r w:rsidR="006D54FB">
          <w:rPr>
            <w:noProof/>
          </w:rPr>
          <w:t>15</w:t>
        </w:r>
        <w:r>
          <w:rPr>
            <w:noProof/>
          </w:rPr>
          <w:fldChar w:fldCharType="end"/>
        </w:r>
      </w:p>
    </w:sdtContent>
  </w:sdt>
  <w:p w14:paraId="05F7F347" w14:textId="52822B98" w:rsidR="008B4E47" w:rsidRPr="009F2333" w:rsidRDefault="008B4E47" w:rsidP="009F2333">
    <w:pPr>
      <w:pStyle w:val="Footer"/>
      <w:jc w:val="cen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BC6A0" w14:textId="77777777" w:rsidR="008B4E47" w:rsidRDefault="008B4E47" w:rsidP="00020D4D">
      <w:pPr>
        <w:spacing w:after="0" w:line="240" w:lineRule="auto"/>
      </w:pPr>
      <w:r>
        <w:separator/>
      </w:r>
    </w:p>
  </w:footnote>
  <w:footnote w:type="continuationSeparator" w:id="0">
    <w:p w14:paraId="7FBC6DA1" w14:textId="77777777" w:rsidR="008B4E47" w:rsidRDefault="008B4E47" w:rsidP="00020D4D">
      <w:pPr>
        <w:spacing w:after="0" w:line="240" w:lineRule="auto"/>
      </w:pPr>
      <w:r>
        <w:continuationSeparator/>
      </w:r>
    </w:p>
  </w:footnote>
  <w:footnote w:type="continuationNotice" w:id="1">
    <w:p w14:paraId="35E280A2" w14:textId="77777777" w:rsidR="008B4E47" w:rsidRDefault="008B4E47">
      <w:pPr>
        <w:spacing w:after="0" w:line="240" w:lineRule="auto"/>
      </w:pPr>
    </w:p>
  </w:footnote>
  <w:footnote w:id="2">
    <w:p w14:paraId="7223F822" w14:textId="2784897D"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Public Finance Sustainability and Investment DPF Operation</w:t>
      </w:r>
      <w:r w:rsidRPr="00A46F16">
        <w:rPr>
          <w:rFonts w:asciiTheme="minorHAnsi" w:hAnsiTheme="minorHAnsi" w:cstheme="minorHAnsi"/>
          <w:sz w:val="16"/>
          <w:szCs w:val="16"/>
        </w:rPr>
        <w:t xml:space="preserve"> </w:t>
      </w:r>
      <w:r>
        <w:rPr>
          <w:rFonts w:asciiTheme="minorHAnsi" w:hAnsiTheme="minorHAnsi" w:cstheme="minorHAnsi"/>
          <w:sz w:val="16"/>
          <w:szCs w:val="16"/>
        </w:rPr>
        <w:t>(</w:t>
      </w:r>
      <w:r w:rsidRPr="001F2508">
        <w:rPr>
          <w:rFonts w:asciiTheme="minorHAnsi" w:hAnsiTheme="minorHAnsi" w:cstheme="minorHAnsi"/>
          <w:sz w:val="16"/>
          <w:szCs w:val="16"/>
        </w:rPr>
        <w:t>P160866</w:t>
      </w:r>
      <w:r>
        <w:rPr>
          <w:rFonts w:asciiTheme="minorHAnsi" w:hAnsiTheme="minorHAnsi" w:cstheme="minorHAnsi"/>
          <w:sz w:val="16"/>
          <w:szCs w:val="16"/>
        </w:rPr>
        <w:t>)</w:t>
      </w:r>
      <w:r w:rsidRPr="001F2508">
        <w:rPr>
          <w:rFonts w:asciiTheme="minorHAnsi" w:hAnsiTheme="minorHAnsi" w:cstheme="minorHAnsi"/>
          <w:sz w:val="16"/>
          <w:szCs w:val="16"/>
        </w:rPr>
        <w:t>, approved by the Board on November 22</w:t>
      </w:r>
      <w:r w:rsidRPr="001F2508">
        <w:rPr>
          <w:rFonts w:asciiTheme="minorHAnsi" w:hAnsiTheme="minorHAnsi" w:cstheme="minorHAnsi"/>
          <w:sz w:val="16"/>
          <w:szCs w:val="16"/>
          <w:vertAlign w:val="superscript"/>
        </w:rPr>
        <w:t>nd</w:t>
      </w:r>
      <w:r w:rsidRPr="001F2508">
        <w:rPr>
          <w:rFonts w:asciiTheme="minorHAnsi" w:hAnsiTheme="minorHAnsi" w:cstheme="minorHAnsi"/>
          <w:sz w:val="16"/>
          <w:szCs w:val="16"/>
        </w:rPr>
        <w:t>, 2016</w:t>
      </w:r>
      <w:r>
        <w:rPr>
          <w:rFonts w:asciiTheme="minorHAnsi" w:hAnsiTheme="minorHAnsi" w:cstheme="minorHAnsi"/>
          <w:sz w:val="16"/>
          <w:szCs w:val="16"/>
        </w:rPr>
        <w:t>.</w:t>
      </w:r>
    </w:p>
  </w:footnote>
  <w:footnote w:id="3">
    <w:p w14:paraId="349B9E86" w14:textId="2849BE01" w:rsidR="008B4E47" w:rsidRPr="001F2508" w:rsidRDefault="008B4E47" w:rsidP="00906379">
      <w:pPr>
        <w:pStyle w:val="FootnoteText"/>
        <w:jc w:val="both"/>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A five-year political crisis started in March 2009 with an unconstitutional regime change. The transitional </w:t>
      </w:r>
      <w:r>
        <w:rPr>
          <w:rFonts w:asciiTheme="minorHAnsi" w:hAnsiTheme="minorHAnsi" w:cstheme="minorHAnsi"/>
          <w:sz w:val="16"/>
          <w:szCs w:val="16"/>
        </w:rPr>
        <w:t>G</w:t>
      </w:r>
      <w:r w:rsidRPr="001F2508">
        <w:rPr>
          <w:rFonts w:asciiTheme="minorHAnsi" w:hAnsiTheme="minorHAnsi" w:cstheme="minorHAnsi"/>
          <w:sz w:val="16"/>
          <w:szCs w:val="16"/>
        </w:rPr>
        <w:t>overnment that came to power was not recognized by the international community. The election of a new President through a democratic electoral process took place in December 2013.</w:t>
      </w:r>
    </w:p>
  </w:footnote>
  <w:footnote w:id="4">
    <w:p w14:paraId="36F44FB2" w14:textId="5B3E2E29"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As of the latest Doing Business Report, Madagascar ranks 185/190 on Getting Electricity, 170/190 on Getting Credit and 158/190 on Enforcing Contracts. The latest Financial System Stability Assessment (FSAP) highlights the vulnerability of the financial sector associated with the emergence of a lending expansion</w:t>
      </w:r>
      <w:r>
        <w:rPr>
          <w:rFonts w:asciiTheme="minorHAnsi" w:hAnsiTheme="minorHAnsi" w:cstheme="minorHAnsi"/>
          <w:sz w:val="16"/>
          <w:szCs w:val="16"/>
        </w:rPr>
        <w:t>.</w:t>
      </w:r>
    </w:p>
  </w:footnote>
  <w:footnote w:id="5">
    <w:p w14:paraId="248B6878" w14:textId="534152F1"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w:t>
      </w:r>
      <w:r w:rsidRPr="001F2508">
        <w:rPr>
          <w:rFonts w:asciiTheme="minorHAnsi" w:hAnsiTheme="minorHAnsi" w:cstheme="minorHAnsi"/>
          <w:bCs/>
          <w:sz w:val="16"/>
          <w:szCs w:val="16"/>
        </w:rPr>
        <w:t>Risks related to the poor institutional environment for commercial justice have contributed to higher interest rates.</w:t>
      </w:r>
    </w:p>
  </w:footnote>
  <w:footnote w:id="6">
    <w:p w14:paraId="06584AEC" w14:textId="3891F0F7" w:rsidR="008B4E47" w:rsidRPr="00BA43C5"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BA43C5">
        <w:rPr>
          <w:rFonts w:asciiTheme="minorHAnsi" w:hAnsiTheme="minorHAnsi" w:cstheme="minorHAnsi"/>
          <w:sz w:val="16"/>
          <w:szCs w:val="16"/>
        </w:rPr>
        <w:t xml:space="preserve"> Most recent data available drawn from the </w:t>
      </w:r>
      <w:r w:rsidRPr="00BA43C5">
        <w:rPr>
          <w:rFonts w:asciiTheme="minorHAnsi" w:hAnsiTheme="minorHAnsi" w:cstheme="minorHAnsi"/>
          <w:i/>
          <w:sz w:val="16"/>
          <w:szCs w:val="16"/>
        </w:rPr>
        <w:t>Enquête Nationale de Suivi des Objectifs du Millénaire pour le Développement</w:t>
      </w:r>
      <w:r w:rsidRPr="00BA43C5">
        <w:rPr>
          <w:rFonts w:asciiTheme="minorHAnsi" w:hAnsiTheme="minorHAnsi" w:cstheme="minorHAnsi"/>
          <w:sz w:val="16"/>
          <w:szCs w:val="16"/>
        </w:rPr>
        <w:t xml:space="preserve"> 2012 – a household survey combined with a monitoring of Millennium Deve</w:t>
      </w:r>
      <w:r>
        <w:rPr>
          <w:rFonts w:asciiTheme="minorHAnsi" w:hAnsiTheme="minorHAnsi" w:cstheme="minorHAnsi"/>
          <w:sz w:val="16"/>
          <w:szCs w:val="16"/>
        </w:rPr>
        <w:t>lopment Goals</w:t>
      </w:r>
      <w:r w:rsidRPr="00BA43C5">
        <w:rPr>
          <w:rFonts w:asciiTheme="minorHAnsi" w:hAnsiTheme="minorHAnsi" w:cstheme="minorHAnsi"/>
          <w:sz w:val="16"/>
          <w:szCs w:val="16"/>
        </w:rPr>
        <w:t>.</w:t>
      </w:r>
    </w:p>
  </w:footnote>
  <w:footnote w:id="7">
    <w:p w14:paraId="2492D6B0" w14:textId="0D7F5968"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Republic of Madagascar, Employment and Poverty Analysis, Imperfect Information, Shocks, and Policy Responses, World Bank, 2016</w:t>
      </w:r>
      <w:r>
        <w:rPr>
          <w:rFonts w:asciiTheme="minorHAnsi" w:hAnsiTheme="minorHAnsi" w:cstheme="minorHAnsi"/>
          <w:sz w:val="16"/>
          <w:szCs w:val="16"/>
        </w:rPr>
        <w:t>.</w:t>
      </w:r>
    </w:p>
  </w:footnote>
  <w:footnote w:id="8">
    <w:p w14:paraId="113C32EC" w14:textId="34B1405B"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These sectoral strategies are discussed in greater detail in </w:t>
      </w:r>
      <w:r>
        <w:rPr>
          <w:rFonts w:asciiTheme="minorHAnsi" w:hAnsiTheme="minorHAnsi" w:cstheme="minorHAnsi"/>
          <w:sz w:val="16"/>
          <w:szCs w:val="16"/>
        </w:rPr>
        <w:t>S</w:t>
      </w:r>
      <w:r w:rsidRPr="001F2508">
        <w:rPr>
          <w:rFonts w:asciiTheme="minorHAnsi" w:hAnsiTheme="minorHAnsi" w:cstheme="minorHAnsi"/>
          <w:sz w:val="16"/>
          <w:szCs w:val="16"/>
        </w:rPr>
        <w:t xml:space="preserve">ection 4. </w:t>
      </w:r>
    </w:p>
  </w:footnote>
  <w:footnote w:id="9">
    <w:p w14:paraId="6EA12C70" w14:textId="067D25FC"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The cascade approach seeks to maximize financing for development by leveraging the private sector and optimizing the use of scarce public resources. </w:t>
      </w:r>
    </w:p>
  </w:footnote>
  <w:footnote w:id="10">
    <w:p w14:paraId="73C7C10E" w14:textId="0D12BE16"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Criticality refers to the need to focus on the key elements to support the transition from fragility to resilience (as discussed in the Good Practice Note on DPL in Situations of Fragility, World Bank, 2011</w:t>
      </w:r>
      <w:r>
        <w:rPr>
          <w:rFonts w:asciiTheme="minorHAnsi" w:hAnsiTheme="minorHAnsi" w:cstheme="minorHAnsi"/>
          <w:sz w:val="16"/>
          <w:szCs w:val="16"/>
        </w:rPr>
        <w:t>).</w:t>
      </w:r>
    </w:p>
  </w:footnote>
  <w:footnote w:id="11">
    <w:p w14:paraId="32EAAFBF" w14:textId="575C0674"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The authorities have recently re-based their GDP figures and these will be incorporated in the World Bank’s calculations in 2018, once the authorities have absorbed the new figures. </w:t>
      </w:r>
    </w:p>
  </w:footnote>
  <w:footnote w:id="12">
    <w:p w14:paraId="662FF7F9" w14:textId="77777777" w:rsidR="008B4E47" w:rsidRPr="001F2508" w:rsidRDefault="008B4E47" w:rsidP="0074167E">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AGOA is a United States Trade Act that enhances market access for countries in SSA, which improve the rule of law, human rights, and respect for core labor standards. Madagascar lost AGOA eligibility in 2009 following the political crisis and regained it in 2014 after the return to constitutional order. </w:t>
      </w:r>
    </w:p>
  </w:footnote>
  <w:footnote w:id="13">
    <w:p w14:paraId="5948E7B1" w14:textId="77777777" w:rsidR="008B4E47" w:rsidRPr="001F2508" w:rsidRDefault="008B4E47" w:rsidP="0074167E">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The high spread is partly explained by the transfer of credit risks to consumers, linked to the mistrust to the judicial institutions.</w:t>
      </w:r>
    </w:p>
  </w:footnote>
  <w:footnote w:id="14">
    <w:p w14:paraId="5CED6224" w14:textId="77777777" w:rsidR="008B4E47" w:rsidRPr="001F2508" w:rsidRDefault="008B4E47" w:rsidP="0074167E">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Madagascar’s fiscal year runs from January to December. The original budget law was approved in January 2017. </w:t>
      </w:r>
    </w:p>
  </w:footnote>
  <w:footnote w:id="15">
    <w:p w14:paraId="19DAEE0D" w14:textId="043692A2" w:rsidR="008B4E47" w:rsidRPr="001F2508" w:rsidRDefault="008B4E47" w:rsidP="0074167E">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w:t>
      </w:r>
      <w:r>
        <w:rPr>
          <w:rFonts w:asciiTheme="minorHAnsi" w:hAnsiTheme="minorHAnsi" w:cstheme="minorHAnsi"/>
          <w:sz w:val="16"/>
          <w:szCs w:val="16"/>
        </w:rPr>
        <w:t>Because of the</w:t>
      </w:r>
      <w:r w:rsidRPr="001F2508">
        <w:rPr>
          <w:rFonts w:asciiTheme="minorHAnsi" w:hAnsiTheme="minorHAnsi" w:cstheme="minorHAnsi"/>
          <w:sz w:val="16"/>
          <w:szCs w:val="16"/>
        </w:rPr>
        <w:t xml:space="preserve"> drought</w:t>
      </w:r>
      <w:r>
        <w:rPr>
          <w:rFonts w:asciiTheme="minorHAnsi" w:hAnsiTheme="minorHAnsi" w:cstheme="minorHAnsi"/>
          <w:sz w:val="16"/>
          <w:szCs w:val="16"/>
        </w:rPr>
        <w:t>,</w:t>
      </w:r>
      <w:r w:rsidRPr="001F2508">
        <w:rPr>
          <w:rFonts w:asciiTheme="minorHAnsi" w:hAnsiTheme="minorHAnsi" w:cstheme="minorHAnsi"/>
          <w:sz w:val="16"/>
          <w:szCs w:val="16"/>
        </w:rPr>
        <w:t xml:space="preserve"> the main hydropower site that supplies the Antananarivo network could not be used to its full potential. </w:t>
      </w:r>
    </w:p>
  </w:footnote>
  <w:footnote w:id="16">
    <w:p w14:paraId="7EEB1C92" w14:textId="77777777" w:rsidR="008B4E47" w:rsidRPr="001F2508" w:rsidRDefault="008B4E47" w:rsidP="0074167E">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Clearing Air Madagascar’s debt liabilities is part of the authorities’ efforts to restructure the under-performing airline. </w:t>
      </w:r>
    </w:p>
  </w:footnote>
  <w:footnote w:id="17">
    <w:p w14:paraId="1CB4018E" w14:textId="77777777" w:rsidR="008B4E47" w:rsidRPr="001F2508" w:rsidRDefault="008B4E47" w:rsidP="0074167E">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The fiscal deficit is calculated on a cash basis and considers the Government’s float and arrears repayments. </w:t>
      </w:r>
    </w:p>
  </w:footnote>
  <w:footnote w:id="18">
    <w:p w14:paraId="40AC6972" w14:textId="77777777" w:rsidR="008B4E47" w:rsidRPr="001F2508" w:rsidRDefault="008B4E47" w:rsidP="0074167E">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Under the ECF arrangement member countries can request augmentation of access of quota when there are shocks. A proposal to increase Madagascar’s allocation by 12.5 percent was approved by the Board in June 2017.</w:t>
      </w:r>
    </w:p>
  </w:footnote>
  <w:footnote w:id="19">
    <w:p w14:paraId="3156117B" w14:textId="77777777" w:rsidR="008B4E47" w:rsidRPr="001F2508" w:rsidRDefault="008B4E47" w:rsidP="0074167E">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Commodity Markets Outlook, World Bank, April 2017</w:t>
      </w:r>
    </w:p>
  </w:footnote>
  <w:footnote w:id="20">
    <w:p w14:paraId="4DE97812" w14:textId="39B1DD35" w:rsidR="008B4E47" w:rsidRPr="001F2508" w:rsidRDefault="008B4E47" w:rsidP="0074167E">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According to the last IMF Article IV 5.5 </w:t>
      </w:r>
      <w:r>
        <w:rPr>
          <w:rFonts w:asciiTheme="minorHAnsi" w:hAnsiTheme="minorHAnsi" w:cstheme="minorHAnsi"/>
          <w:sz w:val="16"/>
          <w:szCs w:val="16"/>
        </w:rPr>
        <w:t>percent</w:t>
      </w:r>
      <w:r w:rsidRPr="001F2508">
        <w:rPr>
          <w:rFonts w:asciiTheme="minorHAnsi" w:hAnsiTheme="minorHAnsi" w:cstheme="minorHAnsi"/>
          <w:sz w:val="16"/>
          <w:szCs w:val="16"/>
        </w:rPr>
        <w:t xml:space="preserve"> of GDP for JIRAMA long term and short term debt and another 1 percent for a possible recapitalization of the </w:t>
      </w:r>
      <w:r w:rsidRPr="00F062BB">
        <w:rPr>
          <w:rFonts w:asciiTheme="minorHAnsi" w:hAnsiTheme="minorHAnsi" w:cstheme="minorHAnsi"/>
          <w:i/>
          <w:sz w:val="16"/>
          <w:szCs w:val="16"/>
        </w:rPr>
        <w:t>Caisse d’epargne</w:t>
      </w:r>
      <w:r w:rsidRPr="001F2508">
        <w:rPr>
          <w:rFonts w:asciiTheme="minorHAnsi" w:hAnsiTheme="minorHAnsi" w:cstheme="minorHAnsi"/>
          <w:sz w:val="16"/>
          <w:szCs w:val="16"/>
        </w:rPr>
        <w:t>.</w:t>
      </w:r>
    </w:p>
  </w:footnote>
  <w:footnote w:id="21">
    <w:p w14:paraId="26E595B2" w14:textId="41EA67E2" w:rsidR="008B4E47" w:rsidRPr="00386DEE" w:rsidRDefault="008B4E47" w:rsidP="001066A4">
      <w:pPr>
        <w:pStyle w:val="FootnoteText"/>
        <w:rPr>
          <w:rFonts w:asciiTheme="minorHAnsi" w:hAnsiTheme="minorHAnsi" w:cstheme="minorHAnsi"/>
          <w:sz w:val="16"/>
          <w:szCs w:val="16"/>
        </w:rPr>
      </w:pPr>
      <w:r w:rsidRPr="00386DEE">
        <w:rPr>
          <w:rStyle w:val="FootnoteReference"/>
          <w:rFonts w:asciiTheme="minorHAnsi" w:hAnsiTheme="minorHAnsi" w:cstheme="minorHAnsi"/>
          <w:sz w:val="16"/>
          <w:szCs w:val="16"/>
        </w:rPr>
        <w:footnoteRef/>
      </w:r>
      <w:r w:rsidRPr="00386DEE">
        <w:rPr>
          <w:rFonts w:asciiTheme="minorHAnsi" w:hAnsiTheme="minorHAnsi" w:cstheme="minorHAnsi"/>
          <w:sz w:val="16"/>
          <w:szCs w:val="16"/>
        </w:rPr>
        <w:t xml:space="preserve"> This was due to a technical difficulty in paying Libya and is being resolved. </w:t>
      </w:r>
    </w:p>
  </w:footnote>
  <w:footnote w:id="22">
    <w:p w14:paraId="58F95ECC" w14:textId="2704AF46"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The first one is the </w:t>
      </w:r>
      <w:r w:rsidRPr="001F2508">
        <w:rPr>
          <w:rFonts w:asciiTheme="minorHAnsi" w:hAnsiTheme="minorHAnsi" w:cstheme="minorHAnsi"/>
          <w:i/>
          <w:sz w:val="16"/>
          <w:szCs w:val="16"/>
        </w:rPr>
        <w:t>Caisse de Retraite Civiles et Militaires</w:t>
      </w:r>
      <w:r w:rsidRPr="001F2508">
        <w:rPr>
          <w:rFonts w:asciiTheme="minorHAnsi" w:hAnsiTheme="minorHAnsi" w:cstheme="minorHAnsi"/>
          <w:sz w:val="16"/>
          <w:szCs w:val="16"/>
        </w:rPr>
        <w:t xml:space="preserve"> (CRCM) which covers career civil servants and the military, and the second one is the </w:t>
      </w:r>
      <w:r w:rsidRPr="001F2508">
        <w:rPr>
          <w:rFonts w:asciiTheme="minorHAnsi" w:hAnsiTheme="minorHAnsi" w:cstheme="minorHAnsi"/>
          <w:i/>
          <w:sz w:val="16"/>
          <w:szCs w:val="16"/>
        </w:rPr>
        <w:t>Caisse de Prévoyance et de Retraite</w:t>
      </w:r>
      <w:r w:rsidRPr="001F2508">
        <w:rPr>
          <w:rFonts w:asciiTheme="minorHAnsi" w:hAnsiTheme="minorHAnsi" w:cstheme="minorHAnsi"/>
          <w:sz w:val="16"/>
          <w:szCs w:val="16"/>
        </w:rPr>
        <w:t xml:space="preserve"> (CPR) which covers contractual </w:t>
      </w:r>
      <w:r>
        <w:rPr>
          <w:rFonts w:asciiTheme="minorHAnsi" w:hAnsiTheme="minorHAnsi" w:cstheme="minorHAnsi"/>
          <w:sz w:val="16"/>
          <w:szCs w:val="16"/>
        </w:rPr>
        <w:t>G</w:t>
      </w:r>
      <w:r w:rsidRPr="001F2508">
        <w:rPr>
          <w:rFonts w:asciiTheme="minorHAnsi" w:hAnsiTheme="minorHAnsi" w:cstheme="minorHAnsi"/>
          <w:sz w:val="16"/>
          <w:szCs w:val="16"/>
        </w:rPr>
        <w:t>overnment employees.</w:t>
      </w:r>
    </w:p>
  </w:footnote>
  <w:footnote w:id="23">
    <w:p w14:paraId="78220C52" w14:textId="77777777" w:rsidR="008B4E47" w:rsidRPr="001F2508" w:rsidRDefault="008B4E47" w:rsidP="001066A4">
      <w:pPr>
        <w:pStyle w:val="FootnoteText"/>
        <w:rPr>
          <w:rFonts w:asciiTheme="minorHAnsi" w:hAnsiTheme="minorHAnsi" w:cstheme="minorHAnsi"/>
          <w:sz w:val="16"/>
          <w:szCs w:val="16"/>
        </w:rPr>
      </w:pPr>
      <w:r w:rsidRPr="00321DAE">
        <w:rPr>
          <w:rStyle w:val="FootnoteReference"/>
        </w:rPr>
        <w:footnoteRef/>
      </w:r>
      <w:r w:rsidRPr="001F2508">
        <w:rPr>
          <w:rFonts w:asciiTheme="minorHAnsi" w:hAnsiTheme="minorHAnsi" w:cstheme="minorHAnsi"/>
          <w:sz w:val="16"/>
          <w:szCs w:val="16"/>
        </w:rPr>
        <w:t xml:space="preserve"> The subsidy mechanism has been formalized from 2013. Thanks to favorable international development, subsidies represented only 0.2 percent of GDP in 2015.</w:t>
      </w:r>
    </w:p>
  </w:footnote>
  <w:footnote w:id="24">
    <w:p w14:paraId="0B777CC0" w14:textId="77777777" w:rsidR="008B4E47" w:rsidRPr="001F2508" w:rsidRDefault="008B4E47" w:rsidP="00416AB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The number of individual accounts at Madagascar’s 22 MFIs has increased from 0.4 million in 2009 to about 1.4 million in June 2016.</w:t>
      </w:r>
    </w:p>
  </w:footnote>
  <w:footnote w:id="25">
    <w:p w14:paraId="6BA49062" w14:textId="1E67E3A7"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Social priority spending refers to the sum of budget allocations to the Ministries of Health, Education, Population and Water excluding salaries and externally financed investment (consistent with the IMF’s ECF). </w:t>
      </w:r>
    </w:p>
  </w:footnote>
  <w:footnote w:id="26">
    <w:p w14:paraId="2BD4B11E" w14:textId="2B3037AE" w:rsidR="008B4E47" w:rsidRPr="001F2508" w:rsidRDefault="008B4E47">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The development objective of the Reengagement DPO is to ‘Improve the efficiency and transparency of public service delivery.’</w:t>
      </w:r>
    </w:p>
  </w:footnote>
  <w:footnote w:id="27">
    <w:p w14:paraId="7C489885" w14:textId="42E65EBC" w:rsidR="008B4E47" w:rsidRPr="001F2508" w:rsidRDefault="008B4E47">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The development objective of the Resilience DPO is ‘Strengthening reporting and increasing availability of information relevant to assessing the effectiveness of public finance, improving payroll management and consolidating accounts in line with the treasury single account principle.’</w:t>
      </w:r>
    </w:p>
  </w:footnote>
  <w:footnote w:id="28">
    <w:p w14:paraId="16C56FEB" w14:textId="0346110F" w:rsidR="008B4E47" w:rsidRPr="00C8795A" w:rsidRDefault="008B4E47">
      <w:pPr>
        <w:pStyle w:val="FootnoteText"/>
        <w:contextualSpacing/>
        <w:rPr>
          <w:rStyle w:val="FootnoteReference"/>
          <w:rFonts w:asciiTheme="minorHAnsi" w:hAnsiTheme="minorHAnsi" w:cstheme="minorHAnsi"/>
          <w:sz w:val="16"/>
          <w:szCs w:val="16"/>
        </w:rPr>
      </w:pPr>
      <w:r w:rsidRPr="00C8795A">
        <w:rPr>
          <w:rStyle w:val="FootnoteReference"/>
          <w:rFonts w:asciiTheme="minorHAnsi" w:hAnsiTheme="minorHAnsi" w:cstheme="minorHAnsi"/>
          <w:sz w:val="16"/>
          <w:szCs w:val="16"/>
        </w:rPr>
        <w:footnoteRef/>
      </w:r>
      <w:r w:rsidRPr="00C8795A">
        <w:rPr>
          <w:rStyle w:val="FootnoteReference"/>
          <w:rFonts w:asciiTheme="minorHAnsi" w:hAnsiTheme="minorHAnsi" w:cstheme="minorHAnsi"/>
          <w:sz w:val="16"/>
          <w:szCs w:val="16"/>
        </w:rPr>
        <w:t xml:space="preserve"> </w:t>
      </w:r>
      <w:r w:rsidRPr="00C8795A">
        <w:rPr>
          <w:rStyle w:val="FootnoteReference"/>
          <w:rFonts w:asciiTheme="minorHAnsi" w:hAnsiTheme="minorHAnsi" w:cstheme="minorHAnsi"/>
          <w:sz w:val="16"/>
          <w:szCs w:val="16"/>
          <w:vertAlign w:val="baseline"/>
        </w:rPr>
        <w:t>Report No: ICR00003826</w:t>
      </w:r>
      <w:r>
        <w:rPr>
          <w:rFonts w:asciiTheme="minorHAnsi" w:hAnsiTheme="minorHAnsi" w:cstheme="minorHAnsi"/>
          <w:sz w:val="16"/>
          <w:szCs w:val="16"/>
        </w:rPr>
        <w:t>.</w:t>
      </w:r>
    </w:p>
  </w:footnote>
  <w:footnote w:id="29">
    <w:p w14:paraId="0C02196B" w14:textId="139DA68D" w:rsidR="008B4E47" w:rsidRDefault="008B4E47">
      <w:pPr>
        <w:pStyle w:val="FootnoteText"/>
        <w:contextualSpacing/>
      </w:pPr>
      <w:r w:rsidRPr="00C8795A">
        <w:rPr>
          <w:rStyle w:val="FootnoteReference"/>
          <w:rFonts w:asciiTheme="minorHAnsi" w:hAnsiTheme="minorHAnsi" w:cstheme="minorHAnsi"/>
          <w:sz w:val="16"/>
          <w:szCs w:val="16"/>
        </w:rPr>
        <w:footnoteRef/>
      </w:r>
      <w:r w:rsidRPr="00C8795A">
        <w:rPr>
          <w:rFonts w:asciiTheme="majorHAnsi" w:hAnsiTheme="majorHAnsi" w:cstheme="majorHAnsi"/>
        </w:rPr>
        <w:t xml:space="preserve"> </w:t>
      </w:r>
      <w:r w:rsidRPr="00C8795A">
        <w:rPr>
          <w:rStyle w:val="FootnoteReference"/>
          <w:rFonts w:asciiTheme="minorHAnsi" w:hAnsiTheme="minorHAnsi" w:cstheme="minorHAnsi"/>
          <w:sz w:val="16"/>
          <w:szCs w:val="16"/>
          <w:vertAlign w:val="baseline"/>
        </w:rPr>
        <w:t xml:space="preserve">Available at : </w:t>
      </w:r>
      <w:hyperlink r:id="rId1" w:history="1">
        <w:r w:rsidRPr="00C8795A">
          <w:rPr>
            <w:rStyle w:val="FootnoteReference"/>
            <w:rFonts w:asciiTheme="minorHAnsi" w:hAnsiTheme="minorHAnsi" w:cstheme="minorHAnsi"/>
            <w:sz w:val="16"/>
            <w:szCs w:val="16"/>
            <w:vertAlign w:val="baseline"/>
          </w:rPr>
          <w:t>https://siteresources.worldbank.org/INTWDRS/Resources/WDR2011_Full_Text.pdf</w:t>
        </w:r>
      </w:hyperlink>
      <w:r>
        <w:rPr>
          <w:rFonts w:asciiTheme="minorHAnsi" w:hAnsiTheme="minorHAnsi" w:cstheme="minorHAnsi"/>
          <w:sz w:val="16"/>
          <w:szCs w:val="16"/>
        </w:rPr>
        <w:t>.</w:t>
      </w:r>
    </w:p>
  </w:footnote>
  <w:footnote w:id="30">
    <w:p w14:paraId="62CB99ED" w14:textId="77777777" w:rsidR="008B4E47" w:rsidRPr="001F2508" w:rsidRDefault="008B4E47" w:rsidP="001066A4">
      <w:pPr>
        <w:autoSpaceDE w:val="0"/>
        <w:autoSpaceDN w:val="0"/>
        <w:adjustRightInd w:val="0"/>
        <w:spacing w:after="0" w:line="240" w:lineRule="auto"/>
        <w:contextualSpacing/>
        <w:jc w:val="both"/>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w:t>
      </w:r>
      <w:r w:rsidRPr="003C3393">
        <w:rPr>
          <w:rFonts w:asciiTheme="minorHAnsi" w:hAnsiTheme="minorHAnsi" w:cstheme="minorHAnsi"/>
          <w:iCs/>
          <w:sz w:val="16"/>
          <w:szCs w:val="16"/>
        </w:rPr>
        <w:t xml:space="preserve">World Bank Group Assistance to Low-Income Fragile and Conflict-Affected States: An IEG Evaluation </w:t>
      </w:r>
      <w:r w:rsidRPr="003C3393">
        <w:rPr>
          <w:rFonts w:asciiTheme="minorHAnsi" w:hAnsiTheme="minorHAnsi" w:cstheme="minorHAnsi"/>
          <w:sz w:val="16"/>
          <w:szCs w:val="16"/>
        </w:rPr>
        <w:t>(2013</w:t>
      </w:r>
      <w:r w:rsidRPr="001F2508">
        <w:rPr>
          <w:rFonts w:asciiTheme="minorHAnsi" w:hAnsiTheme="minorHAnsi" w:cstheme="minorHAnsi"/>
          <w:sz w:val="16"/>
          <w:szCs w:val="16"/>
        </w:rPr>
        <w:t>).</w:t>
      </w:r>
    </w:p>
  </w:footnote>
  <w:footnote w:id="31">
    <w:p w14:paraId="73D21B7B" w14:textId="77777777"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Style w:val="FootnoteReference"/>
          <w:rFonts w:asciiTheme="minorHAnsi" w:hAnsiTheme="minorHAnsi" w:cstheme="minorHAnsi"/>
          <w:sz w:val="16"/>
          <w:szCs w:val="16"/>
        </w:rPr>
        <w:t xml:space="preserve"> </w:t>
      </w:r>
      <w:r w:rsidRPr="001F2508">
        <w:rPr>
          <w:rFonts w:asciiTheme="minorHAnsi" w:hAnsiTheme="minorHAnsi" w:cstheme="minorHAnsi"/>
          <w:sz w:val="16"/>
          <w:szCs w:val="16"/>
        </w:rPr>
        <w:t>While some tax expenditures are provided for in the legal framework (such as Special Economic Zones), other tax expenditures are awarded without due consideration of economic and social benefits, largely benefiting selected economic operators.</w:t>
      </w:r>
    </w:p>
  </w:footnote>
  <w:footnote w:id="32">
    <w:p w14:paraId="4BC07B34" w14:textId="26F6D405"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w:t>
      </w:r>
      <w:r w:rsidRPr="001F2508">
        <w:rPr>
          <w:rFonts w:asciiTheme="minorHAnsi" w:eastAsia="Calibri" w:hAnsiTheme="minorHAnsi" w:cstheme="minorHAnsi"/>
          <w:sz w:val="16"/>
          <w:szCs w:val="16"/>
        </w:rPr>
        <w:t xml:space="preserve">The eligibility to the expedited clearance process is measured based on six criteria related to the operator’s implication in tax litigation (magnitude and frequency), tax settlement, share of forward declaration, and the speed of withdrawal of goods from customs warehouse. </w:t>
      </w:r>
    </w:p>
  </w:footnote>
  <w:footnote w:id="33">
    <w:p w14:paraId="7A09219F" w14:textId="77777777" w:rsidR="008B4E47" w:rsidRPr="001F2508" w:rsidRDefault="008B4E47" w:rsidP="006C6F2D">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Tax expenditures will be cancelled for propane gas, papers and imported oil, which do not make up a significant share of the consumption basket for the poor. </w:t>
      </w:r>
    </w:p>
  </w:footnote>
  <w:footnote w:id="34">
    <w:p w14:paraId="4AB74FE7" w14:textId="1EE27513"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IMF Country Report No. 15/25, Madagascar, 2015. Madagascar’s tax potential was calculated by empirically estimating a tax frontier using stochastic frontier analysis. </w:t>
      </w:r>
    </w:p>
  </w:footnote>
  <w:footnote w:id="35">
    <w:p w14:paraId="34379465" w14:textId="5014EF34"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It is not possible to rationally isolate by how much the performance contracts and risk-based screening measures contributed to higher revenues. Improvements to tax administration cannot be credibly quantified since this requires assessing changes to voluntary compliance tax behaviors. </w:t>
      </w:r>
    </w:p>
  </w:footnote>
  <w:footnote w:id="36">
    <w:p w14:paraId="3C7CB3E1" w14:textId="28A69344" w:rsidR="008B4E47" w:rsidRPr="001F2508" w:rsidRDefault="008B4E47" w:rsidP="001066A4">
      <w:pPr>
        <w:spacing w:after="0" w:line="240" w:lineRule="auto"/>
        <w:rPr>
          <w:rFonts w:asciiTheme="minorHAnsi" w:hAnsiTheme="minorHAnsi" w:cstheme="minorHAnsi"/>
          <w:sz w:val="16"/>
          <w:szCs w:val="16"/>
          <w:lang w:val="fr-FR"/>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lang w:val="fr-FR"/>
        </w:rPr>
        <w:t xml:space="preserve"> </w:t>
      </w:r>
      <w:r w:rsidRPr="00242D42">
        <w:rPr>
          <w:rFonts w:asciiTheme="minorHAnsi" w:hAnsiTheme="minorHAnsi" w:cstheme="minorHAnsi"/>
          <w:i/>
          <w:sz w:val="16"/>
          <w:szCs w:val="16"/>
          <w:lang w:val="fr-FR"/>
        </w:rPr>
        <w:t>Loi N°99-010 Du 17.04.99 Regissant le Secteur Petrolier Aval, Modifiee Par la Loi N° 2004-003 du 23 Juin 2004 Portant Liberalisation Du Secteur Petrolier Aval.</w:t>
      </w:r>
    </w:p>
  </w:footnote>
  <w:footnote w:id="37">
    <w:p w14:paraId="309631CD" w14:textId="4CDD7555"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FB6693">
        <w:rPr>
          <w:rFonts w:asciiTheme="minorHAnsi" w:hAnsiTheme="minorHAnsi" w:cstheme="minorHAnsi"/>
          <w:sz w:val="16"/>
          <w:szCs w:val="16"/>
        </w:rPr>
        <w:t xml:space="preserve"> There are 72</w:t>
      </w:r>
      <w:r w:rsidRPr="00FF50C0">
        <w:rPr>
          <w:rFonts w:asciiTheme="minorHAnsi" w:hAnsiTheme="minorHAnsi" w:cstheme="minorHAnsi"/>
          <w:sz w:val="16"/>
          <w:szCs w:val="16"/>
        </w:rPr>
        <w:t>,</w:t>
      </w:r>
      <w:r w:rsidRPr="00FB6693">
        <w:rPr>
          <w:rFonts w:asciiTheme="minorHAnsi" w:hAnsiTheme="minorHAnsi" w:cstheme="minorHAnsi"/>
          <w:sz w:val="16"/>
          <w:szCs w:val="16"/>
        </w:rPr>
        <w:t>576 primary beneficiaries (pensioners) over age 60; 1</w:t>
      </w:r>
      <w:r>
        <w:rPr>
          <w:rFonts w:asciiTheme="minorHAnsi" w:hAnsiTheme="minorHAnsi" w:cstheme="minorHAnsi"/>
          <w:sz w:val="16"/>
          <w:szCs w:val="16"/>
        </w:rPr>
        <w:t>,</w:t>
      </w:r>
      <w:r w:rsidRPr="00FB6693">
        <w:rPr>
          <w:rFonts w:asciiTheme="minorHAnsi" w:hAnsiTheme="minorHAnsi" w:cstheme="minorHAnsi"/>
          <w:sz w:val="16"/>
          <w:szCs w:val="16"/>
        </w:rPr>
        <w:t>010 primary beneficiaries under age 60 (mostly disabled), and 36</w:t>
      </w:r>
      <w:r>
        <w:rPr>
          <w:rFonts w:asciiTheme="minorHAnsi" w:hAnsiTheme="minorHAnsi" w:cstheme="minorHAnsi"/>
          <w:sz w:val="16"/>
          <w:szCs w:val="16"/>
        </w:rPr>
        <w:t>,</w:t>
      </w:r>
      <w:r w:rsidRPr="00FB6693">
        <w:rPr>
          <w:rFonts w:asciiTheme="minorHAnsi" w:hAnsiTheme="minorHAnsi" w:cstheme="minorHAnsi"/>
          <w:sz w:val="16"/>
          <w:szCs w:val="16"/>
        </w:rPr>
        <w:t xml:space="preserve">031 </w:t>
      </w:r>
      <w:r>
        <w:rPr>
          <w:rFonts w:asciiTheme="minorHAnsi" w:hAnsiTheme="minorHAnsi" w:cstheme="minorHAnsi"/>
          <w:sz w:val="16"/>
          <w:szCs w:val="16"/>
        </w:rPr>
        <w:t>s</w:t>
      </w:r>
      <w:r w:rsidRPr="00FB6693">
        <w:rPr>
          <w:rFonts w:asciiTheme="minorHAnsi" w:hAnsiTheme="minorHAnsi" w:cstheme="minorHAnsi"/>
          <w:sz w:val="16"/>
          <w:szCs w:val="16"/>
        </w:rPr>
        <w:t>urvivors and orphans.</w:t>
      </w:r>
      <w:r w:rsidRPr="001F2508">
        <w:rPr>
          <w:rFonts w:asciiTheme="minorHAnsi" w:hAnsiTheme="minorHAnsi" w:cstheme="minorHAnsi"/>
          <w:sz w:val="16"/>
          <w:szCs w:val="16"/>
        </w:rPr>
        <w:t>                                                           </w:t>
      </w:r>
    </w:p>
  </w:footnote>
  <w:footnote w:id="38">
    <w:p w14:paraId="6431A61C" w14:textId="0AC50F78" w:rsidR="008B4E47" w:rsidRPr="001F2508" w:rsidRDefault="008B4E47">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The decree states that the determination of the pump price will in no way lead to the payment of a subsidy</w:t>
      </w:r>
      <w:r>
        <w:rPr>
          <w:rFonts w:asciiTheme="minorHAnsi" w:hAnsiTheme="minorHAnsi" w:cstheme="minorHAnsi"/>
          <w:sz w:val="16"/>
          <w:szCs w:val="16"/>
        </w:rPr>
        <w:t>.</w:t>
      </w:r>
    </w:p>
  </w:footnote>
  <w:footnote w:id="39">
    <w:p w14:paraId="62150468" w14:textId="77777777"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Priority spending is defined as the sum of budget allocations to the Ministries of Health, Education, Population, and Water, excluding salaries and externally financed investment.</w:t>
      </w:r>
    </w:p>
  </w:footnote>
  <w:footnote w:id="40">
    <w:p w14:paraId="332D5ADD" w14:textId="77777777"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Calculation is based on the difference between pump and reference prices, which was 9.5 percent on average in 2014 and 2015. The assumption is that this 9.5 percent differential will continue to be subsidized in 2016 and 2017 in the absence of the elimination of the fuel subsidy (i.e. the counterfactual). </w:t>
      </w:r>
    </w:p>
  </w:footnote>
  <w:footnote w:id="41">
    <w:p w14:paraId="7ED7A908" w14:textId="6E53C9DF" w:rsidR="008B4E47" w:rsidRPr="001F2508" w:rsidRDefault="008B4E47" w:rsidP="001066A4">
      <w:pPr>
        <w:pStyle w:val="FootnoteText"/>
        <w:rPr>
          <w:rFonts w:asciiTheme="minorHAnsi" w:hAnsiTheme="minorHAnsi" w:cstheme="minorHAnsi"/>
          <w:sz w:val="16"/>
          <w:szCs w:val="16"/>
          <w:lang w:val="fr-FR"/>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lang w:val="fr-FR"/>
        </w:rPr>
        <w:t xml:space="preserve"> The appraisal procedure is defined in the </w:t>
      </w:r>
      <w:r w:rsidRPr="001F2508">
        <w:rPr>
          <w:rFonts w:asciiTheme="minorHAnsi" w:hAnsiTheme="minorHAnsi" w:cstheme="minorHAnsi"/>
          <w:i/>
          <w:iCs/>
          <w:sz w:val="16"/>
          <w:szCs w:val="16"/>
          <w:lang w:val="fr-FR"/>
        </w:rPr>
        <w:t>Circulaire relative à la preparation des projets du Programme d’Investissement Public 2018-2020, Tranche 2018 (sur financement intérieur) N. 007-MFB/SG/DGB du 30 Juin 2017</w:t>
      </w:r>
      <w:r>
        <w:rPr>
          <w:rFonts w:asciiTheme="minorHAnsi" w:hAnsiTheme="minorHAnsi" w:cstheme="minorHAnsi"/>
          <w:i/>
          <w:iCs/>
          <w:sz w:val="16"/>
          <w:szCs w:val="16"/>
          <w:lang w:val="fr-FR"/>
        </w:rPr>
        <w:t>.</w:t>
      </w:r>
    </w:p>
  </w:footnote>
  <w:footnote w:id="42">
    <w:p w14:paraId="5AFA773C" w14:textId="7ABF1D01"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There are two application decrees: one related to the PPP institutional framework and the second related to the procedures for the preparation, conclusion and follow-up of PPP contracts. </w:t>
      </w:r>
    </w:p>
  </w:footnote>
  <w:footnote w:id="43">
    <w:p w14:paraId="2F9DB9FA" w14:textId="77777777"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There is a lag of three months between the end of each quarter and the date of publication.</w:t>
      </w:r>
    </w:p>
  </w:footnote>
  <w:footnote w:id="44">
    <w:p w14:paraId="6447A359" w14:textId="77777777"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Dabla-Norris and Inchauste (2007). </w:t>
      </w:r>
    </w:p>
  </w:footnote>
  <w:footnote w:id="45">
    <w:p w14:paraId="2B52885E" w14:textId="77777777"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Economies with a more efficient judiciary, in which courts can effectively enforce contractual obligations, have been found to have more developed credit markets and a higher level of development overall. See, for example, Mehnaz Safavian and Siddharth Sharma (2007). </w:t>
      </w:r>
    </w:p>
  </w:footnote>
  <w:footnote w:id="46">
    <w:p w14:paraId="39687C3B" w14:textId="008FC148" w:rsidR="008B4E47" w:rsidRPr="001F2508" w:rsidRDefault="008B4E47" w:rsidP="001066A4">
      <w:pPr>
        <w:tabs>
          <w:tab w:val="left" w:pos="450"/>
        </w:tabs>
        <w:autoSpaceDE w:val="0"/>
        <w:autoSpaceDN w:val="0"/>
        <w:adjustRightInd w:val="0"/>
        <w:spacing w:after="0" w:line="240" w:lineRule="auto"/>
        <w:jc w:val="both"/>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Information provided by the Ministry of Justice and must be validated by the Doing Business team. The latest Doing Business statistics only go up to June 2016 and therefore do not reflect the new reforms.</w:t>
      </w:r>
    </w:p>
  </w:footnote>
  <w:footnote w:id="47">
    <w:p w14:paraId="74F0E5E4" w14:textId="77777777"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The number of individual accounts at Madagascar’s 22 MFIs has increased from 0.4 million in 2009 to about 1.4 million in June 2016.</w:t>
      </w:r>
    </w:p>
  </w:footnote>
  <w:footnote w:id="48">
    <w:p w14:paraId="318135FC" w14:textId="0E59B760"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The prior action was to complete the on-site supervision visit of two large banks. The CSBF superseded this target and completed supervision of four banks. </w:t>
      </w:r>
    </w:p>
  </w:footnote>
  <w:footnote w:id="49">
    <w:p w14:paraId="58B03F68" w14:textId="2E6590A8"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Prudential measures include: </w:t>
      </w:r>
      <w:r w:rsidRPr="001F2508">
        <w:rPr>
          <w:rFonts w:asciiTheme="minorHAnsi" w:eastAsia="SimSun" w:hAnsiTheme="minorHAnsi" w:cstheme="minorHAnsi"/>
          <w:bCs/>
          <w:sz w:val="16"/>
          <w:szCs w:val="16"/>
        </w:rPr>
        <w:t>strengthened minimum capital requirements, prudential ratios, internal control mechanisms to manage risks, governance in particular for cooperatives) and non-prudential measures such as consumer’s protection</w:t>
      </w:r>
    </w:p>
  </w:footnote>
  <w:footnote w:id="50">
    <w:p w14:paraId="7C7D620D" w14:textId="77777777"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From level 1-2-3 to MFI “A” or “B”, merging </w:t>
      </w:r>
      <w:r w:rsidRPr="001F2508">
        <w:rPr>
          <w:rFonts w:asciiTheme="minorHAnsi" w:hAnsiTheme="minorHAnsi" w:cstheme="minorHAnsi"/>
          <w:i/>
          <w:sz w:val="16"/>
          <w:szCs w:val="16"/>
        </w:rPr>
        <w:t>de facto</w:t>
      </w:r>
      <w:r w:rsidRPr="001F2508">
        <w:rPr>
          <w:rFonts w:asciiTheme="minorHAnsi" w:hAnsiTheme="minorHAnsi" w:cstheme="minorHAnsi"/>
          <w:sz w:val="16"/>
          <w:szCs w:val="16"/>
        </w:rPr>
        <w:t xml:space="preserve"> the categories 2 and 3.</w:t>
      </w:r>
    </w:p>
  </w:footnote>
  <w:footnote w:id="51">
    <w:p w14:paraId="712794CA" w14:textId="77777777"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CAMELS is the acronym of Capital adequacy, Asset quality, Management, Earnings, Liquidity (ALM) and Sensitivity to market risks.</w:t>
      </w:r>
    </w:p>
  </w:footnote>
  <w:footnote w:id="52">
    <w:p w14:paraId="77709D45" w14:textId="6E8B283B"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w:t>
      </w:r>
      <w:r>
        <w:rPr>
          <w:rFonts w:asciiTheme="minorHAnsi" w:hAnsiTheme="minorHAnsi" w:cstheme="minorHAnsi"/>
          <w:sz w:val="16"/>
          <w:szCs w:val="16"/>
        </w:rPr>
        <w:t>Report No.114744-MG</w:t>
      </w:r>
    </w:p>
  </w:footnote>
  <w:footnote w:id="53">
    <w:p w14:paraId="3916C799" w14:textId="0E791AB9" w:rsidR="008B4E47" w:rsidRPr="001F2508" w:rsidRDefault="008B4E47">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The PSIA presented in this Program Document is a summary of a full PSIA that was jointly led by POV and MFM GPs. </w:t>
      </w:r>
    </w:p>
  </w:footnote>
  <w:footnote w:id="54">
    <w:p w14:paraId="6EF5DE6B" w14:textId="27A5D484"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In Madagascar propane gas is only used by the top income quintile. </w:t>
      </w:r>
    </w:p>
  </w:footnote>
  <w:footnote w:id="55">
    <w:p w14:paraId="47EB978E" w14:textId="77777777"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This is based on the total value of the transport subsidy and the total savings from the removal of the fuel subsidy for the years 2016 and 2017 and assumes an all else equal scenario.</w:t>
      </w:r>
    </w:p>
  </w:footnote>
  <w:footnote w:id="56">
    <w:p w14:paraId="554ECBF9" w14:textId="77777777" w:rsidR="008B4E47" w:rsidRPr="001F2508" w:rsidRDefault="008B4E47" w:rsidP="001066A4">
      <w:pPr>
        <w:pStyle w:val="FootnoteText"/>
        <w:rPr>
          <w:rFonts w:asciiTheme="minorHAnsi" w:hAnsiTheme="minorHAnsi" w:cstheme="minorHAnsi"/>
          <w:sz w:val="16"/>
          <w:szCs w:val="16"/>
        </w:rPr>
      </w:pPr>
      <w:r w:rsidRPr="00FE7498">
        <w:rPr>
          <w:rFonts w:asciiTheme="minorHAnsi" w:hAnsiTheme="minorHAnsi" w:cstheme="minorHAnsi"/>
          <w:sz w:val="16"/>
          <w:szCs w:val="16"/>
          <w:vertAlign w:val="superscript"/>
        </w:rPr>
        <w:footnoteRef/>
      </w:r>
      <w:r w:rsidRPr="001F2508">
        <w:rPr>
          <w:rFonts w:asciiTheme="minorHAnsi" w:hAnsiTheme="minorHAnsi" w:cstheme="minorHAnsi"/>
          <w:sz w:val="16"/>
          <w:szCs w:val="16"/>
        </w:rPr>
        <w:t xml:space="preserve"> Law No. 90-033 of 21 December 1990 modified by Law No. 97-012 of 6 June 1997 and Law No. 2004-015 of 19 August 2004</w:t>
      </w:r>
    </w:p>
  </w:footnote>
  <w:footnote w:id="57">
    <w:p w14:paraId="4AF3F00A" w14:textId="77777777" w:rsidR="008B4E47" w:rsidRPr="001F2508" w:rsidRDefault="008B4E47" w:rsidP="001066A4">
      <w:pPr>
        <w:pStyle w:val="FootnoteText"/>
        <w:rPr>
          <w:rFonts w:asciiTheme="minorHAnsi" w:hAnsiTheme="minorHAnsi" w:cstheme="minorHAnsi"/>
          <w:sz w:val="16"/>
          <w:szCs w:val="16"/>
        </w:rPr>
      </w:pPr>
      <w:r w:rsidRPr="00FE7498">
        <w:rPr>
          <w:rFonts w:asciiTheme="minorHAnsi" w:hAnsiTheme="minorHAnsi" w:cstheme="minorHAnsi"/>
          <w:sz w:val="16"/>
          <w:szCs w:val="16"/>
          <w:vertAlign w:val="superscript"/>
        </w:rPr>
        <w:footnoteRef/>
      </w:r>
      <w:r w:rsidRPr="001F2508">
        <w:rPr>
          <w:rFonts w:asciiTheme="minorHAnsi" w:hAnsiTheme="minorHAnsi" w:cstheme="minorHAnsi"/>
          <w:sz w:val="16"/>
          <w:szCs w:val="16"/>
        </w:rPr>
        <w:t xml:space="preserve"> Some of these regulatory frameworks are listed in the World Bank (2003) Country Environmental Analysis.</w:t>
      </w:r>
    </w:p>
  </w:footnote>
  <w:footnote w:id="58">
    <w:p w14:paraId="44BF958A" w14:textId="77777777"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See decree No. 2004-167 of 3 February 2004 on Development of Investment Compatibility with the Environment (MECIE).</w:t>
      </w:r>
    </w:p>
  </w:footnote>
  <w:footnote w:id="59">
    <w:p w14:paraId="1CD34E22" w14:textId="77777777"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As part of broader efforts to increase budgetary transparency, this document recounts, in a simplified manner, the recent developments and the economic and fiscal outlook, new fiscal and customs measures, the reorientation of public spending, and the level of indebtedness.</w:t>
      </w:r>
    </w:p>
  </w:footnote>
  <w:footnote w:id="60">
    <w:p w14:paraId="7169251F" w14:textId="143C5C31"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In 2015, the stock of arrears was estimated at 3</w:t>
      </w:r>
      <w:r>
        <w:rPr>
          <w:rFonts w:asciiTheme="minorHAnsi" w:hAnsiTheme="minorHAnsi" w:cstheme="minorHAnsi"/>
          <w:sz w:val="16"/>
          <w:szCs w:val="16"/>
        </w:rPr>
        <w:t xml:space="preserve"> percent</w:t>
      </w:r>
      <w:r w:rsidRPr="001F2508">
        <w:rPr>
          <w:rFonts w:asciiTheme="minorHAnsi" w:hAnsiTheme="minorHAnsi" w:cstheme="minorHAnsi"/>
          <w:sz w:val="16"/>
          <w:szCs w:val="16"/>
        </w:rPr>
        <w:t xml:space="preserve"> of the GDP. Arrears on January 1, 2016 were of MGA 1,105 billion (General Directorate of Budget) of which 380 billion (i.e. 34</w:t>
      </w:r>
      <w:r>
        <w:rPr>
          <w:rFonts w:asciiTheme="minorHAnsi" w:hAnsiTheme="minorHAnsi" w:cstheme="minorHAnsi"/>
          <w:sz w:val="16"/>
          <w:szCs w:val="16"/>
        </w:rPr>
        <w:t xml:space="preserve"> percent</w:t>
      </w:r>
      <w:r w:rsidRPr="001F2508">
        <w:rPr>
          <w:rFonts w:asciiTheme="minorHAnsi" w:hAnsiTheme="minorHAnsi" w:cstheme="minorHAnsi"/>
          <w:sz w:val="16"/>
          <w:szCs w:val="16"/>
        </w:rPr>
        <w:t xml:space="preserve"> of total arrears, or 1.2</w:t>
      </w:r>
      <w:r>
        <w:rPr>
          <w:rFonts w:asciiTheme="minorHAnsi" w:hAnsiTheme="minorHAnsi" w:cstheme="minorHAnsi"/>
          <w:sz w:val="16"/>
          <w:szCs w:val="16"/>
        </w:rPr>
        <w:t xml:space="preserve"> percent</w:t>
      </w:r>
      <w:r w:rsidRPr="001F2508">
        <w:rPr>
          <w:rFonts w:asciiTheme="minorHAnsi" w:hAnsiTheme="minorHAnsi" w:cstheme="minorHAnsi"/>
          <w:sz w:val="16"/>
          <w:szCs w:val="16"/>
        </w:rPr>
        <w:t xml:space="preserve"> of GDP according to IMF-ECF document) were repaid in 2016. At the end of 2016, the stock of arrears corresponds to 14</w:t>
      </w:r>
      <w:r>
        <w:rPr>
          <w:rFonts w:asciiTheme="minorHAnsi" w:hAnsiTheme="minorHAnsi" w:cstheme="minorHAnsi"/>
          <w:sz w:val="16"/>
          <w:szCs w:val="16"/>
        </w:rPr>
        <w:t xml:space="preserve"> percent</w:t>
      </w:r>
      <w:r w:rsidRPr="001F2508">
        <w:rPr>
          <w:rFonts w:asciiTheme="minorHAnsi" w:hAnsiTheme="minorHAnsi" w:cstheme="minorHAnsi"/>
          <w:sz w:val="16"/>
          <w:szCs w:val="16"/>
        </w:rPr>
        <w:t xml:space="preserve"> of total expenditure. No additional arrears were accumulated in 2016. An additional 32</w:t>
      </w:r>
      <w:r>
        <w:rPr>
          <w:rFonts w:asciiTheme="minorHAnsi" w:hAnsiTheme="minorHAnsi" w:cstheme="minorHAnsi"/>
          <w:sz w:val="16"/>
          <w:szCs w:val="16"/>
        </w:rPr>
        <w:t xml:space="preserve"> percent</w:t>
      </w:r>
      <w:r w:rsidRPr="001F2508">
        <w:rPr>
          <w:rFonts w:asciiTheme="minorHAnsi" w:hAnsiTheme="minorHAnsi" w:cstheme="minorHAnsi"/>
          <w:sz w:val="16"/>
          <w:szCs w:val="16"/>
        </w:rPr>
        <w:t xml:space="preserve"> of remaining stock is expected to be cleared in 2017 based on 2017 Budget Law. (Note that the budget process covered here only for the Government at Central level).</w:t>
      </w:r>
    </w:p>
  </w:footnote>
  <w:footnote w:id="61">
    <w:p w14:paraId="5F92E54F" w14:textId="77777777"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This indicator refers to reducing transfers to JIRAMA (an SOE and the utilities company), Air Madagascar (an SOE and the national airline company), the Pension Fund, and fuel subsidies.</w:t>
      </w:r>
    </w:p>
  </w:footnote>
  <w:footnote w:id="62">
    <w:p w14:paraId="2173F83E" w14:textId="77777777"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Social priority spending is defined as the sum of budget allocations to the Ministries of Health, Education, Population and Water excluding salaries and externally financed investment. This is consistent with the IMF’s Extended Credit Facility program.</w:t>
      </w:r>
    </w:p>
  </w:footnote>
  <w:footnote w:id="63">
    <w:p w14:paraId="23809467" w14:textId="63A5D726"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Initial target readjusted to reflect average targets in the region. </w:t>
      </w:r>
    </w:p>
  </w:footnote>
  <w:footnote w:id="64">
    <w:p w14:paraId="7707CA99" w14:textId="45B89289"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Information provided by the Ministry of Justice and must be validated by the Doing Business team. The latest Doing Business statistics only go up to June 2016 and therefore do not reflect the new reforms. </w:t>
      </w:r>
    </w:p>
  </w:footnote>
  <w:footnote w:id="65">
    <w:p w14:paraId="1BE03BE2" w14:textId="5E9113B8" w:rsidR="008B4E47" w:rsidRPr="001F2508" w:rsidRDefault="008B4E47" w:rsidP="001066A4">
      <w:pPr>
        <w:pStyle w:val="FootnoteText"/>
        <w:rPr>
          <w:rFonts w:asciiTheme="minorHAnsi" w:hAnsiTheme="minorHAnsi" w:cstheme="minorHAnsi"/>
          <w:sz w:val="16"/>
          <w:szCs w:val="16"/>
        </w:rPr>
      </w:pPr>
      <w:r w:rsidRPr="001F2508">
        <w:rPr>
          <w:rStyle w:val="FootnoteReference"/>
          <w:rFonts w:asciiTheme="minorHAnsi" w:hAnsiTheme="minorHAnsi" w:cstheme="minorHAnsi"/>
          <w:sz w:val="16"/>
          <w:szCs w:val="16"/>
        </w:rPr>
        <w:footnoteRef/>
      </w:r>
      <w:r w:rsidRPr="001F2508">
        <w:rPr>
          <w:rFonts w:asciiTheme="minorHAnsi" w:hAnsiTheme="minorHAnsi" w:cstheme="minorHAnsi"/>
          <w:sz w:val="16"/>
          <w:szCs w:val="16"/>
        </w:rPr>
        <w:t xml:space="preserve"> </w:t>
      </w:r>
      <w:r w:rsidRPr="001F2508">
        <w:rPr>
          <w:rFonts w:asciiTheme="minorHAnsi" w:eastAsia="Times New Roman" w:hAnsiTheme="minorHAnsi" w:cstheme="minorHAnsi"/>
          <w:sz w:val="16"/>
          <w:szCs w:val="16"/>
        </w:rPr>
        <w:t>RBS looks at anticipating possible risks and therefore directs supervisory efforts on those entities that are likely to be exposed to risks.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FA4674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2506E0"/>
    <w:multiLevelType w:val="hybridMultilevel"/>
    <w:tmpl w:val="D6D2B840"/>
    <w:lvl w:ilvl="0" w:tplc="04090001">
      <w:start w:val="1"/>
      <w:numFmt w:val="bullet"/>
      <w:lvlText w:val=""/>
      <w:lvlJc w:val="left"/>
      <w:pPr>
        <w:ind w:left="605" w:hanging="360"/>
      </w:pPr>
      <w:rPr>
        <w:rFonts w:ascii="Symbol" w:hAnsi="Symbol"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2" w15:restartNumberingAfterBreak="0">
    <w:nsid w:val="0FDC14F9"/>
    <w:multiLevelType w:val="hybridMultilevel"/>
    <w:tmpl w:val="89980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680D0D"/>
    <w:multiLevelType w:val="multilevel"/>
    <w:tmpl w:val="C444F52A"/>
    <w:lvl w:ilvl="0">
      <w:start w:val="1"/>
      <w:numFmt w:val="decimal"/>
      <w:pStyle w:val="Heading2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5575A59"/>
    <w:multiLevelType w:val="hybridMultilevel"/>
    <w:tmpl w:val="0E38CD28"/>
    <w:lvl w:ilvl="0" w:tplc="04090001">
      <w:start w:val="1"/>
      <w:numFmt w:val="bullet"/>
      <w:lvlText w:val=""/>
      <w:lvlJc w:val="left"/>
      <w:pPr>
        <w:tabs>
          <w:tab w:val="num" w:pos="810"/>
        </w:tabs>
        <w:ind w:left="810" w:hanging="360"/>
      </w:pPr>
      <w:rPr>
        <w:rFonts w:ascii="Symbol" w:hAnsi="Symbol" w:hint="default"/>
        <w:b w:val="0"/>
        <w:i w:val="0"/>
        <w:sz w:val="22"/>
        <w:szCs w:val="22"/>
      </w:rPr>
    </w:lvl>
    <w:lvl w:ilvl="1" w:tplc="04090001">
      <w:start w:val="1"/>
      <w:numFmt w:val="bullet"/>
      <w:lvlText w:val=""/>
      <w:lvlJc w:val="left"/>
      <w:pPr>
        <w:tabs>
          <w:tab w:val="num" w:pos="1350"/>
        </w:tabs>
        <w:ind w:left="1350" w:hanging="360"/>
      </w:pPr>
      <w:rPr>
        <w:rFonts w:ascii="Symbol" w:hAnsi="Symbol" w:hint="default"/>
      </w:rPr>
    </w:lvl>
    <w:lvl w:ilvl="2" w:tplc="0409001B">
      <w:start w:val="1"/>
      <w:numFmt w:val="lowerRoman"/>
      <w:lvlText w:val="%3."/>
      <w:lvlJc w:val="right"/>
      <w:pPr>
        <w:tabs>
          <w:tab w:val="num" w:pos="2070"/>
        </w:tabs>
        <w:ind w:left="2070" w:hanging="180"/>
      </w:pPr>
      <w:rPr>
        <w:rFonts w:cs="Times New Roman"/>
      </w:rPr>
    </w:lvl>
    <w:lvl w:ilvl="3" w:tplc="0409000F">
      <w:start w:val="1"/>
      <w:numFmt w:val="decimal"/>
      <w:lvlText w:val="%4."/>
      <w:lvlJc w:val="left"/>
      <w:pPr>
        <w:tabs>
          <w:tab w:val="num" w:pos="2790"/>
        </w:tabs>
        <w:ind w:left="2790" w:hanging="360"/>
      </w:pPr>
      <w:rPr>
        <w:rFonts w:cs="Times New Roman"/>
        <w:b w:val="0"/>
      </w:rPr>
    </w:lvl>
    <w:lvl w:ilvl="4" w:tplc="20688D44">
      <w:start w:val="1"/>
      <w:numFmt w:val="lowerRoman"/>
      <w:lvlText w:val="(%5)"/>
      <w:lvlJc w:val="left"/>
      <w:pPr>
        <w:ind w:left="3870" w:hanging="720"/>
      </w:pPr>
      <w:rPr>
        <w:rFonts w:hint="default"/>
      </w:rPr>
    </w:lvl>
    <w:lvl w:ilvl="5" w:tplc="0409001B" w:tentative="1">
      <w:start w:val="1"/>
      <w:numFmt w:val="lowerRoman"/>
      <w:lvlText w:val="%6."/>
      <w:lvlJc w:val="right"/>
      <w:pPr>
        <w:tabs>
          <w:tab w:val="num" w:pos="4230"/>
        </w:tabs>
        <w:ind w:left="4230" w:hanging="180"/>
      </w:pPr>
      <w:rPr>
        <w:rFonts w:cs="Times New Roman"/>
      </w:rPr>
    </w:lvl>
    <w:lvl w:ilvl="6" w:tplc="0409000F" w:tentative="1">
      <w:start w:val="1"/>
      <w:numFmt w:val="decimal"/>
      <w:lvlText w:val="%7."/>
      <w:lvlJc w:val="left"/>
      <w:pPr>
        <w:tabs>
          <w:tab w:val="num" w:pos="4950"/>
        </w:tabs>
        <w:ind w:left="4950" w:hanging="360"/>
      </w:pPr>
      <w:rPr>
        <w:rFonts w:cs="Times New Roman"/>
      </w:rPr>
    </w:lvl>
    <w:lvl w:ilvl="7" w:tplc="04090019" w:tentative="1">
      <w:start w:val="1"/>
      <w:numFmt w:val="lowerLetter"/>
      <w:lvlText w:val="%8."/>
      <w:lvlJc w:val="left"/>
      <w:pPr>
        <w:tabs>
          <w:tab w:val="num" w:pos="5670"/>
        </w:tabs>
        <w:ind w:left="5670" w:hanging="360"/>
      </w:pPr>
      <w:rPr>
        <w:rFonts w:cs="Times New Roman"/>
      </w:rPr>
    </w:lvl>
    <w:lvl w:ilvl="8" w:tplc="0409001B" w:tentative="1">
      <w:start w:val="1"/>
      <w:numFmt w:val="lowerRoman"/>
      <w:lvlText w:val="%9."/>
      <w:lvlJc w:val="right"/>
      <w:pPr>
        <w:tabs>
          <w:tab w:val="num" w:pos="6390"/>
        </w:tabs>
        <w:ind w:left="6390" w:hanging="180"/>
      </w:pPr>
      <w:rPr>
        <w:rFonts w:cs="Times New Roman"/>
      </w:rPr>
    </w:lvl>
  </w:abstractNum>
  <w:abstractNum w:abstractNumId="5" w15:restartNumberingAfterBreak="0">
    <w:nsid w:val="15FE591F"/>
    <w:multiLevelType w:val="hybridMultilevel"/>
    <w:tmpl w:val="8072305C"/>
    <w:lvl w:ilvl="0" w:tplc="759E887C">
      <w:start w:val="2"/>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FD4372"/>
    <w:multiLevelType w:val="hybridMultilevel"/>
    <w:tmpl w:val="4B8E0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B7323D"/>
    <w:multiLevelType w:val="hybridMultilevel"/>
    <w:tmpl w:val="A13857C6"/>
    <w:lvl w:ilvl="0" w:tplc="CB0C18B8">
      <w:start w:val="1"/>
      <w:numFmt w:val="decimal"/>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974C6B"/>
    <w:multiLevelType w:val="hybridMultilevel"/>
    <w:tmpl w:val="DEC82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B71BDF"/>
    <w:multiLevelType w:val="hybridMultilevel"/>
    <w:tmpl w:val="F5A41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93208E"/>
    <w:multiLevelType w:val="hybridMultilevel"/>
    <w:tmpl w:val="3E0A8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0527D"/>
    <w:multiLevelType w:val="hybridMultilevel"/>
    <w:tmpl w:val="90A0C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3D0985"/>
    <w:multiLevelType w:val="multilevel"/>
    <w:tmpl w:val="8A6E069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FC9691E"/>
    <w:multiLevelType w:val="hybridMultilevel"/>
    <w:tmpl w:val="F5403A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9439E6"/>
    <w:multiLevelType w:val="multilevel"/>
    <w:tmpl w:val="A5EE0890"/>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2693528"/>
    <w:multiLevelType w:val="hybridMultilevel"/>
    <w:tmpl w:val="83FA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3D7BB7"/>
    <w:multiLevelType w:val="hybridMultilevel"/>
    <w:tmpl w:val="872889F2"/>
    <w:lvl w:ilvl="0" w:tplc="FFFFFFFF">
      <w:start w:val="1"/>
      <w:numFmt w:val="decimal"/>
      <w:pStyle w:val="ParagraphNumbering"/>
      <w:lvlText w:val="%1.     "/>
      <w:lvlJc w:val="left"/>
      <w:pPr>
        <w:ind w:left="3690" w:hanging="360"/>
      </w:pPr>
      <w:rPr>
        <w:rFonts w:ascii="Segoe UI" w:hAnsi="Segoe UI" w:hint="default"/>
        <w:b/>
        <w:i w:val="0"/>
        <w:color w:val="auto"/>
        <w:sz w:val="21"/>
        <w:lang w:val="fr-FR"/>
      </w:rPr>
    </w:lvl>
    <w:lvl w:ilvl="1" w:tplc="FFFFFFFF">
      <w:start w:val="1"/>
      <w:numFmt w:val="lowerLetter"/>
      <w:lvlText w:val="%2."/>
      <w:lvlJc w:val="left"/>
      <w:pPr>
        <w:ind w:left="1440" w:hanging="360"/>
      </w:pPr>
      <w:rPr>
        <w:b w:val="0"/>
      </w:rPr>
    </w:lvl>
    <w:lvl w:ilvl="2" w:tplc="AC7CC27C">
      <w:numFmt w:val="bullet"/>
      <w:lvlText w:val="•"/>
      <w:lvlJc w:val="left"/>
      <w:pPr>
        <w:ind w:left="2700" w:hanging="720"/>
      </w:pPr>
      <w:rPr>
        <w:rFonts w:ascii="Segoe UI" w:eastAsia="MS Mincho" w:hAnsi="Segoe UI" w:cs="Segoe UI"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A742D5"/>
    <w:multiLevelType w:val="hybridMultilevel"/>
    <w:tmpl w:val="73C005F2"/>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8" w15:restartNumberingAfterBreak="0">
    <w:nsid w:val="352D2CD6"/>
    <w:multiLevelType w:val="hybridMultilevel"/>
    <w:tmpl w:val="A336C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5C4333"/>
    <w:multiLevelType w:val="multilevel"/>
    <w:tmpl w:val="973C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C84EAF"/>
    <w:multiLevelType w:val="hybridMultilevel"/>
    <w:tmpl w:val="A0B4A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F40A27"/>
    <w:multiLevelType w:val="hybridMultilevel"/>
    <w:tmpl w:val="476EB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4510C5D"/>
    <w:multiLevelType w:val="hybridMultilevel"/>
    <w:tmpl w:val="036E1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297603"/>
    <w:multiLevelType w:val="hybridMultilevel"/>
    <w:tmpl w:val="5DACE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BD0B79"/>
    <w:multiLevelType w:val="hybridMultilevel"/>
    <w:tmpl w:val="8766B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7D920B4"/>
    <w:multiLevelType w:val="hybridMultilevel"/>
    <w:tmpl w:val="013CD81E"/>
    <w:lvl w:ilvl="0" w:tplc="AC2469FC">
      <w:start w:val="1"/>
      <w:numFmt w:val="decimal"/>
      <w:pStyle w:val="numbered"/>
      <w:lvlText w:val="%1."/>
      <w:lvlJc w:val="left"/>
      <w:pPr>
        <w:tabs>
          <w:tab w:val="num" w:pos="630"/>
        </w:tabs>
        <w:ind w:left="720" w:hanging="720"/>
      </w:pPr>
      <w:rPr>
        <w:rFonts w:hint="default"/>
        <w:b w:val="0"/>
        <w:sz w:val="22"/>
        <w:szCs w:val="22"/>
        <w:lang w:val="en-US"/>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b w:val="0"/>
      </w:rPr>
    </w:lvl>
    <w:lvl w:ilvl="4" w:tplc="7F58BD5C">
      <w:start w:val="1"/>
      <w:numFmt w:val="decimal"/>
      <w:lvlText w:val="(%5)"/>
      <w:lvlJc w:val="left"/>
      <w:pPr>
        <w:ind w:left="2910" w:hanging="390"/>
      </w:pPr>
      <w:rPr>
        <w:rFonts w:hint="default"/>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6" w15:restartNumberingAfterBreak="0">
    <w:nsid w:val="4AA56082"/>
    <w:multiLevelType w:val="hybridMultilevel"/>
    <w:tmpl w:val="606ED568"/>
    <w:lvl w:ilvl="0" w:tplc="06344746">
      <w:start w:val="39"/>
      <w:numFmt w:val="decimal"/>
      <w:lvlText w:val="%1."/>
      <w:lvlJc w:val="left"/>
      <w:pPr>
        <w:tabs>
          <w:tab w:val="num" w:pos="360"/>
        </w:tabs>
        <w:ind w:left="36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BE0808"/>
    <w:multiLevelType w:val="multilevel"/>
    <w:tmpl w:val="6CBA871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53D4023"/>
    <w:multiLevelType w:val="hybridMultilevel"/>
    <w:tmpl w:val="0E788F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6EE3447"/>
    <w:multiLevelType w:val="hybridMultilevel"/>
    <w:tmpl w:val="7144CE7A"/>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0" w15:restartNumberingAfterBreak="0">
    <w:nsid w:val="616E7464"/>
    <w:multiLevelType w:val="hybridMultilevel"/>
    <w:tmpl w:val="3A345E34"/>
    <w:lvl w:ilvl="0" w:tplc="FEF82A22">
      <w:start w:val="1"/>
      <w:numFmt w:val="decimal"/>
      <w:lvlText w:val="%1."/>
      <w:lvlJc w:val="left"/>
      <w:pPr>
        <w:tabs>
          <w:tab w:val="num" w:pos="540"/>
        </w:tabs>
        <w:ind w:left="540" w:hanging="360"/>
      </w:pPr>
      <w:rPr>
        <w:rFonts w:hint="default"/>
        <w:b w:val="0"/>
        <w:i w:val="0"/>
        <w:sz w:val="22"/>
        <w:szCs w:val="22"/>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b w:val="0"/>
      </w:rPr>
    </w:lvl>
    <w:lvl w:ilvl="4" w:tplc="20688D44">
      <w:start w:val="1"/>
      <w:numFmt w:val="lowerRoman"/>
      <w:lvlText w:val="(%5)"/>
      <w:lvlJc w:val="left"/>
      <w:pPr>
        <w:ind w:left="3600" w:hanging="720"/>
      </w:pPr>
      <w:rPr>
        <w:rFonts w:hint="default"/>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67963D6E"/>
    <w:multiLevelType w:val="hybridMultilevel"/>
    <w:tmpl w:val="B4DE3E42"/>
    <w:lvl w:ilvl="0" w:tplc="B4B29C10">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BAD1A29"/>
    <w:multiLevelType w:val="hybridMultilevel"/>
    <w:tmpl w:val="6B2CF0D6"/>
    <w:lvl w:ilvl="0" w:tplc="B0C2A5FE">
      <w:start w:val="1"/>
      <w:numFmt w:val="lowerRoman"/>
      <w:suff w:val="space"/>
      <w:lvlText w:val="(%1)"/>
      <w:lvlJc w:val="left"/>
      <w:pPr>
        <w:ind w:left="144" w:firstLine="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3" w15:restartNumberingAfterBreak="0">
    <w:nsid w:val="6CC7698A"/>
    <w:multiLevelType w:val="multilevel"/>
    <w:tmpl w:val="3850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3E35D7"/>
    <w:multiLevelType w:val="hybridMultilevel"/>
    <w:tmpl w:val="DC9A9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0164383"/>
    <w:multiLevelType w:val="hybridMultilevel"/>
    <w:tmpl w:val="7820EB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1F2053"/>
    <w:multiLevelType w:val="hybridMultilevel"/>
    <w:tmpl w:val="6A10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F32123"/>
    <w:multiLevelType w:val="hybridMultilevel"/>
    <w:tmpl w:val="49FA8AEA"/>
    <w:lvl w:ilvl="0" w:tplc="FEF82A22">
      <w:start w:val="1"/>
      <w:numFmt w:val="decimal"/>
      <w:lvlText w:val="%1."/>
      <w:lvlJc w:val="left"/>
      <w:pPr>
        <w:tabs>
          <w:tab w:val="num" w:pos="360"/>
        </w:tabs>
        <w:ind w:left="360" w:hanging="360"/>
      </w:pPr>
      <w:rPr>
        <w:rFonts w:hint="default"/>
        <w:b w:val="0"/>
        <w:i w:val="0"/>
        <w:sz w:val="22"/>
        <w:szCs w:val="22"/>
      </w:rPr>
    </w:lvl>
    <w:lvl w:ilvl="1" w:tplc="04090001">
      <w:start w:val="1"/>
      <w:numFmt w:val="bullet"/>
      <w:lvlText w:val=""/>
      <w:lvlJc w:val="left"/>
      <w:pPr>
        <w:tabs>
          <w:tab w:val="num" w:pos="900"/>
        </w:tabs>
        <w:ind w:left="900" w:hanging="360"/>
      </w:pPr>
      <w:rPr>
        <w:rFonts w:ascii="Symbol" w:hAnsi="Symbol" w:hint="default"/>
      </w:rPr>
    </w:lvl>
    <w:lvl w:ilvl="2" w:tplc="0409001B">
      <w:start w:val="1"/>
      <w:numFmt w:val="lowerRoman"/>
      <w:lvlText w:val="%3."/>
      <w:lvlJc w:val="right"/>
      <w:pPr>
        <w:tabs>
          <w:tab w:val="num" w:pos="1620"/>
        </w:tabs>
        <w:ind w:left="1620" w:hanging="180"/>
      </w:pPr>
      <w:rPr>
        <w:rFonts w:cs="Times New Roman"/>
      </w:rPr>
    </w:lvl>
    <w:lvl w:ilvl="3" w:tplc="0409000F">
      <w:start w:val="1"/>
      <w:numFmt w:val="decimal"/>
      <w:lvlText w:val="%4."/>
      <w:lvlJc w:val="left"/>
      <w:pPr>
        <w:tabs>
          <w:tab w:val="num" w:pos="2340"/>
        </w:tabs>
        <w:ind w:left="2340" w:hanging="360"/>
      </w:pPr>
      <w:rPr>
        <w:rFonts w:cs="Times New Roman"/>
        <w:b w:val="0"/>
      </w:rPr>
    </w:lvl>
    <w:lvl w:ilvl="4" w:tplc="20688D44">
      <w:start w:val="1"/>
      <w:numFmt w:val="lowerRoman"/>
      <w:lvlText w:val="(%5)"/>
      <w:lvlJc w:val="left"/>
      <w:pPr>
        <w:ind w:left="3420" w:hanging="720"/>
      </w:pPr>
      <w:rPr>
        <w:rFonts w:hint="default"/>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num w:numId="1">
    <w:abstractNumId w:val="37"/>
  </w:num>
  <w:num w:numId="2">
    <w:abstractNumId w:val="25"/>
  </w:num>
  <w:num w:numId="3">
    <w:abstractNumId w:val="27"/>
  </w:num>
  <w:num w:numId="4">
    <w:abstractNumId w:val="3"/>
  </w:num>
  <w:num w:numId="5">
    <w:abstractNumId w:val="14"/>
  </w:num>
  <w:num w:numId="6">
    <w:abstractNumId w:val="34"/>
  </w:num>
  <w:num w:numId="7">
    <w:abstractNumId w:val="16"/>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0"/>
  </w:num>
  <w:num w:numId="13">
    <w:abstractNumId w:val="8"/>
  </w:num>
  <w:num w:numId="14">
    <w:abstractNumId w:val="21"/>
  </w:num>
  <w:num w:numId="15">
    <w:abstractNumId w:val="4"/>
  </w:num>
  <w:num w:numId="16">
    <w:abstractNumId w:val="30"/>
  </w:num>
  <w:num w:numId="17">
    <w:abstractNumId w:val="31"/>
  </w:num>
  <w:num w:numId="18">
    <w:abstractNumId w:val="1"/>
  </w:num>
  <w:num w:numId="19">
    <w:abstractNumId w:val="32"/>
  </w:num>
  <w:num w:numId="20">
    <w:abstractNumId w:val="11"/>
  </w:num>
  <w:num w:numId="21">
    <w:abstractNumId w:val="17"/>
  </w:num>
  <w:num w:numId="22">
    <w:abstractNumId w:val="18"/>
  </w:num>
  <w:num w:numId="23">
    <w:abstractNumId w:val="23"/>
  </w:num>
  <w:num w:numId="24">
    <w:abstractNumId w:val="15"/>
  </w:num>
  <w:num w:numId="25">
    <w:abstractNumId w:val="20"/>
  </w:num>
  <w:num w:numId="26">
    <w:abstractNumId w:val="0"/>
  </w:num>
  <w:num w:numId="27">
    <w:abstractNumId w:val="2"/>
  </w:num>
  <w:num w:numId="28">
    <w:abstractNumId w:val="19"/>
  </w:num>
  <w:num w:numId="29">
    <w:abstractNumId w:val="24"/>
  </w:num>
  <w:num w:numId="30">
    <w:abstractNumId w:val="6"/>
  </w:num>
  <w:num w:numId="31">
    <w:abstractNumId w:val="7"/>
  </w:num>
  <w:num w:numId="32">
    <w:abstractNumId w:val="29"/>
  </w:num>
  <w:num w:numId="33">
    <w:abstractNumId w:val="22"/>
  </w:num>
  <w:num w:numId="34">
    <w:abstractNumId w:val="9"/>
  </w:num>
  <w:num w:numId="35">
    <w:abstractNumId w:val="35"/>
  </w:num>
  <w:num w:numId="36">
    <w:abstractNumId w:val="33"/>
  </w:num>
  <w:num w:numId="37">
    <w:abstractNumId w:val="5"/>
  </w:num>
  <w:num w:numId="38">
    <w:abstractNumId w:val="27"/>
    <w:lvlOverride w:ilvl="0">
      <w:startOverride w:val="31"/>
    </w:lvlOverride>
  </w:num>
  <w:num w:numId="39">
    <w:abstractNumId w:val="27"/>
    <w:lvlOverride w:ilvl="0">
      <w:startOverride w:val="4"/>
    </w:lvlOverride>
  </w:num>
  <w:num w:numId="40">
    <w:abstractNumId w:val="27"/>
    <w:lvlOverride w:ilvl="0">
      <w:startOverride w:val="34"/>
    </w:lvlOverride>
  </w:num>
  <w:num w:numId="41">
    <w:abstractNumId w:val="36"/>
  </w:num>
  <w:num w:numId="42">
    <w:abstractNumId w:val="27"/>
    <w:lvlOverride w:ilvl="0">
      <w:startOverride w:val="37"/>
    </w:lvlOverride>
  </w:num>
  <w:num w:numId="43">
    <w:abstractNumId w:val="27"/>
    <w:lvlOverride w:ilvl="0">
      <w:startOverride w:val="4"/>
    </w:lvlOverride>
  </w:num>
  <w:num w:numId="44">
    <w:abstractNumId w:val="26"/>
  </w:num>
  <w:num w:numId="45">
    <w:abstractNumId w:val="27"/>
    <w:lvlOverride w:ilvl="0">
      <w:startOverride w:val="4"/>
    </w:lvlOverride>
    <w:lvlOverride w:ilvl="1">
      <w:startOverride w:val="3"/>
    </w:lvlOverride>
  </w:num>
  <w:num w:numId="46">
    <w:abstractNumId w:val="12"/>
  </w:num>
  <w:num w:numId="47">
    <w:abstractNumId w:val="27"/>
    <w:lvlOverride w:ilvl="0">
      <w:startOverride w:val="4"/>
    </w:lvlOverride>
    <w:lvlOverride w:ilvl="1">
      <w:startOverride w:val="4"/>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84"/>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96E"/>
    <w:rsid w:val="000003E0"/>
    <w:rsid w:val="000011F4"/>
    <w:rsid w:val="000013A8"/>
    <w:rsid w:val="00001834"/>
    <w:rsid w:val="00001AAA"/>
    <w:rsid w:val="00001BDD"/>
    <w:rsid w:val="00001F61"/>
    <w:rsid w:val="00002B7B"/>
    <w:rsid w:val="00003436"/>
    <w:rsid w:val="0000358D"/>
    <w:rsid w:val="0000379D"/>
    <w:rsid w:val="00003F07"/>
    <w:rsid w:val="00004046"/>
    <w:rsid w:val="00004096"/>
    <w:rsid w:val="00006CCA"/>
    <w:rsid w:val="00007023"/>
    <w:rsid w:val="00010D33"/>
    <w:rsid w:val="00010E65"/>
    <w:rsid w:val="00010FEB"/>
    <w:rsid w:val="000121FF"/>
    <w:rsid w:val="00012676"/>
    <w:rsid w:val="000127D1"/>
    <w:rsid w:val="000130C8"/>
    <w:rsid w:val="000136DD"/>
    <w:rsid w:val="00014B5D"/>
    <w:rsid w:val="000154E5"/>
    <w:rsid w:val="00017A79"/>
    <w:rsid w:val="00017E64"/>
    <w:rsid w:val="00020885"/>
    <w:rsid w:val="00020C79"/>
    <w:rsid w:val="00020D4D"/>
    <w:rsid w:val="00021BC8"/>
    <w:rsid w:val="00023C24"/>
    <w:rsid w:val="000242D5"/>
    <w:rsid w:val="000247E9"/>
    <w:rsid w:val="00024A78"/>
    <w:rsid w:val="000254C1"/>
    <w:rsid w:val="00025E69"/>
    <w:rsid w:val="000268CB"/>
    <w:rsid w:val="00027B0A"/>
    <w:rsid w:val="00027FD3"/>
    <w:rsid w:val="0003000D"/>
    <w:rsid w:val="00031EDE"/>
    <w:rsid w:val="00032011"/>
    <w:rsid w:val="000324E9"/>
    <w:rsid w:val="00032CCE"/>
    <w:rsid w:val="00032DF1"/>
    <w:rsid w:val="00034536"/>
    <w:rsid w:val="00035A3E"/>
    <w:rsid w:val="00035BD0"/>
    <w:rsid w:val="000360FB"/>
    <w:rsid w:val="0003773C"/>
    <w:rsid w:val="00037957"/>
    <w:rsid w:val="00037AB3"/>
    <w:rsid w:val="00037AC4"/>
    <w:rsid w:val="00037AD8"/>
    <w:rsid w:val="00040277"/>
    <w:rsid w:val="000403C1"/>
    <w:rsid w:val="000407F3"/>
    <w:rsid w:val="00041253"/>
    <w:rsid w:val="000412F3"/>
    <w:rsid w:val="00041917"/>
    <w:rsid w:val="00041E46"/>
    <w:rsid w:val="00043667"/>
    <w:rsid w:val="000436B7"/>
    <w:rsid w:val="00043AE2"/>
    <w:rsid w:val="0004424C"/>
    <w:rsid w:val="00044306"/>
    <w:rsid w:val="00044579"/>
    <w:rsid w:val="00044584"/>
    <w:rsid w:val="00044A7E"/>
    <w:rsid w:val="00044BA7"/>
    <w:rsid w:val="00046246"/>
    <w:rsid w:val="00046B5B"/>
    <w:rsid w:val="00046BFA"/>
    <w:rsid w:val="00046E45"/>
    <w:rsid w:val="000512AE"/>
    <w:rsid w:val="00051ABB"/>
    <w:rsid w:val="000534FD"/>
    <w:rsid w:val="000549F3"/>
    <w:rsid w:val="00054F2F"/>
    <w:rsid w:val="00055606"/>
    <w:rsid w:val="00056B33"/>
    <w:rsid w:val="00057897"/>
    <w:rsid w:val="000603BC"/>
    <w:rsid w:val="0006194C"/>
    <w:rsid w:val="00061E44"/>
    <w:rsid w:val="00062FCE"/>
    <w:rsid w:val="00063145"/>
    <w:rsid w:val="0006342A"/>
    <w:rsid w:val="00063D6F"/>
    <w:rsid w:val="00064801"/>
    <w:rsid w:val="000648F4"/>
    <w:rsid w:val="00064E81"/>
    <w:rsid w:val="00065E1D"/>
    <w:rsid w:val="000679E9"/>
    <w:rsid w:val="00067FCF"/>
    <w:rsid w:val="0007045E"/>
    <w:rsid w:val="00070480"/>
    <w:rsid w:val="0007056A"/>
    <w:rsid w:val="00070DDC"/>
    <w:rsid w:val="00071801"/>
    <w:rsid w:val="00071885"/>
    <w:rsid w:val="00071999"/>
    <w:rsid w:val="00072414"/>
    <w:rsid w:val="00072622"/>
    <w:rsid w:val="00072B44"/>
    <w:rsid w:val="00072DCF"/>
    <w:rsid w:val="000734FD"/>
    <w:rsid w:val="00073DA8"/>
    <w:rsid w:val="00074DD0"/>
    <w:rsid w:val="00074E7B"/>
    <w:rsid w:val="00074FA7"/>
    <w:rsid w:val="00075262"/>
    <w:rsid w:val="0007580C"/>
    <w:rsid w:val="00075B8F"/>
    <w:rsid w:val="00075D3E"/>
    <w:rsid w:val="00076F95"/>
    <w:rsid w:val="000773F5"/>
    <w:rsid w:val="00077CE6"/>
    <w:rsid w:val="00077D26"/>
    <w:rsid w:val="000806E6"/>
    <w:rsid w:val="00080A84"/>
    <w:rsid w:val="00081044"/>
    <w:rsid w:val="000819FB"/>
    <w:rsid w:val="00082147"/>
    <w:rsid w:val="00083FDA"/>
    <w:rsid w:val="00085584"/>
    <w:rsid w:val="00086735"/>
    <w:rsid w:val="00087041"/>
    <w:rsid w:val="000871C0"/>
    <w:rsid w:val="00087469"/>
    <w:rsid w:val="000878F9"/>
    <w:rsid w:val="00090C7C"/>
    <w:rsid w:val="000912FA"/>
    <w:rsid w:val="0009182C"/>
    <w:rsid w:val="00091AEB"/>
    <w:rsid w:val="00092431"/>
    <w:rsid w:val="000925F9"/>
    <w:rsid w:val="0009314F"/>
    <w:rsid w:val="00095701"/>
    <w:rsid w:val="00096BFC"/>
    <w:rsid w:val="00097A29"/>
    <w:rsid w:val="000A012C"/>
    <w:rsid w:val="000A05A1"/>
    <w:rsid w:val="000A09C9"/>
    <w:rsid w:val="000A1484"/>
    <w:rsid w:val="000A1C0B"/>
    <w:rsid w:val="000A26F7"/>
    <w:rsid w:val="000A2E8C"/>
    <w:rsid w:val="000A30E1"/>
    <w:rsid w:val="000A30E7"/>
    <w:rsid w:val="000A38AD"/>
    <w:rsid w:val="000A40FF"/>
    <w:rsid w:val="000A42A8"/>
    <w:rsid w:val="000A4B9E"/>
    <w:rsid w:val="000A4C6B"/>
    <w:rsid w:val="000A4F66"/>
    <w:rsid w:val="000A5164"/>
    <w:rsid w:val="000A5BD2"/>
    <w:rsid w:val="000A5C35"/>
    <w:rsid w:val="000A64FC"/>
    <w:rsid w:val="000A7247"/>
    <w:rsid w:val="000A7454"/>
    <w:rsid w:val="000B04BE"/>
    <w:rsid w:val="000B0670"/>
    <w:rsid w:val="000B0E1B"/>
    <w:rsid w:val="000B0EB6"/>
    <w:rsid w:val="000B17FB"/>
    <w:rsid w:val="000B2B69"/>
    <w:rsid w:val="000B3074"/>
    <w:rsid w:val="000B366C"/>
    <w:rsid w:val="000B3B45"/>
    <w:rsid w:val="000B44AE"/>
    <w:rsid w:val="000B4D6D"/>
    <w:rsid w:val="000B4E31"/>
    <w:rsid w:val="000B5CBC"/>
    <w:rsid w:val="000B71C0"/>
    <w:rsid w:val="000B74CD"/>
    <w:rsid w:val="000B7CF4"/>
    <w:rsid w:val="000C0658"/>
    <w:rsid w:val="000C0A86"/>
    <w:rsid w:val="000C0B45"/>
    <w:rsid w:val="000C16A0"/>
    <w:rsid w:val="000C16B4"/>
    <w:rsid w:val="000C240D"/>
    <w:rsid w:val="000C2FBC"/>
    <w:rsid w:val="000C31B2"/>
    <w:rsid w:val="000C3A25"/>
    <w:rsid w:val="000C4DC4"/>
    <w:rsid w:val="000C5497"/>
    <w:rsid w:val="000C5537"/>
    <w:rsid w:val="000C5545"/>
    <w:rsid w:val="000C5CC1"/>
    <w:rsid w:val="000C77CE"/>
    <w:rsid w:val="000C7EBA"/>
    <w:rsid w:val="000D0A95"/>
    <w:rsid w:val="000D0BB9"/>
    <w:rsid w:val="000D126D"/>
    <w:rsid w:val="000D1395"/>
    <w:rsid w:val="000D1AF8"/>
    <w:rsid w:val="000D1D0A"/>
    <w:rsid w:val="000D278C"/>
    <w:rsid w:val="000D2CAA"/>
    <w:rsid w:val="000D2DE9"/>
    <w:rsid w:val="000D450E"/>
    <w:rsid w:val="000D47B7"/>
    <w:rsid w:val="000D49BA"/>
    <w:rsid w:val="000D4D97"/>
    <w:rsid w:val="000D4DE6"/>
    <w:rsid w:val="000D5039"/>
    <w:rsid w:val="000D53D6"/>
    <w:rsid w:val="000D57CF"/>
    <w:rsid w:val="000D5ECB"/>
    <w:rsid w:val="000D60C2"/>
    <w:rsid w:val="000D61E8"/>
    <w:rsid w:val="000D6A88"/>
    <w:rsid w:val="000D7A8A"/>
    <w:rsid w:val="000E066F"/>
    <w:rsid w:val="000E0DB6"/>
    <w:rsid w:val="000E0DE7"/>
    <w:rsid w:val="000E0EFA"/>
    <w:rsid w:val="000E100E"/>
    <w:rsid w:val="000E133E"/>
    <w:rsid w:val="000E1455"/>
    <w:rsid w:val="000E1559"/>
    <w:rsid w:val="000E15F6"/>
    <w:rsid w:val="000E210C"/>
    <w:rsid w:val="000E216C"/>
    <w:rsid w:val="000E3248"/>
    <w:rsid w:val="000E37BA"/>
    <w:rsid w:val="000E3A60"/>
    <w:rsid w:val="000E3D49"/>
    <w:rsid w:val="000E4BE1"/>
    <w:rsid w:val="000E4F33"/>
    <w:rsid w:val="000E610A"/>
    <w:rsid w:val="000E6EDE"/>
    <w:rsid w:val="000E72D6"/>
    <w:rsid w:val="000E78DF"/>
    <w:rsid w:val="000E78EC"/>
    <w:rsid w:val="000E7988"/>
    <w:rsid w:val="000F0238"/>
    <w:rsid w:val="000F0461"/>
    <w:rsid w:val="000F07B3"/>
    <w:rsid w:val="000F13BE"/>
    <w:rsid w:val="000F1F0C"/>
    <w:rsid w:val="000F3315"/>
    <w:rsid w:val="000F34B4"/>
    <w:rsid w:val="000F3730"/>
    <w:rsid w:val="000F4273"/>
    <w:rsid w:val="000F4FCA"/>
    <w:rsid w:val="000F534F"/>
    <w:rsid w:val="000F5685"/>
    <w:rsid w:val="000F5C5F"/>
    <w:rsid w:val="000F5CE6"/>
    <w:rsid w:val="000F5CEB"/>
    <w:rsid w:val="000F6127"/>
    <w:rsid w:val="000F6529"/>
    <w:rsid w:val="001003E5"/>
    <w:rsid w:val="00100F0E"/>
    <w:rsid w:val="00101096"/>
    <w:rsid w:val="0010386D"/>
    <w:rsid w:val="001066A4"/>
    <w:rsid w:val="00106C69"/>
    <w:rsid w:val="001106C5"/>
    <w:rsid w:val="00111031"/>
    <w:rsid w:val="0011115D"/>
    <w:rsid w:val="00112A02"/>
    <w:rsid w:val="00112B95"/>
    <w:rsid w:val="0011367A"/>
    <w:rsid w:val="001137FD"/>
    <w:rsid w:val="00113894"/>
    <w:rsid w:val="001139A3"/>
    <w:rsid w:val="00113C4B"/>
    <w:rsid w:val="00113EDB"/>
    <w:rsid w:val="0011459E"/>
    <w:rsid w:val="001149B0"/>
    <w:rsid w:val="0011524A"/>
    <w:rsid w:val="001155ED"/>
    <w:rsid w:val="00115DC9"/>
    <w:rsid w:val="00116314"/>
    <w:rsid w:val="001177CC"/>
    <w:rsid w:val="001204FD"/>
    <w:rsid w:val="00120E02"/>
    <w:rsid w:val="00121288"/>
    <w:rsid w:val="0012192D"/>
    <w:rsid w:val="00121A3C"/>
    <w:rsid w:val="0012213B"/>
    <w:rsid w:val="00122E8E"/>
    <w:rsid w:val="00123163"/>
    <w:rsid w:val="00123B6E"/>
    <w:rsid w:val="00123CFA"/>
    <w:rsid w:val="00123D58"/>
    <w:rsid w:val="001250CB"/>
    <w:rsid w:val="001252A5"/>
    <w:rsid w:val="00125369"/>
    <w:rsid w:val="001258B8"/>
    <w:rsid w:val="00125ACD"/>
    <w:rsid w:val="001260F4"/>
    <w:rsid w:val="00126142"/>
    <w:rsid w:val="001262CB"/>
    <w:rsid w:val="001262D6"/>
    <w:rsid w:val="001266AC"/>
    <w:rsid w:val="001267DA"/>
    <w:rsid w:val="00126A1F"/>
    <w:rsid w:val="00127A28"/>
    <w:rsid w:val="00127B51"/>
    <w:rsid w:val="0013079E"/>
    <w:rsid w:val="0013106F"/>
    <w:rsid w:val="001315D4"/>
    <w:rsid w:val="001316C1"/>
    <w:rsid w:val="001321B3"/>
    <w:rsid w:val="001323E1"/>
    <w:rsid w:val="0013307D"/>
    <w:rsid w:val="001338E0"/>
    <w:rsid w:val="001346CC"/>
    <w:rsid w:val="001349D1"/>
    <w:rsid w:val="00134CE6"/>
    <w:rsid w:val="00135527"/>
    <w:rsid w:val="001355E2"/>
    <w:rsid w:val="00136866"/>
    <w:rsid w:val="00136BFE"/>
    <w:rsid w:val="00136F51"/>
    <w:rsid w:val="00140F4B"/>
    <w:rsid w:val="0014112F"/>
    <w:rsid w:val="001418A4"/>
    <w:rsid w:val="00141B46"/>
    <w:rsid w:val="0014259E"/>
    <w:rsid w:val="001428D1"/>
    <w:rsid w:val="00142B07"/>
    <w:rsid w:val="00142BE0"/>
    <w:rsid w:val="00142D83"/>
    <w:rsid w:val="001434B1"/>
    <w:rsid w:val="001438B8"/>
    <w:rsid w:val="00143EED"/>
    <w:rsid w:val="0014421E"/>
    <w:rsid w:val="00144AD2"/>
    <w:rsid w:val="00144B86"/>
    <w:rsid w:val="00144CDB"/>
    <w:rsid w:val="00144E2D"/>
    <w:rsid w:val="0014552C"/>
    <w:rsid w:val="001456B4"/>
    <w:rsid w:val="00145F78"/>
    <w:rsid w:val="00146721"/>
    <w:rsid w:val="001467F9"/>
    <w:rsid w:val="00146AA1"/>
    <w:rsid w:val="00147255"/>
    <w:rsid w:val="00147323"/>
    <w:rsid w:val="00147862"/>
    <w:rsid w:val="00147976"/>
    <w:rsid w:val="00147BC5"/>
    <w:rsid w:val="00150928"/>
    <w:rsid w:val="00150AB1"/>
    <w:rsid w:val="00151346"/>
    <w:rsid w:val="00151585"/>
    <w:rsid w:val="0015199E"/>
    <w:rsid w:val="001535AA"/>
    <w:rsid w:val="001539C6"/>
    <w:rsid w:val="00153A8A"/>
    <w:rsid w:val="001544DA"/>
    <w:rsid w:val="00155723"/>
    <w:rsid w:val="00155AB5"/>
    <w:rsid w:val="00156308"/>
    <w:rsid w:val="001575C2"/>
    <w:rsid w:val="0016070F"/>
    <w:rsid w:val="00160D60"/>
    <w:rsid w:val="001610E7"/>
    <w:rsid w:val="00161111"/>
    <w:rsid w:val="001619CD"/>
    <w:rsid w:val="00162246"/>
    <w:rsid w:val="00162505"/>
    <w:rsid w:val="001625F9"/>
    <w:rsid w:val="0016307F"/>
    <w:rsid w:val="00163345"/>
    <w:rsid w:val="00163CD5"/>
    <w:rsid w:val="001646AA"/>
    <w:rsid w:val="0016596F"/>
    <w:rsid w:val="00165C9C"/>
    <w:rsid w:val="00166242"/>
    <w:rsid w:val="00166594"/>
    <w:rsid w:val="00166988"/>
    <w:rsid w:val="00167029"/>
    <w:rsid w:val="001676D8"/>
    <w:rsid w:val="00170EC6"/>
    <w:rsid w:val="00172662"/>
    <w:rsid w:val="001741E6"/>
    <w:rsid w:val="00174615"/>
    <w:rsid w:val="0017555B"/>
    <w:rsid w:val="00176439"/>
    <w:rsid w:val="0017684B"/>
    <w:rsid w:val="00177A35"/>
    <w:rsid w:val="00177D49"/>
    <w:rsid w:val="001801FB"/>
    <w:rsid w:val="0018030F"/>
    <w:rsid w:val="00180331"/>
    <w:rsid w:val="00180439"/>
    <w:rsid w:val="00180515"/>
    <w:rsid w:val="00180E4E"/>
    <w:rsid w:val="00182523"/>
    <w:rsid w:val="00182A34"/>
    <w:rsid w:val="00182B90"/>
    <w:rsid w:val="00182C23"/>
    <w:rsid w:val="00183A7A"/>
    <w:rsid w:val="00184444"/>
    <w:rsid w:val="0018448D"/>
    <w:rsid w:val="001844FB"/>
    <w:rsid w:val="001845F7"/>
    <w:rsid w:val="00184C09"/>
    <w:rsid w:val="00185774"/>
    <w:rsid w:val="00185D0E"/>
    <w:rsid w:val="001862D7"/>
    <w:rsid w:val="001877DA"/>
    <w:rsid w:val="00187DF0"/>
    <w:rsid w:val="00190599"/>
    <w:rsid w:val="00190ABB"/>
    <w:rsid w:val="00190FFA"/>
    <w:rsid w:val="00191437"/>
    <w:rsid w:val="00191FC6"/>
    <w:rsid w:val="0019275C"/>
    <w:rsid w:val="00192DB4"/>
    <w:rsid w:val="00192DC6"/>
    <w:rsid w:val="00193C8F"/>
    <w:rsid w:val="0019466D"/>
    <w:rsid w:val="0019559E"/>
    <w:rsid w:val="00195BDD"/>
    <w:rsid w:val="00195C0D"/>
    <w:rsid w:val="00195D26"/>
    <w:rsid w:val="0019607C"/>
    <w:rsid w:val="0019630B"/>
    <w:rsid w:val="00196A43"/>
    <w:rsid w:val="00196AE7"/>
    <w:rsid w:val="00196CE2"/>
    <w:rsid w:val="00197F7D"/>
    <w:rsid w:val="001A18E4"/>
    <w:rsid w:val="001A1A03"/>
    <w:rsid w:val="001A1C4D"/>
    <w:rsid w:val="001A1F64"/>
    <w:rsid w:val="001A2108"/>
    <w:rsid w:val="001A2A8D"/>
    <w:rsid w:val="001A2FFC"/>
    <w:rsid w:val="001A3057"/>
    <w:rsid w:val="001A3190"/>
    <w:rsid w:val="001A3522"/>
    <w:rsid w:val="001A395A"/>
    <w:rsid w:val="001A5ABC"/>
    <w:rsid w:val="001A5CEE"/>
    <w:rsid w:val="001A6AD4"/>
    <w:rsid w:val="001A6F15"/>
    <w:rsid w:val="001A6F6C"/>
    <w:rsid w:val="001A6FFE"/>
    <w:rsid w:val="001A75F2"/>
    <w:rsid w:val="001B011F"/>
    <w:rsid w:val="001B01D2"/>
    <w:rsid w:val="001B0A5A"/>
    <w:rsid w:val="001B1197"/>
    <w:rsid w:val="001B180E"/>
    <w:rsid w:val="001B1A40"/>
    <w:rsid w:val="001B1AD7"/>
    <w:rsid w:val="001B1DB9"/>
    <w:rsid w:val="001B210F"/>
    <w:rsid w:val="001B28E0"/>
    <w:rsid w:val="001B2905"/>
    <w:rsid w:val="001B34D8"/>
    <w:rsid w:val="001B3551"/>
    <w:rsid w:val="001B3852"/>
    <w:rsid w:val="001B39AB"/>
    <w:rsid w:val="001B39F5"/>
    <w:rsid w:val="001B473E"/>
    <w:rsid w:val="001B562A"/>
    <w:rsid w:val="001B623F"/>
    <w:rsid w:val="001B64EB"/>
    <w:rsid w:val="001B69D5"/>
    <w:rsid w:val="001B71B4"/>
    <w:rsid w:val="001B71F5"/>
    <w:rsid w:val="001B7EAE"/>
    <w:rsid w:val="001C0B9C"/>
    <w:rsid w:val="001C137E"/>
    <w:rsid w:val="001C13FC"/>
    <w:rsid w:val="001C1468"/>
    <w:rsid w:val="001C184E"/>
    <w:rsid w:val="001C1B51"/>
    <w:rsid w:val="001C222A"/>
    <w:rsid w:val="001C23C5"/>
    <w:rsid w:val="001C2527"/>
    <w:rsid w:val="001C287F"/>
    <w:rsid w:val="001C3227"/>
    <w:rsid w:val="001C3AD5"/>
    <w:rsid w:val="001C3CAD"/>
    <w:rsid w:val="001C451A"/>
    <w:rsid w:val="001C50FA"/>
    <w:rsid w:val="001C52A8"/>
    <w:rsid w:val="001C563A"/>
    <w:rsid w:val="001C5BCB"/>
    <w:rsid w:val="001C6687"/>
    <w:rsid w:val="001C682E"/>
    <w:rsid w:val="001C7595"/>
    <w:rsid w:val="001D04C3"/>
    <w:rsid w:val="001D082B"/>
    <w:rsid w:val="001D107E"/>
    <w:rsid w:val="001D184C"/>
    <w:rsid w:val="001D19D7"/>
    <w:rsid w:val="001D20CF"/>
    <w:rsid w:val="001D264F"/>
    <w:rsid w:val="001D26F8"/>
    <w:rsid w:val="001D2CBA"/>
    <w:rsid w:val="001D397D"/>
    <w:rsid w:val="001D4581"/>
    <w:rsid w:val="001D48AA"/>
    <w:rsid w:val="001D4E26"/>
    <w:rsid w:val="001D500E"/>
    <w:rsid w:val="001D5122"/>
    <w:rsid w:val="001D519B"/>
    <w:rsid w:val="001D5DF9"/>
    <w:rsid w:val="001D64C5"/>
    <w:rsid w:val="001D69C6"/>
    <w:rsid w:val="001D6C90"/>
    <w:rsid w:val="001E0766"/>
    <w:rsid w:val="001E0B68"/>
    <w:rsid w:val="001E138C"/>
    <w:rsid w:val="001E1912"/>
    <w:rsid w:val="001E1E0E"/>
    <w:rsid w:val="001E236D"/>
    <w:rsid w:val="001E2428"/>
    <w:rsid w:val="001E29BE"/>
    <w:rsid w:val="001E2D32"/>
    <w:rsid w:val="001E2DE9"/>
    <w:rsid w:val="001E36FC"/>
    <w:rsid w:val="001E43D3"/>
    <w:rsid w:val="001E5444"/>
    <w:rsid w:val="001E5E80"/>
    <w:rsid w:val="001E679C"/>
    <w:rsid w:val="001F045D"/>
    <w:rsid w:val="001F11F6"/>
    <w:rsid w:val="001F1239"/>
    <w:rsid w:val="001F203D"/>
    <w:rsid w:val="001F2508"/>
    <w:rsid w:val="001F2531"/>
    <w:rsid w:val="001F2572"/>
    <w:rsid w:val="001F2F6B"/>
    <w:rsid w:val="001F33AE"/>
    <w:rsid w:val="001F36A3"/>
    <w:rsid w:val="001F47AA"/>
    <w:rsid w:val="001F47B2"/>
    <w:rsid w:val="001F47E4"/>
    <w:rsid w:val="001F67D8"/>
    <w:rsid w:val="00201719"/>
    <w:rsid w:val="00201F0E"/>
    <w:rsid w:val="0020234F"/>
    <w:rsid w:val="00202404"/>
    <w:rsid w:val="002027DF"/>
    <w:rsid w:val="00202B27"/>
    <w:rsid w:val="00203CE8"/>
    <w:rsid w:val="00203DE6"/>
    <w:rsid w:val="00204947"/>
    <w:rsid w:val="00205846"/>
    <w:rsid w:val="00205E6E"/>
    <w:rsid w:val="002060DE"/>
    <w:rsid w:val="002062D7"/>
    <w:rsid w:val="002069A7"/>
    <w:rsid w:val="00206DC9"/>
    <w:rsid w:val="00210DE2"/>
    <w:rsid w:val="00210FE2"/>
    <w:rsid w:val="00211993"/>
    <w:rsid w:val="00212041"/>
    <w:rsid w:val="00213095"/>
    <w:rsid w:val="002139DF"/>
    <w:rsid w:val="002149F5"/>
    <w:rsid w:val="00214DA2"/>
    <w:rsid w:val="002158A9"/>
    <w:rsid w:val="00215E01"/>
    <w:rsid w:val="00217F74"/>
    <w:rsid w:val="002201EF"/>
    <w:rsid w:val="00220620"/>
    <w:rsid w:val="00221158"/>
    <w:rsid w:val="00221364"/>
    <w:rsid w:val="00221485"/>
    <w:rsid w:val="002214AD"/>
    <w:rsid w:val="002216E8"/>
    <w:rsid w:val="002220A4"/>
    <w:rsid w:val="00222230"/>
    <w:rsid w:val="002225A5"/>
    <w:rsid w:val="0022354A"/>
    <w:rsid w:val="002235D6"/>
    <w:rsid w:val="00223AAA"/>
    <w:rsid w:val="00223B53"/>
    <w:rsid w:val="00224149"/>
    <w:rsid w:val="0022481F"/>
    <w:rsid w:val="00226193"/>
    <w:rsid w:val="002267ED"/>
    <w:rsid w:val="002278C5"/>
    <w:rsid w:val="00227A71"/>
    <w:rsid w:val="00227E00"/>
    <w:rsid w:val="00227E65"/>
    <w:rsid w:val="00230014"/>
    <w:rsid w:val="00230780"/>
    <w:rsid w:val="00230A6A"/>
    <w:rsid w:val="00231143"/>
    <w:rsid w:val="00231837"/>
    <w:rsid w:val="00231DD0"/>
    <w:rsid w:val="002322C1"/>
    <w:rsid w:val="0023240B"/>
    <w:rsid w:val="00232EFE"/>
    <w:rsid w:val="002330D2"/>
    <w:rsid w:val="002334D3"/>
    <w:rsid w:val="002334EA"/>
    <w:rsid w:val="00233B09"/>
    <w:rsid w:val="00233C8C"/>
    <w:rsid w:val="00234247"/>
    <w:rsid w:val="00234C3A"/>
    <w:rsid w:val="00234CEA"/>
    <w:rsid w:val="002351FD"/>
    <w:rsid w:val="00235939"/>
    <w:rsid w:val="00235DBA"/>
    <w:rsid w:val="0023625F"/>
    <w:rsid w:val="00236D4C"/>
    <w:rsid w:val="0023777C"/>
    <w:rsid w:val="00240616"/>
    <w:rsid w:val="00241ABA"/>
    <w:rsid w:val="00241E03"/>
    <w:rsid w:val="002422EC"/>
    <w:rsid w:val="00242803"/>
    <w:rsid w:val="00242A18"/>
    <w:rsid w:val="00242D42"/>
    <w:rsid w:val="00243226"/>
    <w:rsid w:val="002433EB"/>
    <w:rsid w:val="002447D6"/>
    <w:rsid w:val="00245C89"/>
    <w:rsid w:val="002461ED"/>
    <w:rsid w:val="002462F3"/>
    <w:rsid w:val="002467ED"/>
    <w:rsid w:val="00246F2D"/>
    <w:rsid w:val="00247118"/>
    <w:rsid w:val="002476FC"/>
    <w:rsid w:val="00253314"/>
    <w:rsid w:val="0025376F"/>
    <w:rsid w:val="00253E09"/>
    <w:rsid w:val="00253E26"/>
    <w:rsid w:val="00253F07"/>
    <w:rsid w:val="00255101"/>
    <w:rsid w:val="00255421"/>
    <w:rsid w:val="002568CE"/>
    <w:rsid w:val="00256C87"/>
    <w:rsid w:val="00256EE6"/>
    <w:rsid w:val="0025749F"/>
    <w:rsid w:val="002578A4"/>
    <w:rsid w:val="00261D93"/>
    <w:rsid w:val="00261E80"/>
    <w:rsid w:val="00262127"/>
    <w:rsid w:val="0026330E"/>
    <w:rsid w:val="00264078"/>
    <w:rsid w:val="0026441A"/>
    <w:rsid w:val="00264C53"/>
    <w:rsid w:val="0026512F"/>
    <w:rsid w:val="00265541"/>
    <w:rsid w:val="00265A59"/>
    <w:rsid w:val="00265F52"/>
    <w:rsid w:val="002661A2"/>
    <w:rsid w:val="00266A0F"/>
    <w:rsid w:val="00266F14"/>
    <w:rsid w:val="00266FCC"/>
    <w:rsid w:val="002670B1"/>
    <w:rsid w:val="00267C7D"/>
    <w:rsid w:val="0027033B"/>
    <w:rsid w:val="00270841"/>
    <w:rsid w:val="00270A9B"/>
    <w:rsid w:val="00270AF7"/>
    <w:rsid w:val="00270CF2"/>
    <w:rsid w:val="002729F1"/>
    <w:rsid w:val="00272F45"/>
    <w:rsid w:val="00273A9C"/>
    <w:rsid w:val="00273BF5"/>
    <w:rsid w:val="002742B6"/>
    <w:rsid w:val="002745B1"/>
    <w:rsid w:val="002749D7"/>
    <w:rsid w:val="00274CA6"/>
    <w:rsid w:val="00274F6F"/>
    <w:rsid w:val="00275B42"/>
    <w:rsid w:val="00275C9D"/>
    <w:rsid w:val="0027612D"/>
    <w:rsid w:val="00276207"/>
    <w:rsid w:val="0027632C"/>
    <w:rsid w:val="0027645E"/>
    <w:rsid w:val="00276950"/>
    <w:rsid w:val="00280122"/>
    <w:rsid w:val="00280310"/>
    <w:rsid w:val="00280DC6"/>
    <w:rsid w:val="00281B3E"/>
    <w:rsid w:val="00281B78"/>
    <w:rsid w:val="002825C9"/>
    <w:rsid w:val="002827E0"/>
    <w:rsid w:val="00282A8A"/>
    <w:rsid w:val="00282C8B"/>
    <w:rsid w:val="00282C9C"/>
    <w:rsid w:val="00282FCD"/>
    <w:rsid w:val="0028380E"/>
    <w:rsid w:val="0028496D"/>
    <w:rsid w:val="00285405"/>
    <w:rsid w:val="0028552E"/>
    <w:rsid w:val="00285CC2"/>
    <w:rsid w:val="00286504"/>
    <w:rsid w:val="002869F1"/>
    <w:rsid w:val="00286DD5"/>
    <w:rsid w:val="00286DF9"/>
    <w:rsid w:val="00286F83"/>
    <w:rsid w:val="00287455"/>
    <w:rsid w:val="0028764B"/>
    <w:rsid w:val="002878E0"/>
    <w:rsid w:val="002904AD"/>
    <w:rsid w:val="0029090F"/>
    <w:rsid w:val="002915FD"/>
    <w:rsid w:val="00292139"/>
    <w:rsid w:val="00293328"/>
    <w:rsid w:val="00293915"/>
    <w:rsid w:val="00293A20"/>
    <w:rsid w:val="00294831"/>
    <w:rsid w:val="0029485C"/>
    <w:rsid w:val="00294BCF"/>
    <w:rsid w:val="00294CEB"/>
    <w:rsid w:val="00295E6A"/>
    <w:rsid w:val="0029646A"/>
    <w:rsid w:val="002964E7"/>
    <w:rsid w:val="00296C07"/>
    <w:rsid w:val="0029741D"/>
    <w:rsid w:val="002A00CA"/>
    <w:rsid w:val="002A0378"/>
    <w:rsid w:val="002A0963"/>
    <w:rsid w:val="002A0AB8"/>
    <w:rsid w:val="002A0CF0"/>
    <w:rsid w:val="002A1317"/>
    <w:rsid w:val="002A1482"/>
    <w:rsid w:val="002A19B7"/>
    <w:rsid w:val="002A2DDE"/>
    <w:rsid w:val="002A334F"/>
    <w:rsid w:val="002A3513"/>
    <w:rsid w:val="002A3BA5"/>
    <w:rsid w:val="002A3DEF"/>
    <w:rsid w:val="002A3ED4"/>
    <w:rsid w:val="002A4441"/>
    <w:rsid w:val="002A4AFE"/>
    <w:rsid w:val="002A50DA"/>
    <w:rsid w:val="002A572B"/>
    <w:rsid w:val="002A617C"/>
    <w:rsid w:val="002A6DFA"/>
    <w:rsid w:val="002A7A1B"/>
    <w:rsid w:val="002A7A64"/>
    <w:rsid w:val="002A7AFC"/>
    <w:rsid w:val="002A7DB2"/>
    <w:rsid w:val="002B01CC"/>
    <w:rsid w:val="002B0471"/>
    <w:rsid w:val="002B0842"/>
    <w:rsid w:val="002B0F80"/>
    <w:rsid w:val="002B1763"/>
    <w:rsid w:val="002B1950"/>
    <w:rsid w:val="002B2303"/>
    <w:rsid w:val="002B2394"/>
    <w:rsid w:val="002B3448"/>
    <w:rsid w:val="002B3599"/>
    <w:rsid w:val="002B3FD5"/>
    <w:rsid w:val="002B4129"/>
    <w:rsid w:val="002B4133"/>
    <w:rsid w:val="002B4306"/>
    <w:rsid w:val="002B45D2"/>
    <w:rsid w:val="002B4836"/>
    <w:rsid w:val="002B48F9"/>
    <w:rsid w:val="002B4976"/>
    <w:rsid w:val="002B4A88"/>
    <w:rsid w:val="002B501E"/>
    <w:rsid w:val="002B55AF"/>
    <w:rsid w:val="002B5799"/>
    <w:rsid w:val="002B5BE0"/>
    <w:rsid w:val="002B6015"/>
    <w:rsid w:val="002B65B9"/>
    <w:rsid w:val="002B66B8"/>
    <w:rsid w:val="002B69A9"/>
    <w:rsid w:val="002B6AE8"/>
    <w:rsid w:val="002B7C96"/>
    <w:rsid w:val="002B7DB7"/>
    <w:rsid w:val="002B7E6B"/>
    <w:rsid w:val="002C0BFD"/>
    <w:rsid w:val="002C0D3A"/>
    <w:rsid w:val="002C1980"/>
    <w:rsid w:val="002C2742"/>
    <w:rsid w:val="002C2C93"/>
    <w:rsid w:val="002C2F42"/>
    <w:rsid w:val="002C3B75"/>
    <w:rsid w:val="002C4656"/>
    <w:rsid w:val="002C4BB1"/>
    <w:rsid w:val="002C4C7C"/>
    <w:rsid w:val="002C4EE5"/>
    <w:rsid w:val="002C4FB6"/>
    <w:rsid w:val="002C6066"/>
    <w:rsid w:val="002C60DC"/>
    <w:rsid w:val="002C6C59"/>
    <w:rsid w:val="002C7047"/>
    <w:rsid w:val="002C7728"/>
    <w:rsid w:val="002C7932"/>
    <w:rsid w:val="002D0138"/>
    <w:rsid w:val="002D02A5"/>
    <w:rsid w:val="002D04FB"/>
    <w:rsid w:val="002D0596"/>
    <w:rsid w:val="002D1777"/>
    <w:rsid w:val="002D1995"/>
    <w:rsid w:val="002D1BCE"/>
    <w:rsid w:val="002D2BAB"/>
    <w:rsid w:val="002D2C6E"/>
    <w:rsid w:val="002D2D8A"/>
    <w:rsid w:val="002D3502"/>
    <w:rsid w:val="002D3E4C"/>
    <w:rsid w:val="002D3FEE"/>
    <w:rsid w:val="002D445F"/>
    <w:rsid w:val="002D4EAA"/>
    <w:rsid w:val="002D57FB"/>
    <w:rsid w:val="002D6306"/>
    <w:rsid w:val="002D6AED"/>
    <w:rsid w:val="002D6EB4"/>
    <w:rsid w:val="002D7066"/>
    <w:rsid w:val="002D7B0E"/>
    <w:rsid w:val="002E0A1F"/>
    <w:rsid w:val="002E13B3"/>
    <w:rsid w:val="002E14C4"/>
    <w:rsid w:val="002E1D18"/>
    <w:rsid w:val="002E20D2"/>
    <w:rsid w:val="002E2175"/>
    <w:rsid w:val="002E240D"/>
    <w:rsid w:val="002E352A"/>
    <w:rsid w:val="002E3C1D"/>
    <w:rsid w:val="002E3C62"/>
    <w:rsid w:val="002E444C"/>
    <w:rsid w:val="002E464C"/>
    <w:rsid w:val="002E4964"/>
    <w:rsid w:val="002E50D5"/>
    <w:rsid w:val="002E5647"/>
    <w:rsid w:val="002E6914"/>
    <w:rsid w:val="002E6E9D"/>
    <w:rsid w:val="002E6F30"/>
    <w:rsid w:val="002E70AB"/>
    <w:rsid w:val="002E7233"/>
    <w:rsid w:val="002E7B3B"/>
    <w:rsid w:val="002E7EED"/>
    <w:rsid w:val="002F104F"/>
    <w:rsid w:val="002F1322"/>
    <w:rsid w:val="002F1683"/>
    <w:rsid w:val="002F1B1D"/>
    <w:rsid w:val="002F24F5"/>
    <w:rsid w:val="002F2B61"/>
    <w:rsid w:val="002F2BCA"/>
    <w:rsid w:val="002F2C49"/>
    <w:rsid w:val="002F3119"/>
    <w:rsid w:val="002F360C"/>
    <w:rsid w:val="002F38A8"/>
    <w:rsid w:val="002F3ACE"/>
    <w:rsid w:val="002F3CA9"/>
    <w:rsid w:val="002F3FB1"/>
    <w:rsid w:val="002F4A44"/>
    <w:rsid w:val="002F5042"/>
    <w:rsid w:val="002F516D"/>
    <w:rsid w:val="002F5B2C"/>
    <w:rsid w:val="002F5E62"/>
    <w:rsid w:val="002F6E8B"/>
    <w:rsid w:val="002F72EC"/>
    <w:rsid w:val="002F7811"/>
    <w:rsid w:val="002F7AD6"/>
    <w:rsid w:val="00300DD2"/>
    <w:rsid w:val="00301192"/>
    <w:rsid w:val="00301A87"/>
    <w:rsid w:val="003035AE"/>
    <w:rsid w:val="00304497"/>
    <w:rsid w:val="00305A6A"/>
    <w:rsid w:val="00305CF6"/>
    <w:rsid w:val="00306630"/>
    <w:rsid w:val="00307791"/>
    <w:rsid w:val="003101E9"/>
    <w:rsid w:val="0031050A"/>
    <w:rsid w:val="00310C39"/>
    <w:rsid w:val="00310C76"/>
    <w:rsid w:val="0031151A"/>
    <w:rsid w:val="00311674"/>
    <w:rsid w:val="00312736"/>
    <w:rsid w:val="00314121"/>
    <w:rsid w:val="003152BE"/>
    <w:rsid w:val="003156FA"/>
    <w:rsid w:val="00315CD1"/>
    <w:rsid w:val="00315E99"/>
    <w:rsid w:val="00316512"/>
    <w:rsid w:val="00316591"/>
    <w:rsid w:val="00316E2A"/>
    <w:rsid w:val="00316F08"/>
    <w:rsid w:val="003173E1"/>
    <w:rsid w:val="0031756E"/>
    <w:rsid w:val="00317C65"/>
    <w:rsid w:val="00317E08"/>
    <w:rsid w:val="00320A06"/>
    <w:rsid w:val="00320C94"/>
    <w:rsid w:val="00321589"/>
    <w:rsid w:val="00321DAE"/>
    <w:rsid w:val="00322470"/>
    <w:rsid w:val="00322E68"/>
    <w:rsid w:val="00323842"/>
    <w:rsid w:val="00323BF7"/>
    <w:rsid w:val="00323E9A"/>
    <w:rsid w:val="00323FC9"/>
    <w:rsid w:val="003241C9"/>
    <w:rsid w:val="00324428"/>
    <w:rsid w:val="003245B9"/>
    <w:rsid w:val="00324738"/>
    <w:rsid w:val="003253B5"/>
    <w:rsid w:val="00325FA7"/>
    <w:rsid w:val="0032602B"/>
    <w:rsid w:val="003267EF"/>
    <w:rsid w:val="003268AC"/>
    <w:rsid w:val="00326BD5"/>
    <w:rsid w:val="003275D0"/>
    <w:rsid w:val="00327A83"/>
    <w:rsid w:val="00327CB8"/>
    <w:rsid w:val="00331475"/>
    <w:rsid w:val="0033196E"/>
    <w:rsid w:val="003321EE"/>
    <w:rsid w:val="00332353"/>
    <w:rsid w:val="003326ED"/>
    <w:rsid w:val="00332789"/>
    <w:rsid w:val="00332C30"/>
    <w:rsid w:val="00333205"/>
    <w:rsid w:val="0033393B"/>
    <w:rsid w:val="00333E1D"/>
    <w:rsid w:val="00334A79"/>
    <w:rsid w:val="00334BAE"/>
    <w:rsid w:val="00334FCF"/>
    <w:rsid w:val="00336913"/>
    <w:rsid w:val="003375F9"/>
    <w:rsid w:val="003376F9"/>
    <w:rsid w:val="00337837"/>
    <w:rsid w:val="00341C55"/>
    <w:rsid w:val="00341CCB"/>
    <w:rsid w:val="0034315C"/>
    <w:rsid w:val="00343683"/>
    <w:rsid w:val="00343D73"/>
    <w:rsid w:val="00343E87"/>
    <w:rsid w:val="00344547"/>
    <w:rsid w:val="00344A17"/>
    <w:rsid w:val="00344ABF"/>
    <w:rsid w:val="00344BE1"/>
    <w:rsid w:val="00344C17"/>
    <w:rsid w:val="00345B71"/>
    <w:rsid w:val="00345C5D"/>
    <w:rsid w:val="0034656F"/>
    <w:rsid w:val="0034657F"/>
    <w:rsid w:val="00346883"/>
    <w:rsid w:val="00346F64"/>
    <w:rsid w:val="003470CD"/>
    <w:rsid w:val="003478E0"/>
    <w:rsid w:val="00350551"/>
    <w:rsid w:val="00350D0F"/>
    <w:rsid w:val="00351AC6"/>
    <w:rsid w:val="00351D99"/>
    <w:rsid w:val="003522F7"/>
    <w:rsid w:val="00352B3D"/>
    <w:rsid w:val="0035336E"/>
    <w:rsid w:val="003544BA"/>
    <w:rsid w:val="003545AB"/>
    <w:rsid w:val="00355802"/>
    <w:rsid w:val="00355F2B"/>
    <w:rsid w:val="00356B8B"/>
    <w:rsid w:val="00356D94"/>
    <w:rsid w:val="0036075C"/>
    <w:rsid w:val="003622B5"/>
    <w:rsid w:val="00363148"/>
    <w:rsid w:val="003632D5"/>
    <w:rsid w:val="003633AF"/>
    <w:rsid w:val="003636EC"/>
    <w:rsid w:val="003639B5"/>
    <w:rsid w:val="00363F00"/>
    <w:rsid w:val="0036401F"/>
    <w:rsid w:val="00365E10"/>
    <w:rsid w:val="00367607"/>
    <w:rsid w:val="00367E7C"/>
    <w:rsid w:val="003703DE"/>
    <w:rsid w:val="00370EBB"/>
    <w:rsid w:val="003718EA"/>
    <w:rsid w:val="00371A3B"/>
    <w:rsid w:val="00371E09"/>
    <w:rsid w:val="0037264C"/>
    <w:rsid w:val="00372AAB"/>
    <w:rsid w:val="00372DCE"/>
    <w:rsid w:val="0037300C"/>
    <w:rsid w:val="00373B82"/>
    <w:rsid w:val="0037417C"/>
    <w:rsid w:val="00374426"/>
    <w:rsid w:val="00374662"/>
    <w:rsid w:val="003746BC"/>
    <w:rsid w:val="003749D7"/>
    <w:rsid w:val="003753A6"/>
    <w:rsid w:val="00375625"/>
    <w:rsid w:val="003758AB"/>
    <w:rsid w:val="0037591D"/>
    <w:rsid w:val="00376717"/>
    <w:rsid w:val="003774FA"/>
    <w:rsid w:val="00380123"/>
    <w:rsid w:val="00380536"/>
    <w:rsid w:val="00380E25"/>
    <w:rsid w:val="00381160"/>
    <w:rsid w:val="00381B60"/>
    <w:rsid w:val="003823BC"/>
    <w:rsid w:val="00382F6F"/>
    <w:rsid w:val="003839D5"/>
    <w:rsid w:val="003843CE"/>
    <w:rsid w:val="0038452D"/>
    <w:rsid w:val="00384C8F"/>
    <w:rsid w:val="003862B7"/>
    <w:rsid w:val="00386A04"/>
    <w:rsid w:val="00386A54"/>
    <w:rsid w:val="00386DEE"/>
    <w:rsid w:val="00390416"/>
    <w:rsid w:val="00391415"/>
    <w:rsid w:val="003917CA"/>
    <w:rsid w:val="00391ABB"/>
    <w:rsid w:val="00391D66"/>
    <w:rsid w:val="0039215B"/>
    <w:rsid w:val="00393EA0"/>
    <w:rsid w:val="00394A11"/>
    <w:rsid w:val="00395212"/>
    <w:rsid w:val="00395B9E"/>
    <w:rsid w:val="003961C2"/>
    <w:rsid w:val="00397327"/>
    <w:rsid w:val="00397AD0"/>
    <w:rsid w:val="003A0050"/>
    <w:rsid w:val="003A017C"/>
    <w:rsid w:val="003A069D"/>
    <w:rsid w:val="003A0726"/>
    <w:rsid w:val="003A1155"/>
    <w:rsid w:val="003A1865"/>
    <w:rsid w:val="003A1B01"/>
    <w:rsid w:val="003A2444"/>
    <w:rsid w:val="003A301C"/>
    <w:rsid w:val="003A3437"/>
    <w:rsid w:val="003A3BF0"/>
    <w:rsid w:val="003A3CDA"/>
    <w:rsid w:val="003A4C95"/>
    <w:rsid w:val="003A508B"/>
    <w:rsid w:val="003A5526"/>
    <w:rsid w:val="003A55EC"/>
    <w:rsid w:val="003A6092"/>
    <w:rsid w:val="003A63ED"/>
    <w:rsid w:val="003A676B"/>
    <w:rsid w:val="003A6BC0"/>
    <w:rsid w:val="003A6D30"/>
    <w:rsid w:val="003A6D55"/>
    <w:rsid w:val="003B054B"/>
    <w:rsid w:val="003B084C"/>
    <w:rsid w:val="003B1A45"/>
    <w:rsid w:val="003B1D51"/>
    <w:rsid w:val="003B1EEE"/>
    <w:rsid w:val="003B1F74"/>
    <w:rsid w:val="003B2DB7"/>
    <w:rsid w:val="003B307F"/>
    <w:rsid w:val="003B3565"/>
    <w:rsid w:val="003B39B8"/>
    <w:rsid w:val="003B4618"/>
    <w:rsid w:val="003B4A49"/>
    <w:rsid w:val="003B5E24"/>
    <w:rsid w:val="003B5ED7"/>
    <w:rsid w:val="003B6E99"/>
    <w:rsid w:val="003B79F2"/>
    <w:rsid w:val="003B7C47"/>
    <w:rsid w:val="003C01EF"/>
    <w:rsid w:val="003C0303"/>
    <w:rsid w:val="003C0527"/>
    <w:rsid w:val="003C06C4"/>
    <w:rsid w:val="003C0703"/>
    <w:rsid w:val="003C0D03"/>
    <w:rsid w:val="003C1D54"/>
    <w:rsid w:val="003C1D74"/>
    <w:rsid w:val="003C3393"/>
    <w:rsid w:val="003C35C6"/>
    <w:rsid w:val="003C3D15"/>
    <w:rsid w:val="003C49F5"/>
    <w:rsid w:val="003C4CD7"/>
    <w:rsid w:val="003C4E96"/>
    <w:rsid w:val="003C732A"/>
    <w:rsid w:val="003C787B"/>
    <w:rsid w:val="003C79BC"/>
    <w:rsid w:val="003C7A9B"/>
    <w:rsid w:val="003D16F4"/>
    <w:rsid w:val="003D1700"/>
    <w:rsid w:val="003D19A2"/>
    <w:rsid w:val="003D1E1B"/>
    <w:rsid w:val="003D24FD"/>
    <w:rsid w:val="003D2B34"/>
    <w:rsid w:val="003D37CF"/>
    <w:rsid w:val="003D41F6"/>
    <w:rsid w:val="003D4443"/>
    <w:rsid w:val="003D49FD"/>
    <w:rsid w:val="003D4BDB"/>
    <w:rsid w:val="003D5C06"/>
    <w:rsid w:val="003D5C53"/>
    <w:rsid w:val="003D5DE7"/>
    <w:rsid w:val="003D696F"/>
    <w:rsid w:val="003D6979"/>
    <w:rsid w:val="003D6EB7"/>
    <w:rsid w:val="003D6FF9"/>
    <w:rsid w:val="003D7946"/>
    <w:rsid w:val="003D7DC9"/>
    <w:rsid w:val="003D7EB0"/>
    <w:rsid w:val="003D7EFC"/>
    <w:rsid w:val="003D7F64"/>
    <w:rsid w:val="003E068C"/>
    <w:rsid w:val="003E11AF"/>
    <w:rsid w:val="003E1409"/>
    <w:rsid w:val="003E1F0C"/>
    <w:rsid w:val="003E4597"/>
    <w:rsid w:val="003E48A0"/>
    <w:rsid w:val="003E5555"/>
    <w:rsid w:val="003E6F5F"/>
    <w:rsid w:val="003E731E"/>
    <w:rsid w:val="003E7B20"/>
    <w:rsid w:val="003F03F2"/>
    <w:rsid w:val="003F09BE"/>
    <w:rsid w:val="003F123D"/>
    <w:rsid w:val="003F154B"/>
    <w:rsid w:val="003F19EF"/>
    <w:rsid w:val="003F1BE0"/>
    <w:rsid w:val="003F1CD0"/>
    <w:rsid w:val="003F2F49"/>
    <w:rsid w:val="003F3297"/>
    <w:rsid w:val="003F395B"/>
    <w:rsid w:val="003F3C4B"/>
    <w:rsid w:val="003F4C21"/>
    <w:rsid w:val="003F61B4"/>
    <w:rsid w:val="003F647D"/>
    <w:rsid w:val="003F67CD"/>
    <w:rsid w:val="003F6A50"/>
    <w:rsid w:val="003F71E3"/>
    <w:rsid w:val="003F7ABD"/>
    <w:rsid w:val="003F7B0D"/>
    <w:rsid w:val="004027AC"/>
    <w:rsid w:val="0040287E"/>
    <w:rsid w:val="004032DA"/>
    <w:rsid w:val="00403406"/>
    <w:rsid w:val="004035E8"/>
    <w:rsid w:val="00403D0F"/>
    <w:rsid w:val="004043C2"/>
    <w:rsid w:val="00404B56"/>
    <w:rsid w:val="004051CF"/>
    <w:rsid w:val="00406280"/>
    <w:rsid w:val="00407253"/>
    <w:rsid w:val="00407286"/>
    <w:rsid w:val="00407B27"/>
    <w:rsid w:val="00410051"/>
    <w:rsid w:val="004100AD"/>
    <w:rsid w:val="004113BE"/>
    <w:rsid w:val="00412D9B"/>
    <w:rsid w:val="00413865"/>
    <w:rsid w:val="00413E86"/>
    <w:rsid w:val="00414C5E"/>
    <w:rsid w:val="00414E90"/>
    <w:rsid w:val="0041561F"/>
    <w:rsid w:val="00415739"/>
    <w:rsid w:val="004158E3"/>
    <w:rsid w:val="004165E6"/>
    <w:rsid w:val="00416AB4"/>
    <w:rsid w:val="0041733D"/>
    <w:rsid w:val="0041746C"/>
    <w:rsid w:val="00417876"/>
    <w:rsid w:val="00417985"/>
    <w:rsid w:val="00417AD8"/>
    <w:rsid w:val="00417B03"/>
    <w:rsid w:val="00417D2E"/>
    <w:rsid w:val="00417EB9"/>
    <w:rsid w:val="0042053C"/>
    <w:rsid w:val="0042061A"/>
    <w:rsid w:val="004209CC"/>
    <w:rsid w:val="00420BD6"/>
    <w:rsid w:val="00421662"/>
    <w:rsid w:val="00422301"/>
    <w:rsid w:val="00422AF6"/>
    <w:rsid w:val="0042370F"/>
    <w:rsid w:val="004239C0"/>
    <w:rsid w:val="00424004"/>
    <w:rsid w:val="00424299"/>
    <w:rsid w:val="004242B5"/>
    <w:rsid w:val="004244CD"/>
    <w:rsid w:val="004246BD"/>
    <w:rsid w:val="004246C1"/>
    <w:rsid w:val="0042483E"/>
    <w:rsid w:val="0042789E"/>
    <w:rsid w:val="0042799A"/>
    <w:rsid w:val="004279BA"/>
    <w:rsid w:val="00427A84"/>
    <w:rsid w:val="00427E40"/>
    <w:rsid w:val="00431938"/>
    <w:rsid w:val="004324C0"/>
    <w:rsid w:val="00433022"/>
    <w:rsid w:val="004331B5"/>
    <w:rsid w:val="004334F1"/>
    <w:rsid w:val="004336E2"/>
    <w:rsid w:val="0043399D"/>
    <w:rsid w:val="00433AE7"/>
    <w:rsid w:val="00433B07"/>
    <w:rsid w:val="004340BF"/>
    <w:rsid w:val="00434C97"/>
    <w:rsid w:val="00434EAF"/>
    <w:rsid w:val="0043539B"/>
    <w:rsid w:val="00436140"/>
    <w:rsid w:val="00436F45"/>
    <w:rsid w:val="00437CB1"/>
    <w:rsid w:val="00440484"/>
    <w:rsid w:val="00440654"/>
    <w:rsid w:val="00440B07"/>
    <w:rsid w:val="00440E88"/>
    <w:rsid w:val="00440ED9"/>
    <w:rsid w:val="00440EDB"/>
    <w:rsid w:val="00440F58"/>
    <w:rsid w:val="0044135D"/>
    <w:rsid w:val="004420B0"/>
    <w:rsid w:val="004427E8"/>
    <w:rsid w:val="00442A09"/>
    <w:rsid w:val="00442B64"/>
    <w:rsid w:val="00442E01"/>
    <w:rsid w:val="00443A36"/>
    <w:rsid w:val="0044431E"/>
    <w:rsid w:val="0044442F"/>
    <w:rsid w:val="00444A85"/>
    <w:rsid w:val="00444D40"/>
    <w:rsid w:val="00445A63"/>
    <w:rsid w:val="00446162"/>
    <w:rsid w:val="004465B7"/>
    <w:rsid w:val="00446EB1"/>
    <w:rsid w:val="00447298"/>
    <w:rsid w:val="004473F3"/>
    <w:rsid w:val="004476B8"/>
    <w:rsid w:val="00447F32"/>
    <w:rsid w:val="00450CBE"/>
    <w:rsid w:val="00450CEC"/>
    <w:rsid w:val="00450F9C"/>
    <w:rsid w:val="00451BDD"/>
    <w:rsid w:val="0045213F"/>
    <w:rsid w:val="00452340"/>
    <w:rsid w:val="0045296E"/>
    <w:rsid w:val="00452BD3"/>
    <w:rsid w:val="0045301D"/>
    <w:rsid w:val="004536A8"/>
    <w:rsid w:val="004538A2"/>
    <w:rsid w:val="0045495A"/>
    <w:rsid w:val="00454DE7"/>
    <w:rsid w:val="004552AB"/>
    <w:rsid w:val="00455550"/>
    <w:rsid w:val="004559C1"/>
    <w:rsid w:val="0045652E"/>
    <w:rsid w:val="004576C8"/>
    <w:rsid w:val="00457B83"/>
    <w:rsid w:val="00457E3F"/>
    <w:rsid w:val="00457FF4"/>
    <w:rsid w:val="004602A4"/>
    <w:rsid w:val="004603B9"/>
    <w:rsid w:val="00461271"/>
    <w:rsid w:val="004618FE"/>
    <w:rsid w:val="004621E6"/>
    <w:rsid w:val="00462B1A"/>
    <w:rsid w:val="00462D43"/>
    <w:rsid w:val="004638C1"/>
    <w:rsid w:val="00463BD6"/>
    <w:rsid w:val="00464EE5"/>
    <w:rsid w:val="00464F13"/>
    <w:rsid w:val="00464F30"/>
    <w:rsid w:val="00464FD1"/>
    <w:rsid w:val="0046544F"/>
    <w:rsid w:val="00466104"/>
    <w:rsid w:val="00466923"/>
    <w:rsid w:val="00466D35"/>
    <w:rsid w:val="00466DA1"/>
    <w:rsid w:val="004675B8"/>
    <w:rsid w:val="004676AB"/>
    <w:rsid w:val="004705B9"/>
    <w:rsid w:val="004706E3"/>
    <w:rsid w:val="004707DB"/>
    <w:rsid w:val="00470944"/>
    <w:rsid w:val="00470F8E"/>
    <w:rsid w:val="00472483"/>
    <w:rsid w:val="00472982"/>
    <w:rsid w:val="004730BA"/>
    <w:rsid w:val="00473327"/>
    <w:rsid w:val="004735B5"/>
    <w:rsid w:val="004736C5"/>
    <w:rsid w:val="00474921"/>
    <w:rsid w:val="004749C1"/>
    <w:rsid w:val="0047520D"/>
    <w:rsid w:val="004759E9"/>
    <w:rsid w:val="00475A3C"/>
    <w:rsid w:val="00476219"/>
    <w:rsid w:val="00477065"/>
    <w:rsid w:val="00477E48"/>
    <w:rsid w:val="0048003E"/>
    <w:rsid w:val="004805E7"/>
    <w:rsid w:val="0048137D"/>
    <w:rsid w:val="004822A8"/>
    <w:rsid w:val="004825FB"/>
    <w:rsid w:val="00482A0E"/>
    <w:rsid w:val="00482F94"/>
    <w:rsid w:val="00483ACE"/>
    <w:rsid w:val="00483B19"/>
    <w:rsid w:val="004840F0"/>
    <w:rsid w:val="004849FC"/>
    <w:rsid w:val="00484C75"/>
    <w:rsid w:val="0048695F"/>
    <w:rsid w:val="004872E4"/>
    <w:rsid w:val="00487C10"/>
    <w:rsid w:val="004912EF"/>
    <w:rsid w:val="0049134C"/>
    <w:rsid w:val="00491805"/>
    <w:rsid w:val="0049200A"/>
    <w:rsid w:val="00493E59"/>
    <w:rsid w:val="00493FD0"/>
    <w:rsid w:val="004958F0"/>
    <w:rsid w:val="00495B4E"/>
    <w:rsid w:val="00495E7F"/>
    <w:rsid w:val="004962E9"/>
    <w:rsid w:val="004A0371"/>
    <w:rsid w:val="004A0D2A"/>
    <w:rsid w:val="004A0FB7"/>
    <w:rsid w:val="004A11C7"/>
    <w:rsid w:val="004A2215"/>
    <w:rsid w:val="004A254F"/>
    <w:rsid w:val="004A26EC"/>
    <w:rsid w:val="004A297E"/>
    <w:rsid w:val="004A370D"/>
    <w:rsid w:val="004A3E5A"/>
    <w:rsid w:val="004A3FE7"/>
    <w:rsid w:val="004A460E"/>
    <w:rsid w:val="004A5473"/>
    <w:rsid w:val="004A58DC"/>
    <w:rsid w:val="004A6869"/>
    <w:rsid w:val="004B0859"/>
    <w:rsid w:val="004B170B"/>
    <w:rsid w:val="004B29E6"/>
    <w:rsid w:val="004B2A9F"/>
    <w:rsid w:val="004B2B25"/>
    <w:rsid w:val="004B362F"/>
    <w:rsid w:val="004B38D7"/>
    <w:rsid w:val="004B3D59"/>
    <w:rsid w:val="004B4571"/>
    <w:rsid w:val="004B50D0"/>
    <w:rsid w:val="004B5647"/>
    <w:rsid w:val="004B5DFE"/>
    <w:rsid w:val="004B5FE6"/>
    <w:rsid w:val="004B6135"/>
    <w:rsid w:val="004B626A"/>
    <w:rsid w:val="004B683A"/>
    <w:rsid w:val="004B6F75"/>
    <w:rsid w:val="004B70A9"/>
    <w:rsid w:val="004B7A23"/>
    <w:rsid w:val="004B7CB8"/>
    <w:rsid w:val="004C011B"/>
    <w:rsid w:val="004C015D"/>
    <w:rsid w:val="004C17CA"/>
    <w:rsid w:val="004C1959"/>
    <w:rsid w:val="004C1CF0"/>
    <w:rsid w:val="004C2265"/>
    <w:rsid w:val="004C3498"/>
    <w:rsid w:val="004C3B67"/>
    <w:rsid w:val="004C3C3F"/>
    <w:rsid w:val="004C4A2E"/>
    <w:rsid w:val="004C5BD8"/>
    <w:rsid w:val="004C6558"/>
    <w:rsid w:val="004C67D6"/>
    <w:rsid w:val="004C697A"/>
    <w:rsid w:val="004C6B73"/>
    <w:rsid w:val="004C6D19"/>
    <w:rsid w:val="004C6EBE"/>
    <w:rsid w:val="004C7911"/>
    <w:rsid w:val="004D0008"/>
    <w:rsid w:val="004D0150"/>
    <w:rsid w:val="004D0171"/>
    <w:rsid w:val="004D08B5"/>
    <w:rsid w:val="004D1771"/>
    <w:rsid w:val="004D2244"/>
    <w:rsid w:val="004D2263"/>
    <w:rsid w:val="004D2904"/>
    <w:rsid w:val="004D37E8"/>
    <w:rsid w:val="004D394F"/>
    <w:rsid w:val="004D3A28"/>
    <w:rsid w:val="004D3F38"/>
    <w:rsid w:val="004D59BE"/>
    <w:rsid w:val="004D5AA3"/>
    <w:rsid w:val="004D60E1"/>
    <w:rsid w:val="004D6882"/>
    <w:rsid w:val="004D6928"/>
    <w:rsid w:val="004D6D72"/>
    <w:rsid w:val="004D6ED0"/>
    <w:rsid w:val="004D6FC1"/>
    <w:rsid w:val="004E0048"/>
    <w:rsid w:val="004E0EFF"/>
    <w:rsid w:val="004E18A9"/>
    <w:rsid w:val="004E1A7B"/>
    <w:rsid w:val="004E4026"/>
    <w:rsid w:val="004E4407"/>
    <w:rsid w:val="004E45A8"/>
    <w:rsid w:val="004E4FF7"/>
    <w:rsid w:val="004E55A6"/>
    <w:rsid w:val="004E59BD"/>
    <w:rsid w:val="004E7174"/>
    <w:rsid w:val="004E75CB"/>
    <w:rsid w:val="004E79B7"/>
    <w:rsid w:val="004F1037"/>
    <w:rsid w:val="004F1739"/>
    <w:rsid w:val="004F25C4"/>
    <w:rsid w:val="004F27E4"/>
    <w:rsid w:val="004F3642"/>
    <w:rsid w:val="004F41E9"/>
    <w:rsid w:val="004F488A"/>
    <w:rsid w:val="004F4C76"/>
    <w:rsid w:val="004F4CB5"/>
    <w:rsid w:val="004F5999"/>
    <w:rsid w:val="004F660A"/>
    <w:rsid w:val="004F688C"/>
    <w:rsid w:val="004F6DAD"/>
    <w:rsid w:val="004F70AF"/>
    <w:rsid w:val="004F7669"/>
    <w:rsid w:val="004F7ED7"/>
    <w:rsid w:val="00502075"/>
    <w:rsid w:val="005028B5"/>
    <w:rsid w:val="00502EB9"/>
    <w:rsid w:val="00505825"/>
    <w:rsid w:val="00505D66"/>
    <w:rsid w:val="0050613C"/>
    <w:rsid w:val="005061B5"/>
    <w:rsid w:val="005067B0"/>
    <w:rsid w:val="005070B0"/>
    <w:rsid w:val="0050741C"/>
    <w:rsid w:val="00510A2E"/>
    <w:rsid w:val="00510C16"/>
    <w:rsid w:val="005113C0"/>
    <w:rsid w:val="005114F9"/>
    <w:rsid w:val="00512208"/>
    <w:rsid w:val="0051240B"/>
    <w:rsid w:val="00512C82"/>
    <w:rsid w:val="00512F11"/>
    <w:rsid w:val="0051340D"/>
    <w:rsid w:val="00513732"/>
    <w:rsid w:val="00514E70"/>
    <w:rsid w:val="00515383"/>
    <w:rsid w:val="00516A9B"/>
    <w:rsid w:val="00517244"/>
    <w:rsid w:val="00517FD4"/>
    <w:rsid w:val="0052059C"/>
    <w:rsid w:val="00521995"/>
    <w:rsid w:val="0052287D"/>
    <w:rsid w:val="00522B9A"/>
    <w:rsid w:val="005233BC"/>
    <w:rsid w:val="00524777"/>
    <w:rsid w:val="0052523C"/>
    <w:rsid w:val="00525308"/>
    <w:rsid w:val="00525BCF"/>
    <w:rsid w:val="00525CEA"/>
    <w:rsid w:val="005266A0"/>
    <w:rsid w:val="00526A20"/>
    <w:rsid w:val="00526B31"/>
    <w:rsid w:val="00527427"/>
    <w:rsid w:val="00530384"/>
    <w:rsid w:val="005307FD"/>
    <w:rsid w:val="00530945"/>
    <w:rsid w:val="005313E5"/>
    <w:rsid w:val="005315BB"/>
    <w:rsid w:val="005318CF"/>
    <w:rsid w:val="00531FFC"/>
    <w:rsid w:val="005328C7"/>
    <w:rsid w:val="00533338"/>
    <w:rsid w:val="00533445"/>
    <w:rsid w:val="00533B1E"/>
    <w:rsid w:val="00534273"/>
    <w:rsid w:val="00534C4E"/>
    <w:rsid w:val="00534DE7"/>
    <w:rsid w:val="0053555B"/>
    <w:rsid w:val="00535AFF"/>
    <w:rsid w:val="00536282"/>
    <w:rsid w:val="00536ADE"/>
    <w:rsid w:val="00536B45"/>
    <w:rsid w:val="00536CA3"/>
    <w:rsid w:val="005371C7"/>
    <w:rsid w:val="005375E7"/>
    <w:rsid w:val="00540355"/>
    <w:rsid w:val="005403C1"/>
    <w:rsid w:val="005406D3"/>
    <w:rsid w:val="00540782"/>
    <w:rsid w:val="00540AFD"/>
    <w:rsid w:val="00540ECB"/>
    <w:rsid w:val="00541849"/>
    <w:rsid w:val="00541F1C"/>
    <w:rsid w:val="00542073"/>
    <w:rsid w:val="00543C6C"/>
    <w:rsid w:val="0054490C"/>
    <w:rsid w:val="00544E09"/>
    <w:rsid w:val="0054532F"/>
    <w:rsid w:val="00545B3F"/>
    <w:rsid w:val="00546112"/>
    <w:rsid w:val="0054668F"/>
    <w:rsid w:val="00546AD8"/>
    <w:rsid w:val="00546E3A"/>
    <w:rsid w:val="0054780A"/>
    <w:rsid w:val="00547849"/>
    <w:rsid w:val="00547F97"/>
    <w:rsid w:val="00550534"/>
    <w:rsid w:val="005506B3"/>
    <w:rsid w:val="005510AD"/>
    <w:rsid w:val="00551506"/>
    <w:rsid w:val="005517B0"/>
    <w:rsid w:val="00551899"/>
    <w:rsid w:val="0055253D"/>
    <w:rsid w:val="005530BC"/>
    <w:rsid w:val="005538E1"/>
    <w:rsid w:val="00555228"/>
    <w:rsid w:val="005554B8"/>
    <w:rsid w:val="00556842"/>
    <w:rsid w:val="00556CB0"/>
    <w:rsid w:val="00556D59"/>
    <w:rsid w:val="00557024"/>
    <w:rsid w:val="005576DF"/>
    <w:rsid w:val="00557BCE"/>
    <w:rsid w:val="00560B92"/>
    <w:rsid w:val="0056144D"/>
    <w:rsid w:val="005615AD"/>
    <w:rsid w:val="00561991"/>
    <w:rsid w:val="00561A2C"/>
    <w:rsid w:val="00561AAA"/>
    <w:rsid w:val="00561C13"/>
    <w:rsid w:val="00561D77"/>
    <w:rsid w:val="00562131"/>
    <w:rsid w:val="0056291F"/>
    <w:rsid w:val="00562BE7"/>
    <w:rsid w:val="005639C2"/>
    <w:rsid w:val="00563DE8"/>
    <w:rsid w:val="0056421D"/>
    <w:rsid w:val="00564554"/>
    <w:rsid w:val="00564FD1"/>
    <w:rsid w:val="00565761"/>
    <w:rsid w:val="00566130"/>
    <w:rsid w:val="0056658C"/>
    <w:rsid w:val="005676E2"/>
    <w:rsid w:val="00567736"/>
    <w:rsid w:val="005677AE"/>
    <w:rsid w:val="005707AD"/>
    <w:rsid w:val="00570BD1"/>
    <w:rsid w:val="00570E36"/>
    <w:rsid w:val="005713F8"/>
    <w:rsid w:val="005717AA"/>
    <w:rsid w:val="00572135"/>
    <w:rsid w:val="00572DA7"/>
    <w:rsid w:val="0057300E"/>
    <w:rsid w:val="0057351B"/>
    <w:rsid w:val="005737A7"/>
    <w:rsid w:val="0057387C"/>
    <w:rsid w:val="00573B54"/>
    <w:rsid w:val="00574762"/>
    <w:rsid w:val="00576571"/>
    <w:rsid w:val="00577B2A"/>
    <w:rsid w:val="00577B5E"/>
    <w:rsid w:val="00577B9A"/>
    <w:rsid w:val="00577D4B"/>
    <w:rsid w:val="00580489"/>
    <w:rsid w:val="0058091B"/>
    <w:rsid w:val="00581DAB"/>
    <w:rsid w:val="0058327C"/>
    <w:rsid w:val="00583782"/>
    <w:rsid w:val="0058397E"/>
    <w:rsid w:val="00584936"/>
    <w:rsid w:val="00585A8F"/>
    <w:rsid w:val="00587632"/>
    <w:rsid w:val="00590390"/>
    <w:rsid w:val="005905A3"/>
    <w:rsid w:val="00590CC8"/>
    <w:rsid w:val="005916D5"/>
    <w:rsid w:val="00591CBF"/>
    <w:rsid w:val="0059246A"/>
    <w:rsid w:val="00592549"/>
    <w:rsid w:val="00592F94"/>
    <w:rsid w:val="005930F9"/>
    <w:rsid w:val="0059343E"/>
    <w:rsid w:val="005935A2"/>
    <w:rsid w:val="00593A24"/>
    <w:rsid w:val="00593D1C"/>
    <w:rsid w:val="00593F27"/>
    <w:rsid w:val="00594860"/>
    <w:rsid w:val="00594C71"/>
    <w:rsid w:val="005953DE"/>
    <w:rsid w:val="00595513"/>
    <w:rsid w:val="00595CDE"/>
    <w:rsid w:val="005962C2"/>
    <w:rsid w:val="00596503"/>
    <w:rsid w:val="00596A86"/>
    <w:rsid w:val="00596C67"/>
    <w:rsid w:val="00596D1E"/>
    <w:rsid w:val="00597071"/>
    <w:rsid w:val="00597852"/>
    <w:rsid w:val="005A03C2"/>
    <w:rsid w:val="005A0651"/>
    <w:rsid w:val="005A103D"/>
    <w:rsid w:val="005A1CC3"/>
    <w:rsid w:val="005A2067"/>
    <w:rsid w:val="005A215B"/>
    <w:rsid w:val="005A21E0"/>
    <w:rsid w:val="005A2554"/>
    <w:rsid w:val="005A2736"/>
    <w:rsid w:val="005A2EA3"/>
    <w:rsid w:val="005A35CC"/>
    <w:rsid w:val="005A3C0D"/>
    <w:rsid w:val="005A4996"/>
    <w:rsid w:val="005A4C22"/>
    <w:rsid w:val="005A54E3"/>
    <w:rsid w:val="005A59F8"/>
    <w:rsid w:val="005A5B02"/>
    <w:rsid w:val="005A62D4"/>
    <w:rsid w:val="005A7824"/>
    <w:rsid w:val="005A797C"/>
    <w:rsid w:val="005A7FCE"/>
    <w:rsid w:val="005B0014"/>
    <w:rsid w:val="005B0922"/>
    <w:rsid w:val="005B1181"/>
    <w:rsid w:val="005B1345"/>
    <w:rsid w:val="005B1704"/>
    <w:rsid w:val="005B1A5A"/>
    <w:rsid w:val="005B2383"/>
    <w:rsid w:val="005B23EC"/>
    <w:rsid w:val="005B263B"/>
    <w:rsid w:val="005B3404"/>
    <w:rsid w:val="005B34D9"/>
    <w:rsid w:val="005B3782"/>
    <w:rsid w:val="005B3D5A"/>
    <w:rsid w:val="005B3D74"/>
    <w:rsid w:val="005B49A9"/>
    <w:rsid w:val="005B4EBE"/>
    <w:rsid w:val="005B5B50"/>
    <w:rsid w:val="005B5EB4"/>
    <w:rsid w:val="005B6335"/>
    <w:rsid w:val="005B65CE"/>
    <w:rsid w:val="005B680B"/>
    <w:rsid w:val="005B6943"/>
    <w:rsid w:val="005B6F20"/>
    <w:rsid w:val="005B7205"/>
    <w:rsid w:val="005B779A"/>
    <w:rsid w:val="005B780E"/>
    <w:rsid w:val="005C0006"/>
    <w:rsid w:val="005C01F8"/>
    <w:rsid w:val="005C0437"/>
    <w:rsid w:val="005C18C1"/>
    <w:rsid w:val="005C1951"/>
    <w:rsid w:val="005C1F96"/>
    <w:rsid w:val="005C2B1D"/>
    <w:rsid w:val="005C2C30"/>
    <w:rsid w:val="005C2E82"/>
    <w:rsid w:val="005C302E"/>
    <w:rsid w:val="005C31A1"/>
    <w:rsid w:val="005C31C8"/>
    <w:rsid w:val="005C3C35"/>
    <w:rsid w:val="005C3F47"/>
    <w:rsid w:val="005C461D"/>
    <w:rsid w:val="005C5366"/>
    <w:rsid w:val="005C57C1"/>
    <w:rsid w:val="005C6665"/>
    <w:rsid w:val="005C69AF"/>
    <w:rsid w:val="005C7A80"/>
    <w:rsid w:val="005D037E"/>
    <w:rsid w:val="005D1B54"/>
    <w:rsid w:val="005D1DEA"/>
    <w:rsid w:val="005D1F8A"/>
    <w:rsid w:val="005D3B41"/>
    <w:rsid w:val="005D468F"/>
    <w:rsid w:val="005D4B80"/>
    <w:rsid w:val="005D4F8D"/>
    <w:rsid w:val="005D5377"/>
    <w:rsid w:val="005D5681"/>
    <w:rsid w:val="005D6221"/>
    <w:rsid w:val="005D6416"/>
    <w:rsid w:val="005D66C1"/>
    <w:rsid w:val="005D6FCA"/>
    <w:rsid w:val="005D70F7"/>
    <w:rsid w:val="005D710D"/>
    <w:rsid w:val="005D7208"/>
    <w:rsid w:val="005D72F1"/>
    <w:rsid w:val="005D7D75"/>
    <w:rsid w:val="005D7E09"/>
    <w:rsid w:val="005E08D3"/>
    <w:rsid w:val="005E0FE1"/>
    <w:rsid w:val="005E2BC3"/>
    <w:rsid w:val="005E368E"/>
    <w:rsid w:val="005E3ABC"/>
    <w:rsid w:val="005E3CB4"/>
    <w:rsid w:val="005E4C28"/>
    <w:rsid w:val="005E540A"/>
    <w:rsid w:val="005E58EA"/>
    <w:rsid w:val="005E5EEA"/>
    <w:rsid w:val="005E5F4A"/>
    <w:rsid w:val="005E66FD"/>
    <w:rsid w:val="005E68D1"/>
    <w:rsid w:val="005E6AE7"/>
    <w:rsid w:val="005E6AF1"/>
    <w:rsid w:val="005E7C48"/>
    <w:rsid w:val="005E7EB7"/>
    <w:rsid w:val="005E7F81"/>
    <w:rsid w:val="005F0061"/>
    <w:rsid w:val="005F04E8"/>
    <w:rsid w:val="005F1B83"/>
    <w:rsid w:val="005F1FAB"/>
    <w:rsid w:val="005F2F8D"/>
    <w:rsid w:val="005F2F9A"/>
    <w:rsid w:val="005F327F"/>
    <w:rsid w:val="005F35B7"/>
    <w:rsid w:val="005F5678"/>
    <w:rsid w:val="005F6CEC"/>
    <w:rsid w:val="005F6F6F"/>
    <w:rsid w:val="005F755E"/>
    <w:rsid w:val="005F76B8"/>
    <w:rsid w:val="006003C4"/>
    <w:rsid w:val="006005FC"/>
    <w:rsid w:val="00600797"/>
    <w:rsid w:val="006014E0"/>
    <w:rsid w:val="00601B29"/>
    <w:rsid w:val="00601FE3"/>
    <w:rsid w:val="00602DF6"/>
    <w:rsid w:val="006031D8"/>
    <w:rsid w:val="00603732"/>
    <w:rsid w:val="006050DC"/>
    <w:rsid w:val="0060581E"/>
    <w:rsid w:val="00606013"/>
    <w:rsid w:val="006062E1"/>
    <w:rsid w:val="00606504"/>
    <w:rsid w:val="0060683D"/>
    <w:rsid w:val="00606CE9"/>
    <w:rsid w:val="00606DA3"/>
    <w:rsid w:val="00606DCE"/>
    <w:rsid w:val="00607DBF"/>
    <w:rsid w:val="0061069C"/>
    <w:rsid w:val="006112A4"/>
    <w:rsid w:val="00611682"/>
    <w:rsid w:val="006122D0"/>
    <w:rsid w:val="00612469"/>
    <w:rsid w:val="00613C7A"/>
    <w:rsid w:val="00613DA0"/>
    <w:rsid w:val="006155E4"/>
    <w:rsid w:val="00615635"/>
    <w:rsid w:val="00615F43"/>
    <w:rsid w:val="00615FAE"/>
    <w:rsid w:val="00616C26"/>
    <w:rsid w:val="00616DC9"/>
    <w:rsid w:val="00617423"/>
    <w:rsid w:val="00617F77"/>
    <w:rsid w:val="00620004"/>
    <w:rsid w:val="00620B31"/>
    <w:rsid w:val="006213EB"/>
    <w:rsid w:val="0062270F"/>
    <w:rsid w:val="0062321F"/>
    <w:rsid w:val="006234BE"/>
    <w:rsid w:val="00623775"/>
    <w:rsid w:val="0062378E"/>
    <w:rsid w:val="00623C6F"/>
    <w:rsid w:val="006246AF"/>
    <w:rsid w:val="0062567E"/>
    <w:rsid w:val="00625F80"/>
    <w:rsid w:val="006270CD"/>
    <w:rsid w:val="006271FB"/>
    <w:rsid w:val="00627602"/>
    <w:rsid w:val="006276CE"/>
    <w:rsid w:val="00627F8C"/>
    <w:rsid w:val="00630706"/>
    <w:rsid w:val="00630A21"/>
    <w:rsid w:val="00630CFF"/>
    <w:rsid w:val="00631E33"/>
    <w:rsid w:val="00631ED0"/>
    <w:rsid w:val="00632E94"/>
    <w:rsid w:val="00633CF9"/>
    <w:rsid w:val="00633FF3"/>
    <w:rsid w:val="0063425F"/>
    <w:rsid w:val="00634BAB"/>
    <w:rsid w:val="00634E4E"/>
    <w:rsid w:val="0063566D"/>
    <w:rsid w:val="006362FE"/>
    <w:rsid w:val="00636485"/>
    <w:rsid w:val="00636660"/>
    <w:rsid w:val="006376A7"/>
    <w:rsid w:val="006376CE"/>
    <w:rsid w:val="006377D8"/>
    <w:rsid w:val="0064065C"/>
    <w:rsid w:val="00640979"/>
    <w:rsid w:val="00640F35"/>
    <w:rsid w:val="00641C5D"/>
    <w:rsid w:val="00642108"/>
    <w:rsid w:val="00642156"/>
    <w:rsid w:val="0064386B"/>
    <w:rsid w:val="0064437A"/>
    <w:rsid w:val="00644CD2"/>
    <w:rsid w:val="00645C33"/>
    <w:rsid w:val="00645F8D"/>
    <w:rsid w:val="00646323"/>
    <w:rsid w:val="00646665"/>
    <w:rsid w:val="00646DBD"/>
    <w:rsid w:val="0064738C"/>
    <w:rsid w:val="00647639"/>
    <w:rsid w:val="00647662"/>
    <w:rsid w:val="00647C64"/>
    <w:rsid w:val="00647E13"/>
    <w:rsid w:val="00647EC0"/>
    <w:rsid w:val="00647FC5"/>
    <w:rsid w:val="006521CF"/>
    <w:rsid w:val="00652945"/>
    <w:rsid w:val="006542F9"/>
    <w:rsid w:val="00654BD5"/>
    <w:rsid w:val="006556F5"/>
    <w:rsid w:val="00655969"/>
    <w:rsid w:val="00656CC7"/>
    <w:rsid w:val="0066052B"/>
    <w:rsid w:val="006605B6"/>
    <w:rsid w:val="00660A9B"/>
    <w:rsid w:val="00660DE4"/>
    <w:rsid w:val="00662252"/>
    <w:rsid w:val="00662490"/>
    <w:rsid w:val="00662E6B"/>
    <w:rsid w:val="006632AC"/>
    <w:rsid w:val="00663A92"/>
    <w:rsid w:val="00663DF4"/>
    <w:rsid w:val="0066403F"/>
    <w:rsid w:val="006648CC"/>
    <w:rsid w:val="00664F2A"/>
    <w:rsid w:val="00665119"/>
    <w:rsid w:val="00665546"/>
    <w:rsid w:val="0066600F"/>
    <w:rsid w:val="0066603B"/>
    <w:rsid w:val="0067043D"/>
    <w:rsid w:val="006711AB"/>
    <w:rsid w:val="006717F2"/>
    <w:rsid w:val="0067182B"/>
    <w:rsid w:val="00671F7B"/>
    <w:rsid w:val="0067287D"/>
    <w:rsid w:val="006735A2"/>
    <w:rsid w:val="0067373E"/>
    <w:rsid w:val="00675876"/>
    <w:rsid w:val="00676015"/>
    <w:rsid w:val="006767AE"/>
    <w:rsid w:val="00677E89"/>
    <w:rsid w:val="00680D66"/>
    <w:rsid w:val="00680F2C"/>
    <w:rsid w:val="006811E4"/>
    <w:rsid w:val="006811E8"/>
    <w:rsid w:val="006821D3"/>
    <w:rsid w:val="0068332D"/>
    <w:rsid w:val="00683397"/>
    <w:rsid w:val="00683783"/>
    <w:rsid w:val="006837FF"/>
    <w:rsid w:val="00683B8B"/>
    <w:rsid w:val="00683CAC"/>
    <w:rsid w:val="00685247"/>
    <w:rsid w:val="00685C7B"/>
    <w:rsid w:val="006860B1"/>
    <w:rsid w:val="0068659B"/>
    <w:rsid w:val="00686715"/>
    <w:rsid w:val="00687151"/>
    <w:rsid w:val="0068728E"/>
    <w:rsid w:val="00687691"/>
    <w:rsid w:val="0068776C"/>
    <w:rsid w:val="00691E73"/>
    <w:rsid w:val="00692438"/>
    <w:rsid w:val="006927FE"/>
    <w:rsid w:val="006934FB"/>
    <w:rsid w:val="006937C6"/>
    <w:rsid w:val="006942AE"/>
    <w:rsid w:val="006942D7"/>
    <w:rsid w:val="00694B69"/>
    <w:rsid w:val="00694BBA"/>
    <w:rsid w:val="006950EC"/>
    <w:rsid w:val="0069646D"/>
    <w:rsid w:val="00696EEA"/>
    <w:rsid w:val="00696F40"/>
    <w:rsid w:val="0069738F"/>
    <w:rsid w:val="00697671"/>
    <w:rsid w:val="00697F21"/>
    <w:rsid w:val="006A0740"/>
    <w:rsid w:val="006A1056"/>
    <w:rsid w:val="006A12A0"/>
    <w:rsid w:val="006A1446"/>
    <w:rsid w:val="006A1AF8"/>
    <w:rsid w:val="006A1BF6"/>
    <w:rsid w:val="006A1E70"/>
    <w:rsid w:val="006A2313"/>
    <w:rsid w:val="006A289A"/>
    <w:rsid w:val="006A3944"/>
    <w:rsid w:val="006A41B2"/>
    <w:rsid w:val="006A47E7"/>
    <w:rsid w:val="006A4E1A"/>
    <w:rsid w:val="006A4ED4"/>
    <w:rsid w:val="006A57BE"/>
    <w:rsid w:val="006A5C7B"/>
    <w:rsid w:val="006A6135"/>
    <w:rsid w:val="006A6B42"/>
    <w:rsid w:val="006A77B4"/>
    <w:rsid w:val="006B026C"/>
    <w:rsid w:val="006B040E"/>
    <w:rsid w:val="006B07D7"/>
    <w:rsid w:val="006B0999"/>
    <w:rsid w:val="006B0BFC"/>
    <w:rsid w:val="006B1621"/>
    <w:rsid w:val="006B1640"/>
    <w:rsid w:val="006B18AE"/>
    <w:rsid w:val="006B29D4"/>
    <w:rsid w:val="006B2DDF"/>
    <w:rsid w:val="006B2E36"/>
    <w:rsid w:val="006B333E"/>
    <w:rsid w:val="006B360A"/>
    <w:rsid w:val="006B3C63"/>
    <w:rsid w:val="006B3EA4"/>
    <w:rsid w:val="006B48A8"/>
    <w:rsid w:val="006B5068"/>
    <w:rsid w:val="006B56D0"/>
    <w:rsid w:val="006B6016"/>
    <w:rsid w:val="006B6270"/>
    <w:rsid w:val="006B66E5"/>
    <w:rsid w:val="006B6D2B"/>
    <w:rsid w:val="006B7DEA"/>
    <w:rsid w:val="006C1A03"/>
    <w:rsid w:val="006C1E26"/>
    <w:rsid w:val="006C22A4"/>
    <w:rsid w:val="006C2440"/>
    <w:rsid w:val="006C2EA5"/>
    <w:rsid w:val="006C4118"/>
    <w:rsid w:val="006C4C1F"/>
    <w:rsid w:val="006C4C8E"/>
    <w:rsid w:val="006C5095"/>
    <w:rsid w:val="006C511E"/>
    <w:rsid w:val="006C55AA"/>
    <w:rsid w:val="006C5C16"/>
    <w:rsid w:val="006C60DA"/>
    <w:rsid w:val="006C6479"/>
    <w:rsid w:val="006C66C2"/>
    <w:rsid w:val="006C6941"/>
    <w:rsid w:val="006C6D12"/>
    <w:rsid w:val="006C6F28"/>
    <w:rsid w:val="006C6F2D"/>
    <w:rsid w:val="006C7DDA"/>
    <w:rsid w:val="006D0B4E"/>
    <w:rsid w:val="006D0D58"/>
    <w:rsid w:val="006D1039"/>
    <w:rsid w:val="006D109B"/>
    <w:rsid w:val="006D13E7"/>
    <w:rsid w:val="006D1980"/>
    <w:rsid w:val="006D1D89"/>
    <w:rsid w:val="006D2797"/>
    <w:rsid w:val="006D2C2D"/>
    <w:rsid w:val="006D2F99"/>
    <w:rsid w:val="006D3292"/>
    <w:rsid w:val="006D34C8"/>
    <w:rsid w:val="006D3696"/>
    <w:rsid w:val="006D3771"/>
    <w:rsid w:val="006D4D31"/>
    <w:rsid w:val="006D507D"/>
    <w:rsid w:val="006D519B"/>
    <w:rsid w:val="006D54FB"/>
    <w:rsid w:val="006D56EB"/>
    <w:rsid w:val="006D606D"/>
    <w:rsid w:val="006D65D9"/>
    <w:rsid w:val="006D69E0"/>
    <w:rsid w:val="006D69EB"/>
    <w:rsid w:val="006D7345"/>
    <w:rsid w:val="006D75FD"/>
    <w:rsid w:val="006D76A3"/>
    <w:rsid w:val="006D7FBE"/>
    <w:rsid w:val="006E0821"/>
    <w:rsid w:val="006E2958"/>
    <w:rsid w:val="006E29AE"/>
    <w:rsid w:val="006E2FA2"/>
    <w:rsid w:val="006E396E"/>
    <w:rsid w:val="006E4123"/>
    <w:rsid w:val="006E4234"/>
    <w:rsid w:val="006E42A8"/>
    <w:rsid w:val="006E4DE3"/>
    <w:rsid w:val="006E556E"/>
    <w:rsid w:val="006E5813"/>
    <w:rsid w:val="006E7601"/>
    <w:rsid w:val="006E7A56"/>
    <w:rsid w:val="006E7AB3"/>
    <w:rsid w:val="006E7EA6"/>
    <w:rsid w:val="006F0331"/>
    <w:rsid w:val="006F17D7"/>
    <w:rsid w:val="006F1FBA"/>
    <w:rsid w:val="006F2410"/>
    <w:rsid w:val="006F2716"/>
    <w:rsid w:val="006F2843"/>
    <w:rsid w:val="006F3108"/>
    <w:rsid w:val="006F3DB9"/>
    <w:rsid w:val="006F4D33"/>
    <w:rsid w:val="006F4F70"/>
    <w:rsid w:val="006F5246"/>
    <w:rsid w:val="006F56A3"/>
    <w:rsid w:val="006F592E"/>
    <w:rsid w:val="006F59D6"/>
    <w:rsid w:val="006F5AD9"/>
    <w:rsid w:val="006F5F04"/>
    <w:rsid w:val="006F6050"/>
    <w:rsid w:val="006F686B"/>
    <w:rsid w:val="006F6938"/>
    <w:rsid w:val="0070081C"/>
    <w:rsid w:val="007015D7"/>
    <w:rsid w:val="00701643"/>
    <w:rsid w:val="0070198F"/>
    <w:rsid w:val="00702AC0"/>
    <w:rsid w:val="00703628"/>
    <w:rsid w:val="00703CC5"/>
    <w:rsid w:val="00703E70"/>
    <w:rsid w:val="0070420A"/>
    <w:rsid w:val="0070421F"/>
    <w:rsid w:val="007048A8"/>
    <w:rsid w:val="0070507E"/>
    <w:rsid w:val="007056E9"/>
    <w:rsid w:val="00705F69"/>
    <w:rsid w:val="00706096"/>
    <w:rsid w:val="00707383"/>
    <w:rsid w:val="0070745B"/>
    <w:rsid w:val="00707F85"/>
    <w:rsid w:val="0071016D"/>
    <w:rsid w:val="00710C7D"/>
    <w:rsid w:val="007114C8"/>
    <w:rsid w:val="0071174F"/>
    <w:rsid w:val="007117DD"/>
    <w:rsid w:val="00711959"/>
    <w:rsid w:val="00711C6D"/>
    <w:rsid w:val="007127FD"/>
    <w:rsid w:val="00713977"/>
    <w:rsid w:val="00713BFF"/>
    <w:rsid w:val="007143C1"/>
    <w:rsid w:val="007145A8"/>
    <w:rsid w:val="007145DD"/>
    <w:rsid w:val="00714790"/>
    <w:rsid w:val="00714823"/>
    <w:rsid w:val="00714948"/>
    <w:rsid w:val="00714C89"/>
    <w:rsid w:val="00715C3B"/>
    <w:rsid w:val="00716111"/>
    <w:rsid w:val="00716FBE"/>
    <w:rsid w:val="00717A5A"/>
    <w:rsid w:val="00717E58"/>
    <w:rsid w:val="00717F51"/>
    <w:rsid w:val="00720362"/>
    <w:rsid w:val="007207C3"/>
    <w:rsid w:val="00721C64"/>
    <w:rsid w:val="00722496"/>
    <w:rsid w:val="0072249C"/>
    <w:rsid w:val="00722E56"/>
    <w:rsid w:val="00723715"/>
    <w:rsid w:val="00723755"/>
    <w:rsid w:val="007240EB"/>
    <w:rsid w:val="00724763"/>
    <w:rsid w:val="007247A4"/>
    <w:rsid w:val="00724841"/>
    <w:rsid w:val="00724896"/>
    <w:rsid w:val="0072528A"/>
    <w:rsid w:val="00725ABC"/>
    <w:rsid w:val="007262A6"/>
    <w:rsid w:val="00726324"/>
    <w:rsid w:val="007263B5"/>
    <w:rsid w:val="00726754"/>
    <w:rsid w:val="00726E41"/>
    <w:rsid w:val="007271A7"/>
    <w:rsid w:val="00730DBC"/>
    <w:rsid w:val="00730EFD"/>
    <w:rsid w:val="0073284A"/>
    <w:rsid w:val="00732B80"/>
    <w:rsid w:val="00732FE2"/>
    <w:rsid w:val="007333FF"/>
    <w:rsid w:val="00733A04"/>
    <w:rsid w:val="00734767"/>
    <w:rsid w:val="00736739"/>
    <w:rsid w:val="00736826"/>
    <w:rsid w:val="007368DE"/>
    <w:rsid w:val="007378A6"/>
    <w:rsid w:val="00737CE2"/>
    <w:rsid w:val="007401F6"/>
    <w:rsid w:val="0074050C"/>
    <w:rsid w:val="00740C93"/>
    <w:rsid w:val="0074158C"/>
    <w:rsid w:val="0074167E"/>
    <w:rsid w:val="00741A6C"/>
    <w:rsid w:val="00743238"/>
    <w:rsid w:val="00743701"/>
    <w:rsid w:val="00743B17"/>
    <w:rsid w:val="007443B8"/>
    <w:rsid w:val="00744AE4"/>
    <w:rsid w:val="00744C0F"/>
    <w:rsid w:val="00744CA8"/>
    <w:rsid w:val="00744D7E"/>
    <w:rsid w:val="00744DEF"/>
    <w:rsid w:val="0074534B"/>
    <w:rsid w:val="0074550B"/>
    <w:rsid w:val="00745D09"/>
    <w:rsid w:val="0074619E"/>
    <w:rsid w:val="00746ADD"/>
    <w:rsid w:val="00746B5C"/>
    <w:rsid w:val="007475BB"/>
    <w:rsid w:val="007476D8"/>
    <w:rsid w:val="00750F89"/>
    <w:rsid w:val="007512A7"/>
    <w:rsid w:val="007515CB"/>
    <w:rsid w:val="0075213A"/>
    <w:rsid w:val="00752516"/>
    <w:rsid w:val="00753E0C"/>
    <w:rsid w:val="0075528F"/>
    <w:rsid w:val="00755CD4"/>
    <w:rsid w:val="00756459"/>
    <w:rsid w:val="00756E52"/>
    <w:rsid w:val="007571C6"/>
    <w:rsid w:val="00757CB7"/>
    <w:rsid w:val="007600C9"/>
    <w:rsid w:val="00760244"/>
    <w:rsid w:val="0076079A"/>
    <w:rsid w:val="007612F4"/>
    <w:rsid w:val="00761C0A"/>
    <w:rsid w:val="00762A2D"/>
    <w:rsid w:val="00762F70"/>
    <w:rsid w:val="007634C7"/>
    <w:rsid w:val="00763A00"/>
    <w:rsid w:val="00763ACD"/>
    <w:rsid w:val="00763FF1"/>
    <w:rsid w:val="00764C20"/>
    <w:rsid w:val="00765F6A"/>
    <w:rsid w:val="00766AE1"/>
    <w:rsid w:val="00766D22"/>
    <w:rsid w:val="00767C36"/>
    <w:rsid w:val="0077033A"/>
    <w:rsid w:val="007703CA"/>
    <w:rsid w:val="00770539"/>
    <w:rsid w:val="00770F3E"/>
    <w:rsid w:val="00771777"/>
    <w:rsid w:val="007720F5"/>
    <w:rsid w:val="0077457D"/>
    <w:rsid w:val="00774D92"/>
    <w:rsid w:val="007750FF"/>
    <w:rsid w:val="00775131"/>
    <w:rsid w:val="00775521"/>
    <w:rsid w:val="007761BB"/>
    <w:rsid w:val="00776252"/>
    <w:rsid w:val="007765B6"/>
    <w:rsid w:val="00776EBB"/>
    <w:rsid w:val="00780255"/>
    <w:rsid w:val="00780C9A"/>
    <w:rsid w:val="00781D61"/>
    <w:rsid w:val="00781F2F"/>
    <w:rsid w:val="0078202E"/>
    <w:rsid w:val="00782630"/>
    <w:rsid w:val="0078298F"/>
    <w:rsid w:val="0078352E"/>
    <w:rsid w:val="007838FA"/>
    <w:rsid w:val="00783E68"/>
    <w:rsid w:val="0078462F"/>
    <w:rsid w:val="00785449"/>
    <w:rsid w:val="007857F9"/>
    <w:rsid w:val="007859AE"/>
    <w:rsid w:val="007877C3"/>
    <w:rsid w:val="007878E5"/>
    <w:rsid w:val="00787C0A"/>
    <w:rsid w:val="00790034"/>
    <w:rsid w:val="00790705"/>
    <w:rsid w:val="0079081D"/>
    <w:rsid w:val="00790A94"/>
    <w:rsid w:val="00791425"/>
    <w:rsid w:val="00791639"/>
    <w:rsid w:val="00791DD9"/>
    <w:rsid w:val="00792014"/>
    <w:rsid w:val="00792925"/>
    <w:rsid w:val="00792B0F"/>
    <w:rsid w:val="00793EB4"/>
    <w:rsid w:val="007948C4"/>
    <w:rsid w:val="00795492"/>
    <w:rsid w:val="007954BE"/>
    <w:rsid w:val="00795B6E"/>
    <w:rsid w:val="007966FB"/>
    <w:rsid w:val="007969AF"/>
    <w:rsid w:val="00796D9F"/>
    <w:rsid w:val="0079722E"/>
    <w:rsid w:val="007974AE"/>
    <w:rsid w:val="00797F52"/>
    <w:rsid w:val="007A0A36"/>
    <w:rsid w:val="007A0C57"/>
    <w:rsid w:val="007A0CA1"/>
    <w:rsid w:val="007A0D29"/>
    <w:rsid w:val="007A14CF"/>
    <w:rsid w:val="007A1EC2"/>
    <w:rsid w:val="007A2434"/>
    <w:rsid w:val="007A269E"/>
    <w:rsid w:val="007A27E6"/>
    <w:rsid w:val="007A29E3"/>
    <w:rsid w:val="007A2B0E"/>
    <w:rsid w:val="007A33A3"/>
    <w:rsid w:val="007A3840"/>
    <w:rsid w:val="007A41DA"/>
    <w:rsid w:val="007A4345"/>
    <w:rsid w:val="007A467D"/>
    <w:rsid w:val="007A48E9"/>
    <w:rsid w:val="007A4CE7"/>
    <w:rsid w:val="007A543D"/>
    <w:rsid w:val="007A5B35"/>
    <w:rsid w:val="007A5CB8"/>
    <w:rsid w:val="007A5CF3"/>
    <w:rsid w:val="007A5ED9"/>
    <w:rsid w:val="007A5FBE"/>
    <w:rsid w:val="007A6714"/>
    <w:rsid w:val="007A7000"/>
    <w:rsid w:val="007A7246"/>
    <w:rsid w:val="007A78EF"/>
    <w:rsid w:val="007A7A1C"/>
    <w:rsid w:val="007A7AE5"/>
    <w:rsid w:val="007B1BE8"/>
    <w:rsid w:val="007B1F41"/>
    <w:rsid w:val="007B2324"/>
    <w:rsid w:val="007B328D"/>
    <w:rsid w:val="007B3CC8"/>
    <w:rsid w:val="007B42C3"/>
    <w:rsid w:val="007B448C"/>
    <w:rsid w:val="007B520F"/>
    <w:rsid w:val="007B5447"/>
    <w:rsid w:val="007B614D"/>
    <w:rsid w:val="007B69FB"/>
    <w:rsid w:val="007B749A"/>
    <w:rsid w:val="007B7B19"/>
    <w:rsid w:val="007B7FBF"/>
    <w:rsid w:val="007C0E65"/>
    <w:rsid w:val="007C1A27"/>
    <w:rsid w:val="007C30B9"/>
    <w:rsid w:val="007C320E"/>
    <w:rsid w:val="007C32A6"/>
    <w:rsid w:val="007C3403"/>
    <w:rsid w:val="007C3E07"/>
    <w:rsid w:val="007C3F6E"/>
    <w:rsid w:val="007C49EB"/>
    <w:rsid w:val="007C4A8E"/>
    <w:rsid w:val="007C5D75"/>
    <w:rsid w:val="007C663B"/>
    <w:rsid w:val="007C67F0"/>
    <w:rsid w:val="007C6903"/>
    <w:rsid w:val="007C6BAF"/>
    <w:rsid w:val="007C7631"/>
    <w:rsid w:val="007C7AC3"/>
    <w:rsid w:val="007C7D1C"/>
    <w:rsid w:val="007C7DF9"/>
    <w:rsid w:val="007D0860"/>
    <w:rsid w:val="007D1986"/>
    <w:rsid w:val="007D36DE"/>
    <w:rsid w:val="007D3A48"/>
    <w:rsid w:val="007D43E7"/>
    <w:rsid w:val="007D4846"/>
    <w:rsid w:val="007D4D43"/>
    <w:rsid w:val="007D52E9"/>
    <w:rsid w:val="007D5BCA"/>
    <w:rsid w:val="007D68D1"/>
    <w:rsid w:val="007D690A"/>
    <w:rsid w:val="007D6B38"/>
    <w:rsid w:val="007D729A"/>
    <w:rsid w:val="007D7DF2"/>
    <w:rsid w:val="007E077C"/>
    <w:rsid w:val="007E09AA"/>
    <w:rsid w:val="007E0D97"/>
    <w:rsid w:val="007E125F"/>
    <w:rsid w:val="007E13D4"/>
    <w:rsid w:val="007E148B"/>
    <w:rsid w:val="007E19C4"/>
    <w:rsid w:val="007E2439"/>
    <w:rsid w:val="007E346D"/>
    <w:rsid w:val="007E3BCB"/>
    <w:rsid w:val="007E4BF0"/>
    <w:rsid w:val="007E4E77"/>
    <w:rsid w:val="007E5CC0"/>
    <w:rsid w:val="007E6608"/>
    <w:rsid w:val="007E6658"/>
    <w:rsid w:val="007E6681"/>
    <w:rsid w:val="007E72CF"/>
    <w:rsid w:val="007E75BB"/>
    <w:rsid w:val="007E77E8"/>
    <w:rsid w:val="007E7840"/>
    <w:rsid w:val="007F02AD"/>
    <w:rsid w:val="007F0529"/>
    <w:rsid w:val="007F055F"/>
    <w:rsid w:val="007F073E"/>
    <w:rsid w:val="007F0E20"/>
    <w:rsid w:val="007F177C"/>
    <w:rsid w:val="007F1DB7"/>
    <w:rsid w:val="007F2A62"/>
    <w:rsid w:val="007F2B09"/>
    <w:rsid w:val="007F30F8"/>
    <w:rsid w:val="007F3835"/>
    <w:rsid w:val="007F400B"/>
    <w:rsid w:val="007F424B"/>
    <w:rsid w:val="007F4BAE"/>
    <w:rsid w:val="007F56CB"/>
    <w:rsid w:val="007F63A1"/>
    <w:rsid w:val="007F7D8D"/>
    <w:rsid w:val="008001EE"/>
    <w:rsid w:val="0080125B"/>
    <w:rsid w:val="00801B8C"/>
    <w:rsid w:val="00801C8B"/>
    <w:rsid w:val="008023AC"/>
    <w:rsid w:val="00802492"/>
    <w:rsid w:val="008024D5"/>
    <w:rsid w:val="0080255B"/>
    <w:rsid w:val="0080303B"/>
    <w:rsid w:val="00803EA8"/>
    <w:rsid w:val="008044EA"/>
    <w:rsid w:val="00804716"/>
    <w:rsid w:val="0080495A"/>
    <w:rsid w:val="00805ADE"/>
    <w:rsid w:val="00805BA2"/>
    <w:rsid w:val="008062FF"/>
    <w:rsid w:val="008070BC"/>
    <w:rsid w:val="008070F4"/>
    <w:rsid w:val="00807185"/>
    <w:rsid w:val="00807512"/>
    <w:rsid w:val="0080760D"/>
    <w:rsid w:val="00807B33"/>
    <w:rsid w:val="00810758"/>
    <w:rsid w:val="00810C15"/>
    <w:rsid w:val="008113C9"/>
    <w:rsid w:val="00811AAF"/>
    <w:rsid w:val="00811E40"/>
    <w:rsid w:val="008129B8"/>
    <w:rsid w:val="00812E02"/>
    <w:rsid w:val="00812E29"/>
    <w:rsid w:val="00813997"/>
    <w:rsid w:val="008139DC"/>
    <w:rsid w:val="00813E5D"/>
    <w:rsid w:val="00814E59"/>
    <w:rsid w:val="00815826"/>
    <w:rsid w:val="008166F1"/>
    <w:rsid w:val="00816F98"/>
    <w:rsid w:val="0081737D"/>
    <w:rsid w:val="00817B7E"/>
    <w:rsid w:val="00817CAF"/>
    <w:rsid w:val="0082016F"/>
    <w:rsid w:val="0082071B"/>
    <w:rsid w:val="00820797"/>
    <w:rsid w:val="00820E8B"/>
    <w:rsid w:val="00820F4E"/>
    <w:rsid w:val="00822521"/>
    <w:rsid w:val="00822C2A"/>
    <w:rsid w:val="008230F4"/>
    <w:rsid w:val="008237AD"/>
    <w:rsid w:val="00823C63"/>
    <w:rsid w:val="00823C7A"/>
    <w:rsid w:val="00823E69"/>
    <w:rsid w:val="00824820"/>
    <w:rsid w:val="008258E9"/>
    <w:rsid w:val="00825E61"/>
    <w:rsid w:val="0082634E"/>
    <w:rsid w:val="008274C7"/>
    <w:rsid w:val="0082774F"/>
    <w:rsid w:val="00827DCB"/>
    <w:rsid w:val="008302B5"/>
    <w:rsid w:val="008309BA"/>
    <w:rsid w:val="008312F0"/>
    <w:rsid w:val="008314D5"/>
    <w:rsid w:val="00831F55"/>
    <w:rsid w:val="00834182"/>
    <w:rsid w:val="0083433F"/>
    <w:rsid w:val="008349E5"/>
    <w:rsid w:val="0083572D"/>
    <w:rsid w:val="00835BA8"/>
    <w:rsid w:val="00835BD7"/>
    <w:rsid w:val="00835EE7"/>
    <w:rsid w:val="00835F11"/>
    <w:rsid w:val="0083637D"/>
    <w:rsid w:val="00836425"/>
    <w:rsid w:val="00836A5E"/>
    <w:rsid w:val="00836BFA"/>
    <w:rsid w:val="00836D47"/>
    <w:rsid w:val="00836ECD"/>
    <w:rsid w:val="00836EF1"/>
    <w:rsid w:val="00836EFB"/>
    <w:rsid w:val="008377C1"/>
    <w:rsid w:val="00837C3E"/>
    <w:rsid w:val="00840313"/>
    <w:rsid w:val="00840E66"/>
    <w:rsid w:val="00841768"/>
    <w:rsid w:val="00841C9C"/>
    <w:rsid w:val="00841FD5"/>
    <w:rsid w:val="008423CE"/>
    <w:rsid w:val="00842D84"/>
    <w:rsid w:val="00843146"/>
    <w:rsid w:val="00843413"/>
    <w:rsid w:val="00843D96"/>
    <w:rsid w:val="00844FD6"/>
    <w:rsid w:val="00845350"/>
    <w:rsid w:val="008455F5"/>
    <w:rsid w:val="0084590A"/>
    <w:rsid w:val="008459D5"/>
    <w:rsid w:val="00845C13"/>
    <w:rsid w:val="00846145"/>
    <w:rsid w:val="00846A96"/>
    <w:rsid w:val="0085057B"/>
    <w:rsid w:val="00850A7E"/>
    <w:rsid w:val="008527DC"/>
    <w:rsid w:val="00852A03"/>
    <w:rsid w:val="0085394E"/>
    <w:rsid w:val="0085399B"/>
    <w:rsid w:val="00853BE0"/>
    <w:rsid w:val="00854080"/>
    <w:rsid w:val="00854183"/>
    <w:rsid w:val="0085458A"/>
    <w:rsid w:val="0085470E"/>
    <w:rsid w:val="008548D3"/>
    <w:rsid w:val="008549A2"/>
    <w:rsid w:val="00854F09"/>
    <w:rsid w:val="008550F2"/>
    <w:rsid w:val="008556CA"/>
    <w:rsid w:val="00856896"/>
    <w:rsid w:val="00856938"/>
    <w:rsid w:val="00857548"/>
    <w:rsid w:val="00857E87"/>
    <w:rsid w:val="00860020"/>
    <w:rsid w:val="008603FF"/>
    <w:rsid w:val="0086050F"/>
    <w:rsid w:val="00860554"/>
    <w:rsid w:val="00860F49"/>
    <w:rsid w:val="008620A0"/>
    <w:rsid w:val="008622F7"/>
    <w:rsid w:val="008628A0"/>
    <w:rsid w:val="00862F14"/>
    <w:rsid w:val="00863549"/>
    <w:rsid w:val="008635D1"/>
    <w:rsid w:val="00863645"/>
    <w:rsid w:val="0086378D"/>
    <w:rsid w:val="008641C9"/>
    <w:rsid w:val="00864772"/>
    <w:rsid w:val="0086512A"/>
    <w:rsid w:val="0086537B"/>
    <w:rsid w:val="00866406"/>
    <w:rsid w:val="00866A44"/>
    <w:rsid w:val="00866D33"/>
    <w:rsid w:val="00867120"/>
    <w:rsid w:val="00870C95"/>
    <w:rsid w:val="00871142"/>
    <w:rsid w:val="008711CF"/>
    <w:rsid w:val="008712A0"/>
    <w:rsid w:val="0087177E"/>
    <w:rsid w:val="00873DCB"/>
    <w:rsid w:val="00874299"/>
    <w:rsid w:val="0087458D"/>
    <w:rsid w:val="008746DF"/>
    <w:rsid w:val="0087552B"/>
    <w:rsid w:val="0087556F"/>
    <w:rsid w:val="00876A8E"/>
    <w:rsid w:val="00876B8B"/>
    <w:rsid w:val="00876FCA"/>
    <w:rsid w:val="00877929"/>
    <w:rsid w:val="0087795B"/>
    <w:rsid w:val="00880334"/>
    <w:rsid w:val="00880922"/>
    <w:rsid w:val="0088098B"/>
    <w:rsid w:val="00881906"/>
    <w:rsid w:val="00881DF4"/>
    <w:rsid w:val="00882B06"/>
    <w:rsid w:val="00882BB1"/>
    <w:rsid w:val="00882D27"/>
    <w:rsid w:val="00883791"/>
    <w:rsid w:val="00883917"/>
    <w:rsid w:val="0088396E"/>
    <w:rsid w:val="00883AAF"/>
    <w:rsid w:val="00883AC5"/>
    <w:rsid w:val="00883D6C"/>
    <w:rsid w:val="00885E82"/>
    <w:rsid w:val="0088621F"/>
    <w:rsid w:val="00886DFF"/>
    <w:rsid w:val="008873E8"/>
    <w:rsid w:val="0088777F"/>
    <w:rsid w:val="00887802"/>
    <w:rsid w:val="00887F2C"/>
    <w:rsid w:val="0089020B"/>
    <w:rsid w:val="00890272"/>
    <w:rsid w:val="0089034E"/>
    <w:rsid w:val="00890AEC"/>
    <w:rsid w:val="00892986"/>
    <w:rsid w:val="0089300A"/>
    <w:rsid w:val="008940EA"/>
    <w:rsid w:val="008945C7"/>
    <w:rsid w:val="00894FA2"/>
    <w:rsid w:val="00895176"/>
    <w:rsid w:val="008951AB"/>
    <w:rsid w:val="008952E4"/>
    <w:rsid w:val="00895FBB"/>
    <w:rsid w:val="008962C9"/>
    <w:rsid w:val="00896429"/>
    <w:rsid w:val="008964F0"/>
    <w:rsid w:val="00896954"/>
    <w:rsid w:val="008969CA"/>
    <w:rsid w:val="00896ACC"/>
    <w:rsid w:val="008979D0"/>
    <w:rsid w:val="00897D8F"/>
    <w:rsid w:val="008A0A4A"/>
    <w:rsid w:val="008A0F45"/>
    <w:rsid w:val="008A1598"/>
    <w:rsid w:val="008A197B"/>
    <w:rsid w:val="008A1BA5"/>
    <w:rsid w:val="008A261B"/>
    <w:rsid w:val="008A31FD"/>
    <w:rsid w:val="008A34A3"/>
    <w:rsid w:val="008A37FC"/>
    <w:rsid w:val="008A39AA"/>
    <w:rsid w:val="008A39F1"/>
    <w:rsid w:val="008A3B51"/>
    <w:rsid w:val="008A4083"/>
    <w:rsid w:val="008A4209"/>
    <w:rsid w:val="008A4257"/>
    <w:rsid w:val="008A4AB8"/>
    <w:rsid w:val="008A55D8"/>
    <w:rsid w:val="008A56FA"/>
    <w:rsid w:val="008A5738"/>
    <w:rsid w:val="008A62DC"/>
    <w:rsid w:val="008A6BED"/>
    <w:rsid w:val="008A6EE3"/>
    <w:rsid w:val="008A7104"/>
    <w:rsid w:val="008A7A8C"/>
    <w:rsid w:val="008B00C1"/>
    <w:rsid w:val="008B0BD1"/>
    <w:rsid w:val="008B19A8"/>
    <w:rsid w:val="008B1FF4"/>
    <w:rsid w:val="008B241B"/>
    <w:rsid w:val="008B24DC"/>
    <w:rsid w:val="008B2FC9"/>
    <w:rsid w:val="008B3424"/>
    <w:rsid w:val="008B357B"/>
    <w:rsid w:val="008B3970"/>
    <w:rsid w:val="008B4E47"/>
    <w:rsid w:val="008B50D8"/>
    <w:rsid w:val="008B6E2A"/>
    <w:rsid w:val="008B701E"/>
    <w:rsid w:val="008B7A7F"/>
    <w:rsid w:val="008B7B66"/>
    <w:rsid w:val="008B7E12"/>
    <w:rsid w:val="008C01CD"/>
    <w:rsid w:val="008C0810"/>
    <w:rsid w:val="008C0A99"/>
    <w:rsid w:val="008C0BFD"/>
    <w:rsid w:val="008C0D36"/>
    <w:rsid w:val="008C1351"/>
    <w:rsid w:val="008C17A6"/>
    <w:rsid w:val="008C1926"/>
    <w:rsid w:val="008C19C9"/>
    <w:rsid w:val="008C1BEB"/>
    <w:rsid w:val="008C21D7"/>
    <w:rsid w:val="008C24D3"/>
    <w:rsid w:val="008C28CE"/>
    <w:rsid w:val="008C2ACA"/>
    <w:rsid w:val="008C4A44"/>
    <w:rsid w:val="008C4B42"/>
    <w:rsid w:val="008C4F90"/>
    <w:rsid w:val="008C57F4"/>
    <w:rsid w:val="008C60FD"/>
    <w:rsid w:val="008C69D6"/>
    <w:rsid w:val="008C6A79"/>
    <w:rsid w:val="008C73DF"/>
    <w:rsid w:val="008C7477"/>
    <w:rsid w:val="008C78A7"/>
    <w:rsid w:val="008D096A"/>
    <w:rsid w:val="008D1A74"/>
    <w:rsid w:val="008D1B44"/>
    <w:rsid w:val="008D206C"/>
    <w:rsid w:val="008D3446"/>
    <w:rsid w:val="008D5583"/>
    <w:rsid w:val="008D56D7"/>
    <w:rsid w:val="008D57D4"/>
    <w:rsid w:val="008D5956"/>
    <w:rsid w:val="008D6728"/>
    <w:rsid w:val="008D6C74"/>
    <w:rsid w:val="008D7903"/>
    <w:rsid w:val="008D7AB5"/>
    <w:rsid w:val="008E04AF"/>
    <w:rsid w:val="008E04DB"/>
    <w:rsid w:val="008E0F4E"/>
    <w:rsid w:val="008E0F8D"/>
    <w:rsid w:val="008E1A23"/>
    <w:rsid w:val="008E2292"/>
    <w:rsid w:val="008E23C5"/>
    <w:rsid w:val="008E283C"/>
    <w:rsid w:val="008E2846"/>
    <w:rsid w:val="008E2ADD"/>
    <w:rsid w:val="008E2C2C"/>
    <w:rsid w:val="008E2F4B"/>
    <w:rsid w:val="008E30AC"/>
    <w:rsid w:val="008E35C9"/>
    <w:rsid w:val="008E3804"/>
    <w:rsid w:val="008E3B07"/>
    <w:rsid w:val="008E400C"/>
    <w:rsid w:val="008E4139"/>
    <w:rsid w:val="008E48C9"/>
    <w:rsid w:val="008E4E11"/>
    <w:rsid w:val="008E4EB6"/>
    <w:rsid w:val="008E59F4"/>
    <w:rsid w:val="008E5AD5"/>
    <w:rsid w:val="008E5ECC"/>
    <w:rsid w:val="008E655B"/>
    <w:rsid w:val="008E66A8"/>
    <w:rsid w:val="008E69B3"/>
    <w:rsid w:val="008E7247"/>
    <w:rsid w:val="008E7AC7"/>
    <w:rsid w:val="008E7BAC"/>
    <w:rsid w:val="008E7E1D"/>
    <w:rsid w:val="008F001D"/>
    <w:rsid w:val="008F13A3"/>
    <w:rsid w:val="008F17DD"/>
    <w:rsid w:val="008F323F"/>
    <w:rsid w:val="008F3400"/>
    <w:rsid w:val="008F38A8"/>
    <w:rsid w:val="008F3CF2"/>
    <w:rsid w:val="008F3DB2"/>
    <w:rsid w:val="008F43A8"/>
    <w:rsid w:val="008F46A4"/>
    <w:rsid w:val="008F472A"/>
    <w:rsid w:val="008F4ADB"/>
    <w:rsid w:val="008F53D6"/>
    <w:rsid w:val="008F56B8"/>
    <w:rsid w:val="008F5786"/>
    <w:rsid w:val="008F5F48"/>
    <w:rsid w:val="008F5F52"/>
    <w:rsid w:val="008F645C"/>
    <w:rsid w:val="008F657B"/>
    <w:rsid w:val="008F688C"/>
    <w:rsid w:val="008F6974"/>
    <w:rsid w:val="008F6AC4"/>
    <w:rsid w:val="008F7FF6"/>
    <w:rsid w:val="00900392"/>
    <w:rsid w:val="009005A5"/>
    <w:rsid w:val="00900E77"/>
    <w:rsid w:val="00901328"/>
    <w:rsid w:val="0090140F"/>
    <w:rsid w:val="00903167"/>
    <w:rsid w:val="00903A2B"/>
    <w:rsid w:val="00903CAD"/>
    <w:rsid w:val="009044B7"/>
    <w:rsid w:val="00904514"/>
    <w:rsid w:val="00904BA3"/>
    <w:rsid w:val="00905106"/>
    <w:rsid w:val="00905317"/>
    <w:rsid w:val="00906379"/>
    <w:rsid w:val="009066CF"/>
    <w:rsid w:val="009067F7"/>
    <w:rsid w:val="0090766A"/>
    <w:rsid w:val="0090766D"/>
    <w:rsid w:val="009106DF"/>
    <w:rsid w:val="00910925"/>
    <w:rsid w:val="00910A8D"/>
    <w:rsid w:val="00911B38"/>
    <w:rsid w:val="00912791"/>
    <w:rsid w:val="009128BB"/>
    <w:rsid w:val="00913307"/>
    <w:rsid w:val="00913393"/>
    <w:rsid w:val="009137A1"/>
    <w:rsid w:val="009141FA"/>
    <w:rsid w:val="009142A6"/>
    <w:rsid w:val="009149FB"/>
    <w:rsid w:val="009156F1"/>
    <w:rsid w:val="00915B63"/>
    <w:rsid w:val="00915DBB"/>
    <w:rsid w:val="0091637A"/>
    <w:rsid w:val="00917F20"/>
    <w:rsid w:val="0092067C"/>
    <w:rsid w:val="00920729"/>
    <w:rsid w:val="00920C6A"/>
    <w:rsid w:val="00920E8D"/>
    <w:rsid w:val="009211C6"/>
    <w:rsid w:val="0092132D"/>
    <w:rsid w:val="00922577"/>
    <w:rsid w:val="00923118"/>
    <w:rsid w:val="0092322D"/>
    <w:rsid w:val="00923B90"/>
    <w:rsid w:val="0092429D"/>
    <w:rsid w:val="00924342"/>
    <w:rsid w:val="009244B6"/>
    <w:rsid w:val="009244C6"/>
    <w:rsid w:val="009245D0"/>
    <w:rsid w:val="00924651"/>
    <w:rsid w:val="00925422"/>
    <w:rsid w:val="00925BDA"/>
    <w:rsid w:val="00925BE1"/>
    <w:rsid w:val="00925CAC"/>
    <w:rsid w:val="0092602F"/>
    <w:rsid w:val="00926B30"/>
    <w:rsid w:val="00926EAE"/>
    <w:rsid w:val="00927CAE"/>
    <w:rsid w:val="00927E16"/>
    <w:rsid w:val="00927E33"/>
    <w:rsid w:val="0093001D"/>
    <w:rsid w:val="009304C7"/>
    <w:rsid w:val="009304FF"/>
    <w:rsid w:val="009315F8"/>
    <w:rsid w:val="00932303"/>
    <w:rsid w:val="00932B25"/>
    <w:rsid w:val="00932EBA"/>
    <w:rsid w:val="00934A36"/>
    <w:rsid w:val="00936381"/>
    <w:rsid w:val="00936EA6"/>
    <w:rsid w:val="00937C75"/>
    <w:rsid w:val="00937EDD"/>
    <w:rsid w:val="00940312"/>
    <w:rsid w:val="009408F4"/>
    <w:rsid w:val="00940AAE"/>
    <w:rsid w:val="00940FAD"/>
    <w:rsid w:val="00941F1C"/>
    <w:rsid w:val="00942CB8"/>
    <w:rsid w:val="00943210"/>
    <w:rsid w:val="009435EB"/>
    <w:rsid w:val="00943733"/>
    <w:rsid w:val="0094392C"/>
    <w:rsid w:val="00944287"/>
    <w:rsid w:val="00945070"/>
    <w:rsid w:val="00945184"/>
    <w:rsid w:val="00945A8D"/>
    <w:rsid w:val="00946235"/>
    <w:rsid w:val="0094679F"/>
    <w:rsid w:val="00946F35"/>
    <w:rsid w:val="00950868"/>
    <w:rsid w:val="00950AB0"/>
    <w:rsid w:val="00950B7C"/>
    <w:rsid w:val="00950CF3"/>
    <w:rsid w:val="00952462"/>
    <w:rsid w:val="00952595"/>
    <w:rsid w:val="0095323B"/>
    <w:rsid w:val="0095326C"/>
    <w:rsid w:val="009537C8"/>
    <w:rsid w:val="00954BC8"/>
    <w:rsid w:val="0095560D"/>
    <w:rsid w:val="00956763"/>
    <w:rsid w:val="00957140"/>
    <w:rsid w:val="00957801"/>
    <w:rsid w:val="00957A5E"/>
    <w:rsid w:val="00960095"/>
    <w:rsid w:val="009618DF"/>
    <w:rsid w:val="00961C0C"/>
    <w:rsid w:val="00962693"/>
    <w:rsid w:val="00962A06"/>
    <w:rsid w:val="009643E0"/>
    <w:rsid w:val="00964481"/>
    <w:rsid w:val="00964598"/>
    <w:rsid w:val="00964E15"/>
    <w:rsid w:val="009655B6"/>
    <w:rsid w:val="0096688E"/>
    <w:rsid w:val="0096695B"/>
    <w:rsid w:val="009670B0"/>
    <w:rsid w:val="0096738E"/>
    <w:rsid w:val="0096744D"/>
    <w:rsid w:val="009677D8"/>
    <w:rsid w:val="00967CA6"/>
    <w:rsid w:val="00970078"/>
    <w:rsid w:val="00970D30"/>
    <w:rsid w:val="00970D52"/>
    <w:rsid w:val="00970E45"/>
    <w:rsid w:val="00971B95"/>
    <w:rsid w:val="009737C8"/>
    <w:rsid w:val="0097469A"/>
    <w:rsid w:val="00974BC1"/>
    <w:rsid w:val="00974F7D"/>
    <w:rsid w:val="00977AFB"/>
    <w:rsid w:val="00977EB0"/>
    <w:rsid w:val="0098057D"/>
    <w:rsid w:val="00982672"/>
    <w:rsid w:val="009828DE"/>
    <w:rsid w:val="00983B79"/>
    <w:rsid w:val="00983F39"/>
    <w:rsid w:val="0098425E"/>
    <w:rsid w:val="009843F4"/>
    <w:rsid w:val="00984BF7"/>
    <w:rsid w:val="00984FB0"/>
    <w:rsid w:val="00985607"/>
    <w:rsid w:val="0098569A"/>
    <w:rsid w:val="00985D1E"/>
    <w:rsid w:val="009878EE"/>
    <w:rsid w:val="0099011F"/>
    <w:rsid w:val="009901A9"/>
    <w:rsid w:val="0099065C"/>
    <w:rsid w:val="00991770"/>
    <w:rsid w:val="00991E11"/>
    <w:rsid w:val="0099237D"/>
    <w:rsid w:val="00992437"/>
    <w:rsid w:val="009935D6"/>
    <w:rsid w:val="0099367F"/>
    <w:rsid w:val="00993E23"/>
    <w:rsid w:val="009951A5"/>
    <w:rsid w:val="009952F4"/>
    <w:rsid w:val="009958FB"/>
    <w:rsid w:val="00995C35"/>
    <w:rsid w:val="00996DFF"/>
    <w:rsid w:val="009971D6"/>
    <w:rsid w:val="009973CA"/>
    <w:rsid w:val="009979DE"/>
    <w:rsid w:val="00997FBC"/>
    <w:rsid w:val="00997FD6"/>
    <w:rsid w:val="009A024A"/>
    <w:rsid w:val="009A02A1"/>
    <w:rsid w:val="009A2EE9"/>
    <w:rsid w:val="009A3371"/>
    <w:rsid w:val="009A3846"/>
    <w:rsid w:val="009A39FF"/>
    <w:rsid w:val="009A3DDD"/>
    <w:rsid w:val="009A473D"/>
    <w:rsid w:val="009A4BB2"/>
    <w:rsid w:val="009A6921"/>
    <w:rsid w:val="009A6B80"/>
    <w:rsid w:val="009A6E16"/>
    <w:rsid w:val="009A7054"/>
    <w:rsid w:val="009A77FE"/>
    <w:rsid w:val="009A7923"/>
    <w:rsid w:val="009A7F34"/>
    <w:rsid w:val="009A7FF3"/>
    <w:rsid w:val="009B07B4"/>
    <w:rsid w:val="009B0F4E"/>
    <w:rsid w:val="009B170C"/>
    <w:rsid w:val="009B195D"/>
    <w:rsid w:val="009B2139"/>
    <w:rsid w:val="009B345B"/>
    <w:rsid w:val="009B356A"/>
    <w:rsid w:val="009B3967"/>
    <w:rsid w:val="009B4663"/>
    <w:rsid w:val="009B48AA"/>
    <w:rsid w:val="009B4D80"/>
    <w:rsid w:val="009B4E91"/>
    <w:rsid w:val="009B5620"/>
    <w:rsid w:val="009B588A"/>
    <w:rsid w:val="009B5F4E"/>
    <w:rsid w:val="009B6195"/>
    <w:rsid w:val="009B65F5"/>
    <w:rsid w:val="009B7CC2"/>
    <w:rsid w:val="009B7DE4"/>
    <w:rsid w:val="009C1005"/>
    <w:rsid w:val="009C13E5"/>
    <w:rsid w:val="009C145E"/>
    <w:rsid w:val="009C14AD"/>
    <w:rsid w:val="009C1889"/>
    <w:rsid w:val="009C18AE"/>
    <w:rsid w:val="009C19DA"/>
    <w:rsid w:val="009C1D41"/>
    <w:rsid w:val="009C2E62"/>
    <w:rsid w:val="009C3C9B"/>
    <w:rsid w:val="009C3D02"/>
    <w:rsid w:val="009C5171"/>
    <w:rsid w:val="009C5C64"/>
    <w:rsid w:val="009C619A"/>
    <w:rsid w:val="009C688F"/>
    <w:rsid w:val="009C6C26"/>
    <w:rsid w:val="009C71FB"/>
    <w:rsid w:val="009C7343"/>
    <w:rsid w:val="009C7754"/>
    <w:rsid w:val="009D0383"/>
    <w:rsid w:val="009D0999"/>
    <w:rsid w:val="009D0E00"/>
    <w:rsid w:val="009D2668"/>
    <w:rsid w:val="009D2791"/>
    <w:rsid w:val="009D29F2"/>
    <w:rsid w:val="009D2A0C"/>
    <w:rsid w:val="009D3134"/>
    <w:rsid w:val="009D32BE"/>
    <w:rsid w:val="009D3324"/>
    <w:rsid w:val="009D4490"/>
    <w:rsid w:val="009D4802"/>
    <w:rsid w:val="009D5152"/>
    <w:rsid w:val="009D534D"/>
    <w:rsid w:val="009D7C1D"/>
    <w:rsid w:val="009E01E8"/>
    <w:rsid w:val="009E0662"/>
    <w:rsid w:val="009E146D"/>
    <w:rsid w:val="009E14F3"/>
    <w:rsid w:val="009E185C"/>
    <w:rsid w:val="009E188E"/>
    <w:rsid w:val="009E18F5"/>
    <w:rsid w:val="009E1B23"/>
    <w:rsid w:val="009E2E71"/>
    <w:rsid w:val="009E3993"/>
    <w:rsid w:val="009E505F"/>
    <w:rsid w:val="009E5943"/>
    <w:rsid w:val="009E693D"/>
    <w:rsid w:val="009E773F"/>
    <w:rsid w:val="009F04EE"/>
    <w:rsid w:val="009F1D74"/>
    <w:rsid w:val="009F2333"/>
    <w:rsid w:val="009F2D31"/>
    <w:rsid w:val="009F47BD"/>
    <w:rsid w:val="009F4965"/>
    <w:rsid w:val="009F5F02"/>
    <w:rsid w:val="009F5F1D"/>
    <w:rsid w:val="009F5F32"/>
    <w:rsid w:val="009F67EA"/>
    <w:rsid w:val="009F7231"/>
    <w:rsid w:val="009F7F97"/>
    <w:rsid w:val="00A00A23"/>
    <w:rsid w:val="00A00AD2"/>
    <w:rsid w:val="00A00B56"/>
    <w:rsid w:val="00A014E9"/>
    <w:rsid w:val="00A02398"/>
    <w:rsid w:val="00A02B45"/>
    <w:rsid w:val="00A033E2"/>
    <w:rsid w:val="00A04928"/>
    <w:rsid w:val="00A051FD"/>
    <w:rsid w:val="00A054C4"/>
    <w:rsid w:val="00A05B5B"/>
    <w:rsid w:val="00A06272"/>
    <w:rsid w:val="00A06986"/>
    <w:rsid w:val="00A06A86"/>
    <w:rsid w:val="00A06C75"/>
    <w:rsid w:val="00A0784E"/>
    <w:rsid w:val="00A105E6"/>
    <w:rsid w:val="00A10C36"/>
    <w:rsid w:val="00A1191B"/>
    <w:rsid w:val="00A12218"/>
    <w:rsid w:val="00A1286D"/>
    <w:rsid w:val="00A12C19"/>
    <w:rsid w:val="00A1376D"/>
    <w:rsid w:val="00A13D3D"/>
    <w:rsid w:val="00A143C8"/>
    <w:rsid w:val="00A145D2"/>
    <w:rsid w:val="00A146EF"/>
    <w:rsid w:val="00A1518C"/>
    <w:rsid w:val="00A154F9"/>
    <w:rsid w:val="00A1554C"/>
    <w:rsid w:val="00A15661"/>
    <w:rsid w:val="00A157A6"/>
    <w:rsid w:val="00A16029"/>
    <w:rsid w:val="00A16080"/>
    <w:rsid w:val="00A16512"/>
    <w:rsid w:val="00A20A5C"/>
    <w:rsid w:val="00A20F63"/>
    <w:rsid w:val="00A22351"/>
    <w:rsid w:val="00A233AB"/>
    <w:rsid w:val="00A23860"/>
    <w:rsid w:val="00A23D7E"/>
    <w:rsid w:val="00A24505"/>
    <w:rsid w:val="00A2548D"/>
    <w:rsid w:val="00A2557C"/>
    <w:rsid w:val="00A25B0C"/>
    <w:rsid w:val="00A25C70"/>
    <w:rsid w:val="00A26693"/>
    <w:rsid w:val="00A273DF"/>
    <w:rsid w:val="00A311BE"/>
    <w:rsid w:val="00A31B57"/>
    <w:rsid w:val="00A31D69"/>
    <w:rsid w:val="00A32928"/>
    <w:rsid w:val="00A333DD"/>
    <w:rsid w:val="00A33EF4"/>
    <w:rsid w:val="00A34225"/>
    <w:rsid w:val="00A344D9"/>
    <w:rsid w:val="00A344FE"/>
    <w:rsid w:val="00A345A5"/>
    <w:rsid w:val="00A35B2F"/>
    <w:rsid w:val="00A35DF3"/>
    <w:rsid w:val="00A35FA0"/>
    <w:rsid w:val="00A363C9"/>
    <w:rsid w:val="00A3652E"/>
    <w:rsid w:val="00A36EEA"/>
    <w:rsid w:val="00A377C6"/>
    <w:rsid w:val="00A41654"/>
    <w:rsid w:val="00A41B1E"/>
    <w:rsid w:val="00A4216A"/>
    <w:rsid w:val="00A4230E"/>
    <w:rsid w:val="00A426AB"/>
    <w:rsid w:val="00A4281B"/>
    <w:rsid w:val="00A42EF0"/>
    <w:rsid w:val="00A43C00"/>
    <w:rsid w:val="00A440E8"/>
    <w:rsid w:val="00A44EFD"/>
    <w:rsid w:val="00A45353"/>
    <w:rsid w:val="00A45AF3"/>
    <w:rsid w:val="00A467D5"/>
    <w:rsid w:val="00A469CE"/>
    <w:rsid w:val="00A46B98"/>
    <w:rsid w:val="00A46D21"/>
    <w:rsid w:val="00A46F16"/>
    <w:rsid w:val="00A472A6"/>
    <w:rsid w:val="00A473A8"/>
    <w:rsid w:val="00A474C0"/>
    <w:rsid w:val="00A47B9F"/>
    <w:rsid w:val="00A5069F"/>
    <w:rsid w:val="00A50896"/>
    <w:rsid w:val="00A5154E"/>
    <w:rsid w:val="00A52055"/>
    <w:rsid w:val="00A5268C"/>
    <w:rsid w:val="00A528C0"/>
    <w:rsid w:val="00A52B5B"/>
    <w:rsid w:val="00A5315D"/>
    <w:rsid w:val="00A531DA"/>
    <w:rsid w:val="00A54993"/>
    <w:rsid w:val="00A551D5"/>
    <w:rsid w:val="00A55521"/>
    <w:rsid w:val="00A560BB"/>
    <w:rsid w:val="00A56138"/>
    <w:rsid w:val="00A568CC"/>
    <w:rsid w:val="00A56A05"/>
    <w:rsid w:val="00A56A7D"/>
    <w:rsid w:val="00A56AAC"/>
    <w:rsid w:val="00A57279"/>
    <w:rsid w:val="00A57464"/>
    <w:rsid w:val="00A575FF"/>
    <w:rsid w:val="00A5765D"/>
    <w:rsid w:val="00A57F5F"/>
    <w:rsid w:val="00A6082C"/>
    <w:rsid w:val="00A6089E"/>
    <w:rsid w:val="00A60DB0"/>
    <w:rsid w:val="00A610D4"/>
    <w:rsid w:val="00A618CD"/>
    <w:rsid w:val="00A61DAE"/>
    <w:rsid w:val="00A61EEB"/>
    <w:rsid w:val="00A6243E"/>
    <w:rsid w:val="00A626A6"/>
    <w:rsid w:val="00A626E4"/>
    <w:rsid w:val="00A62C71"/>
    <w:rsid w:val="00A6382C"/>
    <w:rsid w:val="00A64685"/>
    <w:rsid w:val="00A64A90"/>
    <w:rsid w:val="00A64AAF"/>
    <w:rsid w:val="00A64C1D"/>
    <w:rsid w:val="00A64E5E"/>
    <w:rsid w:val="00A65299"/>
    <w:rsid w:val="00A6535E"/>
    <w:rsid w:val="00A66EE1"/>
    <w:rsid w:val="00A6721C"/>
    <w:rsid w:val="00A673FC"/>
    <w:rsid w:val="00A67A88"/>
    <w:rsid w:val="00A67EDD"/>
    <w:rsid w:val="00A70077"/>
    <w:rsid w:val="00A70990"/>
    <w:rsid w:val="00A709D8"/>
    <w:rsid w:val="00A70DB0"/>
    <w:rsid w:val="00A70E27"/>
    <w:rsid w:val="00A71F7E"/>
    <w:rsid w:val="00A72774"/>
    <w:rsid w:val="00A741A3"/>
    <w:rsid w:val="00A74759"/>
    <w:rsid w:val="00A74A6C"/>
    <w:rsid w:val="00A757A0"/>
    <w:rsid w:val="00A75BDA"/>
    <w:rsid w:val="00A75C00"/>
    <w:rsid w:val="00A764A8"/>
    <w:rsid w:val="00A76C8E"/>
    <w:rsid w:val="00A77311"/>
    <w:rsid w:val="00A77ADD"/>
    <w:rsid w:val="00A77C91"/>
    <w:rsid w:val="00A77E3F"/>
    <w:rsid w:val="00A8052C"/>
    <w:rsid w:val="00A80C49"/>
    <w:rsid w:val="00A80E4E"/>
    <w:rsid w:val="00A8216F"/>
    <w:rsid w:val="00A82931"/>
    <w:rsid w:val="00A82A76"/>
    <w:rsid w:val="00A82C95"/>
    <w:rsid w:val="00A84063"/>
    <w:rsid w:val="00A841FA"/>
    <w:rsid w:val="00A84BB2"/>
    <w:rsid w:val="00A85074"/>
    <w:rsid w:val="00A85ED8"/>
    <w:rsid w:val="00A860B6"/>
    <w:rsid w:val="00A8638B"/>
    <w:rsid w:val="00A8642D"/>
    <w:rsid w:val="00A87491"/>
    <w:rsid w:val="00A901B2"/>
    <w:rsid w:val="00A90C83"/>
    <w:rsid w:val="00A91120"/>
    <w:rsid w:val="00A9164C"/>
    <w:rsid w:val="00A92D9A"/>
    <w:rsid w:val="00A92FAB"/>
    <w:rsid w:val="00A9438C"/>
    <w:rsid w:val="00A943E0"/>
    <w:rsid w:val="00A94461"/>
    <w:rsid w:val="00A958D6"/>
    <w:rsid w:val="00A95F81"/>
    <w:rsid w:val="00A96EA2"/>
    <w:rsid w:val="00A97011"/>
    <w:rsid w:val="00A97B07"/>
    <w:rsid w:val="00AA031D"/>
    <w:rsid w:val="00AA03A1"/>
    <w:rsid w:val="00AA1167"/>
    <w:rsid w:val="00AA18E4"/>
    <w:rsid w:val="00AA2A0A"/>
    <w:rsid w:val="00AA2F9C"/>
    <w:rsid w:val="00AA3043"/>
    <w:rsid w:val="00AA36FB"/>
    <w:rsid w:val="00AA3807"/>
    <w:rsid w:val="00AA3FE1"/>
    <w:rsid w:val="00AA4046"/>
    <w:rsid w:val="00AA4333"/>
    <w:rsid w:val="00AA4833"/>
    <w:rsid w:val="00AA490C"/>
    <w:rsid w:val="00AA772B"/>
    <w:rsid w:val="00AA79DD"/>
    <w:rsid w:val="00AA7B33"/>
    <w:rsid w:val="00AB07E7"/>
    <w:rsid w:val="00AB0CDC"/>
    <w:rsid w:val="00AB2209"/>
    <w:rsid w:val="00AB238D"/>
    <w:rsid w:val="00AB2562"/>
    <w:rsid w:val="00AB2B6E"/>
    <w:rsid w:val="00AB39EC"/>
    <w:rsid w:val="00AB3A45"/>
    <w:rsid w:val="00AB3D74"/>
    <w:rsid w:val="00AB4A91"/>
    <w:rsid w:val="00AB4F7E"/>
    <w:rsid w:val="00AB56CE"/>
    <w:rsid w:val="00AB574F"/>
    <w:rsid w:val="00AB5AE2"/>
    <w:rsid w:val="00AB5C09"/>
    <w:rsid w:val="00AB5C4B"/>
    <w:rsid w:val="00AB5D73"/>
    <w:rsid w:val="00AB66D3"/>
    <w:rsid w:val="00AB6A4B"/>
    <w:rsid w:val="00AB78C4"/>
    <w:rsid w:val="00AB7B14"/>
    <w:rsid w:val="00AB7CBF"/>
    <w:rsid w:val="00AC0176"/>
    <w:rsid w:val="00AC0606"/>
    <w:rsid w:val="00AC0A32"/>
    <w:rsid w:val="00AC14EF"/>
    <w:rsid w:val="00AC1538"/>
    <w:rsid w:val="00AC1B70"/>
    <w:rsid w:val="00AC1BF7"/>
    <w:rsid w:val="00AC21AC"/>
    <w:rsid w:val="00AC2BAA"/>
    <w:rsid w:val="00AC39B4"/>
    <w:rsid w:val="00AC3CFD"/>
    <w:rsid w:val="00AC3EC7"/>
    <w:rsid w:val="00AC4F64"/>
    <w:rsid w:val="00AC50B0"/>
    <w:rsid w:val="00AC5A7F"/>
    <w:rsid w:val="00AC6000"/>
    <w:rsid w:val="00AC715D"/>
    <w:rsid w:val="00AD0716"/>
    <w:rsid w:val="00AD1A22"/>
    <w:rsid w:val="00AD1AA3"/>
    <w:rsid w:val="00AD3149"/>
    <w:rsid w:val="00AD365A"/>
    <w:rsid w:val="00AD4934"/>
    <w:rsid w:val="00AD4A60"/>
    <w:rsid w:val="00AD4EE2"/>
    <w:rsid w:val="00AD5297"/>
    <w:rsid w:val="00AD57EB"/>
    <w:rsid w:val="00AD5C94"/>
    <w:rsid w:val="00AD6EE6"/>
    <w:rsid w:val="00AD7402"/>
    <w:rsid w:val="00AD7F9E"/>
    <w:rsid w:val="00AE1389"/>
    <w:rsid w:val="00AE1AA3"/>
    <w:rsid w:val="00AE1D38"/>
    <w:rsid w:val="00AE1FB7"/>
    <w:rsid w:val="00AE22D0"/>
    <w:rsid w:val="00AE2599"/>
    <w:rsid w:val="00AE294E"/>
    <w:rsid w:val="00AE2BD7"/>
    <w:rsid w:val="00AE325D"/>
    <w:rsid w:val="00AE3C77"/>
    <w:rsid w:val="00AE4455"/>
    <w:rsid w:val="00AE4AE9"/>
    <w:rsid w:val="00AE5A89"/>
    <w:rsid w:val="00AE60CF"/>
    <w:rsid w:val="00AE614A"/>
    <w:rsid w:val="00AE6817"/>
    <w:rsid w:val="00AE6AE4"/>
    <w:rsid w:val="00AE6EC2"/>
    <w:rsid w:val="00AE79F3"/>
    <w:rsid w:val="00AE7F81"/>
    <w:rsid w:val="00AE7F83"/>
    <w:rsid w:val="00AF0430"/>
    <w:rsid w:val="00AF094D"/>
    <w:rsid w:val="00AF0CD0"/>
    <w:rsid w:val="00AF0E81"/>
    <w:rsid w:val="00AF1E60"/>
    <w:rsid w:val="00AF27AB"/>
    <w:rsid w:val="00AF29F3"/>
    <w:rsid w:val="00AF3406"/>
    <w:rsid w:val="00AF3428"/>
    <w:rsid w:val="00AF3806"/>
    <w:rsid w:val="00AF405C"/>
    <w:rsid w:val="00AF4B21"/>
    <w:rsid w:val="00AF5613"/>
    <w:rsid w:val="00AF56CF"/>
    <w:rsid w:val="00AF5A73"/>
    <w:rsid w:val="00AF65C1"/>
    <w:rsid w:val="00AF6CD5"/>
    <w:rsid w:val="00AF6EEA"/>
    <w:rsid w:val="00AF77BE"/>
    <w:rsid w:val="00AF7D82"/>
    <w:rsid w:val="00AF7F50"/>
    <w:rsid w:val="00AF7FB8"/>
    <w:rsid w:val="00B001B5"/>
    <w:rsid w:val="00B01331"/>
    <w:rsid w:val="00B01900"/>
    <w:rsid w:val="00B02C86"/>
    <w:rsid w:val="00B02D73"/>
    <w:rsid w:val="00B03523"/>
    <w:rsid w:val="00B03833"/>
    <w:rsid w:val="00B04AE1"/>
    <w:rsid w:val="00B05B09"/>
    <w:rsid w:val="00B05D6E"/>
    <w:rsid w:val="00B05DCB"/>
    <w:rsid w:val="00B0604B"/>
    <w:rsid w:val="00B1024F"/>
    <w:rsid w:val="00B107A8"/>
    <w:rsid w:val="00B109EE"/>
    <w:rsid w:val="00B115D5"/>
    <w:rsid w:val="00B11900"/>
    <w:rsid w:val="00B1277D"/>
    <w:rsid w:val="00B1281A"/>
    <w:rsid w:val="00B12D47"/>
    <w:rsid w:val="00B13085"/>
    <w:rsid w:val="00B13BFA"/>
    <w:rsid w:val="00B144E1"/>
    <w:rsid w:val="00B148BC"/>
    <w:rsid w:val="00B15012"/>
    <w:rsid w:val="00B16B03"/>
    <w:rsid w:val="00B21D70"/>
    <w:rsid w:val="00B21DC2"/>
    <w:rsid w:val="00B2212B"/>
    <w:rsid w:val="00B231A2"/>
    <w:rsid w:val="00B23494"/>
    <w:rsid w:val="00B239DC"/>
    <w:rsid w:val="00B242ED"/>
    <w:rsid w:val="00B25E08"/>
    <w:rsid w:val="00B265BD"/>
    <w:rsid w:val="00B266CE"/>
    <w:rsid w:val="00B26A0E"/>
    <w:rsid w:val="00B26A69"/>
    <w:rsid w:val="00B26FF2"/>
    <w:rsid w:val="00B27231"/>
    <w:rsid w:val="00B27244"/>
    <w:rsid w:val="00B31560"/>
    <w:rsid w:val="00B3243C"/>
    <w:rsid w:val="00B33046"/>
    <w:rsid w:val="00B330C9"/>
    <w:rsid w:val="00B33252"/>
    <w:rsid w:val="00B339AC"/>
    <w:rsid w:val="00B33EEA"/>
    <w:rsid w:val="00B3415F"/>
    <w:rsid w:val="00B34EEB"/>
    <w:rsid w:val="00B3518E"/>
    <w:rsid w:val="00B35496"/>
    <w:rsid w:val="00B355C5"/>
    <w:rsid w:val="00B36291"/>
    <w:rsid w:val="00B3674D"/>
    <w:rsid w:val="00B36C8E"/>
    <w:rsid w:val="00B37574"/>
    <w:rsid w:val="00B37C64"/>
    <w:rsid w:val="00B40B62"/>
    <w:rsid w:val="00B41EBD"/>
    <w:rsid w:val="00B41EE0"/>
    <w:rsid w:val="00B43E65"/>
    <w:rsid w:val="00B43FCE"/>
    <w:rsid w:val="00B4454D"/>
    <w:rsid w:val="00B446AC"/>
    <w:rsid w:val="00B44734"/>
    <w:rsid w:val="00B44C7C"/>
    <w:rsid w:val="00B45695"/>
    <w:rsid w:val="00B46153"/>
    <w:rsid w:val="00B462B0"/>
    <w:rsid w:val="00B466E7"/>
    <w:rsid w:val="00B46E88"/>
    <w:rsid w:val="00B471C5"/>
    <w:rsid w:val="00B479C8"/>
    <w:rsid w:val="00B500B0"/>
    <w:rsid w:val="00B501D7"/>
    <w:rsid w:val="00B50A23"/>
    <w:rsid w:val="00B50D11"/>
    <w:rsid w:val="00B50FD2"/>
    <w:rsid w:val="00B51F25"/>
    <w:rsid w:val="00B52572"/>
    <w:rsid w:val="00B561E5"/>
    <w:rsid w:val="00B56841"/>
    <w:rsid w:val="00B569D4"/>
    <w:rsid w:val="00B56F4C"/>
    <w:rsid w:val="00B5710F"/>
    <w:rsid w:val="00B5769B"/>
    <w:rsid w:val="00B576D4"/>
    <w:rsid w:val="00B60328"/>
    <w:rsid w:val="00B6032F"/>
    <w:rsid w:val="00B60575"/>
    <w:rsid w:val="00B61F7D"/>
    <w:rsid w:val="00B62BF0"/>
    <w:rsid w:val="00B63DDA"/>
    <w:rsid w:val="00B6423C"/>
    <w:rsid w:val="00B644BB"/>
    <w:rsid w:val="00B64BF8"/>
    <w:rsid w:val="00B64C21"/>
    <w:rsid w:val="00B65D2D"/>
    <w:rsid w:val="00B65DF7"/>
    <w:rsid w:val="00B6631E"/>
    <w:rsid w:val="00B66556"/>
    <w:rsid w:val="00B66802"/>
    <w:rsid w:val="00B67341"/>
    <w:rsid w:val="00B676B2"/>
    <w:rsid w:val="00B67FBD"/>
    <w:rsid w:val="00B7043C"/>
    <w:rsid w:val="00B70A2D"/>
    <w:rsid w:val="00B711B9"/>
    <w:rsid w:val="00B72403"/>
    <w:rsid w:val="00B730F1"/>
    <w:rsid w:val="00B7334C"/>
    <w:rsid w:val="00B736DF"/>
    <w:rsid w:val="00B73DC4"/>
    <w:rsid w:val="00B74782"/>
    <w:rsid w:val="00B7548A"/>
    <w:rsid w:val="00B75EFA"/>
    <w:rsid w:val="00B7659D"/>
    <w:rsid w:val="00B765F8"/>
    <w:rsid w:val="00B76637"/>
    <w:rsid w:val="00B77214"/>
    <w:rsid w:val="00B77C5B"/>
    <w:rsid w:val="00B803E9"/>
    <w:rsid w:val="00B82801"/>
    <w:rsid w:val="00B82E46"/>
    <w:rsid w:val="00B82ECD"/>
    <w:rsid w:val="00B82EFE"/>
    <w:rsid w:val="00B834D0"/>
    <w:rsid w:val="00B83B33"/>
    <w:rsid w:val="00B84153"/>
    <w:rsid w:val="00B848B7"/>
    <w:rsid w:val="00B84DAD"/>
    <w:rsid w:val="00B8508C"/>
    <w:rsid w:val="00B85361"/>
    <w:rsid w:val="00B85A35"/>
    <w:rsid w:val="00B85D93"/>
    <w:rsid w:val="00B85E66"/>
    <w:rsid w:val="00B86036"/>
    <w:rsid w:val="00B86231"/>
    <w:rsid w:val="00B864D9"/>
    <w:rsid w:val="00B86847"/>
    <w:rsid w:val="00B86BC5"/>
    <w:rsid w:val="00B875C8"/>
    <w:rsid w:val="00B87D77"/>
    <w:rsid w:val="00B87E00"/>
    <w:rsid w:val="00B87FD0"/>
    <w:rsid w:val="00B900ED"/>
    <w:rsid w:val="00B90B84"/>
    <w:rsid w:val="00B90BD9"/>
    <w:rsid w:val="00B90F10"/>
    <w:rsid w:val="00B90F97"/>
    <w:rsid w:val="00B91415"/>
    <w:rsid w:val="00B91B42"/>
    <w:rsid w:val="00B9227A"/>
    <w:rsid w:val="00B9233A"/>
    <w:rsid w:val="00B939F2"/>
    <w:rsid w:val="00B93A3D"/>
    <w:rsid w:val="00B93ABA"/>
    <w:rsid w:val="00B94D95"/>
    <w:rsid w:val="00B9589B"/>
    <w:rsid w:val="00B95D0C"/>
    <w:rsid w:val="00B961A7"/>
    <w:rsid w:val="00B9671E"/>
    <w:rsid w:val="00B97350"/>
    <w:rsid w:val="00B97AC6"/>
    <w:rsid w:val="00B97CF0"/>
    <w:rsid w:val="00BA0217"/>
    <w:rsid w:val="00BA06ED"/>
    <w:rsid w:val="00BA1384"/>
    <w:rsid w:val="00BA14BC"/>
    <w:rsid w:val="00BA1972"/>
    <w:rsid w:val="00BA1A82"/>
    <w:rsid w:val="00BA1C95"/>
    <w:rsid w:val="00BA1CA4"/>
    <w:rsid w:val="00BA1E1F"/>
    <w:rsid w:val="00BA2A53"/>
    <w:rsid w:val="00BA2C3A"/>
    <w:rsid w:val="00BA3C68"/>
    <w:rsid w:val="00BA3E9D"/>
    <w:rsid w:val="00BA3F99"/>
    <w:rsid w:val="00BA4256"/>
    <w:rsid w:val="00BA43C5"/>
    <w:rsid w:val="00BA5D6C"/>
    <w:rsid w:val="00BA5E16"/>
    <w:rsid w:val="00BA6281"/>
    <w:rsid w:val="00BA6283"/>
    <w:rsid w:val="00BA65C0"/>
    <w:rsid w:val="00BA66D3"/>
    <w:rsid w:val="00BA6907"/>
    <w:rsid w:val="00BA6D45"/>
    <w:rsid w:val="00BA702D"/>
    <w:rsid w:val="00BA75BC"/>
    <w:rsid w:val="00BA7619"/>
    <w:rsid w:val="00BB1178"/>
    <w:rsid w:val="00BB13FC"/>
    <w:rsid w:val="00BB14C3"/>
    <w:rsid w:val="00BB221A"/>
    <w:rsid w:val="00BB2244"/>
    <w:rsid w:val="00BB2F83"/>
    <w:rsid w:val="00BB3D66"/>
    <w:rsid w:val="00BB4880"/>
    <w:rsid w:val="00BB4928"/>
    <w:rsid w:val="00BB4E57"/>
    <w:rsid w:val="00BB4FD3"/>
    <w:rsid w:val="00BB6E61"/>
    <w:rsid w:val="00BB7785"/>
    <w:rsid w:val="00BB7DBC"/>
    <w:rsid w:val="00BC11EB"/>
    <w:rsid w:val="00BC183E"/>
    <w:rsid w:val="00BC1937"/>
    <w:rsid w:val="00BC2C71"/>
    <w:rsid w:val="00BC2DA8"/>
    <w:rsid w:val="00BC3007"/>
    <w:rsid w:val="00BC387F"/>
    <w:rsid w:val="00BC3E5F"/>
    <w:rsid w:val="00BC48D8"/>
    <w:rsid w:val="00BC4E13"/>
    <w:rsid w:val="00BC5B41"/>
    <w:rsid w:val="00BC6B15"/>
    <w:rsid w:val="00BC6D62"/>
    <w:rsid w:val="00BC6FC1"/>
    <w:rsid w:val="00BC76F5"/>
    <w:rsid w:val="00BC7DE6"/>
    <w:rsid w:val="00BD03FA"/>
    <w:rsid w:val="00BD148F"/>
    <w:rsid w:val="00BD284E"/>
    <w:rsid w:val="00BD3B61"/>
    <w:rsid w:val="00BD3C14"/>
    <w:rsid w:val="00BD3E25"/>
    <w:rsid w:val="00BD4078"/>
    <w:rsid w:val="00BD4252"/>
    <w:rsid w:val="00BD4A16"/>
    <w:rsid w:val="00BD5280"/>
    <w:rsid w:val="00BD57A9"/>
    <w:rsid w:val="00BD66C4"/>
    <w:rsid w:val="00BD6D62"/>
    <w:rsid w:val="00BD7CFD"/>
    <w:rsid w:val="00BE01BE"/>
    <w:rsid w:val="00BE0341"/>
    <w:rsid w:val="00BE1D4E"/>
    <w:rsid w:val="00BE1E74"/>
    <w:rsid w:val="00BE215C"/>
    <w:rsid w:val="00BE2273"/>
    <w:rsid w:val="00BE27EF"/>
    <w:rsid w:val="00BE27FF"/>
    <w:rsid w:val="00BE2ADA"/>
    <w:rsid w:val="00BE30FE"/>
    <w:rsid w:val="00BE3E49"/>
    <w:rsid w:val="00BE43FD"/>
    <w:rsid w:val="00BE4543"/>
    <w:rsid w:val="00BE46AE"/>
    <w:rsid w:val="00BE4CA6"/>
    <w:rsid w:val="00BE50BF"/>
    <w:rsid w:val="00BE52FE"/>
    <w:rsid w:val="00BE533F"/>
    <w:rsid w:val="00BE55C4"/>
    <w:rsid w:val="00BE6AC9"/>
    <w:rsid w:val="00BF0F8E"/>
    <w:rsid w:val="00BF1A16"/>
    <w:rsid w:val="00BF21CD"/>
    <w:rsid w:val="00BF2ABD"/>
    <w:rsid w:val="00BF2E48"/>
    <w:rsid w:val="00BF3387"/>
    <w:rsid w:val="00BF414C"/>
    <w:rsid w:val="00BF4472"/>
    <w:rsid w:val="00BF552F"/>
    <w:rsid w:val="00BF56EB"/>
    <w:rsid w:val="00BF5AFD"/>
    <w:rsid w:val="00BF5B0C"/>
    <w:rsid w:val="00BF63D9"/>
    <w:rsid w:val="00BF652B"/>
    <w:rsid w:val="00BF6A6F"/>
    <w:rsid w:val="00BF724A"/>
    <w:rsid w:val="00BF7E80"/>
    <w:rsid w:val="00C0015F"/>
    <w:rsid w:val="00C00A68"/>
    <w:rsid w:val="00C01011"/>
    <w:rsid w:val="00C01524"/>
    <w:rsid w:val="00C021D0"/>
    <w:rsid w:val="00C02365"/>
    <w:rsid w:val="00C02918"/>
    <w:rsid w:val="00C02CBF"/>
    <w:rsid w:val="00C02E27"/>
    <w:rsid w:val="00C02E31"/>
    <w:rsid w:val="00C032A2"/>
    <w:rsid w:val="00C035AF"/>
    <w:rsid w:val="00C03BC5"/>
    <w:rsid w:val="00C0440C"/>
    <w:rsid w:val="00C04489"/>
    <w:rsid w:val="00C0451F"/>
    <w:rsid w:val="00C05094"/>
    <w:rsid w:val="00C05312"/>
    <w:rsid w:val="00C05C4A"/>
    <w:rsid w:val="00C06508"/>
    <w:rsid w:val="00C0682D"/>
    <w:rsid w:val="00C0683A"/>
    <w:rsid w:val="00C0742D"/>
    <w:rsid w:val="00C077B1"/>
    <w:rsid w:val="00C07ABC"/>
    <w:rsid w:val="00C10052"/>
    <w:rsid w:val="00C10686"/>
    <w:rsid w:val="00C10891"/>
    <w:rsid w:val="00C108F1"/>
    <w:rsid w:val="00C10A1A"/>
    <w:rsid w:val="00C10F1D"/>
    <w:rsid w:val="00C11244"/>
    <w:rsid w:val="00C115CD"/>
    <w:rsid w:val="00C12490"/>
    <w:rsid w:val="00C12AD2"/>
    <w:rsid w:val="00C131C8"/>
    <w:rsid w:val="00C1332F"/>
    <w:rsid w:val="00C136C0"/>
    <w:rsid w:val="00C13CFC"/>
    <w:rsid w:val="00C144AA"/>
    <w:rsid w:val="00C145C0"/>
    <w:rsid w:val="00C1476A"/>
    <w:rsid w:val="00C14C93"/>
    <w:rsid w:val="00C15F4B"/>
    <w:rsid w:val="00C173C5"/>
    <w:rsid w:val="00C1748E"/>
    <w:rsid w:val="00C17A4B"/>
    <w:rsid w:val="00C2004B"/>
    <w:rsid w:val="00C20EDF"/>
    <w:rsid w:val="00C211DD"/>
    <w:rsid w:val="00C21776"/>
    <w:rsid w:val="00C2180F"/>
    <w:rsid w:val="00C21876"/>
    <w:rsid w:val="00C21CD5"/>
    <w:rsid w:val="00C21EB1"/>
    <w:rsid w:val="00C21F74"/>
    <w:rsid w:val="00C22646"/>
    <w:rsid w:val="00C2267C"/>
    <w:rsid w:val="00C22A89"/>
    <w:rsid w:val="00C23565"/>
    <w:rsid w:val="00C235E1"/>
    <w:rsid w:val="00C239E5"/>
    <w:rsid w:val="00C23C82"/>
    <w:rsid w:val="00C23CCF"/>
    <w:rsid w:val="00C24637"/>
    <w:rsid w:val="00C24644"/>
    <w:rsid w:val="00C24EDC"/>
    <w:rsid w:val="00C252A1"/>
    <w:rsid w:val="00C2651A"/>
    <w:rsid w:val="00C26972"/>
    <w:rsid w:val="00C2698C"/>
    <w:rsid w:val="00C26ADB"/>
    <w:rsid w:val="00C2719B"/>
    <w:rsid w:val="00C279A0"/>
    <w:rsid w:val="00C27BC2"/>
    <w:rsid w:val="00C27E36"/>
    <w:rsid w:val="00C3061B"/>
    <w:rsid w:val="00C31B4B"/>
    <w:rsid w:val="00C338C9"/>
    <w:rsid w:val="00C35086"/>
    <w:rsid w:val="00C36D49"/>
    <w:rsid w:val="00C3776B"/>
    <w:rsid w:val="00C4073B"/>
    <w:rsid w:val="00C41004"/>
    <w:rsid w:val="00C410B1"/>
    <w:rsid w:val="00C41DA6"/>
    <w:rsid w:val="00C4334E"/>
    <w:rsid w:val="00C4388A"/>
    <w:rsid w:val="00C447A9"/>
    <w:rsid w:val="00C4496F"/>
    <w:rsid w:val="00C449A1"/>
    <w:rsid w:val="00C44B01"/>
    <w:rsid w:val="00C45666"/>
    <w:rsid w:val="00C457D3"/>
    <w:rsid w:val="00C45C65"/>
    <w:rsid w:val="00C465AE"/>
    <w:rsid w:val="00C4704A"/>
    <w:rsid w:val="00C47847"/>
    <w:rsid w:val="00C500E6"/>
    <w:rsid w:val="00C50311"/>
    <w:rsid w:val="00C52C95"/>
    <w:rsid w:val="00C52EAC"/>
    <w:rsid w:val="00C542B7"/>
    <w:rsid w:val="00C5458A"/>
    <w:rsid w:val="00C54BFD"/>
    <w:rsid w:val="00C54C2E"/>
    <w:rsid w:val="00C54D52"/>
    <w:rsid w:val="00C5586B"/>
    <w:rsid w:val="00C562C0"/>
    <w:rsid w:val="00C564B8"/>
    <w:rsid w:val="00C56731"/>
    <w:rsid w:val="00C56789"/>
    <w:rsid w:val="00C5728B"/>
    <w:rsid w:val="00C57636"/>
    <w:rsid w:val="00C57E50"/>
    <w:rsid w:val="00C60379"/>
    <w:rsid w:val="00C604F4"/>
    <w:rsid w:val="00C61511"/>
    <w:rsid w:val="00C626EB"/>
    <w:rsid w:val="00C62AD4"/>
    <w:rsid w:val="00C62BD1"/>
    <w:rsid w:val="00C62D25"/>
    <w:rsid w:val="00C6437E"/>
    <w:rsid w:val="00C65D7F"/>
    <w:rsid w:val="00C662D1"/>
    <w:rsid w:val="00C662E7"/>
    <w:rsid w:val="00C66BDB"/>
    <w:rsid w:val="00C67A69"/>
    <w:rsid w:val="00C70CDB"/>
    <w:rsid w:val="00C71544"/>
    <w:rsid w:val="00C716F2"/>
    <w:rsid w:val="00C71F74"/>
    <w:rsid w:val="00C72BD7"/>
    <w:rsid w:val="00C7373C"/>
    <w:rsid w:val="00C73887"/>
    <w:rsid w:val="00C74213"/>
    <w:rsid w:val="00C74258"/>
    <w:rsid w:val="00C74501"/>
    <w:rsid w:val="00C754C8"/>
    <w:rsid w:val="00C755F3"/>
    <w:rsid w:val="00C75F64"/>
    <w:rsid w:val="00C7648E"/>
    <w:rsid w:val="00C81D18"/>
    <w:rsid w:val="00C830F4"/>
    <w:rsid w:val="00C839F3"/>
    <w:rsid w:val="00C83B8E"/>
    <w:rsid w:val="00C83BC2"/>
    <w:rsid w:val="00C83BEC"/>
    <w:rsid w:val="00C83C79"/>
    <w:rsid w:val="00C8437E"/>
    <w:rsid w:val="00C846CF"/>
    <w:rsid w:val="00C85B52"/>
    <w:rsid w:val="00C85CAE"/>
    <w:rsid w:val="00C86157"/>
    <w:rsid w:val="00C86586"/>
    <w:rsid w:val="00C875E1"/>
    <w:rsid w:val="00C8795A"/>
    <w:rsid w:val="00C87DD4"/>
    <w:rsid w:val="00C9025D"/>
    <w:rsid w:val="00C903F5"/>
    <w:rsid w:val="00C91A19"/>
    <w:rsid w:val="00C91A59"/>
    <w:rsid w:val="00C91AA9"/>
    <w:rsid w:val="00C91CCB"/>
    <w:rsid w:val="00C91F2E"/>
    <w:rsid w:val="00C92735"/>
    <w:rsid w:val="00C933BC"/>
    <w:rsid w:val="00C934E3"/>
    <w:rsid w:val="00C950B0"/>
    <w:rsid w:val="00C957D1"/>
    <w:rsid w:val="00C95AA2"/>
    <w:rsid w:val="00C95E90"/>
    <w:rsid w:val="00C961BE"/>
    <w:rsid w:val="00C9649D"/>
    <w:rsid w:val="00C96D5F"/>
    <w:rsid w:val="00C97031"/>
    <w:rsid w:val="00CA046B"/>
    <w:rsid w:val="00CA0998"/>
    <w:rsid w:val="00CA0ED6"/>
    <w:rsid w:val="00CA0F0F"/>
    <w:rsid w:val="00CA116E"/>
    <w:rsid w:val="00CA187E"/>
    <w:rsid w:val="00CA2C36"/>
    <w:rsid w:val="00CA35C1"/>
    <w:rsid w:val="00CA4428"/>
    <w:rsid w:val="00CA5252"/>
    <w:rsid w:val="00CA54C7"/>
    <w:rsid w:val="00CA579D"/>
    <w:rsid w:val="00CA5811"/>
    <w:rsid w:val="00CA5B03"/>
    <w:rsid w:val="00CA5F01"/>
    <w:rsid w:val="00CA6702"/>
    <w:rsid w:val="00CA7D70"/>
    <w:rsid w:val="00CB0499"/>
    <w:rsid w:val="00CB06DF"/>
    <w:rsid w:val="00CB19CE"/>
    <w:rsid w:val="00CB2BAB"/>
    <w:rsid w:val="00CB45C4"/>
    <w:rsid w:val="00CB4D4D"/>
    <w:rsid w:val="00CB5309"/>
    <w:rsid w:val="00CB6C9E"/>
    <w:rsid w:val="00CB6D80"/>
    <w:rsid w:val="00CB71D2"/>
    <w:rsid w:val="00CB75DD"/>
    <w:rsid w:val="00CB7B23"/>
    <w:rsid w:val="00CC00EF"/>
    <w:rsid w:val="00CC0259"/>
    <w:rsid w:val="00CC0435"/>
    <w:rsid w:val="00CC0667"/>
    <w:rsid w:val="00CC0AF8"/>
    <w:rsid w:val="00CC1F7B"/>
    <w:rsid w:val="00CC2156"/>
    <w:rsid w:val="00CC3283"/>
    <w:rsid w:val="00CC38C2"/>
    <w:rsid w:val="00CC3F6A"/>
    <w:rsid w:val="00CC494D"/>
    <w:rsid w:val="00CC5AD4"/>
    <w:rsid w:val="00CC5D00"/>
    <w:rsid w:val="00CC5DDD"/>
    <w:rsid w:val="00CC6965"/>
    <w:rsid w:val="00CC6B32"/>
    <w:rsid w:val="00CC6B3B"/>
    <w:rsid w:val="00CC6C82"/>
    <w:rsid w:val="00CC6FDE"/>
    <w:rsid w:val="00CC7BD0"/>
    <w:rsid w:val="00CC7DD3"/>
    <w:rsid w:val="00CD0103"/>
    <w:rsid w:val="00CD02A0"/>
    <w:rsid w:val="00CD06B1"/>
    <w:rsid w:val="00CD0E28"/>
    <w:rsid w:val="00CD1504"/>
    <w:rsid w:val="00CD19AD"/>
    <w:rsid w:val="00CD1E0D"/>
    <w:rsid w:val="00CD2C5C"/>
    <w:rsid w:val="00CD2FEB"/>
    <w:rsid w:val="00CD31BA"/>
    <w:rsid w:val="00CD3B3F"/>
    <w:rsid w:val="00CD4030"/>
    <w:rsid w:val="00CD4289"/>
    <w:rsid w:val="00CD4625"/>
    <w:rsid w:val="00CD4A53"/>
    <w:rsid w:val="00CD5098"/>
    <w:rsid w:val="00CD51CF"/>
    <w:rsid w:val="00CD5B69"/>
    <w:rsid w:val="00CD79D0"/>
    <w:rsid w:val="00CE0598"/>
    <w:rsid w:val="00CE08A6"/>
    <w:rsid w:val="00CE091D"/>
    <w:rsid w:val="00CE2397"/>
    <w:rsid w:val="00CE383B"/>
    <w:rsid w:val="00CE3C7C"/>
    <w:rsid w:val="00CE4364"/>
    <w:rsid w:val="00CE4715"/>
    <w:rsid w:val="00CE4D01"/>
    <w:rsid w:val="00CE6208"/>
    <w:rsid w:val="00CE62E0"/>
    <w:rsid w:val="00CE6D12"/>
    <w:rsid w:val="00CE6E59"/>
    <w:rsid w:val="00CE7184"/>
    <w:rsid w:val="00CE73EE"/>
    <w:rsid w:val="00CF081B"/>
    <w:rsid w:val="00CF1719"/>
    <w:rsid w:val="00CF1E0F"/>
    <w:rsid w:val="00CF1E56"/>
    <w:rsid w:val="00CF2EAD"/>
    <w:rsid w:val="00CF317C"/>
    <w:rsid w:val="00CF4183"/>
    <w:rsid w:val="00CF59DE"/>
    <w:rsid w:val="00CF60D9"/>
    <w:rsid w:val="00CF6D8B"/>
    <w:rsid w:val="00CF76DE"/>
    <w:rsid w:val="00CF776B"/>
    <w:rsid w:val="00CF77B0"/>
    <w:rsid w:val="00D00056"/>
    <w:rsid w:val="00D00297"/>
    <w:rsid w:val="00D00A39"/>
    <w:rsid w:val="00D00CF7"/>
    <w:rsid w:val="00D00EED"/>
    <w:rsid w:val="00D014B4"/>
    <w:rsid w:val="00D0158B"/>
    <w:rsid w:val="00D01758"/>
    <w:rsid w:val="00D01992"/>
    <w:rsid w:val="00D01D3A"/>
    <w:rsid w:val="00D01F94"/>
    <w:rsid w:val="00D02130"/>
    <w:rsid w:val="00D0281A"/>
    <w:rsid w:val="00D02F26"/>
    <w:rsid w:val="00D03449"/>
    <w:rsid w:val="00D0370E"/>
    <w:rsid w:val="00D04E95"/>
    <w:rsid w:val="00D052C6"/>
    <w:rsid w:val="00D05846"/>
    <w:rsid w:val="00D05861"/>
    <w:rsid w:val="00D06670"/>
    <w:rsid w:val="00D06E12"/>
    <w:rsid w:val="00D0720D"/>
    <w:rsid w:val="00D07234"/>
    <w:rsid w:val="00D07254"/>
    <w:rsid w:val="00D079BB"/>
    <w:rsid w:val="00D07A1F"/>
    <w:rsid w:val="00D100FF"/>
    <w:rsid w:val="00D10310"/>
    <w:rsid w:val="00D1064D"/>
    <w:rsid w:val="00D107E4"/>
    <w:rsid w:val="00D10D4A"/>
    <w:rsid w:val="00D10E80"/>
    <w:rsid w:val="00D11234"/>
    <w:rsid w:val="00D1153B"/>
    <w:rsid w:val="00D11554"/>
    <w:rsid w:val="00D11B5F"/>
    <w:rsid w:val="00D131A4"/>
    <w:rsid w:val="00D13B0F"/>
    <w:rsid w:val="00D1442F"/>
    <w:rsid w:val="00D16180"/>
    <w:rsid w:val="00D16E0E"/>
    <w:rsid w:val="00D17794"/>
    <w:rsid w:val="00D20BD4"/>
    <w:rsid w:val="00D20DDF"/>
    <w:rsid w:val="00D2109E"/>
    <w:rsid w:val="00D211DA"/>
    <w:rsid w:val="00D21D0A"/>
    <w:rsid w:val="00D221F7"/>
    <w:rsid w:val="00D226A6"/>
    <w:rsid w:val="00D2283D"/>
    <w:rsid w:val="00D22B7C"/>
    <w:rsid w:val="00D22F88"/>
    <w:rsid w:val="00D23308"/>
    <w:rsid w:val="00D236AD"/>
    <w:rsid w:val="00D24C33"/>
    <w:rsid w:val="00D24EA3"/>
    <w:rsid w:val="00D253BB"/>
    <w:rsid w:val="00D253CF"/>
    <w:rsid w:val="00D2637D"/>
    <w:rsid w:val="00D264C1"/>
    <w:rsid w:val="00D265F1"/>
    <w:rsid w:val="00D26E4D"/>
    <w:rsid w:val="00D275D3"/>
    <w:rsid w:val="00D27B89"/>
    <w:rsid w:val="00D27BF4"/>
    <w:rsid w:val="00D30CDF"/>
    <w:rsid w:val="00D320F6"/>
    <w:rsid w:val="00D32D56"/>
    <w:rsid w:val="00D3356E"/>
    <w:rsid w:val="00D33675"/>
    <w:rsid w:val="00D33763"/>
    <w:rsid w:val="00D33F68"/>
    <w:rsid w:val="00D33FE0"/>
    <w:rsid w:val="00D34525"/>
    <w:rsid w:val="00D34981"/>
    <w:rsid w:val="00D34A15"/>
    <w:rsid w:val="00D34EC6"/>
    <w:rsid w:val="00D35AD2"/>
    <w:rsid w:val="00D35BC4"/>
    <w:rsid w:val="00D36DF5"/>
    <w:rsid w:val="00D36F09"/>
    <w:rsid w:val="00D37883"/>
    <w:rsid w:val="00D40568"/>
    <w:rsid w:val="00D406DA"/>
    <w:rsid w:val="00D40BFD"/>
    <w:rsid w:val="00D40C06"/>
    <w:rsid w:val="00D40ED6"/>
    <w:rsid w:val="00D42372"/>
    <w:rsid w:val="00D43B80"/>
    <w:rsid w:val="00D44788"/>
    <w:rsid w:val="00D454A2"/>
    <w:rsid w:val="00D454D5"/>
    <w:rsid w:val="00D458EE"/>
    <w:rsid w:val="00D46C7F"/>
    <w:rsid w:val="00D4762E"/>
    <w:rsid w:val="00D5017E"/>
    <w:rsid w:val="00D50B10"/>
    <w:rsid w:val="00D51AFD"/>
    <w:rsid w:val="00D51DA9"/>
    <w:rsid w:val="00D524DA"/>
    <w:rsid w:val="00D52C95"/>
    <w:rsid w:val="00D53B24"/>
    <w:rsid w:val="00D541E9"/>
    <w:rsid w:val="00D54244"/>
    <w:rsid w:val="00D5430A"/>
    <w:rsid w:val="00D5433B"/>
    <w:rsid w:val="00D555D6"/>
    <w:rsid w:val="00D55A17"/>
    <w:rsid w:val="00D55B5B"/>
    <w:rsid w:val="00D55EC7"/>
    <w:rsid w:val="00D56AD3"/>
    <w:rsid w:val="00D56B2B"/>
    <w:rsid w:val="00D5711F"/>
    <w:rsid w:val="00D577E9"/>
    <w:rsid w:val="00D57D47"/>
    <w:rsid w:val="00D60599"/>
    <w:rsid w:val="00D6062D"/>
    <w:rsid w:val="00D60B64"/>
    <w:rsid w:val="00D612D4"/>
    <w:rsid w:val="00D61952"/>
    <w:rsid w:val="00D62344"/>
    <w:rsid w:val="00D63301"/>
    <w:rsid w:val="00D63D18"/>
    <w:rsid w:val="00D63DC7"/>
    <w:rsid w:val="00D6436E"/>
    <w:rsid w:val="00D64A4A"/>
    <w:rsid w:val="00D662B9"/>
    <w:rsid w:val="00D67BC0"/>
    <w:rsid w:val="00D702CA"/>
    <w:rsid w:val="00D7069E"/>
    <w:rsid w:val="00D70ED0"/>
    <w:rsid w:val="00D710EE"/>
    <w:rsid w:val="00D71196"/>
    <w:rsid w:val="00D7187F"/>
    <w:rsid w:val="00D71C1B"/>
    <w:rsid w:val="00D72630"/>
    <w:rsid w:val="00D728AA"/>
    <w:rsid w:val="00D7296E"/>
    <w:rsid w:val="00D73932"/>
    <w:rsid w:val="00D73A0E"/>
    <w:rsid w:val="00D73E43"/>
    <w:rsid w:val="00D74D21"/>
    <w:rsid w:val="00D74DCC"/>
    <w:rsid w:val="00D751BD"/>
    <w:rsid w:val="00D754F2"/>
    <w:rsid w:val="00D7657D"/>
    <w:rsid w:val="00D7658D"/>
    <w:rsid w:val="00D765A7"/>
    <w:rsid w:val="00D7723C"/>
    <w:rsid w:val="00D774B5"/>
    <w:rsid w:val="00D80230"/>
    <w:rsid w:val="00D80295"/>
    <w:rsid w:val="00D806C1"/>
    <w:rsid w:val="00D809EF"/>
    <w:rsid w:val="00D81172"/>
    <w:rsid w:val="00D82110"/>
    <w:rsid w:val="00D83A0C"/>
    <w:rsid w:val="00D846D7"/>
    <w:rsid w:val="00D84F8C"/>
    <w:rsid w:val="00D852C0"/>
    <w:rsid w:val="00D86280"/>
    <w:rsid w:val="00D8652D"/>
    <w:rsid w:val="00D86576"/>
    <w:rsid w:val="00D86843"/>
    <w:rsid w:val="00D904E0"/>
    <w:rsid w:val="00D9088C"/>
    <w:rsid w:val="00D90BE8"/>
    <w:rsid w:val="00D912E1"/>
    <w:rsid w:val="00D914D8"/>
    <w:rsid w:val="00D9177B"/>
    <w:rsid w:val="00D92292"/>
    <w:rsid w:val="00D9236C"/>
    <w:rsid w:val="00D93211"/>
    <w:rsid w:val="00D9399E"/>
    <w:rsid w:val="00D93BFA"/>
    <w:rsid w:val="00D93FAE"/>
    <w:rsid w:val="00D94052"/>
    <w:rsid w:val="00D940FA"/>
    <w:rsid w:val="00D944EC"/>
    <w:rsid w:val="00D945EA"/>
    <w:rsid w:val="00D94B68"/>
    <w:rsid w:val="00D94F40"/>
    <w:rsid w:val="00D95272"/>
    <w:rsid w:val="00D9533E"/>
    <w:rsid w:val="00D95F22"/>
    <w:rsid w:val="00D97FB1"/>
    <w:rsid w:val="00DA004F"/>
    <w:rsid w:val="00DA0572"/>
    <w:rsid w:val="00DA213F"/>
    <w:rsid w:val="00DA25F7"/>
    <w:rsid w:val="00DA279E"/>
    <w:rsid w:val="00DA28F0"/>
    <w:rsid w:val="00DA6132"/>
    <w:rsid w:val="00DA6395"/>
    <w:rsid w:val="00DA6D12"/>
    <w:rsid w:val="00DA7366"/>
    <w:rsid w:val="00DA7577"/>
    <w:rsid w:val="00DA7766"/>
    <w:rsid w:val="00DA7FEB"/>
    <w:rsid w:val="00DB02AC"/>
    <w:rsid w:val="00DB04DD"/>
    <w:rsid w:val="00DB08BB"/>
    <w:rsid w:val="00DB1D6D"/>
    <w:rsid w:val="00DB1F58"/>
    <w:rsid w:val="00DB2127"/>
    <w:rsid w:val="00DB212B"/>
    <w:rsid w:val="00DB2695"/>
    <w:rsid w:val="00DB2749"/>
    <w:rsid w:val="00DB2F53"/>
    <w:rsid w:val="00DB2F66"/>
    <w:rsid w:val="00DB4037"/>
    <w:rsid w:val="00DB414D"/>
    <w:rsid w:val="00DB4AE5"/>
    <w:rsid w:val="00DB6AD0"/>
    <w:rsid w:val="00DB6DF9"/>
    <w:rsid w:val="00DB73F6"/>
    <w:rsid w:val="00DB786B"/>
    <w:rsid w:val="00DC01E7"/>
    <w:rsid w:val="00DC050B"/>
    <w:rsid w:val="00DC0544"/>
    <w:rsid w:val="00DC054D"/>
    <w:rsid w:val="00DC0A7E"/>
    <w:rsid w:val="00DC0DAE"/>
    <w:rsid w:val="00DC0DBC"/>
    <w:rsid w:val="00DC14C6"/>
    <w:rsid w:val="00DC1746"/>
    <w:rsid w:val="00DC1FD8"/>
    <w:rsid w:val="00DC20CD"/>
    <w:rsid w:val="00DC22B0"/>
    <w:rsid w:val="00DC2844"/>
    <w:rsid w:val="00DC46D5"/>
    <w:rsid w:val="00DC51DF"/>
    <w:rsid w:val="00DC5380"/>
    <w:rsid w:val="00DC5491"/>
    <w:rsid w:val="00DC5C77"/>
    <w:rsid w:val="00DC61D1"/>
    <w:rsid w:val="00DC6316"/>
    <w:rsid w:val="00DD06C3"/>
    <w:rsid w:val="00DD1CC0"/>
    <w:rsid w:val="00DD23FA"/>
    <w:rsid w:val="00DD2F69"/>
    <w:rsid w:val="00DD2FA4"/>
    <w:rsid w:val="00DD301D"/>
    <w:rsid w:val="00DD3898"/>
    <w:rsid w:val="00DD42C1"/>
    <w:rsid w:val="00DD43E5"/>
    <w:rsid w:val="00DD4CB7"/>
    <w:rsid w:val="00DD4E92"/>
    <w:rsid w:val="00DD568B"/>
    <w:rsid w:val="00DD5A45"/>
    <w:rsid w:val="00DD5C61"/>
    <w:rsid w:val="00DD70F1"/>
    <w:rsid w:val="00DD71DB"/>
    <w:rsid w:val="00DD7291"/>
    <w:rsid w:val="00DD7359"/>
    <w:rsid w:val="00DD7992"/>
    <w:rsid w:val="00DE02A4"/>
    <w:rsid w:val="00DE1045"/>
    <w:rsid w:val="00DE17E4"/>
    <w:rsid w:val="00DE1B6E"/>
    <w:rsid w:val="00DE33AA"/>
    <w:rsid w:val="00DE415A"/>
    <w:rsid w:val="00DE442E"/>
    <w:rsid w:val="00DE4B77"/>
    <w:rsid w:val="00DE4E17"/>
    <w:rsid w:val="00DE545D"/>
    <w:rsid w:val="00DE5867"/>
    <w:rsid w:val="00DE5928"/>
    <w:rsid w:val="00DE5A84"/>
    <w:rsid w:val="00DE5FEE"/>
    <w:rsid w:val="00DE617E"/>
    <w:rsid w:val="00DE6C51"/>
    <w:rsid w:val="00DE7B5A"/>
    <w:rsid w:val="00DF001A"/>
    <w:rsid w:val="00DF1ED5"/>
    <w:rsid w:val="00DF2143"/>
    <w:rsid w:val="00DF2C86"/>
    <w:rsid w:val="00DF328B"/>
    <w:rsid w:val="00DF33A7"/>
    <w:rsid w:val="00DF4F8F"/>
    <w:rsid w:val="00DF5123"/>
    <w:rsid w:val="00DF5776"/>
    <w:rsid w:val="00DF5813"/>
    <w:rsid w:val="00DF5842"/>
    <w:rsid w:val="00DF5DB6"/>
    <w:rsid w:val="00DF7C8D"/>
    <w:rsid w:val="00E0060F"/>
    <w:rsid w:val="00E01400"/>
    <w:rsid w:val="00E02170"/>
    <w:rsid w:val="00E024E5"/>
    <w:rsid w:val="00E02D85"/>
    <w:rsid w:val="00E02F59"/>
    <w:rsid w:val="00E02F65"/>
    <w:rsid w:val="00E03541"/>
    <w:rsid w:val="00E03582"/>
    <w:rsid w:val="00E04A62"/>
    <w:rsid w:val="00E04B0C"/>
    <w:rsid w:val="00E05286"/>
    <w:rsid w:val="00E05C3E"/>
    <w:rsid w:val="00E05C4F"/>
    <w:rsid w:val="00E07F55"/>
    <w:rsid w:val="00E1019B"/>
    <w:rsid w:val="00E10A8F"/>
    <w:rsid w:val="00E110DE"/>
    <w:rsid w:val="00E11F90"/>
    <w:rsid w:val="00E11FDE"/>
    <w:rsid w:val="00E129E8"/>
    <w:rsid w:val="00E135A8"/>
    <w:rsid w:val="00E139D4"/>
    <w:rsid w:val="00E14066"/>
    <w:rsid w:val="00E14247"/>
    <w:rsid w:val="00E146D2"/>
    <w:rsid w:val="00E14ADA"/>
    <w:rsid w:val="00E15297"/>
    <w:rsid w:val="00E156C7"/>
    <w:rsid w:val="00E156EA"/>
    <w:rsid w:val="00E15FD0"/>
    <w:rsid w:val="00E16DEF"/>
    <w:rsid w:val="00E1724B"/>
    <w:rsid w:val="00E175E5"/>
    <w:rsid w:val="00E2018E"/>
    <w:rsid w:val="00E20DBF"/>
    <w:rsid w:val="00E20E94"/>
    <w:rsid w:val="00E21A4F"/>
    <w:rsid w:val="00E21DED"/>
    <w:rsid w:val="00E22370"/>
    <w:rsid w:val="00E224A5"/>
    <w:rsid w:val="00E227B3"/>
    <w:rsid w:val="00E22855"/>
    <w:rsid w:val="00E232A9"/>
    <w:rsid w:val="00E23672"/>
    <w:rsid w:val="00E23D9D"/>
    <w:rsid w:val="00E2426B"/>
    <w:rsid w:val="00E24399"/>
    <w:rsid w:val="00E26691"/>
    <w:rsid w:val="00E30473"/>
    <w:rsid w:val="00E30A57"/>
    <w:rsid w:val="00E31296"/>
    <w:rsid w:val="00E31991"/>
    <w:rsid w:val="00E31A5F"/>
    <w:rsid w:val="00E31DE8"/>
    <w:rsid w:val="00E31EAD"/>
    <w:rsid w:val="00E31F32"/>
    <w:rsid w:val="00E3257F"/>
    <w:rsid w:val="00E3304C"/>
    <w:rsid w:val="00E332F7"/>
    <w:rsid w:val="00E34126"/>
    <w:rsid w:val="00E351A5"/>
    <w:rsid w:val="00E35C51"/>
    <w:rsid w:val="00E36113"/>
    <w:rsid w:val="00E3645B"/>
    <w:rsid w:val="00E367DE"/>
    <w:rsid w:val="00E3687B"/>
    <w:rsid w:val="00E36C91"/>
    <w:rsid w:val="00E370A6"/>
    <w:rsid w:val="00E4096D"/>
    <w:rsid w:val="00E40A75"/>
    <w:rsid w:val="00E40E2E"/>
    <w:rsid w:val="00E41052"/>
    <w:rsid w:val="00E41997"/>
    <w:rsid w:val="00E41EFB"/>
    <w:rsid w:val="00E4230A"/>
    <w:rsid w:val="00E42EC7"/>
    <w:rsid w:val="00E42ECF"/>
    <w:rsid w:val="00E4458B"/>
    <w:rsid w:val="00E445B7"/>
    <w:rsid w:val="00E446EB"/>
    <w:rsid w:val="00E447D8"/>
    <w:rsid w:val="00E44E47"/>
    <w:rsid w:val="00E44E4F"/>
    <w:rsid w:val="00E45417"/>
    <w:rsid w:val="00E46AA4"/>
    <w:rsid w:val="00E4728E"/>
    <w:rsid w:val="00E4758F"/>
    <w:rsid w:val="00E47C1F"/>
    <w:rsid w:val="00E47D92"/>
    <w:rsid w:val="00E5026A"/>
    <w:rsid w:val="00E50337"/>
    <w:rsid w:val="00E506CE"/>
    <w:rsid w:val="00E50F21"/>
    <w:rsid w:val="00E5320A"/>
    <w:rsid w:val="00E54502"/>
    <w:rsid w:val="00E54BED"/>
    <w:rsid w:val="00E54D7E"/>
    <w:rsid w:val="00E54E0B"/>
    <w:rsid w:val="00E54EDB"/>
    <w:rsid w:val="00E5550C"/>
    <w:rsid w:val="00E5597F"/>
    <w:rsid w:val="00E561BB"/>
    <w:rsid w:val="00E57A01"/>
    <w:rsid w:val="00E57E5B"/>
    <w:rsid w:val="00E60A02"/>
    <w:rsid w:val="00E60C4B"/>
    <w:rsid w:val="00E61589"/>
    <w:rsid w:val="00E620D7"/>
    <w:rsid w:val="00E62187"/>
    <w:rsid w:val="00E62318"/>
    <w:rsid w:val="00E62FA4"/>
    <w:rsid w:val="00E6359A"/>
    <w:rsid w:val="00E63956"/>
    <w:rsid w:val="00E63D19"/>
    <w:rsid w:val="00E64465"/>
    <w:rsid w:val="00E64F67"/>
    <w:rsid w:val="00E6525A"/>
    <w:rsid w:val="00E654E1"/>
    <w:rsid w:val="00E657AC"/>
    <w:rsid w:val="00E65A64"/>
    <w:rsid w:val="00E65E3C"/>
    <w:rsid w:val="00E6666C"/>
    <w:rsid w:val="00E66ECA"/>
    <w:rsid w:val="00E6721F"/>
    <w:rsid w:val="00E67AB5"/>
    <w:rsid w:val="00E70040"/>
    <w:rsid w:val="00E7032F"/>
    <w:rsid w:val="00E70BF3"/>
    <w:rsid w:val="00E71605"/>
    <w:rsid w:val="00E718CC"/>
    <w:rsid w:val="00E728AB"/>
    <w:rsid w:val="00E72E6A"/>
    <w:rsid w:val="00E730E8"/>
    <w:rsid w:val="00E74D14"/>
    <w:rsid w:val="00E750F6"/>
    <w:rsid w:val="00E752A6"/>
    <w:rsid w:val="00E753AC"/>
    <w:rsid w:val="00E7541A"/>
    <w:rsid w:val="00E754AD"/>
    <w:rsid w:val="00E7652F"/>
    <w:rsid w:val="00E767A4"/>
    <w:rsid w:val="00E77638"/>
    <w:rsid w:val="00E7768E"/>
    <w:rsid w:val="00E779B3"/>
    <w:rsid w:val="00E77BA5"/>
    <w:rsid w:val="00E77CBA"/>
    <w:rsid w:val="00E803C2"/>
    <w:rsid w:val="00E8092A"/>
    <w:rsid w:val="00E80A56"/>
    <w:rsid w:val="00E80D82"/>
    <w:rsid w:val="00E81581"/>
    <w:rsid w:val="00E818FC"/>
    <w:rsid w:val="00E81C4F"/>
    <w:rsid w:val="00E81DDB"/>
    <w:rsid w:val="00E8231F"/>
    <w:rsid w:val="00E83C9E"/>
    <w:rsid w:val="00E8416C"/>
    <w:rsid w:val="00E851E3"/>
    <w:rsid w:val="00E8581B"/>
    <w:rsid w:val="00E85ADF"/>
    <w:rsid w:val="00E86DC7"/>
    <w:rsid w:val="00E872A9"/>
    <w:rsid w:val="00E87601"/>
    <w:rsid w:val="00E908D8"/>
    <w:rsid w:val="00E910D2"/>
    <w:rsid w:val="00E9194B"/>
    <w:rsid w:val="00E935E8"/>
    <w:rsid w:val="00E93752"/>
    <w:rsid w:val="00E93D9C"/>
    <w:rsid w:val="00E93E65"/>
    <w:rsid w:val="00E940C4"/>
    <w:rsid w:val="00E94299"/>
    <w:rsid w:val="00E946FC"/>
    <w:rsid w:val="00E9477E"/>
    <w:rsid w:val="00E95AEF"/>
    <w:rsid w:val="00E95FB7"/>
    <w:rsid w:val="00E9636F"/>
    <w:rsid w:val="00E97152"/>
    <w:rsid w:val="00E97348"/>
    <w:rsid w:val="00E975F7"/>
    <w:rsid w:val="00EA0D35"/>
    <w:rsid w:val="00EA14FB"/>
    <w:rsid w:val="00EA20C5"/>
    <w:rsid w:val="00EA20D4"/>
    <w:rsid w:val="00EA2D6B"/>
    <w:rsid w:val="00EA31BC"/>
    <w:rsid w:val="00EA32FD"/>
    <w:rsid w:val="00EA338B"/>
    <w:rsid w:val="00EA3AA8"/>
    <w:rsid w:val="00EA4B69"/>
    <w:rsid w:val="00EA5343"/>
    <w:rsid w:val="00EA5755"/>
    <w:rsid w:val="00EA7181"/>
    <w:rsid w:val="00EA7E48"/>
    <w:rsid w:val="00EB0784"/>
    <w:rsid w:val="00EB0C1A"/>
    <w:rsid w:val="00EB1074"/>
    <w:rsid w:val="00EB13CC"/>
    <w:rsid w:val="00EB1686"/>
    <w:rsid w:val="00EB1FE3"/>
    <w:rsid w:val="00EB2F13"/>
    <w:rsid w:val="00EB2F8B"/>
    <w:rsid w:val="00EB2FDF"/>
    <w:rsid w:val="00EB4E88"/>
    <w:rsid w:val="00EB56D9"/>
    <w:rsid w:val="00EB5759"/>
    <w:rsid w:val="00EB5B6A"/>
    <w:rsid w:val="00EB69AA"/>
    <w:rsid w:val="00EB7190"/>
    <w:rsid w:val="00EB7A33"/>
    <w:rsid w:val="00EB7AFF"/>
    <w:rsid w:val="00EB7D3A"/>
    <w:rsid w:val="00EC01E8"/>
    <w:rsid w:val="00EC0F1E"/>
    <w:rsid w:val="00EC1353"/>
    <w:rsid w:val="00EC1790"/>
    <w:rsid w:val="00EC1BBC"/>
    <w:rsid w:val="00EC1BFC"/>
    <w:rsid w:val="00EC21B9"/>
    <w:rsid w:val="00EC2935"/>
    <w:rsid w:val="00EC3B3D"/>
    <w:rsid w:val="00EC41B7"/>
    <w:rsid w:val="00EC48CC"/>
    <w:rsid w:val="00EC49A4"/>
    <w:rsid w:val="00EC5289"/>
    <w:rsid w:val="00EC6AFA"/>
    <w:rsid w:val="00EC7244"/>
    <w:rsid w:val="00EC7CD9"/>
    <w:rsid w:val="00EC7F44"/>
    <w:rsid w:val="00ED03B6"/>
    <w:rsid w:val="00ED0727"/>
    <w:rsid w:val="00ED1491"/>
    <w:rsid w:val="00ED1619"/>
    <w:rsid w:val="00ED18DA"/>
    <w:rsid w:val="00ED3306"/>
    <w:rsid w:val="00ED54AB"/>
    <w:rsid w:val="00ED5A04"/>
    <w:rsid w:val="00ED5C4B"/>
    <w:rsid w:val="00ED62CC"/>
    <w:rsid w:val="00ED691A"/>
    <w:rsid w:val="00ED6DA1"/>
    <w:rsid w:val="00ED7679"/>
    <w:rsid w:val="00EE059A"/>
    <w:rsid w:val="00EE0BD2"/>
    <w:rsid w:val="00EE186B"/>
    <w:rsid w:val="00EE1EC2"/>
    <w:rsid w:val="00EE2503"/>
    <w:rsid w:val="00EE2A12"/>
    <w:rsid w:val="00EE4155"/>
    <w:rsid w:val="00EE439A"/>
    <w:rsid w:val="00EE44E5"/>
    <w:rsid w:val="00EE4623"/>
    <w:rsid w:val="00EE54AB"/>
    <w:rsid w:val="00EE59B8"/>
    <w:rsid w:val="00EE59FD"/>
    <w:rsid w:val="00EE5C71"/>
    <w:rsid w:val="00EE6246"/>
    <w:rsid w:val="00EE669E"/>
    <w:rsid w:val="00EE79FB"/>
    <w:rsid w:val="00EE7FFB"/>
    <w:rsid w:val="00EF06DD"/>
    <w:rsid w:val="00EF230D"/>
    <w:rsid w:val="00EF2BF7"/>
    <w:rsid w:val="00EF2FF1"/>
    <w:rsid w:val="00EF36C4"/>
    <w:rsid w:val="00EF39FA"/>
    <w:rsid w:val="00EF3DFC"/>
    <w:rsid w:val="00EF434C"/>
    <w:rsid w:val="00EF4D57"/>
    <w:rsid w:val="00EF54D9"/>
    <w:rsid w:val="00EF57EA"/>
    <w:rsid w:val="00EF69AF"/>
    <w:rsid w:val="00EF7533"/>
    <w:rsid w:val="00EF7B49"/>
    <w:rsid w:val="00EF7BAB"/>
    <w:rsid w:val="00F005FF"/>
    <w:rsid w:val="00F00878"/>
    <w:rsid w:val="00F00A7C"/>
    <w:rsid w:val="00F018E8"/>
    <w:rsid w:val="00F0282E"/>
    <w:rsid w:val="00F02A52"/>
    <w:rsid w:val="00F02D04"/>
    <w:rsid w:val="00F02D63"/>
    <w:rsid w:val="00F02ED9"/>
    <w:rsid w:val="00F040BF"/>
    <w:rsid w:val="00F049D8"/>
    <w:rsid w:val="00F04B06"/>
    <w:rsid w:val="00F0515B"/>
    <w:rsid w:val="00F0613E"/>
    <w:rsid w:val="00F062BB"/>
    <w:rsid w:val="00F0665E"/>
    <w:rsid w:val="00F07297"/>
    <w:rsid w:val="00F073E1"/>
    <w:rsid w:val="00F073FA"/>
    <w:rsid w:val="00F115D6"/>
    <w:rsid w:val="00F12535"/>
    <w:rsid w:val="00F12C91"/>
    <w:rsid w:val="00F12DAC"/>
    <w:rsid w:val="00F12F3E"/>
    <w:rsid w:val="00F13F5E"/>
    <w:rsid w:val="00F143D6"/>
    <w:rsid w:val="00F14CFC"/>
    <w:rsid w:val="00F14E37"/>
    <w:rsid w:val="00F15941"/>
    <w:rsid w:val="00F16AEE"/>
    <w:rsid w:val="00F17254"/>
    <w:rsid w:val="00F204F6"/>
    <w:rsid w:val="00F20EF8"/>
    <w:rsid w:val="00F20F0A"/>
    <w:rsid w:val="00F216CD"/>
    <w:rsid w:val="00F21740"/>
    <w:rsid w:val="00F22EBD"/>
    <w:rsid w:val="00F232A1"/>
    <w:rsid w:val="00F235A9"/>
    <w:rsid w:val="00F23619"/>
    <w:rsid w:val="00F236FB"/>
    <w:rsid w:val="00F242D1"/>
    <w:rsid w:val="00F24715"/>
    <w:rsid w:val="00F25277"/>
    <w:rsid w:val="00F2553E"/>
    <w:rsid w:val="00F25BF8"/>
    <w:rsid w:val="00F2639C"/>
    <w:rsid w:val="00F26452"/>
    <w:rsid w:val="00F26B10"/>
    <w:rsid w:val="00F273D2"/>
    <w:rsid w:val="00F30886"/>
    <w:rsid w:val="00F30FDF"/>
    <w:rsid w:val="00F313D1"/>
    <w:rsid w:val="00F325BF"/>
    <w:rsid w:val="00F32CAD"/>
    <w:rsid w:val="00F33170"/>
    <w:rsid w:val="00F335B9"/>
    <w:rsid w:val="00F33DF0"/>
    <w:rsid w:val="00F34816"/>
    <w:rsid w:val="00F34D58"/>
    <w:rsid w:val="00F34FE0"/>
    <w:rsid w:val="00F3670B"/>
    <w:rsid w:val="00F36DEB"/>
    <w:rsid w:val="00F37A4A"/>
    <w:rsid w:val="00F37E73"/>
    <w:rsid w:val="00F40344"/>
    <w:rsid w:val="00F408FF"/>
    <w:rsid w:val="00F40C6E"/>
    <w:rsid w:val="00F41CA2"/>
    <w:rsid w:val="00F41FCA"/>
    <w:rsid w:val="00F428EB"/>
    <w:rsid w:val="00F43099"/>
    <w:rsid w:val="00F43EF0"/>
    <w:rsid w:val="00F4452A"/>
    <w:rsid w:val="00F447F7"/>
    <w:rsid w:val="00F44F53"/>
    <w:rsid w:val="00F45C29"/>
    <w:rsid w:val="00F45EFD"/>
    <w:rsid w:val="00F46536"/>
    <w:rsid w:val="00F46F62"/>
    <w:rsid w:val="00F46FA0"/>
    <w:rsid w:val="00F4786C"/>
    <w:rsid w:val="00F47B69"/>
    <w:rsid w:val="00F47FB6"/>
    <w:rsid w:val="00F5018F"/>
    <w:rsid w:val="00F5073D"/>
    <w:rsid w:val="00F509BF"/>
    <w:rsid w:val="00F50FE9"/>
    <w:rsid w:val="00F517C8"/>
    <w:rsid w:val="00F5199A"/>
    <w:rsid w:val="00F51B22"/>
    <w:rsid w:val="00F529F1"/>
    <w:rsid w:val="00F5360A"/>
    <w:rsid w:val="00F5465E"/>
    <w:rsid w:val="00F55041"/>
    <w:rsid w:val="00F55B7F"/>
    <w:rsid w:val="00F5642D"/>
    <w:rsid w:val="00F566E4"/>
    <w:rsid w:val="00F56BF1"/>
    <w:rsid w:val="00F57E0F"/>
    <w:rsid w:val="00F60108"/>
    <w:rsid w:val="00F60738"/>
    <w:rsid w:val="00F60B6C"/>
    <w:rsid w:val="00F61537"/>
    <w:rsid w:val="00F61CD0"/>
    <w:rsid w:val="00F61D04"/>
    <w:rsid w:val="00F62E4B"/>
    <w:rsid w:val="00F63424"/>
    <w:rsid w:val="00F643B5"/>
    <w:rsid w:val="00F64562"/>
    <w:rsid w:val="00F64BD5"/>
    <w:rsid w:val="00F65030"/>
    <w:rsid w:val="00F6683A"/>
    <w:rsid w:val="00F70819"/>
    <w:rsid w:val="00F717E2"/>
    <w:rsid w:val="00F71B27"/>
    <w:rsid w:val="00F726F6"/>
    <w:rsid w:val="00F7327C"/>
    <w:rsid w:val="00F732F7"/>
    <w:rsid w:val="00F7421C"/>
    <w:rsid w:val="00F74614"/>
    <w:rsid w:val="00F747FC"/>
    <w:rsid w:val="00F74DF5"/>
    <w:rsid w:val="00F7527B"/>
    <w:rsid w:val="00F75699"/>
    <w:rsid w:val="00F759D4"/>
    <w:rsid w:val="00F75E04"/>
    <w:rsid w:val="00F75E4A"/>
    <w:rsid w:val="00F7652A"/>
    <w:rsid w:val="00F76705"/>
    <w:rsid w:val="00F767BD"/>
    <w:rsid w:val="00F76F71"/>
    <w:rsid w:val="00F77174"/>
    <w:rsid w:val="00F77923"/>
    <w:rsid w:val="00F77FF9"/>
    <w:rsid w:val="00F80AA2"/>
    <w:rsid w:val="00F8118F"/>
    <w:rsid w:val="00F8166E"/>
    <w:rsid w:val="00F81BF3"/>
    <w:rsid w:val="00F82362"/>
    <w:rsid w:val="00F83BCD"/>
    <w:rsid w:val="00F850FB"/>
    <w:rsid w:val="00F85896"/>
    <w:rsid w:val="00F85E49"/>
    <w:rsid w:val="00F87395"/>
    <w:rsid w:val="00F9089B"/>
    <w:rsid w:val="00F9107D"/>
    <w:rsid w:val="00F91A8B"/>
    <w:rsid w:val="00F91B45"/>
    <w:rsid w:val="00F92A35"/>
    <w:rsid w:val="00F92C9F"/>
    <w:rsid w:val="00F92D7C"/>
    <w:rsid w:val="00F92F89"/>
    <w:rsid w:val="00F93A5B"/>
    <w:rsid w:val="00F94683"/>
    <w:rsid w:val="00F946A0"/>
    <w:rsid w:val="00F95B1A"/>
    <w:rsid w:val="00F95BC2"/>
    <w:rsid w:val="00F97B54"/>
    <w:rsid w:val="00F97CF1"/>
    <w:rsid w:val="00FA009B"/>
    <w:rsid w:val="00FA06D9"/>
    <w:rsid w:val="00FA0848"/>
    <w:rsid w:val="00FA08D6"/>
    <w:rsid w:val="00FA0F16"/>
    <w:rsid w:val="00FA2751"/>
    <w:rsid w:val="00FA297B"/>
    <w:rsid w:val="00FA29AF"/>
    <w:rsid w:val="00FA2BC4"/>
    <w:rsid w:val="00FA2C5E"/>
    <w:rsid w:val="00FA2DA4"/>
    <w:rsid w:val="00FA300D"/>
    <w:rsid w:val="00FA3936"/>
    <w:rsid w:val="00FA3A10"/>
    <w:rsid w:val="00FA3F54"/>
    <w:rsid w:val="00FA4942"/>
    <w:rsid w:val="00FA4B71"/>
    <w:rsid w:val="00FA516C"/>
    <w:rsid w:val="00FA5919"/>
    <w:rsid w:val="00FA5EEE"/>
    <w:rsid w:val="00FA6663"/>
    <w:rsid w:val="00FA67D8"/>
    <w:rsid w:val="00FA6B1C"/>
    <w:rsid w:val="00FA6F5B"/>
    <w:rsid w:val="00FB0427"/>
    <w:rsid w:val="00FB17B2"/>
    <w:rsid w:val="00FB18E1"/>
    <w:rsid w:val="00FB2943"/>
    <w:rsid w:val="00FB321A"/>
    <w:rsid w:val="00FB37A4"/>
    <w:rsid w:val="00FB4056"/>
    <w:rsid w:val="00FB5D39"/>
    <w:rsid w:val="00FB5D42"/>
    <w:rsid w:val="00FB5F6B"/>
    <w:rsid w:val="00FB614D"/>
    <w:rsid w:val="00FB6693"/>
    <w:rsid w:val="00FB68FA"/>
    <w:rsid w:val="00FB6C50"/>
    <w:rsid w:val="00FB70F9"/>
    <w:rsid w:val="00FC065E"/>
    <w:rsid w:val="00FC105B"/>
    <w:rsid w:val="00FC10CB"/>
    <w:rsid w:val="00FC15D2"/>
    <w:rsid w:val="00FC18E7"/>
    <w:rsid w:val="00FC1D88"/>
    <w:rsid w:val="00FC2014"/>
    <w:rsid w:val="00FC2350"/>
    <w:rsid w:val="00FC2B24"/>
    <w:rsid w:val="00FC2E4B"/>
    <w:rsid w:val="00FC3A71"/>
    <w:rsid w:val="00FC3B84"/>
    <w:rsid w:val="00FC4449"/>
    <w:rsid w:val="00FC4ABA"/>
    <w:rsid w:val="00FC4CDB"/>
    <w:rsid w:val="00FC51F9"/>
    <w:rsid w:val="00FC537E"/>
    <w:rsid w:val="00FC5401"/>
    <w:rsid w:val="00FC59CE"/>
    <w:rsid w:val="00FC5D93"/>
    <w:rsid w:val="00FC6150"/>
    <w:rsid w:val="00FC659B"/>
    <w:rsid w:val="00FC6889"/>
    <w:rsid w:val="00FC6B0A"/>
    <w:rsid w:val="00FC7654"/>
    <w:rsid w:val="00FD01CB"/>
    <w:rsid w:val="00FD0CB1"/>
    <w:rsid w:val="00FD0ECC"/>
    <w:rsid w:val="00FD13C4"/>
    <w:rsid w:val="00FD1E47"/>
    <w:rsid w:val="00FD2E7A"/>
    <w:rsid w:val="00FD33CB"/>
    <w:rsid w:val="00FD401B"/>
    <w:rsid w:val="00FD4623"/>
    <w:rsid w:val="00FD508A"/>
    <w:rsid w:val="00FD51DF"/>
    <w:rsid w:val="00FD5F4E"/>
    <w:rsid w:val="00FD610F"/>
    <w:rsid w:val="00FD6662"/>
    <w:rsid w:val="00FD667E"/>
    <w:rsid w:val="00FD7A50"/>
    <w:rsid w:val="00FE0A0D"/>
    <w:rsid w:val="00FE121C"/>
    <w:rsid w:val="00FE2315"/>
    <w:rsid w:val="00FE2319"/>
    <w:rsid w:val="00FE2325"/>
    <w:rsid w:val="00FE2BD8"/>
    <w:rsid w:val="00FE2C92"/>
    <w:rsid w:val="00FE374A"/>
    <w:rsid w:val="00FE3F3B"/>
    <w:rsid w:val="00FE4446"/>
    <w:rsid w:val="00FE4589"/>
    <w:rsid w:val="00FE4602"/>
    <w:rsid w:val="00FE4CCC"/>
    <w:rsid w:val="00FE5551"/>
    <w:rsid w:val="00FE5B2C"/>
    <w:rsid w:val="00FE6018"/>
    <w:rsid w:val="00FE6535"/>
    <w:rsid w:val="00FE66D1"/>
    <w:rsid w:val="00FE7498"/>
    <w:rsid w:val="00FE7670"/>
    <w:rsid w:val="00FE7CD5"/>
    <w:rsid w:val="00FE7F75"/>
    <w:rsid w:val="00FF084C"/>
    <w:rsid w:val="00FF159A"/>
    <w:rsid w:val="00FF173E"/>
    <w:rsid w:val="00FF1E27"/>
    <w:rsid w:val="00FF2318"/>
    <w:rsid w:val="00FF2A2B"/>
    <w:rsid w:val="00FF2C4E"/>
    <w:rsid w:val="00FF34CD"/>
    <w:rsid w:val="00FF3733"/>
    <w:rsid w:val="00FF3921"/>
    <w:rsid w:val="00FF4CCD"/>
    <w:rsid w:val="00FF50C0"/>
    <w:rsid w:val="00FF5117"/>
    <w:rsid w:val="00FF522C"/>
    <w:rsid w:val="00FF530A"/>
    <w:rsid w:val="00FF59D1"/>
    <w:rsid w:val="00FF5C78"/>
    <w:rsid w:val="00FF66D3"/>
    <w:rsid w:val="00FF6B14"/>
    <w:rsid w:val="00FF6FAF"/>
    <w:rsid w:val="00FF76A5"/>
    <w:rsid w:val="00FF7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B4E5E87"/>
  <w14:defaultImageDpi w14:val="96"/>
  <w15:docId w15:val="{851B96F1-3F43-47C9-8D81-2CD7D3189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annotation text" w:uiPriority="0"/>
    <w:lsdException w:name="caption" w:semiHidden="1" w:uiPriority="35" w:unhideWhenUsed="1" w:qFormat="1"/>
    <w:lsdException w:name="footnote reference"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uiPriority="0"/>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200" w:line="276" w:lineRule="auto"/>
    </w:pPr>
    <w:rPr>
      <w:sz w:val="22"/>
      <w:szCs w:val="22"/>
    </w:rPr>
  </w:style>
  <w:style w:type="paragraph" w:styleId="Heading1">
    <w:name w:val="heading 1"/>
    <w:aliases w:val="TCI 1.  Heading"/>
    <w:basedOn w:val="Normal"/>
    <w:next w:val="Normal"/>
    <w:link w:val="Heading1Char"/>
    <w:qFormat/>
    <w:rsid w:val="00395B9E"/>
    <w:pPr>
      <w:keepNext/>
      <w:keepLines/>
      <w:numPr>
        <w:numId w:val="3"/>
      </w:numPr>
      <w:spacing w:before="240" w:after="240" w:line="240" w:lineRule="auto"/>
      <w:jc w:val="center"/>
      <w:outlineLvl w:val="0"/>
    </w:pPr>
    <w:rPr>
      <w:rFonts w:ascii="Times New Roman" w:eastAsia="MS Gothic" w:hAnsi="Times New Roman"/>
      <w:b/>
      <w:bCs/>
      <w:szCs w:val="28"/>
    </w:rPr>
  </w:style>
  <w:style w:type="paragraph" w:styleId="Heading2">
    <w:name w:val="heading 2"/>
    <w:basedOn w:val="Normal"/>
    <w:next w:val="Normal"/>
    <w:link w:val="Heading2Char"/>
    <w:uiPriority w:val="9"/>
    <w:unhideWhenUsed/>
    <w:qFormat/>
    <w:rsid w:val="00866D33"/>
    <w:pPr>
      <w:keepNext/>
      <w:keepLines/>
      <w:numPr>
        <w:ilvl w:val="1"/>
        <w:numId w:val="3"/>
      </w:numPr>
      <w:spacing w:before="240" w:after="240" w:line="240" w:lineRule="auto"/>
      <w:outlineLvl w:val="1"/>
    </w:pPr>
    <w:rPr>
      <w:rFonts w:ascii="Times New Roman" w:eastAsia="MS Gothic" w:hAnsi="Times New Roman"/>
      <w:b/>
      <w:bCs/>
      <w:spacing w:val="-3"/>
      <w:szCs w:val="26"/>
    </w:rPr>
  </w:style>
  <w:style w:type="paragraph" w:styleId="Heading3">
    <w:name w:val="heading 3"/>
    <w:basedOn w:val="Normal"/>
    <w:next w:val="Normal"/>
    <w:link w:val="Heading3Char"/>
    <w:uiPriority w:val="9"/>
    <w:unhideWhenUsed/>
    <w:qFormat/>
    <w:rsid w:val="00B97AC6"/>
    <w:pPr>
      <w:keepNext/>
      <w:keepLines/>
      <w:spacing w:before="200" w:after="0"/>
      <w:jc w:val="center"/>
      <w:outlineLvl w:val="2"/>
    </w:pPr>
    <w:rPr>
      <w:rFonts w:ascii="Times New Roman" w:eastAsia="MS Gothic" w:hAnsi="Times New Roman"/>
      <w:b/>
      <w:bCs/>
      <w:noProof/>
    </w:rPr>
  </w:style>
  <w:style w:type="paragraph" w:styleId="Heading4">
    <w:name w:val="heading 4"/>
    <w:basedOn w:val="Normal"/>
    <w:next w:val="Normal"/>
    <w:link w:val="Heading4Char"/>
    <w:uiPriority w:val="9"/>
    <w:semiHidden/>
    <w:unhideWhenUsed/>
    <w:qFormat/>
    <w:rsid w:val="00D5711F"/>
    <w:pPr>
      <w:keepNext/>
      <w:keepLines/>
      <w:numPr>
        <w:ilvl w:val="3"/>
        <w:numId w:val="3"/>
      </w:numPr>
      <w:spacing w:before="200" w:after="0"/>
      <w:outlineLvl w:val="3"/>
    </w:pPr>
    <w:rPr>
      <w:rFonts w:ascii="Cambria" w:eastAsia="MS Gothic" w:hAnsi="Cambria"/>
      <w:b/>
      <w:bCs/>
      <w:i/>
      <w:iCs/>
      <w:color w:val="4F81BD"/>
    </w:rPr>
  </w:style>
  <w:style w:type="paragraph" w:styleId="Heading5">
    <w:name w:val="heading 5"/>
    <w:basedOn w:val="Normal"/>
    <w:next w:val="Normal"/>
    <w:link w:val="Heading5Char"/>
    <w:uiPriority w:val="9"/>
    <w:semiHidden/>
    <w:unhideWhenUsed/>
    <w:qFormat/>
    <w:rsid w:val="00D5711F"/>
    <w:pPr>
      <w:keepNext/>
      <w:keepLines/>
      <w:numPr>
        <w:ilvl w:val="4"/>
        <w:numId w:val="3"/>
      </w:numPr>
      <w:spacing w:before="200" w:after="0"/>
      <w:outlineLvl w:val="4"/>
    </w:pPr>
    <w:rPr>
      <w:rFonts w:ascii="Cambria" w:eastAsia="MS Gothic" w:hAnsi="Cambria"/>
      <w:color w:val="243F60"/>
    </w:rPr>
  </w:style>
  <w:style w:type="paragraph" w:styleId="Heading6">
    <w:name w:val="heading 6"/>
    <w:basedOn w:val="Normal"/>
    <w:next w:val="Normal"/>
    <w:link w:val="Heading6Char"/>
    <w:uiPriority w:val="9"/>
    <w:semiHidden/>
    <w:unhideWhenUsed/>
    <w:qFormat/>
    <w:rsid w:val="00D5711F"/>
    <w:pPr>
      <w:keepNext/>
      <w:keepLines/>
      <w:numPr>
        <w:ilvl w:val="5"/>
        <w:numId w:val="3"/>
      </w:numPr>
      <w:spacing w:before="200" w:after="0"/>
      <w:outlineLvl w:val="5"/>
    </w:pPr>
    <w:rPr>
      <w:rFonts w:ascii="Cambria" w:eastAsia="MS Gothic" w:hAnsi="Cambria"/>
      <w:i/>
      <w:iCs/>
      <w:color w:val="243F60"/>
    </w:rPr>
  </w:style>
  <w:style w:type="paragraph" w:styleId="Heading7">
    <w:name w:val="heading 7"/>
    <w:basedOn w:val="Normal"/>
    <w:next w:val="Normal"/>
    <w:link w:val="Heading7Char"/>
    <w:uiPriority w:val="9"/>
    <w:semiHidden/>
    <w:unhideWhenUsed/>
    <w:qFormat/>
    <w:rsid w:val="00D5711F"/>
    <w:pPr>
      <w:keepNext/>
      <w:keepLines/>
      <w:numPr>
        <w:ilvl w:val="6"/>
        <w:numId w:val="3"/>
      </w:numPr>
      <w:spacing w:before="200" w:after="0"/>
      <w:outlineLvl w:val="6"/>
    </w:pPr>
    <w:rPr>
      <w:rFonts w:ascii="Cambria" w:eastAsia="MS Gothic" w:hAnsi="Cambria"/>
      <w:i/>
      <w:iCs/>
      <w:color w:val="404040"/>
    </w:rPr>
  </w:style>
  <w:style w:type="paragraph" w:styleId="Heading8">
    <w:name w:val="heading 8"/>
    <w:basedOn w:val="Normal"/>
    <w:next w:val="Normal"/>
    <w:link w:val="Heading8Char"/>
    <w:uiPriority w:val="9"/>
    <w:semiHidden/>
    <w:unhideWhenUsed/>
    <w:qFormat/>
    <w:rsid w:val="00D5711F"/>
    <w:pPr>
      <w:keepNext/>
      <w:keepLines/>
      <w:numPr>
        <w:ilvl w:val="7"/>
        <w:numId w:val="3"/>
      </w:numPr>
      <w:spacing w:before="200" w:after="0"/>
      <w:outlineLvl w:val="7"/>
    </w:pPr>
    <w:rPr>
      <w:rFonts w:ascii="Cambria" w:eastAsia="MS Gothic" w:hAnsi="Cambria"/>
      <w:color w:val="404040"/>
      <w:sz w:val="20"/>
      <w:szCs w:val="20"/>
    </w:rPr>
  </w:style>
  <w:style w:type="paragraph" w:styleId="Heading9">
    <w:name w:val="heading 9"/>
    <w:basedOn w:val="Normal"/>
    <w:next w:val="Normal"/>
    <w:link w:val="Heading9Char"/>
    <w:uiPriority w:val="9"/>
    <w:semiHidden/>
    <w:unhideWhenUsed/>
    <w:qFormat/>
    <w:rsid w:val="00D5711F"/>
    <w:pPr>
      <w:keepNext/>
      <w:keepLines/>
      <w:numPr>
        <w:ilvl w:val="8"/>
        <w:numId w:val="3"/>
      </w:numPr>
      <w:spacing w:before="200" w:after="0"/>
      <w:outlineLvl w:val="8"/>
    </w:pPr>
    <w:rPr>
      <w:rFonts w:ascii="Cambria" w:eastAsia="MS Gothic"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296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5296E"/>
    <w:rPr>
      <w:rFonts w:ascii="Tahoma" w:hAnsi="Tahoma" w:cs="Tahoma"/>
      <w:sz w:val="16"/>
      <w:szCs w:val="16"/>
    </w:rPr>
  </w:style>
  <w:style w:type="table" w:styleId="TableGrid">
    <w:name w:val="Table Grid"/>
    <w:aliases w:val="Table long document,mtbs"/>
    <w:basedOn w:val="TableNormal"/>
    <w:uiPriority w:val="59"/>
    <w:rsid w:val="00A62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6243E"/>
    <w:pPr>
      <w:tabs>
        <w:tab w:val="center" w:pos="4680"/>
        <w:tab w:val="right" w:pos="9360"/>
      </w:tabs>
      <w:spacing w:after="0" w:line="240" w:lineRule="auto"/>
    </w:pPr>
    <w:rPr>
      <w:rFonts w:ascii="Times New Roman" w:hAnsi="Times New Roman"/>
    </w:rPr>
  </w:style>
  <w:style w:type="character" w:customStyle="1" w:styleId="FooterChar">
    <w:name w:val="Footer Char"/>
    <w:link w:val="Footer"/>
    <w:uiPriority w:val="99"/>
    <w:rsid w:val="00A6243E"/>
    <w:rPr>
      <w:rFonts w:ascii="Times New Roman" w:hAnsi="Times New Roman"/>
    </w:rPr>
  </w:style>
  <w:style w:type="paragraph" w:styleId="FootnoteText">
    <w:name w:val="footnote text"/>
    <w:aliases w:val="single space,f,Geneva 9,Font: Geneva 9,Boston 10,fn,Footnote Text Char1,Footnote Text Char2 Char,Footnote Text Char1 Char Char,Footnote Text Char2 Char Char Char,Footnote Text Char1 Char Char Char Char,Char,FOOTNOTES,ALTS FOOTNOTE,FN,ft,PF"/>
    <w:basedOn w:val="Normal"/>
    <w:link w:val="FootnoteTextChar"/>
    <w:uiPriority w:val="99"/>
    <w:qFormat/>
    <w:rsid w:val="00020D4D"/>
    <w:pPr>
      <w:spacing w:after="0" w:line="240" w:lineRule="auto"/>
    </w:pPr>
    <w:rPr>
      <w:rFonts w:ascii="Times New Roman" w:hAnsi="Times New Roman"/>
      <w:sz w:val="20"/>
      <w:szCs w:val="24"/>
      <w:lang w:eastAsia="ja-JP"/>
    </w:rPr>
  </w:style>
  <w:style w:type="character" w:customStyle="1" w:styleId="FootnoteTextChar">
    <w:name w:val="Footnote Text Char"/>
    <w:aliases w:val="single space Char,f Char,Geneva 9 Char,Font: Geneva 9 Char,Boston 10 Char,fn Char,Footnote Text Char1 Char,Footnote Text Char2 Char Char,Footnote Text Char1 Char Char Char,Footnote Text Char2 Char Char Char Char,Char Char,FN Char"/>
    <w:link w:val="FootnoteText"/>
    <w:uiPriority w:val="99"/>
    <w:rsid w:val="00020D4D"/>
    <w:rPr>
      <w:rFonts w:ascii="Times New Roman" w:eastAsia="MS Mincho" w:hAnsi="Times New Roman"/>
      <w:sz w:val="20"/>
      <w:szCs w:val="24"/>
      <w:lang w:eastAsia="ja-JP"/>
    </w:rPr>
  </w:style>
  <w:style w:type="character" w:styleId="FootnoteReference">
    <w:name w:val="footnote reference"/>
    <w:aliases w:val="Ref,de nota al pie,16 Point,Superscript 6 Point,Appel note de bas de page,ftref,BVI fnr,Footnote Reference Number, BVI fnr,Footnote,Char Char Char Char Car Char, Car1,Car1,Знак сноски 1,Footnote Reference Char Char Char, Char Char,FO"/>
    <w:link w:val="BVIfnrCharCharCharCharCharChar1CharCharCharCharCharChar"/>
    <w:uiPriority w:val="99"/>
    <w:qFormat/>
    <w:rsid w:val="00020D4D"/>
    <w:rPr>
      <w:vertAlign w:val="superscript"/>
    </w:rPr>
  </w:style>
  <w:style w:type="paragraph" w:customStyle="1" w:styleId="BOX">
    <w:name w:val="BOX"/>
    <w:next w:val="Normal"/>
    <w:link w:val="BOXCar"/>
    <w:qFormat/>
    <w:rsid w:val="00A70990"/>
    <w:pPr>
      <w:framePr w:hSpace="180" w:wrap="around" w:vAnchor="text" w:hAnchor="margin" w:y="160"/>
      <w:spacing w:before="240"/>
      <w:suppressOverlap/>
      <w:jc w:val="center"/>
    </w:pPr>
    <w:rPr>
      <w:rFonts w:eastAsia="Calibri" w:cs="Tahoma"/>
      <w:b/>
      <w:sz w:val="24"/>
      <w:szCs w:val="24"/>
      <w:lang w:val="en-GB"/>
    </w:rPr>
  </w:style>
  <w:style w:type="character" w:customStyle="1" w:styleId="BOXCar">
    <w:name w:val="BOX Car"/>
    <w:link w:val="BOX"/>
    <w:rsid w:val="00A70990"/>
    <w:rPr>
      <w:rFonts w:ascii="Calibri" w:eastAsia="Calibri" w:hAnsi="Calibri" w:cs="Tahoma"/>
      <w:b/>
      <w:sz w:val="24"/>
      <w:szCs w:val="24"/>
      <w:lang w:val="en-GB"/>
    </w:rPr>
  </w:style>
  <w:style w:type="paragraph" w:customStyle="1" w:styleId="numbered">
    <w:name w:val="numbered"/>
    <w:basedOn w:val="Normal"/>
    <w:link w:val="numberedChar"/>
    <w:qFormat/>
    <w:rsid w:val="00A70990"/>
    <w:pPr>
      <w:numPr>
        <w:numId w:val="2"/>
      </w:numPr>
      <w:tabs>
        <w:tab w:val="left" w:pos="450"/>
        <w:tab w:val="num" w:pos="720"/>
      </w:tabs>
      <w:autoSpaceDE w:val="0"/>
      <w:autoSpaceDN w:val="0"/>
      <w:adjustRightInd w:val="0"/>
      <w:spacing w:before="100" w:beforeAutospacing="1" w:after="240" w:line="240" w:lineRule="auto"/>
      <w:ind w:left="0" w:firstLine="0"/>
      <w:jc w:val="both"/>
    </w:pPr>
    <w:rPr>
      <w:rFonts w:ascii="Times New Roman" w:eastAsia="Calibri" w:hAnsi="Times New Roman"/>
      <w:sz w:val="24"/>
      <w:szCs w:val="24"/>
    </w:rPr>
  </w:style>
  <w:style w:type="character" w:customStyle="1" w:styleId="numberedChar">
    <w:name w:val="numbered Char"/>
    <w:link w:val="numbered"/>
    <w:rsid w:val="00A70990"/>
    <w:rPr>
      <w:rFonts w:ascii="Times New Roman" w:eastAsia="Calibri" w:hAnsi="Times New Roman"/>
      <w:sz w:val="24"/>
      <w:szCs w:val="24"/>
    </w:rPr>
  </w:style>
  <w:style w:type="paragraph" w:styleId="ListParagraph">
    <w:name w:val="List Paragraph"/>
    <w:aliases w:val="References,lp1,ReferencesCxSpLast,Numbered List Paragraph,Bullets,List Paragraph (numbered (a)),Title Style 1,Medium Grid 1 - Accent 21,List Paragraph1,List Paragraph nowy,Liste 1,Numbered Paragraph,Main numbered paragraph,List_Paragraph"/>
    <w:basedOn w:val="Normal"/>
    <w:link w:val="ListParagraphChar"/>
    <w:uiPriority w:val="42"/>
    <w:qFormat/>
    <w:rsid w:val="00E50F21"/>
    <w:pPr>
      <w:ind w:left="720"/>
      <w:contextualSpacing/>
    </w:pPr>
  </w:style>
  <w:style w:type="table" w:customStyle="1" w:styleId="TableGrid1">
    <w:name w:val="Table Grid1"/>
    <w:basedOn w:val="TableNormal"/>
    <w:next w:val="TableGrid"/>
    <w:uiPriority w:val="39"/>
    <w:rsid w:val="000A05A1"/>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ferences Char,lp1 Char,ReferencesCxSpLast Char,Numbered List Paragraph Char,Bullets Char,List Paragraph (numbered (a)) Char,Title Style 1 Char,Medium Grid 1 - Accent 21 Char,List Paragraph1 Char,List Paragraph nowy Char"/>
    <w:link w:val="ListParagraph"/>
    <w:uiPriority w:val="42"/>
    <w:qFormat/>
    <w:locked/>
    <w:rsid w:val="00493E59"/>
  </w:style>
  <w:style w:type="character" w:customStyle="1" w:styleId="Heading1Char">
    <w:name w:val="Heading 1 Char"/>
    <w:aliases w:val="TCI 1.  Heading Char"/>
    <w:link w:val="Heading1"/>
    <w:rsid w:val="00395B9E"/>
    <w:rPr>
      <w:rFonts w:ascii="Times New Roman" w:eastAsia="MS Gothic" w:hAnsi="Times New Roman"/>
      <w:b/>
      <w:bCs/>
      <w:sz w:val="22"/>
      <w:szCs w:val="28"/>
    </w:rPr>
  </w:style>
  <w:style w:type="character" w:customStyle="1" w:styleId="Heading2Char">
    <w:name w:val="Heading 2 Char"/>
    <w:link w:val="Heading2"/>
    <w:uiPriority w:val="9"/>
    <w:rsid w:val="00866D33"/>
    <w:rPr>
      <w:rFonts w:ascii="Times New Roman" w:eastAsia="MS Gothic" w:hAnsi="Times New Roman"/>
      <w:b/>
      <w:bCs/>
      <w:spacing w:val="-3"/>
      <w:sz w:val="22"/>
      <w:szCs w:val="26"/>
    </w:rPr>
  </w:style>
  <w:style w:type="character" w:customStyle="1" w:styleId="Heading3Char">
    <w:name w:val="Heading 3 Char"/>
    <w:link w:val="Heading3"/>
    <w:uiPriority w:val="9"/>
    <w:rsid w:val="00B97AC6"/>
    <w:rPr>
      <w:rFonts w:ascii="Times New Roman" w:eastAsia="MS Gothic" w:hAnsi="Times New Roman"/>
      <w:b/>
      <w:bCs/>
      <w:noProof/>
    </w:rPr>
  </w:style>
  <w:style w:type="character" w:customStyle="1" w:styleId="Heading4Char">
    <w:name w:val="Heading 4 Char"/>
    <w:link w:val="Heading4"/>
    <w:uiPriority w:val="9"/>
    <w:semiHidden/>
    <w:rsid w:val="00D5711F"/>
    <w:rPr>
      <w:rFonts w:ascii="Cambria" w:eastAsia="MS Gothic" w:hAnsi="Cambria"/>
      <w:b/>
      <w:bCs/>
      <w:i/>
      <w:iCs/>
      <w:color w:val="4F81BD"/>
      <w:sz w:val="22"/>
      <w:szCs w:val="22"/>
    </w:rPr>
  </w:style>
  <w:style w:type="character" w:customStyle="1" w:styleId="Heading5Char">
    <w:name w:val="Heading 5 Char"/>
    <w:link w:val="Heading5"/>
    <w:uiPriority w:val="9"/>
    <w:semiHidden/>
    <w:rsid w:val="00D5711F"/>
    <w:rPr>
      <w:rFonts w:ascii="Cambria" w:eastAsia="MS Gothic" w:hAnsi="Cambria"/>
      <w:color w:val="243F60"/>
      <w:sz w:val="22"/>
      <w:szCs w:val="22"/>
    </w:rPr>
  </w:style>
  <w:style w:type="character" w:customStyle="1" w:styleId="Heading6Char">
    <w:name w:val="Heading 6 Char"/>
    <w:link w:val="Heading6"/>
    <w:uiPriority w:val="9"/>
    <w:semiHidden/>
    <w:rsid w:val="00D5711F"/>
    <w:rPr>
      <w:rFonts w:ascii="Cambria" w:eastAsia="MS Gothic" w:hAnsi="Cambria"/>
      <w:i/>
      <w:iCs/>
      <w:color w:val="243F60"/>
      <w:sz w:val="22"/>
      <w:szCs w:val="22"/>
    </w:rPr>
  </w:style>
  <w:style w:type="character" w:customStyle="1" w:styleId="Heading7Char">
    <w:name w:val="Heading 7 Char"/>
    <w:link w:val="Heading7"/>
    <w:uiPriority w:val="9"/>
    <w:semiHidden/>
    <w:rsid w:val="00D5711F"/>
    <w:rPr>
      <w:rFonts w:ascii="Cambria" w:eastAsia="MS Gothic" w:hAnsi="Cambria"/>
      <w:i/>
      <w:iCs/>
      <w:color w:val="404040"/>
      <w:sz w:val="22"/>
      <w:szCs w:val="22"/>
    </w:rPr>
  </w:style>
  <w:style w:type="character" w:customStyle="1" w:styleId="Heading8Char">
    <w:name w:val="Heading 8 Char"/>
    <w:link w:val="Heading8"/>
    <w:uiPriority w:val="9"/>
    <w:semiHidden/>
    <w:rsid w:val="00D5711F"/>
    <w:rPr>
      <w:rFonts w:ascii="Cambria" w:eastAsia="MS Gothic" w:hAnsi="Cambria"/>
      <w:color w:val="404040"/>
    </w:rPr>
  </w:style>
  <w:style w:type="character" w:customStyle="1" w:styleId="Heading9Char">
    <w:name w:val="Heading 9 Char"/>
    <w:link w:val="Heading9"/>
    <w:uiPriority w:val="9"/>
    <w:semiHidden/>
    <w:rsid w:val="00D5711F"/>
    <w:rPr>
      <w:rFonts w:ascii="Cambria" w:eastAsia="MS Gothic" w:hAnsi="Cambria"/>
      <w:i/>
      <w:iCs/>
      <w:color w:val="404040"/>
    </w:rPr>
  </w:style>
  <w:style w:type="paragraph" w:styleId="Header">
    <w:name w:val="header"/>
    <w:basedOn w:val="Normal"/>
    <w:link w:val="HeaderChar"/>
    <w:uiPriority w:val="99"/>
    <w:rsid w:val="00D57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11F"/>
  </w:style>
  <w:style w:type="character" w:styleId="CommentReference">
    <w:name w:val="annotation reference"/>
    <w:uiPriority w:val="99"/>
    <w:unhideWhenUsed/>
    <w:rsid w:val="00BF4472"/>
    <w:rPr>
      <w:sz w:val="16"/>
      <w:szCs w:val="16"/>
    </w:rPr>
  </w:style>
  <w:style w:type="paragraph" w:customStyle="1" w:styleId="Heading21">
    <w:name w:val="Heading 21"/>
    <w:basedOn w:val="Heading1"/>
    <w:next w:val="Normal"/>
    <w:rsid w:val="00BF4472"/>
    <w:pPr>
      <w:keepNext w:val="0"/>
      <w:keepLines w:val="0"/>
      <w:numPr>
        <w:numId w:val="4"/>
      </w:numPr>
      <w:pBdr>
        <w:bottom w:val="single" w:sz="4" w:space="1" w:color="548DD4"/>
      </w:pBdr>
      <w:spacing w:before="200"/>
      <w:ind w:right="992"/>
    </w:pPr>
    <w:rPr>
      <w:rFonts w:ascii="Corbel" w:eastAsia="Times New Roman" w:hAnsi="Corbel" w:cs="Arial"/>
      <w:b w:val="0"/>
      <w:bCs w:val="0"/>
      <w:smallCaps/>
      <w:spacing w:val="5"/>
      <w:kern w:val="32"/>
      <w:szCs w:val="32"/>
      <w:lang w:val="fr-FR" w:bidi="en-US"/>
    </w:rPr>
  </w:style>
  <w:style w:type="character" w:styleId="SubtleEmphasis">
    <w:name w:val="Subtle Emphasis"/>
    <w:uiPriority w:val="19"/>
    <w:qFormat/>
    <w:rsid w:val="00565761"/>
    <w:rPr>
      <w:i/>
      <w:iCs/>
      <w:color w:val="404040"/>
    </w:rPr>
  </w:style>
  <w:style w:type="paragraph" w:customStyle="1" w:styleId="xmsonormal">
    <w:name w:val="x_msonormal"/>
    <w:basedOn w:val="Normal"/>
    <w:rsid w:val="003A0726"/>
    <w:pPr>
      <w:spacing w:before="100" w:beforeAutospacing="1" w:after="100" w:afterAutospacing="1" w:line="240" w:lineRule="auto"/>
    </w:pPr>
    <w:rPr>
      <w:rFonts w:ascii="Times New Roman" w:eastAsia="Times New Roman" w:hAnsi="Times New Roman"/>
      <w:sz w:val="24"/>
      <w:szCs w:val="24"/>
      <w:lang w:eastAsia="ja-JP"/>
    </w:rPr>
  </w:style>
  <w:style w:type="paragraph" w:customStyle="1" w:styleId="xmsolistparagraph">
    <w:name w:val="x_msolistparagraph"/>
    <w:basedOn w:val="Normal"/>
    <w:rsid w:val="003A0726"/>
    <w:pPr>
      <w:spacing w:before="100" w:beforeAutospacing="1" w:after="100" w:afterAutospacing="1" w:line="240" w:lineRule="auto"/>
    </w:pPr>
    <w:rPr>
      <w:rFonts w:ascii="Times New Roman" w:eastAsia="Times New Roman" w:hAnsi="Times New Roman"/>
      <w:sz w:val="24"/>
      <w:szCs w:val="24"/>
      <w:lang w:eastAsia="ja-JP"/>
    </w:rPr>
  </w:style>
  <w:style w:type="paragraph" w:styleId="Caption">
    <w:name w:val="caption"/>
    <w:aliases w:val="Caption Char2,Caption Char1 Char,Caption Char Char Char1,Caption Char Char1,Caption Char Char Char Char,CaptionBox,caption"/>
    <w:basedOn w:val="Normal"/>
    <w:next w:val="Normal"/>
    <w:link w:val="CaptionChar"/>
    <w:uiPriority w:val="35"/>
    <w:qFormat/>
    <w:rsid w:val="00DF5842"/>
    <w:pPr>
      <w:keepNext/>
      <w:spacing w:after="120" w:line="240" w:lineRule="auto"/>
    </w:pPr>
    <w:rPr>
      <w:rFonts w:ascii="Times New Roman" w:hAnsi="Times New Roman"/>
      <w:b/>
      <w:bCs/>
      <w:color w:val="365F91"/>
      <w:sz w:val="24"/>
      <w:szCs w:val="20"/>
    </w:rPr>
  </w:style>
  <w:style w:type="character" w:customStyle="1" w:styleId="CaptionChar">
    <w:name w:val="Caption Char"/>
    <w:aliases w:val="Caption Char2 Char,Caption Char1 Char Char,Caption Char Char Char1 Char,Caption Char Char1 Char,Caption Char Char Char Char Char,CaptionBox Char,caption Char"/>
    <w:link w:val="Caption"/>
    <w:uiPriority w:val="35"/>
    <w:locked/>
    <w:rsid w:val="00DF5842"/>
    <w:rPr>
      <w:rFonts w:ascii="Times New Roman" w:eastAsia="MS Mincho" w:hAnsi="Times New Roman"/>
      <w:b/>
      <w:bCs/>
      <w:color w:val="365F91"/>
      <w:sz w:val="24"/>
      <w:szCs w:val="20"/>
    </w:rPr>
  </w:style>
  <w:style w:type="paragraph" w:styleId="CommentText">
    <w:name w:val="annotation text"/>
    <w:basedOn w:val="Normal"/>
    <w:link w:val="CommentTextChar"/>
    <w:rsid w:val="00247118"/>
    <w:pPr>
      <w:spacing w:line="240" w:lineRule="auto"/>
    </w:pPr>
    <w:rPr>
      <w:sz w:val="20"/>
      <w:szCs w:val="20"/>
    </w:rPr>
  </w:style>
  <w:style w:type="character" w:customStyle="1" w:styleId="CommentTextChar">
    <w:name w:val="Comment Text Char"/>
    <w:link w:val="CommentText"/>
    <w:rsid w:val="00247118"/>
    <w:rPr>
      <w:sz w:val="20"/>
      <w:szCs w:val="20"/>
    </w:rPr>
  </w:style>
  <w:style w:type="paragraph" w:styleId="CommentSubject">
    <w:name w:val="annotation subject"/>
    <w:basedOn w:val="CommentText"/>
    <w:next w:val="CommentText"/>
    <w:link w:val="CommentSubjectChar"/>
    <w:uiPriority w:val="99"/>
    <w:rsid w:val="00247118"/>
    <w:rPr>
      <w:b/>
      <w:bCs/>
    </w:rPr>
  </w:style>
  <w:style w:type="character" w:customStyle="1" w:styleId="CommentSubjectChar">
    <w:name w:val="Comment Subject Char"/>
    <w:link w:val="CommentSubject"/>
    <w:uiPriority w:val="99"/>
    <w:rsid w:val="00247118"/>
    <w:rPr>
      <w:b/>
      <w:bCs/>
      <w:sz w:val="20"/>
      <w:szCs w:val="20"/>
    </w:rPr>
  </w:style>
  <w:style w:type="paragraph" w:styleId="Revision">
    <w:name w:val="Revision"/>
    <w:hidden/>
    <w:uiPriority w:val="99"/>
    <w:semiHidden/>
    <w:rsid w:val="00270A9B"/>
    <w:rPr>
      <w:sz w:val="22"/>
      <w:szCs w:val="22"/>
    </w:rPr>
  </w:style>
  <w:style w:type="character" w:styleId="Hyperlink">
    <w:name w:val="Hyperlink"/>
    <w:uiPriority w:val="99"/>
    <w:unhideWhenUsed/>
    <w:rsid w:val="005C1951"/>
    <w:rPr>
      <w:strike w:val="0"/>
      <w:dstrike w:val="0"/>
      <w:color w:val="333333"/>
      <w:u w:val="single"/>
      <w:effect w:val="none"/>
    </w:rPr>
  </w:style>
  <w:style w:type="character" w:styleId="Emphasis">
    <w:name w:val="Emphasis"/>
    <w:uiPriority w:val="20"/>
    <w:qFormat/>
    <w:rsid w:val="005C1951"/>
    <w:rPr>
      <w:i/>
      <w:iCs/>
    </w:rPr>
  </w:style>
  <w:style w:type="paragraph" w:styleId="TOC1">
    <w:name w:val="toc 1"/>
    <w:basedOn w:val="Normal"/>
    <w:next w:val="Normal"/>
    <w:autoRedefine/>
    <w:uiPriority w:val="39"/>
    <w:unhideWhenUsed/>
    <w:rsid w:val="005D468F"/>
    <w:pPr>
      <w:tabs>
        <w:tab w:val="left" w:pos="440"/>
        <w:tab w:val="right" w:leader="dot" w:pos="9350"/>
      </w:tabs>
      <w:spacing w:after="120" w:line="240" w:lineRule="auto"/>
    </w:pPr>
    <w:rPr>
      <w:rFonts w:ascii="Times New Roman" w:hAnsi="Times New Roman"/>
      <w:b/>
      <w:noProof/>
    </w:rPr>
  </w:style>
  <w:style w:type="paragraph" w:styleId="TOC2">
    <w:name w:val="toc 2"/>
    <w:basedOn w:val="Normal"/>
    <w:next w:val="Normal"/>
    <w:autoRedefine/>
    <w:uiPriority w:val="39"/>
    <w:unhideWhenUsed/>
    <w:rsid w:val="00477E48"/>
    <w:pPr>
      <w:tabs>
        <w:tab w:val="left" w:pos="880"/>
        <w:tab w:val="right" w:leader="dot" w:pos="9350"/>
      </w:tabs>
      <w:spacing w:after="100"/>
      <w:ind w:left="220"/>
    </w:pPr>
  </w:style>
  <w:style w:type="paragraph" w:styleId="TOC3">
    <w:name w:val="toc 3"/>
    <w:basedOn w:val="Normal"/>
    <w:next w:val="Normal"/>
    <w:autoRedefine/>
    <w:uiPriority w:val="39"/>
    <w:unhideWhenUsed/>
    <w:rsid w:val="005D468F"/>
    <w:pPr>
      <w:tabs>
        <w:tab w:val="right" w:leader="dot" w:pos="9350"/>
      </w:tabs>
      <w:spacing w:after="100"/>
    </w:pPr>
    <w:rPr>
      <w:rFonts w:ascii="Times New Roman" w:hAnsi="Times New Roman"/>
      <w:noProof/>
    </w:rPr>
  </w:style>
  <w:style w:type="paragraph" w:styleId="TableofFigures">
    <w:name w:val="table of figures"/>
    <w:basedOn w:val="Normal"/>
    <w:next w:val="Normal"/>
    <w:uiPriority w:val="99"/>
    <w:rsid w:val="00DF5842"/>
    <w:pPr>
      <w:spacing w:after="0"/>
    </w:pPr>
  </w:style>
  <w:style w:type="paragraph" w:styleId="NoSpacing">
    <w:name w:val="No Spacing"/>
    <w:uiPriority w:val="1"/>
    <w:qFormat/>
    <w:rsid w:val="00AE22D0"/>
    <w:rPr>
      <w:rFonts w:eastAsia="Calibri"/>
      <w:sz w:val="22"/>
      <w:szCs w:val="22"/>
      <w:lang w:val="fr-FR"/>
    </w:rPr>
  </w:style>
  <w:style w:type="paragraph" w:customStyle="1" w:styleId="Heading1a">
    <w:name w:val="Heading 1a"/>
    <w:basedOn w:val="Normal"/>
    <w:next w:val="Normal"/>
    <w:rsid w:val="00310C39"/>
    <w:pPr>
      <w:keepNext/>
      <w:keepLines/>
      <w:numPr>
        <w:numId w:val="5"/>
      </w:numPr>
      <w:spacing w:before="1440" w:after="240" w:line="240" w:lineRule="auto"/>
      <w:jc w:val="center"/>
      <w:outlineLvl w:val="0"/>
    </w:pPr>
    <w:rPr>
      <w:rFonts w:ascii="Times New Roman" w:eastAsia="Times New Roman" w:hAnsi="Times New Roman"/>
      <w:b/>
      <w:caps/>
      <w:sz w:val="32"/>
      <w:szCs w:val="24"/>
    </w:rPr>
  </w:style>
  <w:style w:type="paragraph" w:customStyle="1" w:styleId="MainParanoChapter">
    <w:name w:val="Main Para no Chapter #"/>
    <w:basedOn w:val="Normal"/>
    <w:rsid w:val="00310C39"/>
    <w:pPr>
      <w:numPr>
        <w:ilvl w:val="1"/>
        <w:numId w:val="5"/>
      </w:numPr>
      <w:spacing w:after="240" w:line="240" w:lineRule="auto"/>
      <w:outlineLvl w:val="1"/>
    </w:pPr>
    <w:rPr>
      <w:rFonts w:ascii="Times New Roman" w:eastAsia="Times New Roman" w:hAnsi="Times New Roman"/>
      <w:sz w:val="24"/>
      <w:szCs w:val="24"/>
    </w:rPr>
  </w:style>
  <w:style w:type="paragraph" w:customStyle="1" w:styleId="Sub-Para1underX">
    <w:name w:val="Sub-Para 1 under X."/>
    <w:basedOn w:val="Normal"/>
    <w:rsid w:val="00310C39"/>
    <w:pPr>
      <w:numPr>
        <w:ilvl w:val="2"/>
        <w:numId w:val="5"/>
      </w:numPr>
      <w:spacing w:after="240" w:line="240" w:lineRule="auto"/>
      <w:outlineLvl w:val="2"/>
    </w:pPr>
    <w:rPr>
      <w:rFonts w:ascii="Times New Roman" w:eastAsia="Times New Roman" w:hAnsi="Times New Roman"/>
      <w:sz w:val="24"/>
      <w:szCs w:val="24"/>
    </w:rPr>
  </w:style>
  <w:style w:type="paragraph" w:customStyle="1" w:styleId="Sub-Para2underX">
    <w:name w:val="Sub-Para 2 under X."/>
    <w:basedOn w:val="Normal"/>
    <w:rsid w:val="00310C39"/>
    <w:pPr>
      <w:numPr>
        <w:ilvl w:val="3"/>
        <w:numId w:val="5"/>
      </w:numPr>
      <w:spacing w:after="240" w:line="240" w:lineRule="auto"/>
      <w:outlineLvl w:val="3"/>
    </w:pPr>
    <w:rPr>
      <w:rFonts w:ascii="Times New Roman" w:eastAsia="Times New Roman" w:hAnsi="Times New Roman"/>
      <w:sz w:val="24"/>
      <w:szCs w:val="24"/>
    </w:rPr>
  </w:style>
  <w:style w:type="paragraph" w:customStyle="1" w:styleId="Sub-Para3underX">
    <w:name w:val="Sub-Para 3 under X."/>
    <w:basedOn w:val="Normal"/>
    <w:rsid w:val="00310C39"/>
    <w:pPr>
      <w:numPr>
        <w:ilvl w:val="4"/>
        <w:numId w:val="5"/>
      </w:numPr>
      <w:spacing w:after="240" w:line="240" w:lineRule="auto"/>
      <w:outlineLvl w:val="4"/>
    </w:pPr>
    <w:rPr>
      <w:rFonts w:ascii="Times New Roman" w:eastAsia="Times New Roman" w:hAnsi="Times New Roman"/>
      <w:sz w:val="24"/>
      <w:szCs w:val="24"/>
    </w:rPr>
  </w:style>
  <w:style w:type="paragraph" w:customStyle="1" w:styleId="Sub-Para4underX">
    <w:name w:val="Sub-Para 4 under X."/>
    <w:basedOn w:val="Normal"/>
    <w:rsid w:val="00310C39"/>
    <w:pPr>
      <w:numPr>
        <w:ilvl w:val="5"/>
        <w:numId w:val="5"/>
      </w:numPr>
      <w:spacing w:after="240" w:line="240" w:lineRule="auto"/>
      <w:outlineLvl w:val="5"/>
    </w:pPr>
    <w:rPr>
      <w:rFonts w:ascii="Times New Roman" w:eastAsia="Times New Roman" w:hAnsi="Times New Roman"/>
      <w:sz w:val="24"/>
      <w:szCs w:val="24"/>
    </w:rPr>
  </w:style>
  <w:style w:type="paragraph" w:styleId="NormalWeb">
    <w:name w:val="Normal (Web)"/>
    <w:basedOn w:val="Normal"/>
    <w:uiPriority w:val="99"/>
    <w:unhideWhenUsed/>
    <w:rsid w:val="003C3D15"/>
    <w:pPr>
      <w:spacing w:before="100" w:beforeAutospacing="1" w:after="100" w:afterAutospacing="1" w:line="240" w:lineRule="auto"/>
    </w:pPr>
    <w:rPr>
      <w:rFonts w:ascii="Times New Roman" w:eastAsia="Times New Roman" w:hAnsi="Times New Roman"/>
      <w:sz w:val="24"/>
      <w:szCs w:val="24"/>
      <w:lang w:val="fr-FR" w:eastAsia="fr-FR"/>
    </w:rPr>
  </w:style>
  <w:style w:type="character" w:customStyle="1" w:styleId="apple-converted-space">
    <w:name w:val="apple-converted-space"/>
    <w:basedOn w:val="DefaultParagraphFont"/>
    <w:rsid w:val="003C3D15"/>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link w:val="FootnoteReference"/>
    <w:uiPriority w:val="99"/>
    <w:rsid w:val="00FC15D2"/>
    <w:pPr>
      <w:spacing w:after="160" w:line="240" w:lineRule="exact"/>
    </w:pPr>
    <w:rPr>
      <w:vertAlign w:val="superscript"/>
    </w:rPr>
  </w:style>
  <w:style w:type="paragraph" w:customStyle="1" w:styleId="ParagraphNumbering">
    <w:name w:val="Paragraph Numbering"/>
    <w:basedOn w:val="Normal"/>
    <w:link w:val="ParagraphNumberingChar"/>
    <w:qFormat/>
    <w:rsid w:val="00202404"/>
    <w:pPr>
      <w:numPr>
        <w:numId w:val="7"/>
      </w:numPr>
      <w:tabs>
        <w:tab w:val="left" w:pos="90"/>
      </w:tabs>
      <w:spacing w:after="240" w:line="300" w:lineRule="exact"/>
    </w:pPr>
    <w:rPr>
      <w:rFonts w:ascii="Segoe UI" w:hAnsi="Segoe UI"/>
      <w:sz w:val="21"/>
      <w:szCs w:val="24"/>
      <w:lang w:val="fr-FR"/>
    </w:rPr>
  </w:style>
  <w:style w:type="character" w:customStyle="1" w:styleId="ParagraphNumberingChar">
    <w:name w:val="Paragraph Numbering Char"/>
    <w:link w:val="ParagraphNumbering"/>
    <w:rsid w:val="00202404"/>
    <w:rPr>
      <w:rFonts w:ascii="Segoe UI" w:hAnsi="Segoe UI"/>
      <w:sz w:val="21"/>
      <w:szCs w:val="24"/>
      <w:lang w:val="fr-FR"/>
    </w:rPr>
  </w:style>
  <w:style w:type="paragraph" w:styleId="BodyText">
    <w:name w:val="Body Text"/>
    <w:basedOn w:val="Normal"/>
    <w:link w:val="BodyTextChar"/>
    <w:rsid w:val="008A261B"/>
    <w:pPr>
      <w:spacing w:after="0" w:line="240" w:lineRule="auto"/>
      <w:jc w:val="both"/>
    </w:pPr>
    <w:rPr>
      <w:rFonts w:ascii="Albertus Medium" w:eastAsia="Times New Roman" w:hAnsi="Albertus Medium"/>
      <w:sz w:val="24"/>
      <w:szCs w:val="24"/>
      <w:lang w:val="x-none" w:eastAsia="x-none"/>
    </w:rPr>
  </w:style>
  <w:style w:type="character" w:customStyle="1" w:styleId="BodyTextChar">
    <w:name w:val="Body Text Char"/>
    <w:link w:val="BodyText"/>
    <w:rsid w:val="008A261B"/>
    <w:rPr>
      <w:rFonts w:ascii="Albertus Medium" w:eastAsia="Times New Roman" w:hAnsi="Albertus Medium"/>
      <w:sz w:val="24"/>
      <w:szCs w:val="24"/>
      <w:lang w:val="x-none" w:eastAsia="x-none"/>
    </w:rPr>
  </w:style>
  <w:style w:type="paragraph" w:styleId="HTMLPreformatted">
    <w:name w:val="HTML Preformatted"/>
    <w:basedOn w:val="Normal"/>
    <w:link w:val="HTMLPreformattedChar"/>
    <w:uiPriority w:val="99"/>
    <w:unhideWhenUsed/>
    <w:rsid w:val="00783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link w:val="HTMLPreformatted"/>
    <w:uiPriority w:val="99"/>
    <w:rsid w:val="00783E68"/>
    <w:rPr>
      <w:rFonts w:ascii="Courier New" w:eastAsia="Times New Roman" w:hAnsi="Courier New" w:cs="Courier New"/>
      <w:sz w:val="20"/>
      <w:szCs w:val="20"/>
      <w:lang w:val="fr-FR" w:eastAsia="fr-FR"/>
    </w:rPr>
  </w:style>
  <w:style w:type="paragraph" w:customStyle="1" w:styleId="Default">
    <w:name w:val="Default"/>
    <w:rsid w:val="00564554"/>
    <w:pPr>
      <w:autoSpaceDE w:val="0"/>
      <w:autoSpaceDN w:val="0"/>
      <w:adjustRightInd w:val="0"/>
    </w:pPr>
    <w:rPr>
      <w:rFonts w:ascii="Segoe UI" w:hAnsi="Segoe UI" w:cs="Segoe UI"/>
      <w:color w:val="000000"/>
      <w:sz w:val="24"/>
      <w:szCs w:val="24"/>
      <w:lang w:val="fr-FR"/>
    </w:rPr>
  </w:style>
  <w:style w:type="paragraph" w:styleId="PlainText">
    <w:name w:val="Plain Text"/>
    <w:basedOn w:val="Normal"/>
    <w:link w:val="PlainTextChar"/>
    <w:uiPriority w:val="99"/>
    <w:rsid w:val="00763AC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63ACD"/>
    <w:rPr>
      <w:rFonts w:ascii="Consolas" w:hAnsi="Consolas"/>
      <w:sz w:val="21"/>
      <w:szCs w:val="21"/>
    </w:rPr>
  </w:style>
  <w:style w:type="paragraph" w:styleId="ListBullet">
    <w:name w:val="List Bullet"/>
    <w:basedOn w:val="Normal"/>
    <w:uiPriority w:val="99"/>
    <w:unhideWhenUsed/>
    <w:rsid w:val="00816F98"/>
    <w:pPr>
      <w:numPr>
        <w:numId w:val="26"/>
      </w:numPr>
      <w:contextualSpacing/>
    </w:pPr>
  </w:style>
  <w:style w:type="paragraph" w:customStyle="1" w:styleId="Date1">
    <w:name w:val="Date1"/>
    <w:basedOn w:val="Normal"/>
    <w:rsid w:val="00BF724A"/>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BF724A"/>
    <w:rPr>
      <w:b/>
      <w:bCs/>
    </w:rPr>
  </w:style>
  <w:style w:type="paragraph" w:customStyle="1" w:styleId="Date2">
    <w:name w:val="Date2"/>
    <w:basedOn w:val="Normal"/>
    <w:rsid w:val="009D0999"/>
    <w:pPr>
      <w:spacing w:before="100" w:beforeAutospacing="1" w:after="100" w:afterAutospacing="1" w:line="240" w:lineRule="auto"/>
    </w:pPr>
    <w:rPr>
      <w:rFonts w:ascii="Times New Roman" w:eastAsia="Times New Roman" w:hAnsi="Times New Roman"/>
      <w:sz w:val="24"/>
      <w:szCs w:val="24"/>
    </w:rPr>
  </w:style>
  <w:style w:type="character" w:styleId="Mention">
    <w:name w:val="Mention"/>
    <w:basedOn w:val="DefaultParagraphFont"/>
    <w:uiPriority w:val="99"/>
    <w:semiHidden/>
    <w:unhideWhenUsed/>
    <w:rsid w:val="00C8795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61079">
      <w:bodyDiv w:val="1"/>
      <w:marLeft w:val="0"/>
      <w:marRight w:val="0"/>
      <w:marTop w:val="0"/>
      <w:marBottom w:val="0"/>
      <w:divBdr>
        <w:top w:val="none" w:sz="0" w:space="0" w:color="auto"/>
        <w:left w:val="none" w:sz="0" w:space="0" w:color="auto"/>
        <w:bottom w:val="none" w:sz="0" w:space="0" w:color="auto"/>
        <w:right w:val="none" w:sz="0" w:space="0" w:color="auto"/>
      </w:divBdr>
    </w:div>
    <w:div w:id="71900218">
      <w:bodyDiv w:val="1"/>
      <w:marLeft w:val="0"/>
      <w:marRight w:val="0"/>
      <w:marTop w:val="0"/>
      <w:marBottom w:val="0"/>
      <w:divBdr>
        <w:top w:val="none" w:sz="0" w:space="0" w:color="auto"/>
        <w:left w:val="none" w:sz="0" w:space="0" w:color="auto"/>
        <w:bottom w:val="none" w:sz="0" w:space="0" w:color="auto"/>
        <w:right w:val="none" w:sz="0" w:space="0" w:color="auto"/>
      </w:divBdr>
    </w:div>
    <w:div w:id="118889036">
      <w:bodyDiv w:val="1"/>
      <w:marLeft w:val="0"/>
      <w:marRight w:val="0"/>
      <w:marTop w:val="0"/>
      <w:marBottom w:val="0"/>
      <w:divBdr>
        <w:top w:val="none" w:sz="0" w:space="0" w:color="auto"/>
        <w:left w:val="none" w:sz="0" w:space="0" w:color="auto"/>
        <w:bottom w:val="none" w:sz="0" w:space="0" w:color="auto"/>
        <w:right w:val="none" w:sz="0" w:space="0" w:color="auto"/>
      </w:divBdr>
    </w:div>
    <w:div w:id="127630674">
      <w:bodyDiv w:val="1"/>
      <w:marLeft w:val="0"/>
      <w:marRight w:val="0"/>
      <w:marTop w:val="0"/>
      <w:marBottom w:val="0"/>
      <w:divBdr>
        <w:top w:val="none" w:sz="0" w:space="0" w:color="auto"/>
        <w:left w:val="none" w:sz="0" w:space="0" w:color="auto"/>
        <w:bottom w:val="none" w:sz="0" w:space="0" w:color="auto"/>
        <w:right w:val="none" w:sz="0" w:space="0" w:color="auto"/>
      </w:divBdr>
    </w:div>
    <w:div w:id="150222772">
      <w:bodyDiv w:val="1"/>
      <w:marLeft w:val="0"/>
      <w:marRight w:val="0"/>
      <w:marTop w:val="0"/>
      <w:marBottom w:val="0"/>
      <w:divBdr>
        <w:top w:val="none" w:sz="0" w:space="0" w:color="auto"/>
        <w:left w:val="none" w:sz="0" w:space="0" w:color="auto"/>
        <w:bottom w:val="none" w:sz="0" w:space="0" w:color="auto"/>
        <w:right w:val="none" w:sz="0" w:space="0" w:color="auto"/>
      </w:divBdr>
    </w:div>
    <w:div w:id="153181148">
      <w:bodyDiv w:val="1"/>
      <w:marLeft w:val="0"/>
      <w:marRight w:val="0"/>
      <w:marTop w:val="0"/>
      <w:marBottom w:val="0"/>
      <w:divBdr>
        <w:top w:val="none" w:sz="0" w:space="0" w:color="auto"/>
        <w:left w:val="none" w:sz="0" w:space="0" w:color="auto"/>
        <w:bottom w:val="none" w:sz="0" w:space="0" w:color="auto"/>
        <w:right w:val="none" w:sz="0" w:space="0" w:color="auto"/>
      </w:divBdr>
    </w:div>
    <w:div w:id="165752111">
      <w:bodyDiv w:val="1"/>
      <w:marLeft w:val="0"/>
      <w:marRight w:val="0"/>
      <w:marTop w:val="0"/>
      <w:marBottom w:val="0"/>
      <w:divBdr>
        <w:top w:val="none" w:sz="0" w:space="0" w:color="auto"/>
        <w:left w:val="none" w:sz="0" w:space="0" w:color="auto"/>
        <w:bottom w:val="none" w:sz="0" w:space="0" w:color="auto"/>
        <w:right w:val="none" w:sz="0" w:space="0" w:color="auto"/>
      </w:divBdr>
    </w:div>
    <w:div w:id="188493469">
      <w:bodyDiv w:val="1"/>
      <w:marLeft w:val="0"/>
      <w:marRight w:val="0"/>
      <w:marTop w:val="0"/>
      <w:marBottom w:val="0"/>
      <w:divBdr>
        <w:top w:val="none" w:sz="0" w:space="0" w:color="auto"/>
        <w:left w:val="none" w:sz="0" w:space="0" w:color="auto"/>
        <w:bottom w:val="none" w:sz="0" w:space="0" w:color="auto"/>
        <w:right w:val="none" w:sz="0" w:space="0" w:color="auto"/>
      </w:divBdr>
      <w:divsChild>
        <w:div w:id="1238512290">
          <w:marLeft w:val="0"/>
          <w:marRight w:val="0"/>
          <w:marTop w:val="0"/>
          <w:marBottom w:val="0"/>
          <w:divBdr>
            <w:top w:val="none" w:sz="0" w:space="0" w:color="auto"/>
            <w:left w:val="none" w:sz="0" w:space="0" w:color="auto"/>
            <w:bottom w:val="none" w:sz="0" w:space="0" w:color="auto"/>
            <w:right w:val="none" w:sz="0" w:space="0" w:color="auto"/>
          </w:divBdr>
          <w:divsChild>
            <w:div w:id="2055497233">
              <w:marLeft w:val="0"/>
              <w:marRight w:val="0"/>
              <w:marTop w:val="0"/>
              <w:marBottom w:val="0"/>
              <w:divBdr>
                <w:top w:val="none" w:sz="0" w:space="0" w:color="auto"/>
                <w:left w:val="none" w:sz="0" w:space="0" w:color="auto"/>
                <w:bottom w:val="none" w:sz="0" w:space="0" w:color="auto"/>
                <w:right w:val="none" w:sz="0" w:space="0" w:color="auto"/>
              </w:divBdr>
              <w:divsChild>
                <w:div w:id="1380547155">
                  <w:marLeft w:val="0"/>
                  <w:marRight w:val="0"/>
                  <w:marTop w:val="0"/>
                  <w:marBottom w:val="0"/>
                  <w:divBdr>
                    <w:top w:val="none" w:sz="0" w:space="0" w:color="auto"/>
                    <w:left w:val="none" w:sz="0" w:space="0" w:color="auto"/>
                    <w:bottom w:val="none" w:sz="0" w:space="0" w:color="auto"/>
                    <w:right w:val="none" w:sz="0" w:space="0" w:color="auto"/>
                  </w:divBdr>
                  <w:divsChild>
                    <w:div w:id="1033963099">
                      <w:marLeft w:val="0"/>
                      <w:marRight w:val="0"/>
                      <w:marTop w:val="0"/>
                      <w:marBottom w:val="0"/>
                      <w:divBdr>
                        <w:top w:val="none" w:sz="0" w:space="0" w:color="auto"/>
                        <w:left w:val="none" w:sz="0" w:space="0" w:color="auto"/>
                        <w:bottom w:val="none" w:sz="0" w:space="0" w:color="auto"/>
                        <w:right w:val="none" w:sz="0" w:space="0" w:color="auto"/>
                      </w:divBdr>
                      <w:divsChild>
                        <w:div w:id="346372779">
                          <w:marLeft w:val="0"/>
                          <w:marRight w:val="0"/>
                          <w:marTop w:val="45"/>
                          <w:marBottom w:val="0"/>
                          <w:divBdr>
                            <w:top w:val="none" w:sz="0" w:space="0" w:color="auto"/>
                            <w:left w:val="none" w:sz="0" w:space="0" w:color="auto"/>
                            <w:bottom w:val="none" w:sz="0" w:space="0" w:color="auto"/>
                            <w:right w:val="none" w:sz="0" w:space="0" w:color="auto"/>
                          </w:divBdr>
                          <w:divsChild>
                            <w:div w:id="54281008">
                              <w:marLeft w:val="0"/>
                              <w:marRight w:val="0"/>
                              <w:marTop w:val="0"/>
                              <w:marBottom w:val="0"/>
                              <w:divBdr>
                                <w:top w:val="none" w:sz="0" w:space="0" w:color="auto"/>
                                <w:left w:val="none" w:sz="0" w:space="0" w:color="auto"/>
                                <w:bottom w:val="none" w:sz="0" w:space="0" w:color="auto"/>
                                <w:right w:val="none" w:sz="0" w:space="0" w:color="auto"/>
                              </w:divBdr>
                              <w:divsChild>
                                <w:div w:id="1438594752">
                                  <w:marLeft w:val="2070"/>
                                  <w:marRight w:val="3810"/>
                                  <w:marTop w:val="0"/>
                                  <w:marBottom w:val="0"/>
                                  <w:divBdr>
                                    <w:top w:val="none" w:sz="0" w:space="0" w:color="auto"/>
                                    <w:left w:val="none" w:sz="0" w:space="0" w:color="auto"/>
                                    <w:bottom w:val="none" w:sz="0" w:space="0" w:color="auto"/>
                                    <w:right w:val="none" w:sz="0" w:space="0" w:color="auto"/>
                                  </w:divBdr>
                                  <w:divsChild>
                                    <w:div w:id="200676149">
                                      <w:marLeft w:val="0"/>
                                      <w:marRight w:val="0"/>
                                      <w:marTop w:val="0"/>
                                      <w:marBottom w:val="0"/>
                                      <w:divBdr>
                                        <w:top w:val="none" w:sz="0" w:space="0" w:color="auto"/>
                                        <w:left w:val="none" w:sz="0" w:space="0" w:color="auto"/>
                                        <w:bottom w:val="none" w:sz="0" w:space="0" w:color="auto"/>
                                        <w:right w:val="none" w:sz="0" w:space="0" w:color="auto"/>
                                      </w:divBdr>
                                      <w:divsChild>
                                        <w:div w:id="1406299678">
                                          <w:marLeft w:val="0"/>
                                          <w:marRight w:val="0"/>
                                          <w:marTop w:val="0"/>
                                          <w:marBottom w:val="0"/>
                                          <w:divBdr>
                                            <w:top w:val="none" w:sz="0" w:space="0" w:color="auto"/>
                                            <w:left w:val="none" w:sz="0" w:space="0" w:color="auto"/>
                                            <w:bottom w:val="none" w:sz="0" w:space="0" w:color="auto"/>
                                            <w:right w:val="none" w:sz="0" w:space="0" w:color="auto"/>
                                          </w:divBdr>
                                          <w:divsChild>
                                            <w:div w:id="1214805996">
                                              <w:marLeft w:val="0"/>
                                              <w:marRight w:val="0"/>
                                              <w:marTop w:val="0"/>
                                              <w:marBottom w:val="0"/>
                                              <w:divBdr>
                                                <w:top w:val="none" w:sz="0" w:space="0" w:color="auto"/>
                                                <w:left w:val="none" w:sz="0" w:space="0" w:color="auto"/>
                                                <w:bottom w:val="none" w:sz="0" w:space="0" w:color="auto"/>
                                                <w:right w:val="none" w:sz="0" w:space="0" w:color="auto"/>
                                              </w:divBdr>
                                              <w:divsChild>
                                                <w:div w:id="655841915">
                                                  <w:marLeft w:val="0"/>
                                                  <w:marRight w:val="0"/>
                                                  <w:marTop w:val="0"/>
                                                  <w:marBottom w:val="0"/>
                                                  <w:divBdr>
                                                    <w:top w:val="none" w:sz="0" w:space="0" w:color="auto"/>
                                                    <w:left w:val="none" w:sz="0" w:space="0" w:color="auto"/>
                                                    <w:bottom w:val="none" w:sz="0" w:space="0" w:color="auto"/>
                                                    <w:right w:val="none" w:sz="0" w:space="0" w:color="auto"/>
                                                  </w:divBdr>
                                                  <w:divsChild>
                                                    <w:div w:id="21247935">
                                                      <w:marLeft w:val="0"/>
                                                      <w:marRight w:val="0"/>
                                                      <w:marTop w:val="0"/>
                                                      <w:marBottom w:val="0"/>
                                                      <w:divBdr>
                                                        <w:top w:val="none" w:sz="0" w:space="0" w:color="auto"/>
                                                        <w:left w:val="none" w:sz="0" w:space="0" w:color="auto"/>
                                                        <w:bottom w:val="none" w:sz="0" w:space="0" w:color="auto"/>
                                                        <w:right w:val="none" w:sz="0" w:space="0" w:color="auto"/>
                                                      </w:divBdr>
                                                      <w:divsChild>
                                                        <w:div w:id="166555172">
                                                          <w:marLeft w:val="0"/>
                                                          <w:marRight w:val="0"/>
                                                          <w:marTop w:val="0"/>
                                                          <w:marBottom w:val="345"/>
                                                          <w:divBdr>
                                                            <w:top w:val="none" w:sz="0" w:space="0" w:color="auto"/>
                                                            <w:left w:val="none" w:sz="0" w:space="0" w:color="auto"/>
                                                            <w:bottom w:val="none" w:sz="0" w:space="0" w:color="auto"/>
                                                            <w:right w:val="none" w:sz="0" w:space="0" w:color="auto"/>
                                                          </w:divBdr>
                                                          <w:divsChild>
                                                            <w:div w:id="458762797">
                                                              <w:marLeft w:val="0"/>
                                                              <w:marRight w:val="0"/>
                                                              <w:marTop w:val="0"/>
                                                              <w:marBottom w:val="0"/>
                                                              <w:divBdr>
                                                                <w:top w:val="none" w:sz="0" w:space="0" w:color="auto"/>
                                                                <w:left w:val="none" w:sz="0" w:space="0" w:color="auto"/>
                                                                <w:bottom w:val="none" w:sz="0" w:space="0" w:color="auto"/>
                                                                <w:right w:val="none" w:sz="0" w:space="0" w:color="auto"/>
                                                              </w:divBdr>
                                                              <w:divsChild>
                                                                <w:div w:id="163709849">
                                                                  <w:marLeft w:val="0"/>
                                                                  <w:marRight w:val="0"/>
                                                                  <w:marTop w:val="0"/>
                                                                  <w:marBottom w:val="0"/>
                                                                  <w:divBdr>
                                                                    <w:top w:val="none" w:sz="0" w:space="0" w:color="auto"/>
                                                                    <w:left w:val="none" w:sz="0" w:space="0" w:color="auto"/>
                                                                    <w:bottom w:val="none" w:sz="0" w:space="0" w:color="auto"/>
                                                                    <w:right w:val="none" w:sz="0" w:space="0" w:color="auto"/>
                                                                  </w:divBdr>
                                                                  <w:divsChild>
                                                                    <w:div w:id="632685288">
                                                                      <w:marLeft w:val="0"/>
                                                                      <w:marRight w:val="0"/>
                                                                      <w:marTop w:val="0"/>
                                                                      <w:marBottom w:val="0"/>
                                                                      <w:divBdr>
                                                                        <w:top w:val="none" w:sz="0" w:space="0" w:color="auto"/>
                                                                        <w:left w:val="none" w:sz="0" w:space="0" w:color="auto"/>
                                                                        <w:bottom w:val="none" w:sz="0" w:space="0" w:color="auto"/>
                                                                        <w:right w:val="none" w:sz="0" w:space="0" w:color="auto"/>
                                                                      </w:divBdr>
                                                                      <w:divsChild>
                                                                        <w:div w:id="1538278993">
                                                                          <w:marLeft w:val="0"/>
                                                                          <w:marRight w:val="0"/>
                                                                          <w:marTop w:val="0"/>
                                                                          <w:marBottom w:val="0"/>
                                                                          <w:divBdr>
                                                                            <w:top w:val="none" w:sz="0" w:space="0" w:color="auto"/>
                                                                            <w:left w:val="none" w:sz="0" w:space="0" w:color="auto"/>
                                                                            <w:bottom w:val="none" w:sz="0" w:space="0" w:color="auto"/>
                                                                            <w:right w:val="none" w:sz="0" w:space="0" w:color="auto"/>
                                                                          </w:divBdr>
                                                                          <w:divsChild>
                                                                            <w:div w:id="231356152">
                                                                              <w:marLeft w:val="0"/>
                                                                              <w:marRight w:val="0"/>
                                                                              <w:marTop w:val="0"/>
                                                                              <w:marBottom w:val="0"/>
                                                                              <w:divBdr>
                                                                                <w:top w:val="none" w:sz="0" w:space="0" w:color="auto"/>
                                                                                <w:left w:val="none" w:sz="0" w:space="0" w:color="auto"/>
                                                                                <w:bottom w:val="none" w:sz="0" w:space="0" w:color="auto"/>
                                                                                <w:right w:val="none" w:sz="0" w:space="0" w:color="auto"/>
                                                                              </w:divBdr>
                                                                              <w:divsChild>
                                                                                <w:div w:id="883714649">
                                                                                  <w:marLeft w:val="0"/>
                                                                                  <w:marRight w:val="0"/>
                                                                                  <w:marTop w:val="0"/>
                                                                                  <w:marBottom w:val="0"/>
                                                                                  <w:divBdr>
                                                                                    <w:top w:val="none" w:sz="0" w:space="0" w:color="auto"/>
                                                                                    <w:left w:val="none" w:sz="0" w:space="0" w:color="auto"/>
                                                                                    <w:bottom w:val="none" w:sz="0" w:space="0" w:color="auto"/>
                                                                                    <w:right w:val="none" w:sz="0" w:space="0" w:color="auto"/>
                                                                                  </w:divBdr>
                                                                                  <w:divsChild>
                                                                                    <w:div w:id="1195774445">
                                                                                      <w:marLeft w:val="0"/>
                                                                                      <w:marRight w:val="0"/>
                                                                                      <w:marTop w:val="0"/>
                                                                                      <w:marBottom w:val="0"/>
                                                                                      <w:divBdr>
                                                                                        <w:top w:val="none" w:sz="0" w:space="0" w:color="auto"/>
                                                                                        <w:left w:val="none" w:sz="0" w:space="0" w:color="auto"/>
                                                                                        <w:bottom w:val="none" w:sz="0" w:space="0" w:color="auto"/>
                                                                                        <w:right w:val="none" w:sz="0" w:space="0" w:color="auto"/>
                                                                                      </w:divBdr>
                                                                                      <w:divsChild>
                                                                                        <w:div w:id="5448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5966200">
      <w:bodyDiv w:val="1"/>
      <w:marLeft w:val="0"/>
      <w:marRight w:val="0"/>
      <w:marTop w:val="0"/>
      <w:marBottom w:val="0"/>
      <w:divBdr>
        <w:top w:val="none" w:sz="0" w:space="0" w:color="auto"/>
        <w:left w:val="none" w:sz="0" w:space="0" w:color="auto"/>
        <w:bottom w:val="none" w:sz="0" w:space="0" w:color="auto"/>
        <w:right w:val="none" w:sz="0" w:space="0" w:color="auto"/>
      </w:divBdr>
      <w:divsChild>
        <w:div w:id="1979188058">
          <w:marLeft w:val="0"/>
          <w:marRight w:val="0"/>
          <w:marTop w:val="0"/>
          <w:marBottom w:val="0"/>
          <w:divBdr>
            <w:top w:val="none" w:sz="0" w:space="0" w:color="auto"/>
            <w:left w:val="none" w:sz="0" w:space="0" w:color="auto"/>
            <w:bottom w:val="none" w:sz="0" w:space="0" w:color="auto"/>
            <w:right w:val="none" w:sz="0" w:space="0" w:color="auto"/>
          </w:divBdr>
          <w:divsChild>
            <w:div w:id="1592548101">
              <w:marLeft w:val="0"/>
              <w:marRight w:val="0"/>
              <w:marTop w:val="0"/>
              <w:marBottom w:val="0"/>
              <w:divBdr>
                <w:top w:val="none" w:sz="0" w:space="0" w:color="auto"/>
                <w:left w:val="none" w:sz="0" w:space="0" w:color="auto"/>
                <w:bottom w:val="none" w:sz="0" w:space="0" w:color="auto"/>
                <w:right w:val="none" w:sz="0" w:space="0" w:color="auto"/>
              </w:divBdr>
              <w:divsChild>
                <w:div w:id="323893935">
                  <w:marLeft w:val="0"/>
                  <w:marRight w:val="0"/>
                  <w:marTop w:val="0"/>
                  <w:marBottom w:val="0"/>
                  <w:divBdr>
                    <w:top w:val="none" w:sz="0" w:space="0" w:color="auto"/>
                    <w:left w:val="none" w:sz="0" w:space="0" w:color="auto"/>
                    <w:bottom w:val="none" w:sz="0" w:space="0" w:color="auto"/>
                    <w:right w:val="none" w:sz="0" w:space="0" w:color="auto"/>
                  </w:divBdr>
                  <w:divsChild>
                    <w:div w:id="692147316">
                      <w:marLeft w:val="0"/>
                      <w:marRight w:val="0"/>
                      <w:marTop w:val="0"/>
                      <w:marBottom w:val="0"/>
                      <w:divBdr>
                        <w:top w:val="none" w:sz="0" w:space="0" w:color="auto"/>
                        <w:left w:val="none" w:sz="0" w:space="0" w:color="auto"/>
                        <w:bottom w:val="none" w:sz="0" w:space="0" w:color="auto"/>
                        <w:right w:val="none" w:sz="0" w:space="0" w:color="auto"/>
                      </w:divBdr>
                      <w:divsChild>
                        <w:div w:id="990138902">
                          <w:marLeft w:val="0"/>
                          <w:marRight w:val="0"/>
                          <w:marTop w:val="0"/>
                          <w:marBottom w:val="0"/>
                          <w:divBdr>
                            <w:top w:val="none" w:sz="0" w:space="0" w:color="auto"/>
                            <w:left w:val="none" w:sz="0" w:space="0" w:color="auto"/>
                            <w:bottom w:val="none" w:sz="0" w:space="0" w:color="auto"/>
                            <w:right w:val="none" w:sz="0" w:space="0" w:color="auto"/>
                          </w:divBdr>
                          <w:divsChild>
                            <w:div w:id="1927297350">
                              <w:marLeft w:val="0"/>
                              <w:marRight w:val="0"/>
                              <w:marTop w:val="0"/>
                              <w:marBottom w:val="0"/>
                              <w:divBdr>
                                <w:top w:val="none" w:sz="0" w:space="0" w:color="auto"/>
                                <w:left w:val="none" w:sz="0" w:space="0" w:color="auto"/>
                                <w:bottom w:val="none" w:sz="0" w:space="0" w:color="auto"/>
                                <w:right w:val="none" w:sz="0" w:space="0" w:color="auto"/>
                              </w:divBdr>
                              <w:divsChild>
                                <w:div w:id="2975497">
                                  <w:marLeft w:val="450"/>
                                  <w:marRight w:val="0"/>
                                  <w:marTop w:val="0"/>
                                  <w:marBottom w:val="0"/>
                                  <w:divBdr>
                                    <w:top w:val="none" w:sz="0" w:space="0" w:color="auto"/>
                                    <w:left w:val="none" w:sz="0" w:space="0" w:color="auto"/>
                                    <w:bottom w:val="none" w:sz="0" w:space="0" w:color="auto"/>
                                    <w:right w:val="none" w:sz="0" w:space="0" w:color="auto"/>
                                  </w:divBdr>
                                  <w:divsChild>
                                    <w:div w:id="1528519046">
                                      <w:marLeft w:val="0"/>
                                      <w:marRight w:val="0"/>
                                      <w:marTop w:val="0"/>
                                      <w:marBottom w:val="0"/>
                                      <w:divBdr>
                                        <w:top w:val="none" w:sz="0" w:space="0" w:color="auto"/>
                                        <w:left w:val="none" w:sz="0" w:space="0" w:color="auto"/>
                                        <w:bottom w:val="none" w:sz="0" w:space="0" w:color="auto"/>
                                        <w:right w:val="none" w:sz="0" w:space="0" w:color="auto"/>
                                      </w:divBdr>
                                      <w:divsChild>
                                        <w:div w:id="700596411">
                                          <w:marLeft w:val="450"/>
                                          <w:marRight w:val="0"/>
                                          <w:marTop w:val="0"/>
                                          <w:marBottom w:val="0"/>
                                          <w:divBdr>
                                            <w:top w:val="none" w:sz="0" w:space="0" w:color="auto"/>
                                            <w:left w:val="none" w:sz="0" w:space="0" w:color="auto"/>
                                            <w:bottom w:val="none" w:sz="0" w:space="0" w:color="auto"/>
                                            <w:right w:val="none" w:sz="0" w:space="0" w:color="auto"/>
                                          </w:divBdr>
                                          <w:divsChild>
                                            <w:div w:id="116918067">
                                              <w:marLeft w:val="75"/>
                                              <w:marRight w:val="75"/>
                                              <w:marTop w:val="0"/>
                                              <w:marBottom w:val="0"/>
                                              <w:divBdr>
                                                <w:top w:val="none" w:sz="0" w:space="0" w:color="auto"/>
                                                <w:left w:val="none" w:sz="0" w:space="0" w:color="auto"/>
                                                <w:bottom w:val="none" w:sz="0" w:space="0" w:color="auto"/>
                                                <w:right w:val="none" w:sz="0" w:space="0" w:color="auto"/>
                                              </w:divBdr>
                                              <w:divsChild>
                                                <w:div w:id="937300159">
                                                  <w:marLeft w:val="0"/>
                                                  <w:marRight w:val="0"/>
                                                  <w:marTop w:val="0"/>
                                                  <w:marBottom w:val="0"/>
                                                  <w:divBdr>
                                                    <w:top w:val="none" w:sz="0" w:space="0" w:color="auto"/>
                                                    <w:left w:val="none" w:sz="0" w:space="0" w:color="auto"/>
                                                    <w:bottom w:val="none" w:sz="0" w:space="0" w:color="auto"/>
                                                    <w:right w:val="none" w:sz="0" w:space="0" w:color="auto"/>
                                                  </w:divBdr>
                                                  <w:divsChild>
                                                    <w:div w:id="2000963123">
                                                      <w:marLeft w:val="0"/>
                                                      <w:marRight w:val="0"/>
                                                      <w:marTop w:val="0"/>
                                                      <w:marBottom w:val="0"/>
                                                      <w:divBdr>
                                                        <w:top w:val="none" w:sz="0" w:space="0" w:color="auto"/>
                                                        <w:left w:val="none" w:sz="0" w:space="0" w:color="auto"/>
                                                        <w:bottom w:val="none" w:sz="0" w:space="0" w:color="auto"/>
                                                        <w:right w:val="none" w:sz="0" w:space="0" w:color="auto"/>
                                                      </w:divBdr>
                                                      <w:divsChild>
                                                        <w:div w:id="1120029537">
                                                          <w:marLeft w:val="0"/>
                                                          <w:marRight w:val="0"/>
                                                          <w:marTop w:val="0"/>
                                                          <w:marBottom w:val="0"/>
                                                          <w:divBdr>
                                                            <w:top w:val="none" w:sz="0" w:space="0" w:color="auto"/>
                                                            <w:left w:val="none" w:sz="0" w:space="0" w:color="auto"/>
                                                            <w:bottom w:val="none" w:sz="0" w:space="0" w:color="auto"/>
                                                            <w:right w:val="none" w:sz="0" w:space="0" w:color="auto"/>
                                                          </w:divBdr>
                                                          <w:divsChild>
                                                            <w:div w:id="2028939926">
                                                              <w:marLeft w:val="0"/>
                                                              <w:marRight w:val="0"/>
                                                              <w:marTop w:val="0"/>
                                                              <w:marBottom w:val="0"/>
                                                              <w:divBdr>
                                                                <w:top w:val="none" w:sz="0" w:space="0" w:color="auto"/>
                                                                <w:left w:val="none" w:sz="0" w:space="0" w:color="auto"/>
                                                                <w:bottom w:val="none" w:sz="0" w:space="0" w:color="auto"/>
                                                                <w:right w:val="none" w:sz="0" w:space="0" w:color="auto"/>
                                                              </w:divBdr>
                                                              <w:divsChild>
                                                                <w:div w:id="449326657">
                                                                  <w:marLeft w:val="480"/>
                                                                  <w:marRight w:val="0"/>
                                                                  <w:marTop w:val="0"/>
                                                                  <w:marBottom w:val="0"/>
                                                                  <w:divBdr>
                                                                    <w:top w:val="none" w:sz="0" w:space="0" w:color="auto"/>
                                                                    <w:left w:val="none" w:sz="0" w:space="0" w:color="auto"/>
                                                                    <w:bottom w:val="none" w:sz="0" w:space="0" w:color="auto"/>
                                                                    <w:right w:val="none" w:sz="0" w:space="0" w:color="auto"/>
                                                                  </w:divBdr>
                                                                  <w:divsChild>
                                                                    <w:div w:id="1637566179">
                                                                      <w:marLeft w:val="0"/>
                                                                      <w:marRight w:val="0"/>
                                                                      <w:marTop w:val="0"/>
                                                                      <w:marBottom w:val="0"/>
                                                                      <w:divBdr>
                                                                        <w:top w:val="none" w:sz="0" w:space="0" w:color="auto"/>
                                                                        <w:left w:val="none" w:sz="0" w:space="0" w:color="auto"/>
                                                                        <w:bottom w:val="none" w:sz="0" w:space="0" w:color="auto"/>
                                                                        <w:right w:val="none" w:sz="0" w:space="0" w:color="auto"/>
                                                                      </w:divBdr>
                                                                      <w:divsChild>
                                                                        <w:div w:id="1626503506">
                                                                          <w:marLeft w:val="0"/>
                                                                          <w:marRight w:val="0"/>
                                                                          <w:marTop w:val="0"/>
                                                                          <w:marBottom w:val="0"/>
                                                                          <w:divBdr>
                                                                            <w:top w:val="none" w:sz="0" w:space="0" w:color="auto"/>
                                                                            <w:left w:val="none" w:sz="0" w:space="0" w:color="auto"/>
                                                                            <w:bottom w:val="none" w:sz="0" w:space="0" w:color="auto"/>
                                                                            <w:right w:val="none" w:sz="0" w:space="0" w:color="auto"/>
                                                                          </w:divBdr>
                                                                          <w:divsChild>
                                                                            <w:div w:id="250548261">
                                                                              <w:marLeft w:val="0"/>
                                                                              <w:marRight w:val="0"/>
                                                                              <w:marTop w:val="240"/>
                                                                              <w:marBottom w:val="0"/>
                                                                              <w:divBdr>
                                                                                <w:top w:val="none" w:sz="0" w:space="0" w:color="auto"/>
                                                                                <w:left w:val="none" w:sz="0" w:space="0" w:color="auto"/>
                                                                                <w:bottom w:val="single" w:sz="6" w:space="23" w:color="auto"/>
                                                                                <w:right w:val="none" w:sz="0" w:space="0" w:color="auto"/>
                                                                              </w:divBdr>
                                                                              <w:divsChild>
                                                                                <w:div w:id="738753478">
                                                                                  <w:marLeft w:val="0"/>
                                                                                  <w:marRight w:val="0"/>
                                                                                  <w:marTop w:val="0"/>
                                                                                  <w:marBottom w:val="0"/>
                                                                                  <w:divBdr>
                                                                                    <w:top w:val="none" w:sz="0" w:space="0" w:color="auto"/>
                                                                                    <w:left w:val="none" w:sz="0" w:space="0" w:color="auto"/>
                                                                                    <w:bottom w:val="none" w:sz="0" w:space="0" w:color="auto"/>
                                                                                    <w:right w:val="none" w:sz="0" w:space="0" w:color="auto"/>
                                                                                  </w:divBdr>
                                                                                  <w:divsChild>
                                                                                    <w:div w:id="1144005699">
                                                                                      <w:marLeft w:val="0"/>
                                                                                      <w:marRight w:val="0"/>
                                                                                      <w:marTop w:val="0"/>
                                                                                      <w:marBottom w:val="0"/>
                                                                                      <w:divBdr>
                                                                                        <w:top w:val="none" w:sz="0" w:space="0" w:color="auto"/>
                                                                                        <w:left w:val="none" w:sz="0" w:space="0" w:color="auto"/>
                                                                                        <w:bottom w:val="none" w:sz="0" w:space="0" w:color="auto"/>
                                                                                        <w:right w:val="none" w:sz="0" w:space="0" w:color="auto"/>
                                                                                      </w:divBdr>
                                                                                      <w:divsChild>
                                                                                        <w:div w:id="1774202478">
                                                                                          <w:marLeft w:val="0"/>
                                                                                          <w:marRight w:val="0"/>
                                                                                          <w:marTop w:val="0"/>
                                                                                          <w:marBottom w:val="0"/>
                                                                                          <w:divBdr>
                                                                                            <w:top w:val="none" w:sz="0" w:space="0" w:color="auto"/>
                                                                                            <w:left w:val="none" w:sz="0" w:space="0" w:color="auto"/>
                                                                                            <w:bottom w:val="none" w:sz="0" w:space="0" w:color="auto"/>
                                                                                            <w:right w:val="none" w:sz="0" w:space="0" w:color="auto"/>
                                                                                          </w:divBdr>
                                                                                          <w:divsChild>
                                                                                            <w:div w:id="1093934925">
                                                                                              <w:marLeft w:val="0"/>
                                                                                              <w:marRight w:val="0"/>
                                                                                              <w:marTop w:val="0"/>
                                                                                              <w:marBottom w:val="0"/>
                                                                                              <w:divBdr>
                                                                                                <w:top w:val="none" w:sz="0" w:space="0" w:color="auto"/>
                                                                                                <w:left w:val="none" w:sz="0" w:space="0" w:color="auto"/>
                                                                                                <w:bottom w:val="none" w:sz="0" w:space="0" w:color="auto"/>
                                                                                                <w:right w:val="none" w:sz="0" w:space="0" w:color="auto"/>
                                                                                              </w:divBdr>
                                                                                              <w:divsChild>
                                                                                                <w:div w:id="1067725018">
                                                                                                  <w:marLeft w:val="0"/>
                                                                                                  <w:marRight w:val="0"/>
                                                                                                  <w:marTop w:val="0"/>
                                                                                                  <w:marBottom w:val="0"/>
                                                                                                  <w:divBdr>
                                                                                                    <w:top w:val="none" w:sz="0" w:space="0" w:color="auto"/>
                                                                                                    <w:left w:val="none" w:sz="0" w:space="0" w:color="auto"/>
                                                                                                    <w:bottom w:val="none" w:sz="0" w:space="0" w:color="auto"/>
                                                                                                    <w:right w:val="none" w:sz="0" w:space="0" w:color="auto"/>
                                                                                                  </w:divBdr>
                                                                                                  <w:divsChild>
                                                                                                    <w:div w:id="1443959767">
                                                                                                      <w:marLeft w:val="0"/>
                                                                                                      <w:marRight w:val="0"/>
                                                                                                      <w:marTop w:val="0"/>
                                                                                                      <w:marBottom w:val="0"/>
                                                                                                      <w:divBdr>
                                                                                                        <w:top w:val="none" w:sz="0" w:space="0" w:color="auto"/>
                                                                                                        <w:left w:val="none" w:sz="0" w:space="0" w:color="auto"/>
                                                                                                        <w:bottom w:val="none" w:sz="0" w:space="0" w:color="auto"/>
                                                                                                        <w:right w:val="none" w:sz="0" w:space="0" w:color="auto"/>
                                                                                                      </w:divBdr>
                                                                                                      <w:divsChild>
                                                                                                        <w:div w:id="1356537447">
                                                                                                          <w:marLeft w:val="0"/>
                                                                                                          <w:marRight w:val="0"/>
                                                                                                          <w:marTop w:val="0"/>
                                                                                                          <w:marBottom w:val="0"/>
                                                                                                          <w:divBdr>
                                                                                                            <w:top w:val="none" w:sz="0" w:space="0" w:color="auto"/>
                                                                                                            <w:left w:val="none" w:sz="0" w:space="0" w:color="auto"/>
                                                                                                            <w:bottom w:val="none" w:sz="0" w:space="0" w:color="auto"/>
                                                                                                            <w:right w:val="none" w:sz="0" w:space="0" w:color="auto"/>
                                                                                                          </w:divBdr>
                                                                                                          <w:divsChild>
                                                                                                            <w:div w:id="112815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602966">
      <w:bodyDiv w:val="1"/>
      <w:marLeft w:val="0"/>
      <w:marRight w:val="0"/>
      <w:marTop w:val="0"/>
      <w:marBottom w:val="0"/>
      <w:divBdr>
        <w:top w:val="none" w:sz="0" w:space="0" w:color="auto"/>
        <w:left w:val="none" w:sz="0" w:space="0" w:color="auto"/>
        <w:bottom w:val="none" w:sz="0" w:space="0" w:color="auto"/>
        <w:right w:val="none" w:sz="0" w:space="0" w:color="auto"/>
      </w:divBdr>
    </w:div>
    <w:div w:id="330989245">
      <w:bodyDiv w:val="1"/>
      <w:marLeft w:val="0"/>
      <w:marRight w:val="0"/>
      <w:marTop w:val="0"/>
      <w:marBottom w:val="0"/>
      <w:divBdr>
        <w:top w:val="none" w:sz="0" w:space="0" w:color="auto"/>
        <w:left w:val="none" w:sz="0" w:space="0" w:color="auto"/>
        <w:bottom w:val="none" w:sz="0" w:space="0" w:color="auto"/>
        <w:right w:val="none" w:sz="0" w:space="0" w:color="auto"/>
      </w:divBdr>
      <w:divsChild>
        <w:div w:id="1164975503">
          <w:marLeft w:val="0"/>
          <w:marRight w:val="0"/>
          <w:marTop w:val="0"/>
          <w:marBottom w:val="0"/>
          <w:divBdr>
            <w:top w:val="none" w:sz="0" w:space="0" w:color="auto"/>
            <w:left w:val="none" w:sz="0" w:space="0" w:color="auto"/>
            <w:bottom w:val="none" w:sz="0" w:space="0" w:color="auto"/>
            <w:right w:val="none" w:sz="0" w:space="0" w:color="auto"/>
          </w:divBdr>
          <w:divsChild>
            <w:div w:id="738987891">
              <w:marLeft w:val="0"/>
              <w:marRight w:val="0"/>
              <w:marTop w:val="0"/>
              <w:marBottom w:val="0"/>
              <w:divBdr>
                <w:top w:val="none" w:sz="0" w:space="0" w:color="auto"/>
                <w:left w:val="none" w:sz="0" w:space="0" w:color="auto"/>
                <w:bottom w:val="none" w:sz="0" w:space="0" w:color="auto"/>
                <w:right w:val="none" w:sz="0" w:space="0" w:color="auto"/>
              </w:divBdr>
              <w:divsChild>
                <w:div w:id="99037682">
                  <w:marLeft w:val="0"/>
                  <w:marRight w:val="0"/>
                  <w:marTop w:val="0"/>
                  <w:marBottom w:val="0"/>
                  <w:divBdr>
                    <w:top w:val="none" w:sz="0" w:space="0" w:color="auto"/>
                    <w:left w:val="none" w:sz="0" w:space="0" w:color="auto"/>
                    <w:bottom w:val="none" w:sz="0" w:space="0" w:color="auto"/>
                    <w:right w:val="none" w:sz="0" w:space="0" w:color="auto"/>
                  </w:divBdr>
                  <w:divsChild>
                    <w:div w:id="897982016">
                      <w:marLeft w:val="0"/>
                      <w:marRight w:val="0"/>
                      <w:marTop w:val="0"/>
                      <w:marBottom w:val="0"/>
                      <w:divBdr>
                        <w:top w:val="none" w:sz="0" w:space="0" w:color="auto"/>
                        <w:left w:val="none" w:sz="0" w:space="0" w:color="auto"/>
                        <w:bottom w:val="none" w:sz="0" w:space="0" w:color="auto"/>
                        <w:right w:val="none" w:sz="0" w:space="0" w:color="auto"/>
                      </w:divBdr>
                      <w:divsChild>
                        <w:div w:id="894852804">
                          <w:marLeft w:val="0"/>
                          <w:marRight w:val="0"/>
                          <w:marTop w:val="45"/>
                          <w:marBottom w:val="0"/>
                          <w:divBdr>
                            <w:top w:val="none" w:sz="0" w:space="0" w:color="auto"/>
                            <w:left w:val="none" w:sz="0" w:space="0" w:color="auto"/>
                            <w:bottom w:val="none" w:sz="0" w:space="0" w:color="auto"/>
                            <w:right w:val="none" w:sz="0" w:space="0" w:color="auto"/>
                          </w:divBdr>
                          <w:divsChild>
                            <w:div w:id="1976450744">
                              <w:marLeft w:val="0"/>
                              <w:marRight w:val="0"/>
                              <w:marTop w:val="0"/>
                              <w:marBottom w:val="0"/>
                              <w:divBdr>
                                <w:top w:val="none" w:sz="0" w:space="0" w:color="auto"/>
                                <w:left w:val="none" w:sz="0" w:space="0" w:color="auto"/>
                                <w:bottom w:val="none" w:sz="0" w:space="0" w:color="auto"/>
                                <w:right w:val="none" w:sz="0" w:space="0" w:color="auto"/>
                              </w:divBdr>
                              <w:divsChild>
                                <w:div w:id="71434283">
                                  <w:marLeft w:val="2070"/>
                                  <w:marRight w:val="3810"/>
                                  <w:marTop w:val="0"/>
                                  <w:marBottom w:val="0"/>
                                  <w:divBdr>
                                    <w:top w:val="none" w:sz="0" w:space="0" w:color="auto"/>
                                    <w:left w:val="none" w:sz="0" w:space="0" w:color="auto"/>
                                    <w:bottom w:val="none" w:sz="0" w:space="0" w:color="auto"/>
                                    <w:right w:val="none" w:sz="0" w:space="0" w:color="auto"/>
                                  </w:divBdr>
                                  <w:divsChild>
                                    <w:div w:id="920872290">
                                      <w:marLeft w:val="0"/>
                                      <w:marRight w:val="0"/>
                                      <w:marTop w:val="0"/>
                                      <w:marBottom w:val="0"/>
                                      <w:divBdr>
                                        <w:top w:val="none" w:sz="0" w:space="0" w:color="auto"/>
                                        <w:left w:val="none" w:sz="0" w:space="0" w:color="auto"/>
                                        <w:bottom w:val="none" w:sz="0" w:space="0" w:color="auto"/>
                                        <w:right w:val="none" w:sz="0" w:space="0" w:color="auto"/>
                                      </w:divBdr>
                                      <w:divsChild>
                                        <w:div w:id="1856921785">
                                          <w:marLeft w:val="0"/>
                                          <w:marRight w:val="0"/>
                                          <w:marTop w:val="0"/>
                                          <w:marBottom w:val="0"/>
                                          <w:divBdr>
                                            <w:top w:val="none" w:sz="0" w:space="0" w:color="auto"/>
                                            <w:left w:val="none" w:sz="0" w:space="0" w:color="auto"/>
                                            <w:bottom w:val="none" w:sz="0" w:space="0" w:color="auto"/>
                                            <w:right w:val="none" w:sz="0" w:space="0" w:color="auto"/>
                                          </w:divBdr>
                                          <w:divsChild>
                                            <w:div w:id="1121994146">
                                              <w:marLeft w:val="0"/>
                                              <w:marRight w:val="0"/>
                                              <w:marTop w:val="0"/>
                                              <w:marBottom w:val="0"/>
                                              <w:divBdr>
                                                <w:top w:val="none" w:sz="0" w:space="0" w:color="auto"/>
                                                <w:left w:val="none" w:sz="0" w:space="0" w:color="auto"/>
                                                <w:bottom w:val="none" w:sz="0" w:space="0" w:color="auto"/>
                                                <w:right w:val="none" w:sz="0" w:space="0" w:color="auto"/>
                                              </w:divBdr>
                                              <w:divsChild>
                                                <w:div w:id="1424063145">
                                                  <w:marLeft w:val="0"/>
                                                  <w:marRight w:val="0"/>
                                                  <w:marTop w:val="0"/>
                                                  <w:marBottom w:val="0"/>
                                                  <w:divBdr>
                                                    <w:top w:val="none" w:sz="0" w:space="0" w:color="auto"/>
                                                    <w:left w:val="none" w:sz="0" w:space="0" w:color="auto"/>
                                                    <w:bottom w:val="none" w:sz="0" w:space="0" w:color="auto"/>
                                                    <w:right w:val="none" w:sz="0" w:space="0" w:color="auto"/>
                                                  </w:divBdr>
                                                  <w:divsChild>
                                                    <w:div w:id="1411388399">
                                                      <w:marLeft w:val="0"/>
                                                      <w:marRight w:val="0"/>
                                                      <w:marTop w:val="0"/>
                                                      <w:marBottom w:val="0"/>
                                                      <w:divBdr>
                                                        <w:top w:val="none" w:sz="0" w:space="0" w:color="auto"/>
                                                        <w:left w:val="none" w:sz="0" w:space="0" w:color="auto"/>
                                                        <w:bottom w:val="none" w:sz="0" w:space="0" w:color="auto"/>
                                                        <w:right w:val="none" w:sz="0" w:space="0" w:color="auto"/>
                                                      </w:divBdr>
                                                      <w:divsChild>
                                                        <w:div w:id="1314523649">
                                                          <w:marLeft w:val="0"/>
                                                          <w:marRight w:val="0"/>
                                                          <w:marTop w:val="0"/>
                                                          <w:marBottom w:val="345"/>
                                                          <w:divBdr>
                                                            <w:top w:val="none" w:sz="0" w:space="0" w:color="auto"/>
                                                            <w:left w:val="none" w:sz="0" w:space="0" w:color="auto"/>
                                                            <w:bottom w:val="none" w:sz="0" w:space="0" w:color="auto"/>
                                                            <w:right w:val="none" w:sz="0" w:space="0" w:color="auto"/>
                                                          </w:divBdr>
                                                          <w:divsChild>
                                                            <w:div w:id="951329136">
                                                              <w:marLeft w:val="0"/>
                                                              <w:marRight w:val="0"/>
                                                              <w:marTop w:val="0"/>
                                                              <w:marBottom w:val="0"/>
                                                              <w:divBdr>
                                                                <w:top w:val="none" w:sz="0" w:space="0" w:color="auto"/>
                                                                <w:left w:val="none" w:sz="0" w:space="0" w:color="auto"/>
                                                                <w:bottom w:val="none" w:sz="0" w:space="0" w:color="auto"/>
                                                                <w:right w:val="none" w:sz="0" w:space="0" w:color="auto"/>
                                                              </w:divBdr>
                                                              <w:divsChild>
                                                                <w:div w:id="337194102">
                                                                  <w:marLeft w:val="0"/>
                                                                  <w:marRight w:val="0"/>
                                                                  <w:marTop w:val="0"/>
                                                                  <w:marBottom w:val="0"/>
                                                                  <w:divBdr>
                                                                    <w:top w:val="none" w:sz="0" w:space="0" w:color="auto"/>
                                                                    <w:left w:val="none" w:sz="0" w:space="0" w:color="auto"/>
                                                                    <w:bottom w:val="none" w:sz="0" w:space="0" w:color="auto"/>
                                                                    <w:right w:val="none" w:sz="0" w:space="0" w:color="auto"/>
                                                                  </w:divBdr>
                                                                  <w:divsChild>
                                                                    <w:div w:id="667443230">
                                                                      <w:marLeft w:val="0"/>
                                                                      <w:marRight w:val="0"/>
                                                                      <w:marTop w:val="0"/>
                                                                      <w:marBottom w:val="0"/>
                                                                      <w:divBdr>
                                                                        <w:top w:val="none" w:sz="0" w:space="0" w:color="auto"/>
                                                                        <w:left w:val="none" w:sz="0" w:space="0" w:color="auto"/>
                                                                        <w:bottom w:val="none" w:sz="0" w:space="0" w:color="auto"/>
                                                                        <w:right w:val="none" w:sz="0" w:space="0" w:color="auto"/>
                                                                      </w:divBdr>
                                                                      <w:divsChild>
                                                                        <w:div w:id="177737530">
                                                                          <w:marLeft w:val="0"/>
                                                                          <w:marRight w:val="0"/>
                                                                          <w:marTop w:val="0"/>
                                                                          <w:marBottom w:val="0"/>
                                                                          <w:divBdr>
                                                                            <w:top w:val="none" w:sz="0" w:space="0" w:color="auto"/>
                                                                            <w:left w:val="none" w:sz="0" w:space="0" w:color="auto"/>
                                                                            <w:bottom w:val="none" w:sz="0" w:space="0" w:color="auto"/>
                                                                            <w:right w:val="none" w:sz="0" w:space="0" w:color="auto"/>
                                                                          </w:divBdr>
                                                                          <w:divsChild>
                                                                            <w:div w:id="138428978">
                                                                              <w:marLeft w:val="0"/>
                                                                              <w:marRight w:val="0"/>
                                                                              <w:marTop w:val="0"/>
                                                                              <w:marBottom w:val="0"/>
                                                                              <w:divBdr>
                                                                                <w:top w:val="none" w:sz="0" w:space="0" w:color="auto"/>
                                                                                <w:left w:val="none" w:sz="0" w:space="0" w:color="auto"/>
                                                                                <w:bottom w:val="none" w:sz="0" w:space="0" w:color="auto"/>
                                                                                <w:right w:val="none" w:sz="0" w:space="0" w:color="auto"/>
                                                                              </w:divBdr>
                                                                              <w:divsChild>
                                                                                <w:div w:id="313025697">
                                                                                  <w:marLeft w:val="0"/>
                                                                                  <w:marRight w:val="0"/>
                                                                                  <w:marTop w:val="0"/>
                                                                                  <w:marBottom w:val="0"/>
                                                                                  <w:divBdr>
                                                                                    <w:top w:val="none" w:sz="0" w:space="0" w:color="auto"/>
                                                                                    <w:left w:val="none" w:sz="0" w:space="0" w:color="auto"/>
                                                                                    <w:bottom w:val="none" w:sz="0" w:space="0" w:color="auto"/>
                                                                                    <w:right w:val="none" w:sz="0" w:space="0" w:color="auto"/>
                                                                                  </w:divBdr>
                                                                                  <w:divsChild>
                                                                                    <w:div w:id="199443197">
                                                                                      <w:marLeft w:val="0"/>
                                                                                      <w:marRight w:val="0"/>
                                                                                      <w:marTop w:val="0"/>
                                                                                      <w:marBottom w:val="0"/>
                                                                                      <w:divBdr>
                                                                                        <w:top w:val="none" w:sz="0" w:space="0" w:color="auto"/>
                                                                                        <w:left w:val="none" w:sz="0" w:space="0" w:color="auto"/>
                                                                                        <w:bottom w:val="none" w:sz="0" w:space="0" w:color="auto"/>
                                                                                        <w:right w:val="none" w:sz="0" w:space="0" w:color="auto"/>
                                                                                      </w:divBdr>
                                                                                      <w:divsChild>
                                                                                        <w:div w:id="1319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8704520">
      <w:bodyDiv w:val="1"/>
      <w:marLeft w:val="0"/>
      <w:marRight w:val="0"/>
      <w:marTop w:val="0"/>
      <w:marBottom w:val="0"/>
      <w:divBdr>
        <w:top w:val="none" w:sz="0" w:space="0" w:color="auto"/>
        <w:left w:val="none" w:sz="0" w:space="0" w:color="auto"/>
        <w:bottom w:val="none" w:sz="0" w:space="0" w:color="auto"/>
        <w:right w:val="none" w:sz="0" w:space="0" w:color="auto"/>
      </w:divBdr>
      <w:divsChild>
        <w:div w:id="1144010076">
          <w:marLeft w:val="0"/>
          <w:marRight w:val="0"/>
          <w:marTop w:val="0"/>
          <w:marBottom w:val="0"/>
          <w:divBdr>
            <w:top w:val="none" w:sz="0" w:space="0" w:color="auto"/>
            <w:left w:val="none" w:sz="0" w:space="0" w:color="auto"/>
            <w:bottom w:val="none" w:sz="0" w:space="0" w:color="auto"/>
            <w:right w:val="none" w:sz="0" w:space="0" w:color="auto"/>
          </w:divBdr>
          <w:divsChild>
            <w:div w:id="807285526">
              <w:marLeft w:val="0"/>
              <w:marRight w:val="0"/>
              <w:marTop w:val="0"/>
              <w:marBottom w:val="0"/>
              <w:divBdr>
                <w:top w:val="none" w:sz="0" w:space="0" w:color="auto"/>
                <w:left w:val="none" w:sz="0" w:space="0" w:color="auto"/>
                <w:bottom w:val="none" w:sz="0" w:space="0" w:color="auto"/>
                <w:right w:val="none" w:sz="0" w:space="0" w:color="auto"/>
              </w:divBdr>
            </w:div>
            <w:div w:id="8243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19459">
      <w:bodyDiv w:val="1"/>
      <w:marLeft w:val="0"/>
      <w:marRight w:val="0"/>
      <w:marTop w:val="0"/>
      <w:marBottom w:val="0"/>
      <w:divBdr>
        <w:top w:val="none" w:sz="0" w:space="0" w:color="auto"/>
        <w:left w:val="none" w:sz="0" w:space="0" w:color="auto"/>
        <w:bottom w:val="none" w:sz="0" w:space="0" w:color="auto"/>
        <w:right w:val="none" w:sz="0" w:space="0" w:color="auto"/>
      </w:divBdr>
    </w:div>
    <w:div w:id="376200736">
      <w:bodyDiv w:val="1"/>
      <w:marLeft w:val="0"/>
      <w:marRight w:val="0"/>
      <w:marTop w:val="0"/>
      <w:marBottom w:val="0"/>
      <w:divBdr>
        <w:top w:val="none" w:sz="0" w:space="0" w:color="auto"/>
        <w:left w:val="none" w:sz="0" w:space="0" w:color="auto"/>
        <w:bottom w:val="none" w:sz="0" w:space="0" w:color="auto"/>
        <w:right w:val="none" w:sz="0" w:space="0" w:color="auto"/>
      </w:divBdr>
    </w:div>
    <w:div w:id="394281266">
      <w:bodyDiv w:val="1"/>
      <w:marLeft w:val="0"/>
      <w:marRight w:val="0"/>
      <w:marTop w:val="0"/>
      <w:marBottom w:val="0"/>
      <w:divBdr>
        <w:top w:val="none" w:sz="0" w:space="0" w:color="auto"/>
        <w:left w:val="none" w:sz="0" w:space="0" w:color="auto"/>
        <w:bottom w:val="none" w:sz="0" w:space="0" w:color="auto"/>
        <w:right w:val="none" w:sz="0" w:space="0" w:color="auto"/>
      </w:divBdr>
    </w:div>
    <w:div w:id="404568471">
      <w:bodyDiv w:val="1"/>
      <w:marLeft w:val="0"/>
      <w:marRight w:val="0"/>
      <w:marTop w:val="0"/>
      <w:marBottom w:val="0"/>
      <w:divBdr>
        <w:top w:val="none" w:sz="0" w:space="0" w:color="auto"/>
        <w:left w:val="none" w:sz="0" w:space="0" w:color="auto"/>
        <w:bottom w:val="none" w:sz="0" w:space="0" w:color="auto"/>
        <w:right w:val="none" w:sz="0" w:space="0" w:color="auto"/>
      </w:divBdr>
    </w:div>
    <w:div w:id="413480684">
      <w:bodyDiv w:val="1"/>
      <w:marLeft w:val="0"/>
      <w:marRight w:val="0"/>
      <w:marTop w:val="0"/>
      <w:marBottom w:val="0"/>
      <w:divBdr>
        <w:top w:val="none" w:sz="0" w:space="0" w:color="auto"/>
        <w:left w:val="none" w:sz="0" w:space="0" w:color="auto"/>
        <w:bottom w:val="none" w:sz="0" w:space="0" w:color="auto"/>
        <w:right w:val="none" w:sz="0" w:space="0" w:color="auto"/>
      </w:divBdr>
    </w:div>
    <w:div w:id="416099298">
      <w:bodyDiv w:val="1"/>
      <w:marLeft w:val="0"/>
      <w:marRight w:val="0"/>
      <w:marTop w:val="0"/>
      <w:marBottom w:val="0"/>
      <w:divBdr>
        <w:top w:val="none" w:sz="0" w:space="0" w:color="auto"/>
        <w:left w:val="none" w:sz="0" w:space="0" w:color="auto"/>
        <w:bottom w:val="none" w:sz="0" w:space="0" w:color="auto"/>
        <w:right w:val="none" w:sz="0" w:space="0" w:color="auto"/>
      </w:divBdr>
    </w:div>
    <w:div w:id="426580103">
      <w:bodyDiv w:val="1"/>
      <w:marLeft w:val="0"/>
      <w:marRight w:val="0"/>
      <w:marTop w:val="0"/>
      <w:marBottom w:val="0"/>
      <w:divBdr>
        <w:top w:val="none" w:sz="0" w:space="0" w:color="auto"/>
        <w:left w:val="none" w:sz="0" w:space="0" w:color="auto"/>
        <w:bottom w:val="none" w:sz="0" w:space="0" w:color="auto"/>
        <w:right w:val="none" w:sz="0" w:space="0" w:color="auto"/>
      </w:divBdr>
    </w:div>
    <w:div w:id="445661815">
      <w:bodyDiv w:val="1"/>
      <w:marLeft w:val="0"/>
      <w:marRight w:val="0"/>
      <w:marTop w:val="0"/>
      <w:marBottom w:val="0"/>
      <w:divBdr>
        <w:top w:val="none" w:sz="0" w:space="0" w:color="auto"/>
        <w:left w:val="none" w:sz="0" w:space="0" w:color="auto"/>
        <w:bottom w:val="none" w:sz="0" w:space="0" w:color="auto"/>
        <w:right w:val="none" w:sz="0" w:space="0" w:color="auto"/>
      </w:divBdr>
    </w:div>
    <w:div w:id="452597152">
      <w:bodyDiv w:val="1"/>
      <w:marLeft w:val="0"/>
      <w:marRight w:val="0"/>
      <w:marTop w:val="0"/>
      <w:marBottom w:val="0"/>
      <w:divBdr>
        <w:top w:val="none" w:sz="0" w:space="0" w:color="auto"/>
        <w:left w:val="none" w:sz="0" w:space="0" w:color="auto"/>
        <w:bottom w:val="none" w:sz="0" w:space="0" w:color="auto"/>
        <w:right w:val="none" w:sz="0" w:space="0" w:color="auto"/>
      </w:divBdr>
    </w:div>
    <w:div w:id="519320196">
      <w:bodyDiv w:val="1"/>
      <w:marLeft w:val="0"/>
      <w:marRight w:val="0"/>
      <w:marTop w:val="0"/>
      <w:marBottom w:val="0"/>
      <w:divBdr>
        <w:top w:val="none" w:sz="0" w:space="0" w:color="auto"/>
        <w:left w:val="none" w:sz="0" w:space="0" w:color="auto"/>
        <w:bottom w:val="none" w:sz="0" w:space="0" w:color="auto"/>
        <w:right w:val="none" w:sz="0" w:space="0" w:color="auto"/>
      </w:divBdr>
    </w:div>
    <w:div w:id="550918540">
      <w:bodyDiv w:val="1"/>
      <w:marLeft w:val="0"/>
      <w:marRight w:val="0"/>
      <w:marTop w:val="0"/>
      <w:marBottom w:val="0"/>
      <w:divBdr>
        <w:top w:val="none" w:sz="0" w:space="0" w:color="auto"/>
        <w:left w:val="none" w:sz="0" w:space="0" w:color="auto"/>
        <w:bottom w:val="none" w:sz="0" w:space="0" w:color="auto"/>
        <w:right w:val="none" w:sz="0" w:space="0" w:color="auto"/>
      </w:divBdr>
    </w:div>
    <w:div w:id="553279280">
      <w:bodyDiv w:val="1"/>
      <w:marLeft w:val="0"/>
      <w:marRight w:val="0"/>
      <w:marTop w:val="0"/>
      <w:marBottom w:val="0"/>
      <w:divBdr>
        <w:top w:val="none" w:sz="0" w:space="0" w:color="auto"/>
        <w:left w:val="none" w:sz="0" w:space="0" w:color="auto"/>
        <w:bottom w:val="none" w:sz="0" w:space="0" w:color="auto"/>
        <w:right w:val="none" w:sz="0" w:space="0" w:color="auto"/>
      </w:divBdr>
    </w:div>
    <w:div w:id="626355844">
      <w:bodyDiv w:val="1"/>
      <w:marLeft w:val="0"/>
      <w:marRight w:val="0"/>
      <w:marTop w:val="0"/>
      <w:marBottom w:val="0"/>
      <w:divBdr>
        <w:top w:val="none" w:sz="0" w:space="0" w:color="auto"/>
        <w:left w:val="none" w:sz="0" w:space="0" w:color="auto"/>
        <w:bottom w:val="none" w:sz="0" w:space="0" w:color="auto"/>
        <w:right w:val="none" w:sz="0" w:space="0" w:color="auto"/>
      </w:divBdr>
    </w:div>
    <w:div w:id="663321653">
      <w:bodyDiv w:val="1"/>
      <w:marLeft w:val="0"/>
      <w:marRight w:val="0"/>
      <w:marTop w:val="0"/>
      <w:marBottom w:val="0"/>
      <w:divBdr>
        <w:top w:val="none" w:sz="0" w:space="0" w:color="auto"/>
        <w:left w:val="none" w:sz="0" w:space="0" w:color="auto"/>
        <w:bottom w:val="none" w:sz="0" w:space="0" w:color="auto"/>
        <w:right w:val="none" w:sz="0" w:space="0" w:color="auto"/>
      </w:divBdr>
    </w:div>
    <w:div w:id="681973667">
      <w:bodyDiv w:val="1"/>
      <w:marLeft w:val="0"/>
      <w:marRight w:val="0"/>
      <w:marTop w:val="0"/>
      <w:marBottom w:val="0"/>
      <w:divBdr>
        <w:top w:val="none" w:sz="0" w:space="0" w:color="auto"/>
        <w:left w:val="none" w:sz="0" w:space="0" w:color="auto"/>
        <w:bottom w:val="none" w:sz="0" w:space="0" w:color="auto"/>
        <w:right w:val="none" w:sz="0" w:space="0" w:color="auto"/>
      </w:divBdr>
    </w:div>
    <w:div w:id="708719980">
      <w:bodyDiv w:val="1"/>
      <w:marLeft w:val="0"/>
      <w:marRight w:val="0"/>
      <w:marTop w:val="0"/>
      <w:marBottom w:val="0"/>
      <w:divBdr>
        <w:top w:val="none" w:sz="0" w:space="0" w:color="auto"/>
        <w:left w:val="none" w:sz="0" w:space="0" w:color="auto"/>
        <w:bottom w:val="none" w:sz="0" w:space="0" w:color="auto"/>
        <w:right w:val="none" w:sz="0" w:space="0" w:color="auto"/>
      </w:divBdr>
    </w:div>
    <w:div w:id="721103818">
      <w:bodyDiv w:val="1"/>
      <w:marLeft w:val="0"/>
      <w:marRight w:val="0"/>
      <w:marTop w:val="0"/>
      <w:marBottom w:val="0"/>
      <w:divBdr>
        <w:top w:val="none" w:sz="0" w:space="0" w:color="auto"/>
        <w:left w:val="none" w:sz="0" w:space="0" w:color="auto"/>
        <w:bottom w:val="none" w:sz="0" w:space="0" w:color="auto"/>
        <w:right w:val="none" w:sz="0" w:space="0" w:color="auto"/>
      </w:divBdr>
    </w:div>
    <w:div w:id="721827478">
      <w:bodyDiv w:val="1"/>
      <w:marLeft w:val="0"/>
      <w:marRight w:val="0"/>
      <w:marTop w:val="0"/>
      <w:marBottom w:val="0"/>
      <w:divBdr>
        <w:top w:val="none" w:sz="0" w:space="0" w:color="auto"/>
        <w:left w:val="none" w:sz="0" w:space="0" w:color="auto"/>
        <w:bottom w:val="none" w:sz="0" w:space="0" w:color="auto"/>
        <w:right w:val="none" w:sz="0" w:space="0" w:color="auto"/>
      </w:divBdr>
    </w:div>
    <w:div w:id="730612735">
      <w:bodyDiv w:val="1"/>
      <w:marLeft w:val="0"/>
      <w:marRight w:val="0"/>
      <w:marTop w:val="0"/>
      <w:marBottom w:val="0"/>
      <w:divBdr>
        <w:top w:val="none" w:sz="0" w:space="0" w:color="auto"/>
        <w:left w:val="none" w:sz="0" w:space="0" w:color="auto"/>
        <w:bottom w:val="none" w:sz="0" w:space="0" w:color="auto"/>
        <w:right w:val="none" w:sz="0" w:space="0" w:color="auto"/>
      </w:divBdr>
    </w:div>
    <w:div w:id="756680750">
      <w:bodyDiv w:val="1"/>
      <w:marLeft w:val="0"/>
      <w:marRight w:val="0"/>
      <w:marTop w:val="0"/>
      <w:marBottom w:val="0"/>
      <w:divBdr>
        <w:top w:val="none" w:sz="0" w:space="0" w:color="auto"/>
        <w:left w:val="none" w:sz="0" w:space="0" w:color="auto"/>
        <w:bottom w:val="none" w:sz="0" w:space="0" w:color="auto"/>
        <w:right w:val="none" w:sz="0" w:space="0" w:color="auto"/>
      </w:divBdr>
    </w:div>
    <w:div w:id="838037944">
      <w:bodyDiv w:val="1"/>
      <w:marLeft w:val="0"/>
      <w:marRight w:val="0"/>
      <w:marTop w:val="0"/>
      <w:marBottom w:val="0"/>
      <w:divBdr>
        <w:top w:val="none" w:sz="0" w:space="0" w:color="auto"/>
        <w:left w:val="none" w:sz="0" w:space="0" w:color="auto"/>
        <w:bottom w:val="none" w:sz="0" w:space="0" w:color="auto"/>
        <w:right w:val="none" w:sz="0" w:space="0" w:color="auto"/>
      </w:divBdr>
    </w:div>
    <w:div w:id="861091588">
      <w:bodyDiv w:val="1"/>
      <w:marLeft w:val="0"/>
      <w:marRight w:val="0"/>
      <w:marTop w:val="0"/>
      <w:marBottom w:val="0"/>
      <w:divBdr>
        <w:top w:val="none" w:sz="0" w:space="0" w:color="auto"/>
        <w:left w:val="none" w:sz="0" w:space="0" w:color="auto"/>
        <w:bottom w:val="none" w:sz="0" w:space="0" w:color="auto"/>
        <w:right w:val="none" w:sz="0" w:space="0" w:color="auto"/>
      </w:divBdr>
    </w:div>
    <w:div w:id="887691203">
      <w:bodyDiv w:val="1"/>
      <w:marLeft w:val="0"/>
      <w:marRight w:val="0"/>
      <w:marTop w:val="0"/>
      <w:marBottom w:val="0"/>
      <w:divBdr>
        <w:top w:val="none" w:sz="0" w:space="0" w:color="auto"/>
        <w:left w:val="none" w:sz="0" w:space="0" w:color="auto"/>
        <w:bottom w:val="none" w:sz="0" w:space="0" w:color="auto"/>
        <w:right w:val="none" w:sz="0" w:space="0" w:color="auto"/>
      </w:divBdr>
    </w:div>
    <w:div w:id="897783805">
      <w:bodyDiv w:val="1"/>
      <w:marLeft w:val="0"/>
      <w:marRight w:val="0"/>
      <w:marTop w:val="0"/>
      <w:marBottom w:val="0"/>
      <w:divBdr>
        <w:top w:val="none" w:sz="0" w:space="0" w:color="auto"/>
        <w:left w:val="none" w:sz="0" w:space="0" w:color="auto"/>
        <w:bottom w:val="none" w:sz="0" w:space="0" w:color="auto"/>
        <w:right w:val="none" w:sz="0" w:space="0" w:color="auto"/>
      </w:divBdr>
    </w:div>
    <w:div w:id="926615295">
      <w:bodyDiv w:val="1"/>
      <w:marLeft w:val="0"/>
      <w:marRight w:val="0"/>
      <w:marTop w:val="0"/>
      <w:marBottom w:val="0"/>
      <w:divBdr>
        <w:top w:val="none" w:sz="0" w:space="0" w:color="auto"/>
        <w:left w:val="none" w:sz="0" w:space="0" w:color="auto"/>
        <w:bottom w:val="none" w:sz="0" w:space="0" w:color="auto"/>
        <w:right w:val="none" w:sz="0" w:space="0" w:color="auto"/>
      </w:divBdr>
    </w:div>
    <w:div w:id="931742807">
      <w:bodyDiv w:val="1"/>
      <w:marLeft w:val="0"/>
      <w:marRight w:val="0"/>
      <w:marTop w:val="0"/>
      <w:marBottom w:val="0"/>
      <w:divBdr>
        <w:top w:val="none" w:sz="0" w:space="0" w:color="auto"/>
        <w:left w:val="none" w:sz="0" w:space="0" w:color="auto"/>
        <w:bottom w:val="none" w:sz="0" w:space="0" w:color="auto"/>
        <w:right w:val="none" w:sz="0" w:space="0" w:color="auto"/>
      </w:divBdr>
    </w:div>
    <w:div w:id="958413496">
      <w:bodyDiv w:val="1"/>
      <w:marLeft w:val="0"/>
      <w:marRight w:val="0"/>
      <w:marTop w:val="0"/>
      <w:marBottom w:val="0"/>
      <w:divBdr>
        <w:top w:val="none" w:sz="0" w:space="0" w:color="auto"/>
        <w:left w:val="none" w:sz="0" w:space="0" w:color="auto"/>
        <w:bottom w:val="none" w:sz="0" w:space="0" w:color="auto"/>
        <w:right w:val="none" w:sz="0" w:space="0" w:color="auto"/>
      </w:divBdr>
    </w:div>
    <w:div w:id="963001088">
      <w:marLeft w:val="0"/>
      <w:marRight w:val="0"/>
      <w:marTop w:val="0"/>
      <w:marBottom w:val="0"/>
      <w:divBdr>
        <w:top w:val="none" w:sz="0" w:space="0" w:color="auto"/>
        <w:left w:val="none" w:sz="0" w:space="0" w:color="auto"/>
        <w:bottom w:val="none" w:sz="0" w:space="0" w:color="auto"/>
        <w:right w:val="none" w:sz="0" w:space="0" w:color="auto"/>
      </w:divBdr>
    </w:div>
    <w:div w:id="965429217">
      <w:bodyDiv w:val="1"/>
      <w:marLeft w:val="0"/>
      <w:marRight w:val="0"/>
      <w:marTop w:val="0"/>
      <w:marBottom w:val="0"/>
      <w:divBdr>
        <w:top w:val="none" w:sz="0" w:space="0" w:color="auto"/>
        <w:left w:val="none" w:sz="0" w:space="0" w:color="auto"/>
        <w:bottom w:val="none" w:sz="0" w:space="0" w:color="auto"/>
        <w:right w:val="none" w:sz="0" w:space="0" w:color="auto"/>
      </w:divBdr>
    </w:div>
    <w:div w:id="969744088">
      <w:bodyDiv w:val="1"/>
      <w:marLeft w:val="0"/>
      <w:marRight w:val="0"/>
      <w:marTop w:val="0"/>
      <w:marBottom w:val="0"/>
      <w:divBdr>
        <w:top w:val="none" w:sz="0" w:space="0" w:color="auto"/>
        <w:left w:val="none" w:sz="0" w:space="0" w:color="auto"/>
        <w:bottom w:val="none" w:sz="0" w:space="0" w:color="auto"/>
        <w:right w:val="none" w:sz="0" w:space="0" w:color="auto"/>
      </w:divBdr>
    </w:div>
    <w:div w:id="977339225">
      <w:bodyDiv w:val="1"/>
      <w:marLeft w:val="0"/>
      <w:marRight w:val="0"/>
      <w:marTop w:val="0"/>
      <w:marBottom w:val="0"/>
      <w:divBdr>
        <w:top w:val="none" w:sz="0" w:space="0" w:color="auto"/>
        <w:left w:val="none" w:sz="0" w:space="0" w:color="auto"/>
        <w:bottom w:val="none" w:sz="0" w:space="0" w:color="auto"/>
        <w:right w:val="none" w:sz="0" w:space="0" w:color="auto"/>
      </w:divBdr>
    </w:div>
    <w:div w:id="1014310113">
      <w:bodyDiv w:val="1"/>
      <w:marLeft w:val="0"/>
      <w:marRight w:val="0"/>
      <w:marTop w:val="0"/>
      <w:marBottom w:val="0"/>
      <w:divBdr>
        <w:top w:val="none" w:sz="0" w:space="0" w:color="auto"/>
        <w:left w:val="none" w:sz="0" w:space="0" w:color="auto"/>
        <w:bottom w:val="none" w:sz="0" w:space="0" w:color="auto"/>
        <w:right w:val="none" w:sz="0" w:space="0" w:color="auto"/>
      </w:divBdr>
      <w:divsChild>
        <w:div w:id="1823308688">
          <w:marLeft w:val="0"/>
          <w:marRight w:val="0"/>
          <w:marTop w:val="0"/>
          <w:marBottom w:val="0"/>
          <w:divBdr>
            <w:top w:val="none" w:sz="0" w:space="0" w:color="auto"/>
            <w:left w:val="none" w:sz="0" w:space="0" w:color="auto"/>
            <w:bottom w:val="none" w:sz="0" w:space="0" w:color="auto"/>
            <w:right w:val="none" w:sz="0" w:space="0" w:color="auto"/>
          </w:divBdr>
        </w:div>
        <w:div w:id="1909654099">
          <w:marLeft w:val="0"/>
          <w:marRight w:val="0"/>
          <w:marTop w:val="0"/>
          <w:marBottom w:val="0"/>
          <w:divBdr>
            <w:top w:val="none" w:sz="0" w:space="0" w:color="auto"/>
            <w:left w:val="none" w:sz="0" w:space="0" w:color="auto"/>
            <w:bottom w:val="none" w:sz="0" w:space="0" w:color="auto"/>
            <w:right w:val="none" w:sz="0" w:space="0" w:color="auto"/>
          </w:divBdr>
        </w:div>
      </w:divsChild>
    </w:div>
    <w:div w:id="1017006629">
      <w:bodyDiv w:val="1"/>
      <w:marLeft w:val="0"/>
      <w:marRight w:val="0"/>
      <w:marTop w:val="0"/>
      <w:marBottom w:val="0"/>
      <w:divBdr>
        <w:top w:val="none" w:sz="0" w:space="0" w:color="auto"/>
        <w:left w:val="none" w:sz="0" w:space="0" w:color="auto"/>
        <w:bottom w:val="none" w:sz="0" w:space="0" w:color="auto"/>
        <w:right w:val="none" w:sz="0" w:space="0" w:color="auto"/>
      </w:divBdr>
    </w:div>
    <w:div w:id="1040057540">
      <w:bodyDiv w:val="1"/>
      <w:marLeft w:val="0"/>
      <w:marRight w:val="0"/>
      <w:marTop w:val="0"/>
      <w:marBottom w:val="0"/>
      <w:divBdr>
        <w:top w:val="none" w:sz="0" w:space="0" w:color="auto"/>
        <w:left w:val="none" w:sz="0" w:space="0" w:color="auto"/>
        <w:bottom w:val="none" w:sz="0" w:space="0" w:color="auto"/>
        <w:right w:val="none" w:sz="0" w:space="0" w:color="auto"/>
      </w:divBdr>
    </w:div>
    <w:div w:id="1070153655">
      <w:bodyDiv w:val="1"/>
      <w:marLeft w:val="0"/>
      <w:marRight w:val="0"/>
      <w:marTop w:val="0"/>
      <w:marBottom w:val="0"/>
      <w:divBdr>
        <w:top w:val="none" w:sz="0" w:space="0" w:color="auto"/>
        <w:left w:val="none" w:sz="0" w:space="0" w:color="auto"/>
        <w:bottom w:val="none" w:sz="0" w:space="0" w:color="auto"/>
        <w:right w:val="none" w:sz="0" w:space="0" w:color="auto"/>
      </w:divBdr>
    </w:div>
    <w:div w:id="1081105312">
      <w:bodyDiv w:val="1"/>
      <w:marLeft w:val="0"/>
      <w:marRight w:val="0"/>
      <w:marTop w:val="0"/>
      <w:marBottom w:val="0"/>
      <w:divBdr>
        <w:top w:val="none" w:sz="0" w:space="0" w:color="auto"/>
        <w:left w:val="none" w:sz="0" w:space="0" w:color="auto"/>
        <w:bottom w:val="none" w:sz="0" w:space="0" w:color="auto"/>
        <w:right w:val="none" w:sz="0" w:space="0" w:color="auto"/>
      </w:divBdr>
    </w:div>
    <w:div w:id="1108043804">
      <w:bodyDiv w:val="1"/>
      <w:marLeft w:val="0"/>
      <w:marRight w:val="0"/>
      <w:marTop w:val="0"/>
      <w:marBottom w:val="0"/>
      <w:divBdr>
        <w:top w:val="none" w:sz="0" w:space="0" w:color="auto"/>
        <w:left w:val="none" w:sz="0" w:space="0" w:color="auto"/>
        <w:bottom w:val="none" w:sz="0" w:space="0" w:color="auto"/>
        <w:right w:val="none" w:sz="0" w:space="0" w:color="auto"/>
      </w:divBdr>
    </w:div>
    <w:div w:id="1121530403">
      <w:bodyDiv w:val="1"/>
      <w:marLeft w:val="0"/>
      <w:marRight w:val="0"/>
      <w:marTop w:val="0"/>
      <w:marBottom w:val="0"/>
      <w:divBdr>
        <w:top w:val="none" w:sz="0" w:space="0" w:color="auto"/>
        <w:left w:val="none" w:sz="0" w:space="0" w:color="auto"/>
        <w:bottom w:val="none" w:sz="0" w:space="0" w:color="auto"/>
        <w:right w:val="none" w:sz="0" w:space="0" w:color="auto"/>
      </w:divBdr>
    </w:div>
    <w:div w:id="1132551688">
      <w:bodyDiv w:val="1"/>
      <w:marLeft w:val="0"/>
      <w:marRight w:val="0"/>
      <w:marTop w:val="0"/>
      <w:marBottom w:val="0"/>
      <w:divBdr>
        <w:top w:val="none" w:sz="0" w:space="0" w:color="auto"/>
        <w:left w:val="none" w:sz="0" w:space="0" w:color="auto"/>
        <w:bottom w:val="none" w:sz="0" w:space="0" w:color="auto"/>
        <w:right w:val="none" w:sz="0" w:space="0" w:color="auto"/>
      </w:divBdr>
    </w:div>
    <w:div w:id="1166021930">
      <w:bodyDiv w:val="1"/>
      <w:marLeft w:val="0"/>
      <w:marRight w:val="0"/>
      <w:marTop w:val="0"/>
      <w:marBottom w:val="0"/>
      <w:divBdr>
        <w:top w:val="none" w:sz="0" w:space="0" w:color="auto"/>
        <w:left w:val="none" w:sz="0" w:space="0" w:color="auto"/>
        <w:bottom w:val="none" w:sz="0" w:space="0" w:color="auto"/>
        <w:right w:val="none" w:sz="0" w:space="0" w:color="auto"/>
      </w:divBdr>
    </w:div>
    <w:div w:id="1172647445">
      <w:bodyDiv w:val="1"/>
      <w:marLeft w:val="0"/>
      <w:marRight w:val="0"/>
      <w:marTop w:val="0"/>
      <w:marBottom w:val="0"/>
      <w:divBdr>
        <w:top w:val="none" w:sz="0" w:space="0" w:color="auto"/>
        <w:left w:val="none" w:sz="0" w:space="0" w:color="auto"/>
        <w:bottom w:val="none" w:sz="0" w:space="0" w:color="auto"/>
        <w:right w:val="none" w:sz="0" w:space="0" w:color="auto"/>
      </w:divBdr>
    </w:div>
    <w:div w:id="1186595542">
      <w:bodyDiv w:val="1"/>
      <w:marLeft w:val="0"/>
      <w:marRight w:val="0"/>
      <w:marTop w:val="0"/>
      <w:marBottom w:val="0"/>
      <w:divBdr>
        <w:top w:val="none" w:sz="0" w:space="0" w:color="auto"/>
        <w:left w:val="none" w:sz="0" w:space="0" w:color="auto"/>
        <w:bottom w:val="none" w:sz="0" w:space="0" w:color="auto"/>
        <w:right w:val="none" w:sz="0" w:space="0" w:color="auto"/>
      </w:divBdr>
    </w:div>
    <w:div w:id="1186675550">
      <w:bodyDiv w:val="1"/>
      <w:marLeft w:val="0"/>
      <w:marRight w:val="0"/>
      <w:marTop w:val="0"/>
      <w:marBottom w:val="0"/>
      <w:divBdr>
        <w:top w:val="none" w:sz="0" w:space="0" w:color="auto"/>
        <w:left w:val="none" w:sz="0" w:space="0" w:color="auto"/>
        <w:bottom w:val="none" w:sz="0" w:space="0" w:color="auto"/>
        <w:right w:val="none" w:sz="0" w:space="0" w:color="auto"/>
      </w:divBdr>
    </w:div>
    <w:div w:id="1219781748">
      <w:bodyDiv w:val="1"/>
      <w:marLeft w:val="0"/>
      <w:marRight w:val="0"/>
      <w:marTop w:val="0"/>
      <w:marBottom w:val="0"/>
      <w:divBdr>
        <w:top w:val="none" w:sz="0" w:space="0" w:color="auto"/>
        <w:left w:val="none" w:sz="0" w:space="0" w:color="auto"/>
        <w:bottom w:val="none" w:sz="0" w:space="0" w:color="auto"/>
        <w:right w:val="none" w:sz="0" w:space="0" w:color="auto"/>
      </w:divBdr>
    </w:div>
    <w:div w:id="1282954568">
      <w:bodyDiv w:val="1"/>
      <w:marLeft w:val="0"/>
      <w:marRight w:val="0"/>
      <w:marTop w:val="0"/>
      <w:marBottom w:val="0"/>
      <w:divBdr>
        <w:top w:val="none" w:sz="0" w:space="0" w:color="auto"/>
        <w:left w:val="none" w:sz="0" w:space="0" w:color="auto"/>
        <w:bottom w:val="none" w:sz="0" w:space="0" w:color="auto"/>
        <w:right w:val="none" w:sz="0" w:space="0" w:color="auto"/>
      </w:divBdr>
    </w:div>
    <w:div w:id="1289973004">
      <w:bodyDiv w:val="1"/>
      <w:marLeft w:val="0"/>
      <w:marRight w:val="0"/>
      <w:marTop w:val="0"/>
      <w:marBottom w:val="0"/>
      <w:divBdr>
        <w:top w:val="none" w:sz="0" w:space="0" w:color="auto"/>
        <w:left w:val="none" w:sz="0" w:space="0" w:color="auto"/>
        <w:bottom w:val="none" w:sz="0" w:space="0" w:color="auto"/>
        <w:right w:val="none" w:sz="0" w:space="0" w:color="auto"/>
      </w:divBdr>
    </w:div>
    <w:div w:id="1328512727">
      <w:bodyDiv w:val="1"/>
      <w:marLeft w:val="0"/>
      <w:marRight w:val="0"/>
      <w:marTop w:val="0"/>
      <w:marBottom w:val="0"/>
      <w:divBdr>
        <w:top w:val="none" w:sz="0" w:space="0" w:color="auto"/>
        <w:left w:val="none" w:sz="0" w:space="0" w:color="auto"/>
        <w:bottom w:val="none" w:sz="0" w:space="0" w:color="auto"/>
        <w:right w:val="none" w:sz="0" w:space="0" w:color="auto"/>
      </w:divBdr>
      <w:divsChild>
        <w:div w:id="402221176">
          <w:marLeft w:val="0"/>
          <w:marRight w:val="0"/>
          <w:marTop w:val="225"/>
          <w:marBottom w:val="225"/>
          <w:divBdr>
            <w:top w:val="none" w:sz="0" w:space="0" w:color="auto"/>
            <w:left w:val="none" w:sz="0" w:space="0" w:color="auto"/>
            <w:bottom w:val="none" w:sz="0" w:space="0" w:color="auto"/>
            <w:right w:val="none" w:sz="0" w:space="0" w:color="auto"/>
          </w:divBdr>
        </w:div>
        <w:div w:id="1098675991">
          <w:marLeft w:val="0"/>
          <w:marRight w:val="0"/>
          <w:marTop w:val="0"/>
          <w:marBottom w:val="0"/>
          <w:divBdr>
            <w:top w:val="none" w:sz="0" w:space="0" w:color="auto"/>
            <w:left w:val="none" w:sz="0" w:space="0" w:color="auto"/>
            <w:bottom w:val="none" w:sz="0" w:space="0" w:color="auto"/>
            <w:right w:val="none" w:sz="0" w:space="0" w:color="auto"/>
          </w:divBdr>
        </w:div>
      </w:divsChild>
    </w:div>
    <w:div w:id="1339696849">
      <w:bodyDiv w:val="1"/>
      <w:marLeft w:val="0"/>
      <w:marRight w:val="0"/>
      <w:marTop w:val="0"/>
      <w:marBottom w:val="0"/>
      <w:divBdr>
        <w:top w:val="none" w:sz="0" w:space="0" w:color="auto"/>
        <w:left w:val="none" w:sz="0" w:space="0" w:color="auto"/>
        <w:bottom w:val="none" w:sz="0" w:space="0" w:color="auto"/>
        <w:right w:val="none" w:sz="0" w:space="0" w:color="auto"/>
      </w:divBdr>
    </w:div>
    <w:div w:id="1372728191">
      <w:bodyDiv w:val="1"/>
      <w:marLeft w:val="0"/>
      <w:marRight w:val="0"/>
      <w:marTop w:val="0"/>
      <w:marBottom w:val="0"/>
      <w:divBdr>
        <w:top w:val="none" w:sz="0" w:space="0" w:color="auto"/>
        <w:left w:val="none" w:sz="0" w:space="0" w:color="auto"/>
        <w:bottom w:val="none" w:sz="0" w:space="0" w:color="auto"/>
        <w:right w:val="none" w:sz="0" w:space="0" w:color="auto"/>
      </w:divBdr>
    </w:div>
    <w:div w:id="1375078655">
      <w:bodyDiv w:val="1"/>
      <w:marLeft w:val="0"/>
      <w:marRight w:val="0"/>
      <w:marTop w:val="0"/>
      <w:marBottom w:val="0"/>
      <w:divBdr>
        <w:top w:val="none" w:sz="0" w:space="0" w:color="auto"/>
        <w:left w:val="none" w:sz="0" w:space="0" w:color="auto"/>
        <w:bottom w:val="none" w:sz="0" w:space="0" w:color="auto"/>
        <w:right w:val="none" w:sz="0" w:space="0" w:color="auto"/>
      </w:divBdr>
    </w:div>
    <w:div w:id="1386640221">
      <w:bodyDiv w:val="1"/>
      <w:marLeft w:val="0"/>
      <w:marRight w:val="0"/>
      <w:marTop w:val="0"/>
      <w:marBottom w:val="0"/>
      <w:divBdr>
        <w:top w:val="none" w:sz="0" w:space="0" w:color="auto"/>
        <w:left w:val="none" w:sz="0" w:space="0" w:color="auto"/>
        <w:bottom w:val="none" w:sz="0" w:space="0" w:color="auto"/>
        <w:right w:val="none" w:sz="0" w:space="0" w:color="auto"/>
      </w:divBdr>
    </w:div>
    <w:div w:id="1406025440">
      <w:bodyDiv w:val="1"/>
      <w:marLeft w:val="0"/>
      <w:marRight w:val="0"/>
      <w:marTop w:val="0"/>
      <w:marBottom w:val="0"/>
      <w:divBdr>
        <w:top w:val="none" w:sz="0" w:space="0" w:color="auto"/>
        <w:left w:val="none" w:sz="0" w:space="0" w:color="auto"/>
        <w:bottom w:val="none" w:sz="0" w:space="0" w:color="auto"/>
        <w:right w:val="none" w:sz="0" w:space="0" w:color="auto"/>
      </w:divBdr>
    </w:div>
    <w:div w:id="1410425991">
      <w:bodyDiv w:val="1"/>
      <w:marLeft w:val="0"/>
      <w:marRight w:val="0"/>
      <w:marTop w:val="0"/>
      <w:marBottom w:val="0"/>
      <w:divBdr>
        <w:top w:val="none" w:sz="0" w:space="0" w:color="auto"/>
        <w:left w:val="none" w:sz="0" w:space="0" w:color="auto"/>
        <w:bottom w:val="none" w:sz="0" w:space="0" w:color="auto"/>
        <w:right w:val="none" w:sz="0" w:space="0" w:color="auto"/>
      </w:divBdr>
    </w:div>
    <w:div w:id="1422294640">
      <w:bodyDiv w:val="1"/>
      <w:marLeft w:val="0"/>
      <w:marRight w:val="0"/>
      <w:marTop w:val="0"/>
      <w:marBottom w:val="0"/>
      <w:divBdr>
        <w:top w:val="none" w:sz="0" w:space="0" w:color="auto"/>
        <w:left w:val="none" w:sz="0" w:space="0" w:color="auto"/>
        <w:bottom w:val="none" w:sz="0" w:space="0" w:color="auto"/>
        <w:right w:val="none" w:sz="0" w:space="0" w:color="auto"/>
      </w:divBdr>
    </w:div>
    <w:div w:id="1428426625">
      <w:bodyDiv w:val="1"/>
      <w:marLeft w:val="0"/>
      <w:marRight w:val="0"/>
      <w:marTop w:val="0"/>
      <w:marBottom w:val="0"/>
      <w:divBdr>
        <w:top w:val="none" w:sz="0" w:space="0" w:color="auto"/>
        <w:left w:val="none" w:sz="0" w:space="0" w:color="auto"/>
        <w:bottom w:val="none" w:sz="0" w:space="0" w:color="auto"/>
        <w:right w:val="none" w:sz="0" w:space="0" w:color="auto"/>
      </w:divBdr>
    </w:div>
    <w:div w:id="1443497024">
      <w:bodyDiv w:val="1"/>
      <w:marLeft w:val="0"/>
      <w:marRight w:val="0"/>
      <w:marTop w:val="0"/>
      <w:marBottom w:val="0"/>
      <w:divBdr>
        <w:top w:val="none" w:sz="0" w:space="0" w:color="auto"/>
        <w:left w:val="none" w:sz="0" w:space="0" w:color="auto"/>
        <w:bottom w:val="none" w:sz="0" w:space="0" w:color="auto"/>
        <w:right w:val="none" w:sz="0" w:space="0" w:color="auto"/>
      </w:divBdr>
    </w:div>
    <w:div w:id="1495991112">
      <w:bodyDiv w:val="1"/>
      <w:marLeft w:val="0"/>
      <w:marRight w:val="0"/>
      <w:marTop w:val="0"/>
      <w:marBottom w:val="0"/>
      <w:divBdr>
        <w:top w:val="none" w:sz="0" w:space="0" w:color="auto"/>
        <w:left w:val="none" w:sz="0" w:space="0" w:color="auto"/>
        <w:bottom w:val="none" w:sz="0" w:space="0" w:color="auto"/>
        <w:right w:val="none" w:sz="0" w:space="0" w:color="auto"/>
      </w:divBdr>
    </w:div>
    <w:div w:id="1507472989">
      <w:bodyDiv w:val="1"/>
      <w:marLeft w:val="0"/>
      <w:marRight w:val="0"/>
      <w:marTop w:val="0"/>
      <w:marBottom w:val="0"/>
      <w:divBdr>
        <w:top w:val="none" w:sz="0" w:space="0" w:color="auto"/>
        <w:left w:val="none" w:sz="0" w:space="0" w:color="auto"/>
        <w:bottom w:val="none" w:sz="0" w:space="0" w:color="auto"/>
        <w:right w:val="none" w:sz="0" w:space="0" w:color="auto"/>
      </w:divBdr>
    </w:div>
    <w:div w:id="1510099411">
      <w:bodyDiv w:val="1"/>
      <w:marLeft w:val="0"/>
      <w:marRight w:val="0"/>
      <w:marTop w:val="0"/>
      <w:marBottom w:val="0"/>
      <w:divBdr>
        <w:top w:val="none" w:sz="0" w:space="0" w:color="auto"/>
        <w:left w:val="none" w:sz="0" w:space="0" w:color="auto"/>
        <w:bottom w:val="none" w:sz="0" w:space="0" w:color="auto"/>
        <w:right w:val="none" w:sz="0" w:space="0" w:color="auto"/>
      </w:divBdr>
    </w:div>
    <w:div w:id="1519002697">
      <w:bodyDiv w:val="1"/>
      <w:marLeft w:val="0"/>
      <w:marRight w:val="0"/>
      <w:marTop w:val="0"/>
      <w:marBottom w:val="0"/>
      <w:divBdr>
        <w:top w:val="none" w:sz="0" w:space="0" w:color="auto"/>
        <w:left w:val="none" w:sz="0" w:space="0" w:color="auto"/>
        <w:bottom w:val="none" w:sz="0" w:space="0" w:color="auto"/>
        <w:right w:val="none" w:sz="0" w:space="0" w:color="auto"/>
      </w:divBdr>
    </w:div>
    <w:div w:id="1538009042">
      <w:bodyDiv w:val="1"/>
      <w:marLeft w:val="0"/>
      <w:marRight w:val="0"/>
      <w:marTop w:val="0"/>
      <w:marBottom w:val="0"/>
      <w:divBdr>
        <w:top w:val="none" w:sz="0" w:space="0" w:color="auto"/>
        <w:left w:val="none" w:sz="0" w:space="0" w:color="auto"/>
        <w:bottom w:val="none" w:sz="0" w:space="0" w:color="auto"/>
        <w:right w:val="none" w:sz="0" w:space="0" w:color="auto"/>
      </w:divBdr>
    </w:div>
    <w:div w:id="1576815140">
      <w:bodyDiv w:val="1"/>
      <w:marLeft w:val="0"/>
      <w:marRight w:val="0"/>
      <w:marTop w:val="0"/>
      <w:marBottom w:val="0"/>
      <w:divBdr>
        <w:top w:val="none" w:sz="0" w:space="0" w:color="auto"/>
        <w:left w:val="none" w:sz="0" w:space="0" w:color="auto"/>
        <w:bottom w:val="none" w:sz="0" w:space="0" w:color="auto"/>
        <w:right w:val="none" w:sz="0" w:space="0" w:color="auto"/>
      </w:divBdr>
    </w:div>
    <w:div w:id="1629123537">
      <w:bodyDiv w:val="1"/>
      <w:marLeft w:val="0"/>
      <w:marRight w:val="0"/>
      <w:marTop w:val="0"/>
      <w:marBottom w:val="0"/>
      <w:divBdr>
        <w:top w:val="none" w:sz="0" w:space="0" w:color="auto"/>
        <w:left w:val="none" w:sz="0" w:space="0" w:color="auto"/>
        <w:bottom w:val="none" w:sz="0" w:space="0" w:color="auto"/>
        <w:right w:val="none" w:sz="0" w:space="0" w:color="auto"/>
      </w:divBdr>
    </w:div>
    <w:div w:id="1801335217">
      <w:bodyDiv w:val="1"/>
      <w:marLeft w:val="0"/>
      <w:marRight w:val="0"/>
      <w:marTop w:val="0"/>
      <w:marBottom w:val="0"/>
      <w:divBdr>
        <w:top w:val="none" w:sz="0" w:space="0" w:color="auto"/>
        <w:left w:val="none" w:sz="0" w:space="0" w:color="auto"/>
        <w:bottom w:val="none" w:sz="0" w:space="0" w:color="auto"/>
        <w:right w:val="none" w:sz="0" w:space="0" w:color="auto"/>
      </w:divBdr>
      <w:divsChild>
        <w:div w:id="802893553">
          <w:marLeft w:val="0"/>
          <w:marRight w:val="0"/>
          <w:marTop w:val="0"/>
          <w:marBottom w:val="0"/>
          <w:divBdr>
            <w:top w:val="none" w:sz="0" w:space="0" w:color="auto"/>
            <w:left w:val="none" w:sz="0" w:space="0" w:color="auto"/>
            <w:bottom w:val="none" w:sz="0" w:space="0" w:color="auto"/>
            <w:right w:val="none" w:sz="0" w:space="0" w:color="auto"/>
          </w:divBdr>
          <w:divsChild>
            <w:div w:id="1356034971">
              <w:marLeft w:val="0"/>
              <w:marRight w:val="0"/>
              <w:marTop w:val="0"/>
              <w:marBottom w:val="0"/>
              <w:divBdr>
                <w:top w:val="none" w:sz="0" w:space="0" w:color="auto"/>
                <w:left w:val="none" w:sz="0" w:space="0" w:color="auto"/>
                <w:bottom w:val="none" w:sz="0" w:space="0" w:color="auto"/>
                <w:right w:val="none" w:sz="0" w:space="0" w:color="auto"/>
              </w:divBdr>
              <w:divsChild>
                <w:div w:id="304046436">
                  <w:marLeft w:val="0"/>
                  <w:marRight w:val="0"/>
                  <w:marTop w:val="0"/>
                  <w:marBottom w:val="0"/>
                  <w:divBdr>
                    <w:top w:val="none" w:sz="0" w:space="0" w:color="auto"/>
                    <w:left w:val="none" w:sz="0" w:space="0" w:color="auto"/>
                    <w:bottom w:val="none" w:sz="0" w:space="0" w:color="auto"/>
                    <w:right w:val="none" w:sz="0" w:space="0" w:color="auto"/>
                  </w:divBdr>
                  <w:divsChild>
                    <w:div w:id="1558085371">
                      <w:marLeft w:val="0"/>
                      <w:marRight w:val="0"/>
                      <w:marTop w:val="0"/>
                      <w:marBottom w:val="0"/>
                      <w:divBdr>
                        <w:top w:val="none" w:sz="0" w:space="0" w:color="auto"/>
                        <w:left w:val="none" w:sz="0" w:space="0" w:color="auto"/>
                        <w:bottom w:val="none" w:sz="0" w:space="0" w:color="auto"/>
                        <w:right w:val="none" w:sz="0" w:space="0" w:color="auto"/>
                      </w:divBdr>
                      <w:divsChild>
                        <w:div w:id="1094785435">
                          <w:marLeft w:val="0"/>
                          <w:marRight w:val="0"/>
                          <w:marTop w:val="45"/>
                          <w:marBottom w:val="0"/>
                          <w:divBdr>
                            <w:top w:val="none" w:sz="0" w:space="0" w:color="auto"/>
                            <w:left w:val="none" w:sz="0" w:space="0" w:color="auto"/>
                            <w:bottom w:val="none" w:sz="0" w:space="0" w:color="auto"/>
                            <w:right w:val="none" w:sz="0" w:space="0" w:color="auto"/>
                          </w:divBdr>
                          <w:divsChild>
                            <w:div w:id="1772311049">
                              <w:marLeft w:val="0"/>
                              <w:marRight w:val="0"/>
                              <w:marTop w:val="0"/>
                              <w:marBottom w:val="0"/>
                              <w:divBdr>
                                <w:top w:val="none" w:sz="0" w:space="0" w:color="auto"/>
                                <w:left w:val="none" w:sz="0" w:space="0" w:color="auto"/>
                                <w:bottom w:val="none" w:sz="0" w:space="0" w:color="auto"/>
                                <w:right w:val="none" w:sz="0" w:space="0" w:color="auto"/>
                              </w:divBdr>
                              <w:divsChild>
                                <w:div w:id="1337224042">
                                  <w:marLeft w:val="2070"/>
                                  <w:marRight w:val="3810"/>
                                  <w:marTop w:val="0"/>
                                  <w:marBottom w:val="0"/>
                                  <w:divBdr>
                                    <w:top w:val="none" w:sz="0" w:space="0" w:color="auto"/>
                                    <w:left w:val="none" w:sz="0" w:space="0" w:color="auto"/>
                                    <w:bottom w:val="none" w:sz="0" w:space="0" w:color="auto"/>
                                    <w:right w:val="none" w:sz="0" w:space="0" w:color="auto"/>
                                  </w:divBdr>
                                  <w:divsChild>
                                    <w:div w:id="658659266">
                                      <w:marLeft w:val="0"/>
                                      <w:marRight w:val="0"/>
                                      <w:marTop w:val="0"/>
                                      <w:marBottom w:val="0"/>
                                      <w:divBdr>
                                        <w:top w:val="none" w:sz="0" w:space="0" w:color="auto"/>
                                        <w:left w:val="none" w:sz="0" w:space="0" w:color="auto"/>
                                        <w:bottom w:val="none" w:sz="0" w:space="0" w:color="auto"/>
                                        <w:right w:val="none" w:sz="0" w:space="0" w:color="auto"/>
                                      </w:divBdr>
                                      <w:divsChild>
                                        <w:div w:id="257756509">
                                          <w:marLeft w:val="0"/>
                                          <w:marRight w:val="0"/>
                                          <w:marTop w:val="0"/>
                                          <w:marBottom w:val="0"/>
                                          <w:divBdr>
                                            <w:top w:val="none" w:sz="0" w:space="0" w:color="auto"/>
                                            <w:left w:val="none" w:sz="0" w:space="0" w:color="auto"/>
                                            <w:bottom w:val="none" w:sz="0" w:space="0" w:color="auto"/>
                                            <w:right w:val="none" w:sz="0" w:space="0" w:color="auto"/>
                                          </w:divBdr>
                                          <w:divsChild>
                                            <w:div w:id="2006591344">
                                              <w:marLeft w:val="0"/>
                                              <w:marRight w:val="0"/>
                                              <w:marTop w:val="0"/>
                                              <w:marBottom w:val="0"/>
                                              <w:divBdr>
                                                <w:top w:val="none" w:sz="0" w:space="0" w:color="auto"/>
                                                <w:left w:val="none" w:sz="0" w:space="0" w:color="auto"/>
                                                <w:bottom w:val="none" w:sz="0" w:space="0" w:color="auto"/>
                                                <w:right w:val="none" w:sz="0" w:space="0" w:color="auto"/>
                                              </w:divBdr>
                                              <w:divsChild>
                                                <w:div w:id="354698138">
                                                  <w:marLeft w:val="0"/>
                                                  <w:marRight w:val="0"/>
                                                  <w:marTop w:val="0"/>
                                                  <w:marBottom w:val="0"/>
                                                  <w:divBdr>
                                                    <w:top w:val="none" w:sz="0" w:space="0" w:color="auto"/>
                                                    <w:left w:val="none" w:sz="0" w:space="0" w:color="auto"/>
                                                    <w:bottom w:val="none" w:sz="0" w:space="0" w:color="auto"/>
                                                    <w:right w:val="none" w:sz="0" w:space="0" w:color="auto"/>
                                                  </w:divBdr>
                                                  <w:divsChild>
                                                    <w:div w:id="347753454">
                                                      <w:marLeft w:val="0"/>
                                                      <w:marRight w:val="0"/>
                                                      <w:marTop w:val="0"/>
                                                      <w:marBottom w:val="0"/>
                                                      <w:divBdr>
                                                        <w:top w:val="none" w:sz="0" w:space="0" w:color="auto"/>
                                                        <w:left w:val="none" w:sz="0" w:space="0" w:color="auto"/>
                                                        <w:bottom w:val="none" w:sz="0" w:space="0" w:color="auto"/>
                                                        <w:right w:val="none" w:sz="0" w:space="0" w:color="auto"/>
                                                      </w:divBdr>
                                                      <w:divsChild>
                                                        <w:div w:id="181289659">
                                                          <w:marLeft w:val="0"/>
                                                          <w:marRight w:val="0"/>
                                                          <w:marTop w:val="0"/>
                                                          <w:marBottom w:val="345"/>
                                                          <w:divBdr>
                                                            <w:top w:val="none" w:sz="0" w:space="0" w:color="auto"/>
                                                            <w:left w:val="none" w:sz="0" w:space="0" w:color="auto"/>
                                                            <w:bottom w:val="none" w:sz="0" w:space="0" w:color="auto"/>
                                                            <w:right w:val="none" w:sz="0" w:space="0" w:color="auto"/>
                                                          </w:divBdr>
                                                          <w:divsChild>
                                                            <w:div w:id="1039084831">
                                                              <w:marLeft w:val="0"/>
                                                              <w:marRight w:val="0"/>
                                                              <w:marTop w:val="0"/>
                                                              <w:marBottom w:val="0"/>
                                                              <w:divBdr>
                                                                <w:top w:val="none" w:sz="0" w:space="0" w:color="auto"/>
                                                                <w:left w:val="none" w:sz="0" w:space="0" w:color="auto"/>
                                                                <w:bottom w:val="none" w:sz="0" w:space="0" w:color="auto"/>
                                                                <w:right w:val="none" w:sz="0" w:space="0" w:color="auto"/>
                                                              </w:divBdr>
                                                              <w:divsChild>
                                                                <w:div w:id="1168909987">
                                                                  <w:marLeft w:val="0"/>
                                                                  <w:marRight w:val="0"/>
                                                                  <w:marTop w:val="0"/>
                                                                  <w:marBottom w:val="0"/>
                                                                  <w:divBdr>
                                                                    <w:top w:val="none" w:sz="0" w:space="0" w:color="auto"/>
                                                                    <w:left w:val="none" w:sz="0" w:space="0" w:color="auto"/>
                                                                    <w:bottom w:val="none" w:sz="0" w:space="0" w:color="auto"/>
                                                                    <w:right w:val="none" w:sz="0" w:space="0" w:color="auto"/>
                                                                  </w:divBdr>
                                                                  <w:divsChild>
                                                                    <w:div w:id="1027295022">
                                                                      <w:marLeft w:val="0"/>
                                                                      <w:marRight w:val="0"/>
                                                                      <w:marTop w:val="0"/>
                                                                      <w:marBottom w:val="0"/>
                                                                      <w:divBdr>
                                                                        <w:top w:val="none" w:sz="0" w:space="0" w:color="auto"/>
                                                                        <w:left w:val="none" w:sz="0" w:space="0" w:color="auto"/>
                                                                        <w:bottom w:val="none" w:sz="0" w:space="0" w:color="auto"/>
                                                                        <w:right w:val="none" w:sz="0" w:space="0" w:color="auto"/>
                                                                      </w:divBdr>
                                                                      <w:divsChild>
                                                                        <w:div w:id="1623607730">
                                                                          <w:marLeft w:val="0"/>
                                                                          <w:marRight w:val="0"/>
                                                                          <w:marTop w:val="0"/>
                                                                          <w:marBottom w:val="0"/>
                                                                          <w:divBdr>
                                                                            <w:top w:val="none" w:sz="0" w:space="0" w:color="auto"/>
                                                                            <w:left w:val="none" w:sz="0" w:space="0" w:color="auto"/>
                                                                            <w:bottom w:val="none" w:sz="0" w:space="0" w:color="auto"/>
                                                                            <w:right w:val="none" w:sz="0" w:space="0" w:color="auto"/>
                                                                          </w:divBdr>
                                                                          <w:divsChild>
                                                                            <w:div w:id="772752531">
                                                                              <w:marLeft w:val="0"/>
                                                                              <w:marRight w:val="0"/>
                                                                              <w:marTop w:val="0"/>
                                                                              <w:marBottom w:val="0"/>
                                                                              <w:divBdr>
                                                                                <w:top w:val="none" w:sz="0" w:space="0" w:color="auto"/>
                                                                                <w:left w:val="none" w:sz="0" w:space="0" w:color="auto"/>
                                                                                <w:bottom w:val="none" w:sz="0" w:space="0" w:color="auto"/>
                                                                                <w:right w:val="none" w:sz="0" w:space="0" w:color="auto"/>
                                                                              </w:divBdr>
                                                                              <w:divsChild>
                                                                                <w:div w:id="1672902218">
                                                                                  <w:marLeft w:val="0"/>
                                                                                  <w:marRight w:val="0"/>
                                                                                  <w:marTop w:val="0"/>
                                                                                  <w:marBottom w:val="0"/>
                                                                                  <w:divBdr>
                                                                                    <w:top w:val="none" w:sz="0" w:space="0" w:color="auto"/>
                                                                                    <w:left w:val="none" w:sz="0" w:space="0" w:color="auto"/>
                                                                                    <w:bottom w:val="none" w:sz="0" w:space="0" w:color="auto"/>
                                                                                    <w:right w:val="none" w:sz="0" w:space="0" w:color="auto"/>
                                                                                  </w:divBdr>
                                                                                  <w:divsChild>
                                                                                    <w:div w:id="1928688631">
                                                                                      <w:marLeft w:val="0"/>
                                                                                      <w:marRight w:val="0"/>
                                                                                      <w:marTop w:val="0"/>
                                                                                      <w:marBottom w:val="0"/>
                                                                                      <w:divBdr>
                                                                                        <w:top w:val="none" w:sz="0" w:space="0" w:color="auto"/>
                                                                                        <w:left w:val="none" w:sz="0" w:space="0" w:color="auto"/>
                                                                                        <w:bottom w:val="none" w:sz="0" w:space="0" w:color="auto"/>
                                                                                        <w:right w:val="none" w:sz="0" w:space="0" w:color="auto"/>
                                                                                      </w:divBdr>
                                                                                      <w:divsChild>
                                                                                        <w:div w:id="8399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351615">
      <w:bodyDiv w:val="1"/>
      <w:marLeft w:val="0"/>
      <w:marRight w:val="0"/>
      <w:marTop w:val="0"/>
      <w:marBottom w:val="0"/>
      <w:divBdr>
        <w:top w:val="none" w:sz="0" w:space="0" w:color="auto"/>
        <w:left w:val="none" w:sz="0" w:space="0" w:color="auto"/>
        <w:bottom w:val="none" w:sz="0" w:space="0" w:color="auto"/>
        <w:right w:val="none" w:sz="0" w:space="0" w:color="auto"/>
      </w:divBdr>
    </w:div>
    <w:div w:id="1805655833">
      <w:bodyDiv w:val="1"/>
      <w:marLeft w:val="0"/>
      <w:marRight w:val="0"/>
      <w:marTop w:val="0"/>
      <w:marBottom w:val="0"/>
      <w:divBdr>
        <w:top w:val="none" w:sz="0" w:space="0" w:color="auto"/>
        <w:left w:val="none" w:sz="0" w:space="0" w:color="auto"/>
        <w:bottom w:val="none" w:sz="0" w:space="0" w:color="auto"/>
        <w:right w:val="none" w:sz="0" w:space="0" w:color="auto"/>
      </w:divBdr>
    </w:div>
    <w:div w:id="1844053182">
      <w:bodyDiv w:val="1"/>
      <w:marLeft w:val="0"/>
      <w:marRight w:val="0"/>
      <w:marTop w:val="0"/>
      <w:marBottom w:val="0"/>
      <w:divBdr>
        <w:top w:val="none" w:sz="0" w:space="0" w:color="auto"/>
        <w:left w:val="none" w:sz="0" w:space="0" w:color="auto"/>
        <w:bottom w:val="none" w:sz="0" w:space="0" w:color="auto"/>
        <w:right w:val="none" w:sz="0" w:space="0" w:color="auto"/>
      </w:divBdr>
    </w:div>
    <w:div w:id="1850027762">
      <w:bodyDiv w:val="1"/>
      <w:marLeft w:val="0"/>
      <w:marRight w:val="0"/>
      <w:marTop w:val="0"/>
      <w:marBottom w:val="0"/>
      <w:divBdr>
        <w:top w:val="none" w:sz="0" w:space="0" w:color="auto"/>
        <w:left w:val="none" w:sz="0" w:space="0" w:color="auto"/>
        <w:bottom w:val="none" w:sz="0" w:space="0" w:color="auto"/>
        <w:right w:val="none" w:sz="0" w:space="0" w:color="auto"/>
      </w:divBdr>
    </w:div>
    <w:div w:id="1859662796">
      <w:bodyDiv w:val="1"/>
      <w:marLeft w:val="0"/>
      <w:marRight w:val="0"/>
      <w:marTop w:val="0"/>
      <w:marBottom w:val="0"/>
      <w:divBdr>
        <w:top w:val="none" w:sz="0" w:space="0" w:color="auto"/>
        <w:left w:val="none" w:sz="0" w:space="0" w:color="auto"/>
        <w:bottom w:val="none" w:sz="0" w:space="0" w:color="auto"/>
        <w:right w:val="none" w:sz="0" w:space="0" w:color="auto"/>
      </w:divBdr>
    </w:div>
    <w:div w:id="1897475100">
      <w:bodyDiv w:val="1"/>
      <w:marLeft w:val="0"/>
      <w:marRight w:val="0"/>
      <w:marTop w:val="0"/>
      <w:marBottom w:val="0"/>
      <w:divBdr>
        <w:top w:val="none" w:sz="0" w:space="0" w:color="auto"/>
        <w:left w:val="none" w:sz="0" w:space="0" w:color="auto"/>
        <w:bottom w:val="none" w:sz="0" w:space="0" w:color="auto"/>
        <w:right w:val="none" w:sz="0" w:space="0" w:color="auto"/>
      </w:divBdr>
    </w:div>
    <w:div w:id="1927302393">
      <w:bodyDiv w:val="1"/>
      <w:marLeft w:val="0"/>
      <w:marRight w:val="0"/>
      <w:marTop w:val="0"/>
      <w:marBottom w:val="0"/>
      <w:divBdr>
        <w:top w:val="none" w:sz="0" w:space="0" w:color="auto"/>
        <w:left w:val="none" w:sz="0" w:space="0" w:color="auto"/>
        <w:bottom w:val="none" w:sz="0" w:space="0" w:color="auto"/>
        <w:right w:val="none" w:sz="0" w:space="0" w:color="auto"/>
      </w:divBdr>
    </w:div>
    <w:div w:id="1957442684">
      <w:bodyDiv w:val="1"/>
      <w:marLeft w:val="0"/>
      <w:marRight w:val="0"/>
      <w:marTop w:val="0"/>
      <w:marBottom w:val="0"/>
      <w:divBdr>
        <w:top w:val="none" w:sz="0" w:space="0" w:color="auto"/>
        <w:left w:val="none" w:sz="0" w:space="0" w:color="auto"/>
        <w:bottom w:val="none" w:sz="0" w:space="0" w:color="auto"/>
        <w:right w:val="none" w:sz="0" w:space="0" w:color="auto"/>
      </w:divBdr>
    </w:div>
    <w:div w:id="1963682521">
      <w:bodyDiv w:val="1"/>
      <w:marLeft w:val="0"/>
      <w:marRight w:val="0"/>
      <w:marTop w:val="0"/>
      <w:marBottom w:val="0"/>
      <w:divBdr>
        <w:top w:val="none" w:sz="0" w:space="0" w:color="auto"/>
        <w:left w:val="none" w:sz="0" w:space="0" w:color="auto"/>
        <w:bottom w:val="none" w:sz="0" w:space="0" w:color="auto"/>
        <w:right w:val="none" w:sz="0" w:space="0" w:color="auto"/>
      </w:divBdr>
    </w:div>
    <w:div w:id="1970620803">
      <w:bodyDiv w:val="1"/>
      <w:marLeft w:val="0"/>
      <w:marRight w:val="0"/>
      <w:marTop w:val="0"/>
      <w:marBottom w:val="0"/>
      <w:divBdr>
        <w:top w:val="none" w:sz="0" w:space="0" w:color="auto"/>
        <w:left w:val="none" w:sz="0" w:space="0" w:color="auto"/>
        <w:bottom w:val="none" w:sz="0" w:space="0" w:color="auto"/>
        <w:right w:val="none" w:sz="0" w:space="0" w:color="auto"/>
      </w:divBdr>
    </w:div>
    <w:div w:id="2005159840">
      <w:bodyDiv w:val="1"/>
      <w:marLeft w:val="0"/>
      <w:marRight w:val="0"/>
      <w:marTop w:val="0"/>
      <w:marBottom w:val="0"/>
      <w:divBdr>
        <w:top w:val="none" w:sz="0" w:space="0" w:color="auto"/>
        <w:left w:val="none" w:sz="0" w:space="0" w:color="auto"/>
        <w:bottom w:val="none" w:sz="0" w:space="0" w:color="auto"/>
        <w:right w:val="none" w:sz="0" w:space="0" w:color="auto"/>
      </w:divBdr>
    </w:div>
    <w:div w:id="2018997579">
      <w:bodyDiv w:val="1"/>
      <w:marLeft w:val="0"/>
      <w:marRight w:val="0"/>
      <w:marTop w:val="0"/>
      <w:marBottom w:val="0"/>
      <w:divBdr>
        <w:top w:val="none" w:sz="0" w:space="0" w:color="auto"/>
        <w:left w:val="none" w:sz="0" w:space="0" w:color="auto"/>
        <w:bottom w:val="none" w:sz="0" w:space="0" w:color="auto"/>
        <w:right w:val="none" w:sz="0" w:space="0" w:color="auto"/>
      </w:divBdr>
    </w:div>
    <w:div w:id="2020616514">
      <w:bodyDiv w:val="1"/>
      <w:marLeft w:val="0"/>
      <w:marRight w:val="0"/>
      <w:marTop w:val="0"/>
      <w:marBottom w:val="0"/>
      <w:divBdr>
        <w:top w:val="none" w:sz="0" w:space="0" w:color="auto"/>
        <w:left w:val="none" w:sz="0" w:space="0" w:color="auto"/>
        <w:bottom w:val="none" w:sz="0" w:space="0" w:color="auto"/>
        <w:right w:val="none" w:sz="0" w:space="0" w:color="auto"/>
      </w:divBdr>
    </w:div>
    <w:div w:id="203642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www.inspectionpanel.org/" TargetMode="External"/><Relationship Id="rId25" Type="http://schemas.openxmlformats.org/officeDocument/2006/relationships/hyperlink" Target="https://www.imf.org/en/News/Articles/2016/07/28/19/38/PR16370-Madagascar-IMF-Executive-Board-Approves-US-304-7-million" TargetMode="External"/><Relationship Id="rId2" Type="http://schemas.openxmlformats.org/officeDocument/2006/relationships/numbering" Target="numbering.xml"/><Relationship Id="rId16" Type="http://schemas.openxmlformats.org/officeDocument/2006/relationships/hyperlink" Target="http://www.worldbank.org/GRM" TargetMode="External"/><Relationship Id="rId20" Type="http://schemas.openxmlformats.org/officeDocument/2006/relationships/image" Target="media/image3.e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imf.org/en/News/Articles/2017/09/21/PR17365" TargetMode="External"/><Relationship Id="rId5" Type="http://schemas.openxmlformats.org/officeDocument/2006/relationships/webSettings" Target="webSettings.xml"/><Relationship Id="rId15" Type="http://schemas.openxmlformats.org/officeDocument/2006/relationships/hyperlink" Target="https://annuaire.mg/cnaps/" TargetMode="External"/><Relationship Id="rId23" Type="http://schemas.openxmlformats.org/officeDocument/2006/relationships/image" Target="media/image6.emf"/><Relationship Id="rId28" Type="http://schemas.openxmlformats.org/officeDocument/2006/relationships/customXml" Target="../customXml/item2.xml"/><Relationship Id="rId10" Type="http://schemas.openxmlformats.org/officeDocument/2006/relationships/footer" Target="footer3.xml"/><Relationship Id="rId19" Type="http://schemas.openxmlformats.org/officeDocument/2006/relationships/image" Target="media/image2.emf"/><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theme" Target="theme/theme1.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s://siteresources.worldbank.org/INTWDRS/Resources/WDR2011_Full_Text.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WB334300\AppData\Local\Microsoft\Windows\INetCache\Content.Outlook\STT0G2B0\20171013Fig1Fig2DPO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B334300\AppData\Local\Microsoft\Windows\INetCache\Content.Outlook\STT0G2B0\20171013Fig1Fig2DPO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WB334300\WinRAR-HOLD\Rar$DIa0.532\MDG%20DSA.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Sheet1!$B$3:$B$4</c:f>
              <c:strCache>
                <c:ptCount val="2"/>
                <c:pt idx="0">
                  <c:v>Primary</c:v>
                </c:pt>
              </c:strCache>
            </c:strRef>
          </c:tx>
          <c:spPr>
            <a:solidFill>
              <a:schemeClr val="accent5"/>
            </a:solidFill>
            <a:ln>
              <a:solidFill>
                <a:schemeClr val="accent5"/>
              </a:solidFill>
            </a:ln>
            <a:effectLst/>
          </c:spPr>
          <c:invertIfNegative val="0"/>
          <c:cat>
            <c:strRef>
              <c:f>Sheet1!$A$5:$A$9</c:f>
              <c:strCache>
                <c:ptCount val="5"/>
                <c:pt idx="0">
                  <c:v>2013</c:v>
                </c:pt>
                <c:pt idx="1">
                  <c:v>2014</c:v>
                </c:pt>
                <c:pt idx="2">
                  <c:v>2015</c:v>
                </c:pt>
                <c:pt idx="3">
                  <c:v>2016e</c:v>
                </c:pt>
                <c:pt idx="4">
                  <c:v>2017p</c:v>
                </c:pt>
              </c:strCache>
            </c:strRef>
          </c:cat>
          <c:val>
            <c:numRef>
              <c:f>Sheet1!$B$5:$B$9</c:f>
              <c:numCache>
                <c:formatCode>0.0</c:formatCode>
                <c:ptCount val="5"/>
                <c:pt idx="0">
                  <c:v>-1.6863761493722853</c:v>
                </c:pt>
                <c:pt idx="1">
                  <c:v>0.89658554282744107</c:v>
                </c:pt>
                <c:pt idx="2">
                  <c:v>-0.1915949643196693</c:v>
                </c:pt>
                <c:pt idx="3">
                  <c:v>0.40655443093811439</c:v>
                </c:pt>
                <c:pt idx="4">
                  <c:v>-0.428294678965144</c:v>
                </c:pt>
              </c:numCache>
            </c:numRef>
          </c:val>
          <c:extLst>
            <c:ext xmlns:c16="http://schemas.microsoft.com/office/drawing/2014/chart" uri="{C3380CC4-5D6E-409C-BE32-E72D297353CC}">
              <c16:uniqueId val="{00000000-62AD-438C-A073-C8E60FC9476C}"/>
            </c:ext>
          </c:extLst>
        </c:ser>
        <c:ser>
          <c:idx val="1"/>
          <c:order val="1"/>
          <c:tx>
            <c:strRef>
              <c:f>Sheet1!$C$3:$C$4</c:f>
              <c:strCache>
                <c:ptCount val="2"/>
                <c:pt idx="0">
                  <c:v>Secondary</c:v>
                </c:pt>
              </c:strCache>
            </c:strRef>
          </c:tx>
          <c:spPr>
            <a:pattFill prst="ltUpDiag">
              <a:fgClr>
                <a:schemeClr val="accent5"/>
              </a:fgClr>
              <a:bgClr>
                <a:schemeClr val="bg1"/>
              </a:bgClr>
            </a:pattFill>
            <a:ln>
              <a:solidFill>
                <a:schemeClr val="accent5"/>
              </a:solidFill>
            </a:ln>
            <a:effectLst/>
          </c:spPr>
          <c:invertIfNegative val="0"/>
          <c:cat>
            <c:strRef>
              <c:f>Sheet1!$A$5:$A$9</c:f>
              <c:strCache>
                <c:ptCount val="5"/>
                <c:pt idx="0">
                  <c:v>2013</c:v>
                </c:pt>
                <c:pt idx="1">
                  <c:v>2014</c:v>
                </c:pt>
                <c:pt idx="2">
                  <c:v>2015</c:v>
                </c:pt>
                <c:pt idx="3">
                  <c:v>2016e</c:v>
                </c:pt>
                <c:pt idx="4">
                  <c:v>2017p</c:v>
                </c:pt>
              </c:strCache>
            </c:strRef>
          </c:cat>
          <c:val>
            <c:numRef>
              <c:f>Sheet1!$C$5:$C$9</c:f>
              <c:numCache>
                <c:formatCode>0.0</c:formatCode>
                <c:ptCount val="5"/>
                <c:pt idx="0">
                  <c:v>3.1668798228969925</c:v>
                </c:pt>
                <c:pt idx="1">
                  <c:v>1.2756119343714567</c:v>
                </c:pt>
                <c:pt idx="2">
                  <c:v>1.1365263097866616</c:v>
                </c:pt>
                <c:pt idx="3">
                  <c:v>0.86463329346431261</c:v>
                </c:pt>
                <c:pt idx="4">
                  <c:v>1.25342367649631</c:v>
                </c:pt>
              </c:numCache>
            </c:numRef>
          </c:val>
          <c:extLst>
            <c:ext xmlns:c16="http://schemas.microsoft.com/office/drawing/2014/chart" uri="{C3380CC4-5D6E-409C-BE32-E72D297353CC}">
              <c16:uniqueId val="{00000001-62AD-438C-A073-C8E60FC9476C}"/>
            </c:ext>
          </c:extLst>
        </c:ser>
        <c:ser>
          <c:idx val="2"/>
          <c:order val="2"/>
          <c:tx>
            <c:strRef>
              <c:f>Sheet1!$D$3:$D$4</c:f>
              <c:strCache>
                <c:ptCount val="2"/>
                <c:pt idx="0">
                  <c:v>Tertiary</c:v>
                </c:pt>
              </c:strCache>
            </c:strRef>
          </c:tx>
          <c:spPr>
            <a:pattFill prst="pct20">
              <a:fgClr>
                <a:schemeClr val="accent5"/>
              </a:fgClr>
              <a:bgClr>
                <a:schemeClr val="bg1"/>
              </a:bgClr>
            </a:pattFill>
            <a:ln>
              <a:solidFill>
                <a:schemeClr val="accent5"/>
              </a:solidFill>
            </a:ln>
            <a:effectLst/>
          </c:spPr>
          <c:invertIfNegative val="0"/>
          <c:cat>
            <c:strRef>
              <c:f>Sheet1!$A$5:$A$9</c:f>
              <c:strCache>
                <c:ptCount val="5"/>
                <c:pt idx="0">
                  <c:v>2013</c:v>
                </c:pt>
                <c:pt idx="1">
                  <c:v>2014</c:v>
                </c:pt>
                <c:pt idx="2">
                  <c:v>2015</c:v>
                </c:pt>
                <c:pt idx="3">
                  <c:v>2016e</c:v>
                </c:pt>
                <c:pt idx="4">
                  <c:v>2017p</c:v>
                </c:pt>
              </c:strCache>
            </c:strRef>
          </c:cat>
          <c:val>
            <c:numRef>
              <c:f>Sheet1!$D$5:$D$9</c:f>
              <c:numCache>
                <c:formatCode>0.0</c:formatCode>
                <c:ptCount val="5"/>
                <c:pt idx="0">
                  <c:v>0.37263287728564631</c:v>
                </c:pt>
                <c:pt idx="1">
                  <c:v>0.90861197163495411</c:v>
                </c:pt>
                <c:pt idx="2">
                  <c:v>1.4843851901228</c:v>
                </c:pt>
                <c:pt idx="3">
                  <c:v>2.1445369680253803</c:v>
                </c:pt>
                <c:pt idx="4">
                  <c:v>2.6285877495958601</c:v>
                </c:pt>
              </c:numCache>
            </c:numRef>
          </c:val>
          <c:extLst>
            <c:ext xmlns:c16="http://schemas.microsoft.com/office/drawing/2014/chart" uri="{C3380CC4-5D6E-409C-BE32-E72D297353CC}">
              <c16:uniqueId val="{00000002-62AD-438C-A073-C8E60FC9476C}"/>
            </c:ext>
          </c:extLst>
        </c:ser>
        <c:ser>
          <c:idx val="3"/>
          <c:order val="3"/>
          <c:tx>
            <c:strRef>
              <c:f>Sheet1!$E$3:$E$4</c:f>
              <c:strCache>
                <c:ptCount val="2"/>
                <c:pt idx="0">
                  <c:v>Tertiary</c:v>
                </c:pt>
              </c:strCache>
            </c:strRef>
          </c:tx>
          <c:spPr>
            <a:solidFill>
              <a:schemeClr val="accent4"/>
            </a:solidFill>
            <a:ln>
              <a:noFill/>
            </a:ln>
            <a:effectLst/>
          </c:spPr>
          <c:invertIfNegative val="0"/>
          <c:cat>
            <c:strRef>
              <c:f>Sheet1!$A$5:$A$9</c:f>
              <c:strCache>
                <c:ptCount val="5"/>
                <c:pt idx="0">
                  <c:v>2013</c:v>
                </c:pt>
                <c:pt idx="1">
                  <c:v>2014</c:v>
                </c:pt>
                <c:pt idx="2">
                  <c:v>2015</c:v>
                </c:pt>
                <c:pt idx="3">
                  <c:v>2016e</c:v>
                </c:pt>
                <c:pt idx="4">
                  <c:v>2017p</c:v>
                </c:pt>
              </c:strCache>
            </c:strRef>
          </c:cat>
          <c:val>
            <c:numRef>
              <c:f>Sheet1!$E$5:$E$9</c:f>
            </c:numRef>
          </c:val>
          <c:extLst>
            <c:ext xmlns:c16="http://schemas.microsoft.com/office/drawing/2014/chart" uri="{C3380CC4-5D6E-409C-BE32-E72D297353CC}">
              <c16:uniqueId val="{00000003-62AD-438C-A073-C8E60FC9476C}"/>
            </c:ext>
          </c:extLst>
        </c:ser>
        <c:ser>
          <c:idx val="4"/>
          <c:order val="4"/>
          <c:tx>
            <c:strRef>
              <c:f>Sheet1!$F$3:$F$4</c:f>
              <c:strCache>
                <c:ptCount val="2"/>
                <c:pt idx="0">
                  <c:v>Tax on products</c:v>
                </c:pt>
              </c:strCache>
            </c:strRef>
          </c:tx>
          <c:spPr>
            <a:pattFill prst="pct75">
              <a:fgClr>
                <a:schemeClr val="accent5"/>
              </a:fgClr>
              <a:bgClr>
                <a:schemeClr val="bg1"/>
              </a:bgClr>
            </a:pattFill>
            <a:ln>
              <a:solidFill>
                <a:schemeClr val="accent5"/>
              </a:solidFill>
            </a:ln>
            <a:effectLst/>
          </c:spPr>
          <c:invertIfNegative val="0"/>
          <c:cat>
            <c:strRef>
              <c:f>Sheet1!$A$5:$A$9</c:f>
              <c:strCache>
                <c:ptCount val="5"/>
                <c:pt idx="0">
                  <c:v>2013</c:v>
                </c:pt>
                <c:pt idx="1">
                  <c:v>2014</c:v>
                </c:pt>
                <c:pt idx="2">
                  <c:v>2015</c:v>
                </c:pt>
                <c:pt idx="3">
                  <c:v>2016e</c:v>
                </c:pt>
                <c:pt idx="4">
                  <c:v>2017p</c:v>
                </c:pt>
              </c:strCache>
            </c:strRef>
          </c:cat>
          <c:val>
            <c:numRef>
              <c:f>Sheet1!$F$5:$F$9</c:f>
              <c:numCache>
                <c:formatCode>0.0</c:formatCode>
                <c:ptCount val="5"/>
                <c:pt idx="0">
                  <c:v>0.41003344918964668</c:v>
                </c:pt>
                <c:pt idx="1">
                  <c:v>0.23403055116614757</c:v>
                </c:pt>
                <c:pt idx="2">
                  <c:v>0.63640346441020768</c:v>
                </c:pt>
                <c:pt idx="3">
                  <c:v>0.78427530757219266</c:v>
                </c:pt>
                <c:pt idx="4">
                  <c:v>0.64628325287297361</c:v>
                </c:pt>
              </c:numCache>
            </c:numRef>
          </c:val>
          <c:extLst>
            <c:ext xmlns:c16="http://schemas.microsoft.com/office/drawing/2014/chart" uri="{C3380CC4-5D6E-409C-BE32-E72D297353CC}">
              <c16:uniqueId val="{00000004-62AD-438C-A073-C8E60FC9476C}"/>
            </c:ext>
          </c:extLst>
        </c:ser>
        <c:dLbls>
          <c:showLegendKey val="0"/>
          <c:showVal val="0"/>
          <c:showCatName val="0"/>
          <c:showSerName val="0"/>
          <c:showPercent val="0"/>
          <c:showBubbleSize val="0"/>
        </c:dLbls>
        <c:gapWidth val="150"/>
        <c:overlap val="100"/>
        <c:axId val="921778112"/>
        <c:axId val="878251232"/>
      </c:barChart>
      <c:lineChart>
        <c:grouping val="standard"/>
        <c:varyColors val="0"/>
        <c:ser>
          <c:idx val="5"/>
          <c:order val="5"/>
          <c:tx>
            <c:strRef>
              <c:f>Sheet1!$G$3:$G$4</c:f>
              <c:strCache>
                <c:ptCount val="2"/>
                <c:pt idx="0">
                  <c:v>GDP growth </c:v>
                </c:pt>
              </c:strCache>
            </c:strRef>
          </c:tx>
          <c:spPr>
            <a:ln w="28575" cap="rnd">
              <a:solidFill>
                <a:schemeClr val="tx1"/>
              </a:solidFill>
              <a:round/>
            </a:ln>
            <a:effectLst/>
          </c:spPr>
          <c:marker>
            <c:symbol val="none"/>
          </c:marker>
          <c:cat>
            <c:strRef>
              <c:f>Sheet1!$A$5:$A$9</c:f>
              <c:strCache>
                <c:ptCount val="5"/>
                <c:pt idx="0">
                  <c:v>2013</c:v>
                </c:pt>
                <c:pt idx="1">
                  <c:v>2014</c:v>
                </c:pt>
                <c:pt idx="2">
                  <c:v>2015</c:v>
                </c:pt>
                <c:pt idx="3">
                  <c:v>2016e</c:v>
                </c:pt>
                <c:pt idx="4">
                  <c:v>2017p</c:v>
                </c:pt>
              </c:strCache>
            </c:strRef>
          </c:cat>
          <c:val>
            <c:numRef>
              <c:f>Sheet1!$G$5:$G$9</c:f>
              <c:numCache>
                <c:formatCode>0.0</c:formatCode>
                <c:ptCount val="5"/>
                <c:pt idx="0">
                  <c:v>2.2631700000000001</c:v>
                </c:pt>
                <c:pt idx="1">
                  <c:v>3.3148399999999998</c:v>
                </c:pt>
                <c:pt idx="2">
                  <c:v>3.0657199999999998</c:v>
                </c:pt>
                <c:pt idx="3">
                  <c:v>4.2</c:v>
                </c:pt>
                <c:pt idx="4">
                  <c:v>4.0999999999999996</c:v>
                </c:pt>
              </c:numCache>
            </c:numRef>
          </c:val>
          <c:smooth val="0"/>
          <c:extLst>
            <c:ext xmlns:c16="http://schemas.microsoft.com/office/drawing/2014/chart" uri="{C3380CC4-5D6E-409C-BE32-E72D297353CC}">
              <c16:uniqueId val="{00000005-62AD-438C-A073-C8E60FC9476C}"/>
            </c:ext>
          </c:extLst>
        </c:ser>
        <c:dLbls>
          <c:showLegendKey val="0"/>
          <c:showVal val="0"/>
          <c:showCatName val="0"/>
          <c:showSerName val="0"/>
          <c:showPercent val="0"/>
          <c:showBubbleSize val="0"/>
        </c:dLbls>
        <c:marker val="1"/>
        <c:smooth val="0"/>
        <c:axId val="921778112"/>
        <c:axId val="878251232"/>
      </c:lineChart>
      <c:catAx>
        <c:axId val="921778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78251232"/>
        <c:crosses val="autoZero"/>
        <c:auto val="1"/>
        <c:lblAlgn val="ctr"/>
        <c:lblOffset val="100"/>
        <c:noMultiLvlLbl val="0"/>
      </c:catAx>
      <c:valAx>
        <c:axId val="878251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2177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613735783027115E-2"/>
          <c:y val="4.622222222222222E-2"/>
          <c:w val="0.89583070866141734"/>
          <c:h val="0.62075913279718753"/>
        </c:manualLayout>
      </c:layout>
      <c:barChart>
        <c:barDir val="col"/>
        <c:grouping val="stacked"/>
        <c:varyColors val="0"/>
        <c:ser>
          <c:idx val="0"/>
          <c:order val="0"/>
          <c:tx>
            <c:strRef>
              <c:f>Sheet1!$A$32</c:f>
              <c:strCache>
                <c:ptCount val="1"/>
                <c:pt idx="0">
                  <c:v>Private Consumption</c:v>
                </c:pt>
              </c:strCache>
            </c:strRef>
          </c:tx>
          <c:spPr>
            <a:solidFill>
              <a:schemeClr val="accent5"/>
            </a:solidFill>
            <a:ln>
              <a:solidFill>
                <a:schemeClr val="accent5"/>
              </a:solidFill>
            </a:ln>
            <a:effectLst/>
          </c:spPr>
          <c:invertIfNegative val="0"/>
          <c:cat>
            <c:strRef>
              <c:f>Sheet1!$B$31:$G$31</c:f>
              <c:strCache>
                <c:ptCount val="5"/>
                <c:pt idx="0">
                  <c:v>2013</c:v>
                </c:pt>
                <c:pt idx="1">
                  <c:v>2014</c:v>
                </c:pt>
                <c:pt idx="2">
                  <c:v>2015</c:v>
                </c:pt>
                <c:pt idx="3">
                  <c:v>2016 e</c:v>
                </c:pt>
                <c:pt idx="4">
                  <c:v>2017p</c:v>
                </c:pt>
              </c:strCache>
            </c:strRef>
          </c:cat>
          <c:val>
            <c:numRef>
              <c:f>Sheet1!$B$32:$G$32</c:f>
              <c:numCache>
                <c:formatCode>0.0</c:formatCode>
                <c:ptCount val="5"/>
                <c:pt idx="0">
                  <c:v>0.97291000000000005</c:v>
                </c:pt>
                <c:pt idx="1">
                  <c:v>-0.17752999999999999</c:v>
                </c:pt>
                <c:pt idx="2">
                  <c:v>0.22953999999999999</c:v>
                </c:pt>
                <c:pt idx="3">
                  <c:v>0.36946000000000001</c:v>
                </c:pt>
                <c:pt idx="4">
                  <c:v>0.57015000000000005</c:v>
                </c:pt>
              </c:numCache>
            </c:numRef>
          </c:val>
          <c:extLst>
            <c:ext xmlns:c16="http://schemas.microsoft.com/office/drawing/2014/chart" uri="{C3380CC4-5D6E-409C-BE32-E72D297353CC}">
              <c16:uniqueId val="{00000000-EB50-467E-A215-21A84A230D78}"/>
            </c:ext>
          </c:extLst>
        </c:ser>
        <c:ser>
          <c:idx val="1"/>
          <c:order val="1"/>
          <c:tx>
            <c:strRef>
              <c:f>Sheet1!$A$33</c:f>
              <c:strCache>
                <c:ptCount val="1"/>
                <c:pt idx="0">
                  <c:v>Government Consumption</c:v>
                </c:pt>
              </c:strCache>
            </c:strRef>
          </c:tx>
          <c:spPr>
            <a:pattFill prst="ltVert">
              <a:fgClr>
                <a:schemeClr val="accent5"/>
              </a:fgClr>
              <a:bgClr>
                <a:schemeClr val="bg1"/>
              </a:bgClr>
            </a:pattFill>
            <a:ln>
              <a:solidFill>
                <a:schemeClr val="accent5"/>
              </a:solidFill>
            </a:ln>
            <a:effectLst/>
          </c:spPr>
          <c:invertIfNegative val="0"/>
          <c:cat>
            <c:strRef>
              <c:f>Sheet1!$B$31:$G$31</c:f>
              <c:strCache>
                <c:ptCount val="5"/>
                <c:pt idx="0">
                  <c:v>2013</c:v>
                </c:pt>
                <c:pt idx="1">
                  <c:v>2014</c:v>
                </c:pt>
                <c:pt idx="2">
                  <c:v>2015</c:v>
                </c:pt>
                <c:pt idx="3">
                  <c:v>2016 e</c:v>
                </c:pt>
                <c:pt idx="4">
                  <c:v>2017p</c:v>
                </c:pt>
              </c:strCache>
            </c:strRef>
          </c:cat>
          <c:val>
            <c:numRef>
              <c:f>Sheet1!$B$33:$G$33</c:f>
              <c:numCache>
                <c:formatCode>0.0</c:formatCode>
                <c:ptCount val="5"/>
                <c:pt idx="0">
                  <c:v>-0.30797999999999998</c:v>
                </c:pt>
                <c:pt idx="1">
                  <c:v>0.41768</c:v>
                </c:pt>
                <c:pt idx="2">
                  <c:v>-0.11651</c:v>
                </c:pt>
                <c:pt idx="3">
                  <c:v>-4.6550000000000001E-2</c:v>
                </c:pt>
                <c:pt idx="4">
                  <c:v>0.53754000000000002</c:v>
                </c:pt>
              </c:numCache>
            </c:numRef>
          </c:val>
          <c:extLst>
            <c:ext xmlns:c16="http://schemas.microsoft.com/office/drawing/2014/chart" uri="{C3380CC4-5D6E-409C-BE32-E72D297353CC}">
              <c16:uniqueId val="{00000001-EB50-467E-A215-21A84A230D78}"/>
            </c:ext>
          </c:extLst>
        </c:ser>
        <c:ser>
          <c:idx val="2"/>
          <c:order val="2"/>
          <c:tx>
            <c:strRef>
              <c:f>Sheet1!$A$34</c:f>
              <c:strCache>
                <c:ptCount val="1"/>
                <c:pt idx="0">
                  <c:v>Gross Fixed Investment</c:v>
                </c:pt>
              </c:strCache>
            </c:strRef>
          </c:tx>
          <c:spPr>
            <a:pattFill prst="pct80">
              <a:fgClr>
                <a:schemeClr val="accent5"/>
              </a:fgClr>
              <a:bgClr>
                <a:schemeClr val="bg1"/>
              </a:bgClr>
            </a:pattFill>
            <a:ln>
              <a:solidFill>
                <a:schemeClr val="accent5"/>
              </a:solidFill>
            </a:ln>
            <a:effectLst/>
          </c:spPr>
          <c:invertIfNegative val="0"/>
          <c:cat>
            <c:strRef>
              <c:f>Sheet1!$B$31:$G$31</c:f>
              <c:strCache>
                <c:ptCount val="5"/>
                <c:pt idx="0">
                  <c:v>2013</c:v>
                </c:pt>
                <c:pt idx="1">
                  <c:v>2014</c:v>
                </c:pt>
                <c:pt idx="2">
                  <c:v>2015</c:v>
                </c:pt>
                <c:pt idx="3">
                  <c:v>2016 e</c:v>
                </c:pt>
                <c:pt idx="4">
                  <c:v>2017p</c:v>
                </c:pt>
              </c:strCache>
            </c:strRef>
          </c:cat>
          <c:val>
            <c:numRef>
              <c:f>Sheet1!$B$34:$G$34</c:f>
              <c:numCache>
                <c:formatCode>0.0</c:formatCode>
                <c:ptCount val="5"/>
                <c:pt idx="0">
                  <c:v>-0.67174999999999996</c:v>
                </c:pt>
                <c:pt idx="1">
                  <c:v>0.27942</c:v>
                </c:pt>
                <c:pt idx="2">
                  <c:v>0.48468</c:v>
                </c:pt>
                <c:pt idx="3">
                  <c:v>3.0296599999999998</c:v>
                </c:pt>
                <c:pt idx="4">
                  <c:v>2.1541799999999998</c:v>
                </c:pt>
              </c:numCache>
            </c:numRef>
          </c:val>
          <c:extLst>
            <c:ext xmlns:c16="http://schemas.microsoft.com/office/drawing/2014/chart" uri="{C3380CC4-5D6E-409C-BE32-E72D297353CC}">
              <c16:uniqueId val="{00000002-EB50-467E-A215-21A84A230D78}"/>
            </c:ext>
          </c:extLst>
        </c:ser>
        <c:ser>
          <c:idx val="3"/>
          <c:order val="3"/>
          <c:tx>
            <c:strRef>
              <c:f>Sheet1!$A$35</c:f>
              <c:strCache>
                <c:ptCount val="1"/>
                <c:pt idx="0">
                  <c:v> Net exports, GNFS</c:v>
                </c:pt>
              </c:strCache>
            </c:strRef>
          </c:tx>
          <c:spPr>
            <a:pattFill prst="pct10">
              <a:fgClr>
                <a:schemeClr val="accent1"/>
              </a:fgClr>
              <a:bgClr>
                <a:schemeClr val="bg1"/>
              </a:bgClr>
            </a:pattFill>
            <a:ln>
              <a:solidFill>
                <a:schemeClr val="accent5"/>
              </a:solidFill>
            </a:ln>
            <a:effectLst/>
          </c:spPr>
          <c:invertIfNegative val="0"/>
          <c:cat>
            <c:strRef>
              <c:f>Sheet1!$B$31:$G$31</c:f>
              <c:strCache>
                <c:ptCount val="5"/>
                <c:pt idx="0">
                  <c:v>2013</c:v>
                </c:pt>
                <c:pt idx="1">
                  <c:v>2014</c:v>
                </c:pt>
                <c:pt idx="2">
                  <c:v>2015</c:v>
                </c:pt>
                <c:pt idx="3">
                  <c:v>2016 e</c:v>
                </c:pt>
                <c:pt idx="4">
                  <c:v>2017p</c:v>
                </c:pt>
              </c:strCache>
            </c:strRef>
          </c:cat>
          <c:val>
            <c:numRef>
              <c:f>Sheet1!$B$35:$G$35</c:f>
              <c:numCache>
                <c:formatCode>0.0</c:formatCode>
                <c:ptCount val="5"/>
                <c:pt idx="0">
                  <c:v>2.26999</c:v>
                </c:pt>
                <c:pt idx="1">
                  <c:v>2.7952699999999999</c:v>
                </c:pt>
                <c:pt idx="2">
                  <c:v>2.4680099999999996</c:v>
                </c:pt>
                <c:pt idx="3">
                  <c:v>0.85325999999999969</c:v>
                </c:pt>
                <c:pt idx="4">
                  <c:v>0.82450077576106029</c:v>
                </c:pt>
              </c:numCache>
            </c:numRef>
          </c:val>
          <c:extLst>
            <c:ext xmlns:c16="http://schemas.microsoft.com/office/drawing/2014/chart" uri="{C3380CC4-5D6E-409C-BE32-E72D297353CC}">
              <c16:uniqueId val="{00000003-EB50-467E-A215-21A84A230D78}"/>
            </c:ext>
          </c:extLst>
        </c:ser>
        <c:dLbls>
          <c:showLegendKey val="0"/>
          <c:showVal val="0"/>
          <c:showCatName val="0"/>
          <c:showSerName val="0"/>
          <c:showPercent val="0"/>
          <c:showBubbleSize val="0"/>
        </c:dLbls>
        <c:gapWidth val="150"/>
        <c:overlap val="100"/>
        <c:axId val="791802656"/>
        <c:axId val="973501584"/>
      </c:barChart>
      <c:lineChart>
        <c:grouping val="standard"/>
        <c:varyColors val="0"/>
        <c:ser>
          <c:idx val="4"/>
          <c:order val="4"/>
          <c:tx>
            <c:strRef>
              <c:f>Sheet1!$A$36</c:f>
              <c:strCache>
                <c:ptCount val="1"/>
                <c:pt idx="0">
                  <c:v> GDP growth</c:v>
                </c:pt>
              </c:strCache>
            </c:strRef>
          </c:tx>
          <c:spPr>
            <a:ln w="28575" cap="rnd">
              <a:solidFill>
                <a:schemeClr val="tx1"/>
              </a:solidFill>
              <a:round/>
            </a:ln>
            <a:effectLst/>
          </c:spPr>
          <c:marker>
            <c:symbol val="none"/>
          </c:marker>
          <c:cat>
            <c:strRef>
              <c:f>Sheet1!$B$31:$G$31</c:f>
              <c:strCache>
                <c:ptCount val="5"/>
                <c:pt idx="0">
                  <c:v>2013</c:v>
                </c:pt>
                <c:pt idx="1">
                  <c:v>2014</c:v>
                </c:pt>
                <c:pt idx="2">
                  <c:v>2015</c:v>
                </c:pt>
                <c:pt idx="3">
                  <c:v>2016 e</c:v>
                </c:pt>
                <c:pt idx="4">
                  <c:v>2017p</c:v>
                </c:pt>
              </c:strCache>
            </c:strRef>
          </c:cat>
          <c:val>
            <c:numRef>
              <c:f>Sheet1!$B$36:$G$36</c:f>
              <c:numCache>
                <c:formatCode>0.0</c:formatCode>
                <c:ptCount val="5"/>
                <c:pt idx="0">
                  <c:v>2.2631700000000001</c:v>
                </c:pt>
                <c:pt idx="1">
                  <c:v>3.3148399999999998</c:v>
                </c:pt>
                <c:pt idx="2">
                  <c:v>3.0657199999999998</c:v>
                </c:pt>
                <c:pt idx="3">
                  <c:v>4.2058299999999997</c:v>
                </c:pt>
                <c:pt idx="4">
                  <c:v>4.0863707757610603</c:v>
                </c:pt>
              </c:numCache>
            </c:numRef>
          </c:val>
          <c:smooth val="0"/>
          <c:extLst>
            <c:ext xmlns:c16="http://schemas.microsoft.com/office/drawing/2014/chart" uri="{C3380CC4-5D6E-409C-BE32-E72D297353CC}">
              <c16:uniqueId val="{00000004-EB50-467E-A215-21A84A230D78}"/>
            </c:ext>
          </c:extLst>
        </c:ser>
        <c:dLbls>
          <c:showLegendKey val="0"/>
          <c:showVal val="0"/>
          <c:showCatName val="0"/>
          <c:showSerName val="0"/>
          <c:showPercent val="0"/>
          <c:showBubbleSize val="0"/>
        </c:dLbls>
        <c:marker val="1"/>
        <c:smooth val="0"/>
        <c:axId val="791802656"/>
        <c:axId val="973501584"/>
      </c:lineChart>
      <c:catAx>
        <c:axId val="7918026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73501584"/>
        <c:crosses val="autoZero"/>
        <c:auto val="1"/>
        <c:lblAlgn val="ctr"/>
        <c:lblOffset val="100"/>
        <c:noMultiLvlLbl val="0"/>
      </c:catAx>
      <c:valAx>
        <c:axId val="973501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91802656"/>
        <c:crosses val="autoZero"/>
        <c:crossBetween val="between"/>
      </c:valAx>
      <c:spPr>
        <a:noFill/>
        <a:ln>
          <a:noFill/>
        </a:ln>
        <a:effectLst/>
      </c:spPr>
    </c:plotArea>
    <c:legend>
      <c:legendPos val="b"/>
      <c:layout>
        <c:manualLayout>
          <c:xMode val="edge"/>
          <c:yMode val="edge"/>
          <c:x val="2.2874234470691167E-2"/>
          <c:y val="0.75040711444250252"/>
          <c:w val="0.96550174978127734"/>
          <c:h val="0.249592885557497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269337032840984E-2"/>
          <c:y val="4.7448818897637801E-2"/>
          <c:w val="0.93536804308797128"/>
          <c:h val="0.79269669676088583"/>
        </c:manualLayout>
      </c:layout>
      <c:lineChart>
        <c:grouping val="standard"/>
        <c:varyColors val="0"/>
        <c:ser>
          <c:idx val="0"/>
          <c:order val="0"/>
          <c:tx>
            <c:strRef>
              <c:f>'[MDG DSA.xlsm]Chart Data'!$B$118</c:f>
              <c:strCache>
                <c:ptCount val="1"/>
                <c:pt idx="0">
                  <c:v>Baseline</c:v>
                </c:pt>
              </c:strCache>
            </c:strRef>
          </c:tx>
          <c:spPr>
            <a:ln w="25400">
              <a:solidFill>
                <a:srgbClr val="4B82AD"/>
              </a:solidFill>
              <a:prstDash val="solid"/>
            </a:ln>
          </c:spPr>
          <c:marker>
            <c:symbol val="none"/>
          </c:marker>
          <c:cat>
            <c:numRef>
              <c:f>'[MDG DSA.xlsm]Chart Data'!$C$102:$W$102</c:f>
              <c:numCache>
                <c:formatCode>0</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numCache>
            </c:numRef>
          </c:cat>
          <c:val>
            <c:numRef>
              <c:f>'[MDG DSA.xlsm]Chart Data'!$C$118:$W$118</c:f>
              <c:numCache>
                <c:formatCode>0.0</c:formatCode>
                <c:ptCount val="21"/>
                <c:pt idx="0">
                  <c:v>29.091228508959549</c:v>
                </c:pt>
                <c:pt idx="1">
                  <c:v>29.212168151139302</c:v>
                </c:pt>
                <c:pt idx="2">
                  <c:v>29.236069335455639</c:v>
                </c:pt>
                <c:pt idx="3">
                  <c:v>29.242864353668764</c:v>
                </c:pt>
                <c:pt idx="4">
                  <c:v>29.503504601318003</c:v>
                </c:pt>
                <c:pt idx="5">
                  <c:v>29.863240635325326</c:v>
                </c:pt>
                <c:pt idx="6">
                  <c:v>29.593845984198424</c:v>
                </c:pt>
                <c:pt idx="7">
                  <c:v>29.370787716536601</c:v>
                </c:pt>
                <c:pt idx="8">
                  <c:v>29.112435006475806</c:v>
                </c:pt>
                <c:pt idx="9">
                  <c:v>28.847379407673944</c:v>
                </c:pt>
                <c:pt idx="10">
                  <c:v>28.491418168498679</c:v>
                </c:pt>
                <c:pt idx="11">
                  <c:v>28.216607788453462</c:v>
                </c:pt>
                <c:pt idx="12">
                  <c:v>28.117542321999512</c:v>
                </c:pt>
                <c:pt idx="13">
                  <c:v>28.098467549892476</c:v>
                </c:pt>
                <c:pt idx="14">
                  <c:v>28.085858433068054</c:v>
                </c:pt>
                <c:pt idx="15">
                  <c:v>28.037601352745749</c:v>
                </c:pt>
                <c:pt idx="16">
                  <c:v>27.970357306643667</c:v>
                </c:pt>
                <c:pt idx="17">
                  <c:v>27.93014704227053</c:v>
                </c:pt>
                <c:pt idx="18">
                  <c:v>27.863401348912287</c:v>
                </c:pt>
                <c:pt idx="19">
                  <c:v>27.766358404444052</c:v>
                </c:pt>
                <c:pt idx="20">
                  <c:v>27.766358404444052</c:v>
                </c:pt>
              </c:numCache>
            </c:numRef>
          </c:val>
          <c:smooth val="0"/>
          <c:extLst>
            <c:ext xmlns:c16="http://schemas.microsoft.com/office/drawing/2014/chart" uri="{C3380CC4-5D6E-409C-BE32-E72D297353CC}">
              <c16:uniqueId val="{00000000-E895-4733-83EA-46171E2F93A7}"/>
            </c:ext>
          </c:extLst>
        </c:ser>
        <c:ser>
          <c:idx val="1"/>
          <c:order val="1"/>
          <c:tx>
            <c:strRef>
              <c:f>'[MDG DSA.xlsm]Chart Data'!$B$121</c:f>
              <c:strCache>
                <c:ptCount val="1"/>
                <c:pt idx="0">
                  <c:v>Fix Primary Balance</c:v>
                </c:pt>
              </c:strCache>
            </c:strRef>
          </c:tx>
          <c:spPr>
            <a:ln w="19050">
              <a:solidFill>
                <a:srgbClr val="FF0000"/>
              </a:solidFill>
              <a:prstDash val="lgDash"/>
            </a:ln>
          </c:spPr>
          <c:marker>
            <c:symbol val="none"/>
          </c:marker>
          <c:cat>
            <c:numRef>
              <c:f>'[MDG DSA.xlsm]Chart Data'!$C$102:$W$102</c:f>
              <c:numCache>
                <c:formatCode>0</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numCache>
            </c:numRef>
          </c:cat>
          <c:val>
            <c:numRef>
              <c:f>'[MDG DSA.xlsm]Chart Data'!$C$121:$W$121</c:f>
              <c:numCache>
                <c:formatCode>0.0</c:formatCode>
                <c:ptCount val="21"/>
                <c:pt idx="0">
                  <c:v>29.09122850895956</c:v>
                </c:pt>
                <c:pt idx="1">
                  <c:v>29.574529083653228</c:v>
                </c:pt>
                <c:pt idx="2">
                  <c:v>30.086686441321042</c:v>
                </c:pt>
                <c:pt idx="3">
                  <c:v>31.009125243319502</c:v>
                </c:pt>
                <c:pt idx="4">
                  <c:v>32.312061062954413</c:v>
                </c:pt>
                <c:pt idx="5">
                  <c:v>33.786233416539879</c:v>
                </c:pt>
                <c:pt idx="6">
                  <c:v>35.344497118348471</c:v>
                </c:pt>
                <c:pt idx="7">
                  <c:v>36.933770933996172</c:v>
                </c:pt>
                <c:pt idx="8">
                  <c:v>38.337121352366296</c:v>
                </c:pt>
                <c:pt idx="9">
                  <c:v>39.780649613104217</c:v>
                </c:pt>
                <c:pt idx="10">
                  <c:v>41.134994665337942</c:v>
                </c:pt>
                <c:pt idx="11">
                  <c:v>42.514900512570733</c:v>
                </c:pt>
                <c:pt idx="12">
                  <c:v>43.914945076437967</c:v>
                </c:pt>
                <c:pt idx="13">
                  <c:v>45.288761941536684</c:v>
                </c:pt>
                <c:pt idx="14">
                  <c:v>46.665397577167674</c:v>
                </c:pt>
                <c:pt idx="15">
                  <c:v>47.995236590009519</c:v>
                </c:pt>
                <c:pt idx="16">
                  <c:v>49.297407337685485</c:v>
                </c:pt>
                <c:pt idx="17">
                  <c:v>50.544957081292019</c:v>
                </c:pt>
                <c:pt idx="18">
                  <c:v>51.761208330218736</c:v>
                </c:pt>
                <c:pt idx="19">
                  <c:v>52.940929484006404</c:v>
                </c:pt>
                <c:pt idx="20">
                  <c:v>52.940929484006404</c:v>
                </c:pt>
              </c:numCache>
            </c:numRef>
          </c:val>
          <c:smooth val="0"/>
          <c:extLst>
            <c:ext xmlns:c16="http://schemas.microsoft.com/office/drawing/2014/chart" uri="{C3380CC4-5D6E-409C-BE32-E72D297353CC}">
              <c16:uniqueId val="{00000001-E895-4733-83EA-46171E2F93A7}"/>
            </c:ext>
          </c:extLst>
        </c:ser>
        <c:ser>
          <c:idx val="2"/>
          <c:order val="2"/>
          <c:tx>
            <c:strRef>
              <c:f>'[MDG DSA.xlsm]Chart Data'!$B$120</c:f>
              <c:strCache>
                <c:ptCount val="1"/>
                <c:pt idx="0">
                  <c:v>Most extreme shock Growth</c:v>
                </c:pt>
              </c:strCache>
            </c:strRef>
          </c:tx>
          <c:spPr>
            <a:ln w="19050">
              <a:solidFill>
                <a:srgbClr val="000000"/>
              </a:solidFill>
              <a:prstDash val="solid"/>
            </a:ln>
          </c:spPr>
          <c:marker>
            <c:symbol val="none"/>
          </c:marker>
          <c:cat>
            <c:numRef>
              <c:f>'[MDG DSA.xlsm]Chart Data'!$C$102:$W$102</c:f>
              <c:numCache>
                <c:formatCode>0</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numCache>
            </c:numRef>
          </c:cat>
          <c:val>
            <c:numRef>
              <c:f>'[MDG DSA.xlsm]Chart Data'!$C$120:$W$120</c:f>
              <c:numCache>
                <c:formatCode>0.0</c:formatCode>
                <c:ptCount val="21"/>
                <c:pt idx="0">
                  <c:v>29.09122850895956</c:v>
                </c:pt>
                <c:pt idx="1">
                  <c:v>31.45491209349337</c:v>
                </c:pt>
                <c:pt idx="2">
                  <c:v>34.610277681350496</c:v>
                </c:pt>
                <c:pt idx="3">
                  <c:v>35.661487879239708</c:v>
                </c:pt>
                <c:pt idx="4">
                  <c:v>36.978319338887296</c:v>
                </c:pt>
                <c:pt idx="5">
                  <c:v>38.419287175472938</c:v>
                </c:pt>
                <c:pt idx="6">
                  <c:v>39.145653852501219</c:v>
                </c:pt>
                <c:pt idx="7">
                  <c:v>39.929685709611775</c:v>
                </c:pt>
                <c:pt idx="8">
                  <c:v>40.670268224480651</c:v>
                </c:pt>
                <c:pt idx="9">
                  <c:v>41.400947121226011</c:v>
                </c:pt>
                <c:pt idx="10">
                  <c:v>42.011423353498465</c:v>
                </c:pt>
                <c:pt idx="11">
                  <c:v>42.684869585843266</c:v>
                </c:pt>
                <c:pt idx="12">
                  <c:v>43.525033013684137</c:v>
                </c:pt>
                <c:pt idx="13">
                  <c:v>44.414780102754889</c:v>
                </c:pt>
                <c:pt idx="14">
                  <c:v>45.277782551921298</c:v>
                </c:pt>
                <c:pt idx="15">
                  <c:v>46.063021735322984</c:v>
                </c:pt>
                <c:pt idx="16">
                  <c:v>46.797233857202308</c:v>
                </c:pt>
                <c:pt idx="17">
                  <c:v>47.523764850055066</c:v>
                </c:pt>
                <c:pt idx="18">
                  <c:v>48.189614191405028</c:v>
                </c:pt>
                <c:pt idx="19">
                  <c:v>48.787343878571725</c:v>
                </c:pt>
                <c:pt idx="20">
                  <c:v>48.787343878571725</c:v>
                </c:pt>
              </c:numCache>
            </c:numRef>
          </c:val>
          <c:smooth val="0"/>
          <c:extLst>
            <c:ext xmlns:c16="http://schemas.microsoft.com/office/drawing/2014/chart" uri="{C3380CC4-5D6E-409C-BE32-E72D297353CC}">
              <c16:uniqueId val="{00000002-E895-4733-83EA-46171E2F93A7}"/>
            </c:ext>
          </c:extLst>
        </c:ser>
        <c:ser>
          <c:idx val="3"/>
          <c:order val="3"/>
          <c:tx>
            <c:strRef>
              <c:f>'[MDG DSA.xlsm]Chart Data'!$A$116</c:f>
              <c:strCache>
                <c:ptCount val="1"/>
              </c:strCache>
            </c:strRef>
          </c:tx>
          <c:spPr>
            <a:ln w="25400">
              <a:solidFill>
                <a:srgbClr val="00FF00"/>
              </a:solidFill>
            </a:ln>
          </c:spPr>
          <c:marker>
            <c:symbol val="none"/>
          </c:marker>
          <c:cat>
            <c:numRef>
              <c:f>'[MDG DSA.xlsm]Chart Data'!$C$102:$W$102</c:f>
              <c:numCache>
                <c:formatCode>0</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numCache>
            </c:numRef>
          </c:cat>
          <c:val>
            <c:numRef>
              <c:f>'[MDG DSA.xlsm]Chart Data'!$C$116:$W$116</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mooth val="0"/>
          <c:extLst>
            <c:ext xmlns:c16="http://schemas.microsoft.com/office/drawing/2014/chart" uri="{C3380CC4-5D6E-409C-BE32-E72D297353CC}">
              <c16:uniqueId val="{00000003-E895-4733-83EA-46171E2F93A7}"/>
            </c:ext>
          </c:extLst>
        </c:ser>
        <c:ser>
          <c:idx val="4"/>
          <c:order val="4"/>
          <c:tx>
            <c:strRef>
              <c:f>'[MDG DSA.xlsm]Chart Data'!$B$119</c:f>
              <c:strCache>
                <c:ptCount val="1"/>
                <c:pt idx="0">
                  <c:v>Historical scenario</c:v>
                </c:pt>
              </c:strCache>
            </c:strRef>
          </c:tx>
          <c:spPr>
            <a:ln w="25400">
              <a:solidFill>
                <a:srgbClr val="C0C0C0"/>
              </a:solidFill>
              <a:prstDash val="lgDash"/>
            </a:ln>
          </c:spPr>
          <c:marker>
            <c:symbol val="none"/>
          </c:marker>
          <c:cat>
            <c:numRef>
              <c:f>'[MDG DSA.xlsm]Chart Data'!$C$102:$W$102</c:f>
              <c:numCache>
                <c:formatCode>0</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numCache>
            </c:numRef>
          </c:cat>
          <c:val>
            <c:numRef>
              <c:f>'[MDG DSA.xlsm]Chart Data'!$C$119:$W$119</c:f>
              <c:numCache>
                <c:formatCode>0.0</c:formatCode>
                <c:ptCount val="21"/>
                <c:pt idx="0">
                  <c:v>29.09122850895956</c:v>
                </c:pt>
                <c:pt idx="1">
                  <c:v>28.458849384831204</c:v>
                </c:pt>
                <c:pt idx="2">
                  <c:v>27.958497068243958</c:v>
                </c:pt>
                <c:pt idx="3">
                  <c:v>27.905535609332393</c:v>
                </c:pt>
                <c:pt idx="4">
                  <c:v>28.176537433497167</c:v>
                </c:pt>
                <c:pt idx="5">
                  <c:v>28.614056654057418</c:v>
                </c:pt>
                <c:pt idx="6">
                  <c:v>29.184126565361201</c:v>
                </c:pt>
                <c:pt idx="7">
                  <c:v>29.833551436975753</c:v>
                </c:pt>
                <c:pt idx="8">
                  <c:v>30.324656639989318</c:v>
                </c:pt>
                <c:pt idx="9">
                  <c:v>30.908322081160183</c:v>
                </c:pt>
                <c:pt idx="10">
                  <c:v>31.459893414295951</c:v>
                </c:pt>
                <c:pt idx="11">
                  <c:v>32.125062005655501</c:v>
                </c:pt>
                <c:pt idx="12">
                  <c:v>32.875403942807374</c:v>
                </c:pt>
                <c:pt idx="13">
                  <c:v>33.70175819414132</c:v>
                </c:pt>
                <c:pt idx="14">
                  <c:v>34.617585287940585</c:v>
                </c:pt>
                <c:pt idx="15">
                  <c:v>35.575762911947216</c:v>
                </c:pt>
                <c:pt idx="16">
                  <c:v>36.567599423866021</c:v>
                </c:pt>
                <c:pt idx="17">
                  <c:v>37.598699043213898</c:v>
                </c:pt>
                <c:pt idx="18">
                  <c:v>38.670037501063653</c:v>
                </c:pt>
                <c:pt idx="19">
                  <c:v>39.793085262893484</c:v>
                </c:pt>
                <c:pt idx="20">
                  <c:v>39.793085262893484</c:v>
                </c:pt>
              </c:numCache>
            </c:numRef>
          </c:val>
          <c:smooth val="0"/>
          <c:extLst>
            <c:ext xmlns:c16="http://schemas.microsoft.com/office/drawing/2014/chart" uri="{C3380CC4-5D6E-409C-BE32-E72D297353CC}">
              <c16:uniqueId val="{00000004-E895-4733-83EA-46171E2F93A7}"/>
            </c:ext>
          </c:extLst>
        </c:ser>
        <c:ser>
          <c:idx val="5"/>
          <c:order val="5"/>
          <c:tx>
            <c:v>Public debt benchmark</c:v>
          </c:tx>
          <c:spPr>
            <a:ln w="34925">
              <a:solidFill>
                <a:srgbClr val="339966"/>
              </a:solidFill>
              <a:prstDash val="sysDash"/>
            </a:ln>
          </c:spPr>
          <c:marker>
            <c:symbol val="none"/>
          </c:marker>
          <c:cat>
            <c:numRef>
              <c:f>'[MDG DSA.xlsm]Chart Data'!$C$102:$W$102</c:f>
              <c:numCache>
                <c:formatCode>0</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numCache>
            </c:numRef>
          </c:cat>
          <c:val>
            <c:numRef>
              <c:f>'[MDG DSA.xlsm]Chart Data'!$C$122:$W$122</c:f>
              <c:numCache>
                <c:formatCode>0.0</c:formatCode>
                <c:ptCount val="21"/>
                <c:pt idx="0">
                  <c:v>38</c:v>
                </c:pt>
                <c:pt idx="1">
                  <c:v>38</c:v>
                </c:pt>
                <c:pt idx="2">
                  <c:v>38</c:v>
                </c:pt>
                <c:pt idx="3">
                  <c:v>38</c:v>
                </c:pt>
                <c:pt idx="4">
                  <c:v>38</c:v>
                </c:pt>
                <c:pt idx="5">
                  <c:v>38</c:v>
                </c:pt>
                <c:pt idx="6">
                  <c:v>38</c:v>
                </c:pt>
                <c:pt idx="7">
                  <c:v>38</c:v>
                </c:pt>
                <c:pt idx="8">
                  <c:v>38</c:v>
                </c:pt>
                <c:pt idx="9">
                  <c:v>38</c:v>
                </c:pt>
                <c:pt idx="10">
                  <c:v>38</c:v>
                </c:pt>
                <c:pt idx="11">
                  <c:v>38</c:v>
                </c:pt>
                <c:pt idx="12">
                  <c:v>38</c:v>
                </c:pt>
                <c:pt idx="13">
                  <c:v>38</c:v>
                </c:pt>
                <c:pt idx="14">
                  <c:v>38</c:v>
                </c:pt>
                <c:pt idx="15">
                  <c:v>38</c:v>
                </c:pt>
                <c:pt idx="16">
                  <c:v>38</c:v>
                </c:pt>
                <c:pt idx="17">
                  <c:v>38</c:v>
                </c:pt>
                <c:pt idx="18">
                  <c:v>38</c:v>
                </c:pt>
                <c:pt idx="19">
                  <c:v>38</c:v>
                </c:pt>
                <c:pt idx="20">
                  <c:v>38</c:v>
                </c:pt>
              </c:numCache>
            </c:numRef>
          </c:val>
          <c:smooth val="0"/>
          <c:extLst>
            <c:ext xmlns:c16="http://schemas.microsoft.com/office/drawing/2014/chart" uri="{C3380CC4-5D6E-409C-BE32-E72D297353CC}">
              <c16:uniqueId val="{00000005-E895-4733-83EA-46171E2F93A7}"/>
            </c:ext>
          </c:extLst>
        </c:ser>
        <c:dLbls>
          <c:showLegendKey val="0"/>
          <c:showVal val="0"/>
          <c:showCatName val="0"/>
          <c:showSerName val="0"/>
          <c:showPercent val="0"/>
          <c:showBubbleSize val="0"/>
        </c:dLbls>
        <c:smooth val="0"/>
        <c:axId val="442956032"/>
        <c:axId val="442716160"/>
      </c:lineChart>
      <c:catAx>
        <c:axId val="442956032"/>
        <c:scaling>
          <c:orientation val="minMax"/>
        </c:scaling>
        <c:delete val="0"/>
        <c:axPos val="b"/>
        <c:numFmt formatCode="0" sourceLinked="0"/>
        <c:majorTickMark val="in"/>
        <c:minorTickMark val="none"/>
        <c:tickLblPos val="low"/>
        <c:spPr>
          <a:ln w="12700">
            <a:solidFill>
              <a:srgbClr val="A6A8AC"/>
            </a:solidFill>
            <a:prstDash val="solid"/>
          </a:ln>
        </c:spPr>
        <c:txPr>
          <a:bodyPr rot="0" vert="horz"/>
          <a:lstStyle/>
          <a:p>
            <a:pPr>
              <a:defRPr sz="800" b="0" i="0" u="none" strike="noStrike" baseline="0">
                <a:solidFill>
                  <a:srgbClr val="000000"/>
                </a:solidFill>
                <a:latin typeface="Segoe UI"/>
                <a:ea typeface="Segoe UI"/>
                <a:cs typeface="Segoe UI"/>
              </a:defRPr>
            </a:pPr>
            <a:endParaRPr lang="en-US"/>
          </a:p>
        </c:txPr>
        <c:crossAx val="442716160"/>
        <c:crosses val="autoZero"/>
        <c:auto val="0"/>
        <c:lblAlgn val="ctr"/>
        <c:lblOffset val="100"/>
        <c:tickLblSkip val="2"/>
        <c:tickMarkSkip val="1"/>
        <c:noMultiLvlLbl val="0"/>
      </c:catAx>
      <c:valAx>
        <c:axId val="442716160"/>
        <c:scaling>
          <c:orientation val="minMax"/>
        </c:scaling>
        <c:delete val="0"/>
        <c:axPos val="l"/>
        <c:numFmt formatCode="0" sourceLinked="0"/>
        <c:majorTickMark val="in"/>
        <c:minorTickMark val="none"/>
        <c:tickLblPos val="low"/>
        <c:spPr>
          <a:ln w="12700">
            <a:solidFill>
              <a:srgbClr val="A6A8AC"/>
            </a:solidFill>
            <a:prstDash val="solid"/>
          </a:ln>
        </c:spPr>
        <c:txPr>
          <a:bodyPr rot="0" vert="horz"/>
          <a:lstStyle/>
          <a:p>
            <a:pPr>
              <a:defRPr sz="800" b="0" i="0" u="none" strike="noStrike" baseline="0">
                <a:solidFill>
                  <a:srgbClr val="000000"/>
                </a:solidFill>
                <a:latin typeface="Segoe UI"/>
                <a:ea typeface="Segoe UI"/>
                <a:cs typeface="Segoe UI"/>
              </a:defRPr>
            </a:pPr>
            <a:endParaRPr lang="en-US"/>
          </a:p>
        </c:txPr>
        <c:crossAx val="442956032"/>
        <c:crosses val="autoZero"/>
        <c:crossBetween val="between"/>
      </c:valAx>
      <c:spPr>
        <a:noFill/>
        <a:ln w="12700">
          <a:solidFill>
            <a:srgbClr val="A6A8AC"/>
          </a:solidFill>
          <a:prstDash val="solid"/>
        </a:ln>
      </c:spPr>
    </c:plotArea>
    <c:plotVisOnly val="1"/>
    <c:dispBlanksAs val="span"/>
    <c:showDLblsOverMax val="0"/>
  </c:chart>
  <c:spPr>
    <a:noFill/>
    <a:ln w="9525">
      <a:noFill/>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0.12485</cdr:x>
      <cdr:y>0.23642</cdr:y>
    </cdr:from>
    <cdr:to>
      <cdr:x>0.52259</cdr:x>
      <cdr:y>0.33526</cdr:y>
    </cdr:to>
    <cdr:sp macro="" textlink="">
      <cdr:nvSpPr>
        <cdr:cNvPr id="185346" name="Text Box 2">
          <a:extLst xmlns:a="http://schemas.openxmlformats.org/drawingml/2006/main">
            <a:ext uri="{FF2B5EF4-FFF2-40B4-BE49-F238E27FC236}">
              <a16:creationId xmlns:a16="http://schemas.microsoft.com/office/drawing/2014/main" id="{85171F3B-5840-4E18-9154-D538BC5845D7}"/>
            </a:ext>
          </a:extLst>
        </cdr:cNvPr>
        <cdr:cNvSpPr txBox="1">
          <a:spLocks xmlns:a="http://schemas.openxmlformats.org/drawingml/2006/main" noChangeArrowheads="1"/>
        </cdr:cNvSpPr>
      </cdr:nvSpPr>
      <cdr:spPr bwMode="auto">
        <a:xfrm xmlns:a="http://schemas.openxmlformats.org/drawingml/2006/main">
          <a:off x="666725" y="730542"/>
          <a:ext cx="2113978" cy="304095"/>
        </a:xfrm>
        <a:prstGeom xmlns:a="http://schemas.openxmlformats.org/drawingml/2006/main" prst="rect">
          <a:avLst/>
        </a:prstGeom>
        <a:noFill xmlns:a="http://schemas.openxmlformats.org/drawingml/2006/main"/>
        <a:ln xmlns:a="http://schemas.openxmlformats.org/drawingml/2006/main" w="9525" algn="ctr">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abd7fad0-8e9a-4f24-82a0-e4a690a7a66d">ECENTER-17-2088</_dlc_DocId>
    <_dlc_DocIdUrl xmlns="abd7fad0-8e9a-4f24-82a0-e4a690a7a66d">
      <Url>https://ispan.worldbank.org/sites/BOS/_layouts/15/DocIdRedir.aspx?ID=ECENTER-17-2088</Url>
      <Description>ECENTER-17-2088</Description>
    </_dlc_DocIdUrl>
    <DocumentDate xmlns="1e565efc-c76f-4e3a-ad62-733aa42cc28d">2017-10-26T04:00:00+00:00</DocumentDate>
    <unid xmlns="1e565efc-c76f-4e3a-ad62-733aa42cc28d">090224b085176916</unid>
    <Volume_x0020_Title xmlns="1e565efc-c76f-4e3a-ad62-733aa42cc28d">Madagascar - Public Finance Sustainability and Investment Development Policy Financing II - Program Document</Volume_x0020_Title>
    <Disclosure_x0020_Type xmlns="1e565efc-c76f-4e3a-ad62-733aa42cc28d" xsi:nil="true"/>
    <Unit_x0020_Owning_x0020_or_x0020_Responsible xmlns="1e565efc-c76f-4e3a-ad62-733aa42cc28d">GMF13</Unit_x0020_Owning_x0020_or_x0020_Responsible>
    <BOSWBdocsWebServiceStatus xmlns="1e565efc-c76f-4e3a-ad62-733aa42cc28d">Success</BOSWBdocsWebServiceStatus>
    <RObjectID xmlns="1e565efc-c76f-4e3a-ad62-733aa42cc28d">090224b085176916</RObjectID>
    <Document_x0020_Type xmlns="1e565efc-c76f-4e3a-ad62-733aa42cc28d">Board Report</Document_x0020_Type>
    <Bank_x0020_Group_x0020_Institution xmlns="1e565efc-c76f-4e3a-ad62-733aa42cc28d">IDA</Bank_x0020_Group_x0020_Institution>
    <Project_x0020_ID xmlns="1e565efc-c76f-4e3a-ad62-733aa42cc28d">P164137</Project_x0020_ID>
    <Report_x0020_Number xmlns="1e565efc-c76f-4e3a-ad62-733aa42cc28d">120335-MG</Report_x0020_Number>
    <Other_x0020_Meeting_x0020_Date xmlns="1e565efc-c76f-4e3a-ad62-733aa42cc28d" xsi:nil="true"/>
    <Version_x0020_Type xmlns="1e565efc-c76f-4e3a-ad62-733aa42cc28d">Final</Version_x0020_Type>
    <Board_x0020_Document_x0020_Number xmlns="1e565efc-c76f-4e3a-ad62-733aa42cc28d">IDA/R2017-0318/1</Board_x0020_Document_x0020_Number>
    <Disclosure_x0020_Date xmlns="1e565efc-c76f-4e3a-ad62-733aa42cc28d">2017-11-18T05:00:00+00:00</Disclosure_x0020_Date>
    <Board_x0020_Meeting_x0020_Type xmlns="1e565efc-c76f-4e3a-ad62-733aa42cc28d">Board Meeting</Board_x0020_Meeting_x0020_Type>
    <UpdateEntityID xmlns="1e565efc-c76f-4e3a-ad62-733aa42cc28d">1377f8ea-c2b5-e711-94d5-005056953af8</UpdateEntityID>
    <ImageBankURL xmlns="1e565efc-c76f-4e3a-ad62-733aa42cc28d">https://hubs.worldbank.org/docs/imagebank/Pages/docProfile.aspx?nodeid=28118966</ImageBankURL>
    <RejectedDate xmlns="1e565efc-c76f-4e3a-ad62-733aa42cc28d" xsi:nil="true"/>
    <Sec_x0020_Organization xmlns="1e565efc-c76f-4e3a-ad62-733aa42cc28d" xsi:nil="true"/>
    <ReportDate xmlns="1e565efc-c76f-4e3a-ad62-733aa42cc28d" xsi:nil="true"/>
    <IsRepublished xmlns="1e565efc-c76f-4e3a-ad62-733aa42cc28d">Yes</IsRepublished>
    <InfolitePublishedDate xmlns="1e565efc-c76f-4e3a-ad62-733aa42cc28d">2017-10-30T18:33:43+00:00</InfolitePublishedDate>
    <Country_x0020_Region xmlns="1e565efc-c76f-4e3a-ad62-733aa42cc28d">Madagascar</Country_x0020_Region>
    <IsImageBankURLUpdated xmlns="1e565efc-c76f-4e3a-ad62-733aa42cc28d">Yes</IsImageBankURLUpdated>
    <UpdateEntityName xmlns="1e565efc-c76f-4e3a-ad62-733aa42cc28d">wbg_documentprofile</UpdateEntityName>
    <Disclosure_x0020_Status xmlns="1e565efc-c76f-4e3a-ad62-733aa42cc28d">Disclosed</Disclosure_x0020_Status>
    <RejectionComments xmlns="1e565efc-c76f-4e3a-ad62-733aa42cc28d" xsi:nil="true"/>
    <Language xmlns="1e565efc-c76f-4e3a-ad62-733aa42cc28d">English</Language>
    <Board_x0020_Meeting_x0020_Date xmlns="1e565efc-c76f-4e3a-ad62-733aa42cc28d">2017-11-16T05:00:00+00:00</Board_x0020_Meeting_x0020_Date>
    <Archive xmlns="1e565efc-c76f-4e3a-ad62-733aa42cc28d">true</Archive>
    <ArchivedDate xmlns="1e565efc-c76f-4e3a-ad62-733aa42cc28d">2017-10-30T18:35:02+00:00</ArchivedDate>
    <PublicClassificationDecidedby xmlns="1e565efc-c76f-4e3a-ad62-733aa42cc28d">Alemtaye Nani Makonnen</PublicClassificationDecidedby>
    <ArchiveButtonClick xmlns="1e565efc-c76f-4e3a-ad62-733aa42cc28d">true</ArchiveButtonClick>
    <Information_x0020_Classification xmlns="1e565efc-c76f-4e3a-ad62-733aa42cc28d">Public</Information_x0020_Classification>
    <AccessToInfoComments xmlns="1e565efc-c76f-4e3a-ad62-733aa42cc28d">9. Deliberative;</AccessToInfoComments>
    <RejectedDocuments xmlns="1e565efc-c76f-4e3a-ad62-733aa42cc28d">false</RejectedDocuments>
    <ServiceContentURL xmlns="1e565efc-c76f-4e3a-ad62-733aa42cc28d">http://wbdocsservices.worldbank.org/services?I4_SERVICE=VC&amp;I4_DOCID=090224b085176916</ServiceContentURL>
    <Closing_x0020_Date xmlns="1e565efc-c76f-4e3a-ad62-733aa42cc28d">2017-11-16T05:00:00+00:00</Closing_x0020_Date>
    <Volume_x0020_No xmlns="1e565efc-c76f-4e3a-ad62-733aa42cc28d">1</Volume_x0020_No>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B7ED80168BFC54D8B2E9A470A96603D" ma:contentTypeVersion="45" ma:contentTypeDescription="Create a new document." ma:contentTypeScope="" ma:versionID="38c2de9177496bdeb6b9a8a295d8fb78">
  <xsd:schema xmlns:xsd="http://www.w3.org/2001/XMLSchema" xmlns:xs="http://www.w3.org/2001/XMLSchema" xmlns:p="http://schemas.microsoft.com/office/2006/metadata/properties" xmlns:ns2="abd7fad0-8e9a-4f24-82a0-e4a690a7a66d" xmlns:ns3="1e565efc-c76f-4e3a-ad62-733aa42cc28d" targetNamespace="http://schemas.microsoft.com/office/2006/metadata/properties" ma:root="true" ma:fieldsID="eff62f07c07240f8e86c9970edfe3ff0" ns2:_="" ns3:_="">
    <xsd:import namespace="abd7fad0-8e9a-4f24-82a0-e4a690a7a66d"/>
    <xsd:import namespace="1e565efc-c76f-4e3a-ad62-733aa42cc28d"/>
    <xsd:element name="properties">
      <xsd:complexType>
        <xsd:sequence>
          <xsd:element name="documentManagement">
            <xsd:complexType>
              <xsd:all>
                <xsd:element ref="ns2:_dlc_DocId" minOccurs="0"/>
                <xsd:element ref="ns2:_dlc_DocIdUrl" minOccurs="0"/>
                <xsd:element ref="ns2:_dlc_DocIdPersistId" minOccurs="0"/>
                <xsd:element ref="ns3:AccessToInfoComments" minOccurs="0"/>
                <xsd:element ref="ns3:Archive" minOccurs="0"/>
                <xsd:element ref="ns3:ArchivedDate" minOccurs="0"/>
                <xsd:element ref="ns3:Board_x0020_Document_x0020_Number" minOccurs="0"/>
                <xsd:element ref="ns3:Board_x0020_Meeting_x0020_Date" minOccurs="0"/>
                <xsd:element ref="ns3:Closing_x0020_Date" minOccurs="0"/>
                <xsd:element ref="ns3:Country_x0020_Region" minOccurs="0"/>
                <xsd:element ref="ns3:DocumentDate" minOccurs="0"/>
                <xsd:element ref="ns3:Project_x0020_ID" minOccurs="0"/>
                <xsd:element ref="ns3:RejectedDate" minOccurs="0"/>
                <xsd:element ref="ns3:RejectedDocuments" minOccurs="0"/>
                <xsd:element ref="ns3:Report_x0020_Number" minOccurs="0"/>
                <xsd:element ref="ns3:RObjectID" minOccurs="0"/>
                <xsd:element ref="ns3:Sec_x0020_Organization" minOccurs="0"/>
                <xsd:element ref="ns3:unid" minOccurs="0"/>
                <xsd:element ref="ns3:Document_x0020_Type" minOccurs="0"/>
                <xsd:element ref="ns3:Bank_x0020_Group_x0020_Institution" minOccurs="0"/>
                <xsd:element ref="ns3:Board_x0020_Meeting_x0020_Type" minOccurs="0"/>
                <xsd:element ref="ns3:Other_x0020_Meeting_x0020_Date" minOccurs="0"/>
                <xsd:element ref="ns3:Volume_x0020_No" minOccurs="0"/>
                <xsd:element ref="ns3:Volume_x0020_Title" minOccurs="0"/>
                <xsd:element ref="ns3:Version_x0020_Type" minOccurs="0"/>
                <xsd:element ref="ns3:Language" minOccurs="0"/>
                <xsd:element ref="ns3:Disclosure_x0020_Date" minOccurs="0"/>
                <xsd:element ref="ns3:Disclosure_x0020_Type" minOccurs="0"/>
                <xsd:element ref="ns3:UpdateEntityID" minOccurs="0"/>
                <xsd:element ref="ns3:UpdateEntityName" minOccurs="0"/>
                <xsd:element ref="ns3:ReportDate" minOccurs="0"/>
                <xsd:element ref="ns3:PublicClassificationDecidedby" minOccurs="0"/>
                <xsd:element ref="ns3:Disclosure_x0020_Status" minOccurs="0"/>
                <xsd:element ref="ns3:Unit_x0020_Owning_x0020_or_x0020_Responsible" minOccurs="0"/>
                <xsd:element ref="ns3:Information_x0020_Classification" minOccurs="0"/>
                <xsd:element ref="ns3:ImageBankURL" minOccurs="0"/>
                <xsd:element ref="ns3:IsImageBankURLUpdated" minOccurs="0"/>
                <xsd:element ref="ns3:ServiceContentURL" minOccurs="0"/>
                <xsd:element ref="ns3:IsRepublished" minOccurs="0"/>
                <xsd:element ref="ns3:ArchiveButtonClick" minOccurs="0"/>
                <xsd:element ref="ns3:RejectionComments" minOccurs="0"/>
                <xsd:element ref="ns3:InfolitePublishedDate" minOccurs="0"/>
                <xsd:element ref="ns3:BOSWBdocsWebServic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7fad0-8e9a-4f24-82a0-e4a690a7a6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565efc-c76f-4e3a-ad62-733aa42cc28d" elementFormDefault="qualified">
    <xsd:import namespace="http://schemas.microsoft.com/office/2006/documentManagement/types"/>
    <xsd:import namespace="http://schemas.microsoft.com/office/infopath/2007/PartnerControls"/>
    <xsd:element name="AccessToInfoComments" ma:index="11" nillable="true" ma:displayName="AccessToInfoComments" ma:internalName="AccessToInfoComments">
      <xsd:simpleType>
        <xsd:restriction base="dms:Text">
          <xsd:maxLength value="255"/>
        </xsd:restriction>
      </xsd:simpleType>
    </xsd:element>
    <xsd:element name="Archive" ma:index="12" nillable="true" ma:displayName="Archive" ma:default="0" ma:internalName="Archive">
      <xsd:simpleType>
        <xsd:restriction base="dms:Boolean"/>
      </xsd:simpleType>
    </xsd:element>
    <xsd:element name="ArchivedDate" ma:index="13" nillable="true" ma:displayName="ArchivedDate" ma:format="DateOnly" ma:internalName="ArchivedDate">
      <xsd:simpleType>
        <xsd:restriction base="dms:DateTime"/>
      </xsd:simpleType>
    </xsd:element>
    <xsd:element name="Board_x0020_Document_x0020_Number" ma:index="14" nillable="true" ma:displayName="Board Document Number" ma:internalName="Board_x0020_Document_x0020_Number">
      <xsd:simpleType>
        <xsd:restriction base="dms:Text">
          <xsd:maxLength value="255"/>
        </xsd:restriction>
      </xsd:simpleType>
    </xsd:element>
    <xsd:element name="Board_x0020_Meeting_x0020_Date" ma:index="15" nillable="true" ma:displayName="Board Meeting Date" ma:format="DateOnly" ma:internalName="Board_x0020_Meeting_x0020_Date">
      <xsd:simpleType>
        <xsd:restriction base="dms:DateTime"/>
      </xsd:simpleType>
    </xsd:element>
    <xsd:element name="Closing_x0020_Date" ma:index="16" nillable="true" ma:displayName="Closing Date" ma:format="DateOnly" ma:internalName="Closing_x0020_Date">
      <xsd:simpleType>
        <xsd:restriction base="dms:DateTime"/>
      </xsd:simpleType>
    </xsd:element>
    <xsd:element name="Country_x0020_Region" ma:index="17" nillable="true" ma:displayName="Country Region" ma:internalName="Country_x0020_Region">
      <xsd:simpleType>
        <xsd:restriction base="dms:Text">
          <xsd:maxLength value="255"/>
        </xsd:restriction>
      </xsd:simpleType>
    </xsd:element>
    <xsd:element name="DocumentDate" ma:index="18" nillable="true" ma:displayName="DocumentDate" ma:format="DateOnly" ma:internalName="DocumentDate">
      <xsd:simpleType>
        <xsd:restriction base="dms:DateTime"/>
      </xsd:simpleType>
    </xsd:element>
    <xsd:element name="Project_x0020_ID" ma:index="19" nillable="true" ma:displayName="Project ID" ma:internalName="Project_x0020_ID">
      <xsd:simpleType>
        <xsd:restriction base="dms:Text">
          <xsd:maxLength value="255"/>
        </xsd:restriction>
      </xsd:simpleType>
    </xsd:element>
    <xsd:element name="RejectedDate" ma:index="20" nillable="true" ma:displayName="RejectedDate" ma:format="DateOnly" ma:internalName="RejectedDate">
      <xsd:simpleType>
        <xsd:restriction base="dms:DateTime"/>
      </xsd:simpleType>
    </xsd:element>
    <xsd:element name="RejectedDocuments" ma:index="21" nillable="true" ma:displayName="RejectedDocuments" ma:default="0" ma:internalName="RejectedDocuments">
      <xsd:simpleType>
        <xsd:restriction base="dms:Boolean"/>
      </xsd:simpleType>
    </xsd:element>
    <xsd:element name="Report_x0020_Number" ma:index="22" nillable="true" ma:displayName="Report Number" ma:internalName="Report_x0020_Number">
      <xsd:simpleType>
        <xsd:restriction base="dms:Text">
          <xsd:maxLength value="255"/>
        </xsd:restriction>
      </xsd:simpleType>
    </xsd:element>
    <xsd:element name="RObjectID" ma:index="23" nillable="true" ma:displayName="RObjectID" ma:internalName="RObjectID">
      <xsd:simpleType>
        <xsd:restriction base="dms:Text">
          <xsd:maxLength value="255"/>
        </xsd:restriction>
      </xsd:simpleType>
    </xsd:element>
    <xsd:element name="Sec_x0020_Organization" ma:index="24" nillable="true" ma:displayName="Sec Organization" ma:internalName="Sec_x0020_Organization">
      <xsd:simpleType>
        <xsd:restriction base="dms:Text">
          <xsd:maxLength value="255"/>
        </xsd:restriction>
      </xsd:simpleType>
    </xsd:element>
    <xsd:element name="unid" ma:index="25" nillable="true" ma:displayName="unid" ma:internalName="unid">
      <xsd:simpleType>
        <xsd:restriction base="dms:Text">
          <xsd:maxLength value="255"/>
        </xsd:restriction>
      </xsd:simpleType>
    </xsd:element>
    <xsd:element name="Document_x0020_Type" ma:index="26" nillable="true" ma:displayName="Document Type" ma:internalName="Document_x0020_Type">
      <xsd:simpleType>
        <xsd:restriction base="dms:Text">
          <xsd:maxLength value="255"/>
        </xsd:restriction>
      </xsd:simpleType>
    </xsd:element>
    <xsd:element name="Bank_x0020_Group_x0020_Institution" ma:index="27" nillable="true" ma:displayName="Bank Group Institution" ma:internalName="Bank_x0020_Group_x0020_Institution">
      <xsd:simpleType>
        <xsd:restriction base="dms:Text">
          <xsd:maxLength value="255"/>
        </xsd:restriction>
      </xsd:simpleType>
    </xsd:element>
    <xsd:element name="Board_x0020_Meeting_x0020_Type" ma:index="28" nillable="true" ma:displayName="Board Meeting Type" ma:internalName="Board_x0020_Meeting_x0020_Type">
      <xsd:simpleType>
        <xsd:restriction base="dms:Text">
          <xsd:maxLength value="255"/>
        </xsd:restriction>
      </xsd:simpleType>
    </xsd:element>
    <xsd:element name="Other_x0020_Meeting_x0020_Date" ma:index="29" nillable="true" ma:displayName="Other Meeting Date" ma:format="DateOnly" ma:internalName="Other_x0020_Meeting_x0020_Date">
      <xsd:simpleType>
        <xsd:restriction base="dms:DateTime"/>
      </xsd:simpleType>
    </xsd:element>
    <xsd:element name="Volume_x0020_No" ma:index="30" nillable="true" ma:displayName="Volume No" ma:internalName="Volume_x0020_No">
      <xsd:simpleType>
        <xsd:restriction base="dms:Text">
          <xsd:maxLength value="255"/>
        </xsd:restriction>
      </xsd:simpleType>
    </xsd:element>
    <xsd:element name="Volume_x0020_Title" ma:index="31" nillable="true" ma:displayName="Volume Title" ma:internalName="Volume_x0020_Title">
      <xsd:simpleType>
        <xsd:restriction base="dms:Text">
          <xsd:maxLength value="255"/>
        </xsd:restriction>
      </xsd:simpleType>
    </xsd:element>
    <xsd:element name="Version_x0020_Type" ma:index="32" nillable="true" ma:displayName="Version Type" ma:internalName="Version_x0020_Type">
      <xsd:simpleType>
        <xsd:restriction base="dms:Text">
          <xsd:maxLength value="255"/>
        </xsd:restriction>
      </xsd:simpleType>
    </xsd:element>
    <xsd:element name="Language" ma:index="33" nillable="true" ma:displayName="Language" ma:internalName="Language">
      <xsd:simpleType>
        <xsd:restriction base="dms:Text">
          <xsd:maxLength value="255"/>
        </xsd:restriction>
      </xsd:simpleType>
    </xsd:element>
    <xsd:element name="Disclosure_x0020_Date" ma:index="34" nillable="true" ma:displayName="Disclosure Date" ma:format="DateOnly" ma:internalName="Disclosure_x0020_Date">
      <xsd:simpleType>
        <xsd:restriction base="dms:DateTime"/>
      </xsd:simpleType>
    </xsd:element>
    <xsd:element name="Disclosure_x0020_Type" ma:index="35" nillable="true" ma:displayName="Disclosure Type" ma:internalName="Disclosure_x0020_Type">
      <xsd:simpleType>
        <xsd:restriction base="dms:Text">
          <xsd:maxLength value="255"/>
        </xsd:restriction>
      </xsd:simpleType>
    </xsd:element>
    <xsd:element name="UpdateEntityID" ma:index="36" nillable="true" ma:displayName="UpdateEntityID" ma:internalName="UpdateEntityID">
      <xsd:simpleType>
        <xsd:restriction base="dms:Text">
          <xsd:maxLength value="255"/>
        </xsd:restriction>
      </xsd:simpleType>
    </xsd:element>
    <xsd:element name="UpdateEntityName" ma:index="37" nillable="true" ma:displayName="UpdateEntityName" ma:internalName="UpdateEntityName">
      <xsd:simpleType>
        <xsd:restriction base="dms:Text">
          <xsd:maxLength value="255"/>
        </xsd:restriction>
      </xsd:simpleType>
    </xsd:element>
    <xsd:element name="ReportDate" ma:index="38" nillable="true" ma:displayName="ReportDate" ma:format="DateOnly" ma:internalName="ReportDate">
      <xsd:simpleType>
        <xsd:restriction base="dms:DateTime"/>
      </xsd:simpleType>
    </xsd:element>
    <xsd:element name="PublicClassificationDecidedby" ma:index="39" nillable="true" ma:displayName="PublicClassificationDecidedby" ma:internalName="PublicClassificationDecidedby">
      <xsd:simpleType>
        <xsd:restriction base="dms:Text">
          <xsd:maxLength value="255"/>
        </xsd:restriction>
      </xsd:simpleType>
    </xsd:element>
    <xsd:element name="Disclosure_x0020_Status" ma:index="40" nillable="true" ma:displayName="Disclosure Status" ma:internalName="Disclosure_x0020_Status">
      <xsd:simpleType>
        <xsd:restriction base="dms:Text">
          <xsd:maxLength value="255"/>
        </xsd:restriction>
      </xsd:simpleType>
    </xsd:element>
    <xsd:element name="Unit_x0020_Owning_x0020_or_x0020_Responsible" ma:index="41" nillable="true" ma:displayName="Unit Owning or Responsible" ma:internalName="Unit_x0020_Owning_x0020_or_x0020_Responsible">
      <xsd:simpleType>
        <xsd:restriction base="dms:Text">
          <xsd:maxLength value="255"/>
        </xsd:restriction>
      </xsd:simpleType>
    </xsd:element>
    <xsd:element name="Information_x0020_Classification" ma:index="42" nillable="true" ma:displayName="Information Classification" ma:internalName="Information_x0020_Classification">
      <xsd:simpleType>
        <xsd:restriction base="dms:Text">
          <xsd:maxLength value="255"/>
        </xsd:restriction>
      </xsd:simpleType>
    </xsd:element>
    <xsd:element name="ImageBankURL" ma:index="43" nillable="true" ma:displayName="ImageBankURL" ma:internalName="ImageBankURL">
      <xsd:simpleType>
        <xsd:restriction base="dms:Text">
          <xsd:maxLength value="255"/>
        </xsd:restriction>
      </xsd:simpleType>
    </xsd:element>
    <xsd:element name="IsImageBankURLUpdated" ma:index="44" nillable="true" ma:displayName="IsImageBankURLUpdated" ma:default="No" ma:internalName="IsImageBankURLUpdated">
      <xsd:simpleType>
        <xsd:restriction base="dms:Text">
          <xsd:maxLength value="255"/>
        </xsd:restriction>
      </xsd:simpleType>
    </xsd:element>
    <xsd:element name="ServiceContentURL" ma:index="45" nillable="true" ma:displayName="ServiceContentURL" ma:internalName="ServiceContentURL">
      <xsd:simpleType>
        <xsd:restriction base="dms:Text">
          <xsd:maxLength value="255"/>
        </xsd:restriction>
      </xsd:simpleType>
    </xsd:element>
    <xsd:element name="IsRepublished" ma:index="46" nillable="true" ma:displayName="IsRepublished" ma:default="No" ma:internalName="IsRepublished">
      <xsd:simpleType>
        <xsd:restriction base="dms:Text">
          <xsd:maxLength value="255"/>
        </xsd:restriction>
      </xsd:simpleType>
    </xsd:element>
    <xsd:element name="ArchiveButtonClick" ma:index="47" nillable="true" ma:displayName="ArchiveButtonClick" ma:default="0" ma:internalName="ArchiveButtonClick">
      <xsd:simpleType>
        <xsd:restriction base="dms:Boolean"/>
      </xsd:simpleType>
    </xsd:element>
    <xsd:element name="RejectionComments" ma:index="48" nillable="true" ma:displayName="RejectionComments" ma:internalName="RejectionComments">
      <xsd:simpleType>
        <xsd:restriction base="dms:Note">
          <xsd:maxLength value="255"/>
        </xsd:restriction>
      </xsd:simpleType>
    </xsd:element>
    <xsd:element name="InfolitePublishedDate" ma:index="49" nillable="true" ma:displayName="InfolitePublishedDate" ma:format="DateTime" ma:internalName="InfolitePublishedDate">
      <xsd:simpleType>
        <xsd:restriction base="dms:DateTime"/>
      </xsd:simpleType>
    </xsd:element>
    <xsd:element name="BOSWBdocsWebServiceStatus" ma:index="50" nillable="true" ma:displayName="BOSWBdocsWebServiceStatus" ma:internalName="BOSWBdocsWebServic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9E906F-4EE7-4441-806E-97FE1BC7346D}"/>
</file>

<file path=customXml/itemProps2.xml><?xml version="1.0" encoding="utf-8"?>
<ds:datastoreItem xmlns:ds="http://schemas.openxmlformats.org/officeDocument/2006/customXml" ds:itemID="{8B99512C-EE91-4B55-8776-281AF754D3DE}"/>
</file>

<file path=customXml/itemProps3.xml><?xml version="1.0" encoding="utf-8"?>
<ds:datastoreItem xmlns:ds="http://schemas.openxmlformats.org/officeDocument/2006/customXml" ds:itemID="{4A749122-66C7-492C-9FFD-3368243DFEDB}"/>
</file>

<file path=customXml/itemProps4.xml><?xml version="1.0" encoding="utf-8"?>
<ds:datastoreItem xmlns:ds="http://schemas.openxmlformats.org/officeDocument/2006/customXml" ds:itemID="{9F5D135C-4821-4500-9AA7-2A69632EEC53}"/>
</file>

<file path=customXml/itemProps5.xml><?xml version="1.0" encoding="utf-8"?>
<ds:datastoreItem xmlns:ds="http://schemas.openxmlformats.org/officeDocument/2006/customXml" ds:itemID="{840C6F07-3595-4298-919F-FAE6DAE8E4B2}"/>
</file>

<file path=docProps/app.xml><?xml version="1.0" encoding="utf-8"?>
<Properties xmlns="http://schemas.openxmlformats.org/officeDocument/2006/extended-properties" xmlns:vt="http://schemas.openxmlformats.org/officeDocument/2006/docPropsVTypes">
  <Template>Normal.dotm</Template>
  <TotalTime>1</TotalTime>
  <Pages>56</Pages>
  <Words>21031</Words>
  <Characters>122038</Characters>
  <Application>Microsoft Office Word</Application>
  <DocSecurity>4</DocSecurity>
  <Lines>1016</Lines>
  <Paragraphs>285</Paragraphs>
  <ScaleCrop>false</ScaleCrop>
  <HeadingPairs>
    <vt:vector size="2" baseType="variant">
      <vt:variant>
        <vt:lpstr>Title</vt:lpstr>
      </vt:variant>
      <vt:variant>
        <vt:i4>1</vt:i4>
      </vt:variant>
    </vt:vector>
  </HeadingPairs>
  <TitlesOfParts>
    <vt:vector size="1" baseType="lpstr">
      <vt:lpstr>Microsoft Word - PD guidelines - Mar 02-05.doc</vt:lpstr>
    </vt:vector>
  </TitlesOfParts>
  <Company>The World Bank Group</Company>
  <LinksUpToDate>false</LinksUpToDate>
  <CharactersWithSpaces>142784</CharactersWithSpaces>
  <SharedDoc>false</SharedDoc>
  <HLinks>
    <vt:vector size="144" baseType="variant">
      <vt:variant>
        <vt:i4>3473522</vt:i4>
      </vt:variant>
      <vt:variant>
        <vt:i4>150</vt:i4>
      </vt:variant>
      <vt:variant>
        <vt:i4>0</vt:i4>
      </vt:variant>
      <vt:variant>
        <vt:i4>5</vt:i4>
      </vt:variant>
      <vt:variant>
        <vt:lpwstr>http://www.inspectionpanel.org/</vt:lpwstr>
      </vt:variant>
      <vt:variant>
        <vt:lpwstr/>
      </vt:variant>
      <vt:variant>
        <vt:i4>4325470</vt:i4>
      </vt:variant>
      <vt:variant>
        <vt:i4>147</vt:i4>
      </vt:variant>
      <vt:variant>
        <vt:i4>0</vt:i4>
      </vt:variant>
      <vt:variant>
        <vt:i4>5</vt:i4>
      </vt:variant>
      <vt:variant>
        <vt:lpwstr>http://www.worldbank.org/GRM</vt:lpwstr>
      </vt:variant>
      <vt:variant>
        <vt:lpwstr/>
      </vt:variant>
      <vt:variant>
        <vt:i4>2031685</vt:i4>
      </vt:variant>
      <vt:variant>
        <vt:i4>144</vt:i4>
      </vt:variant>
      <vt:variant>
        <vt:i4>0</vt:i4>
      </vt:variant>
      <vt:variant>
        <vt:i4>5</vt:i4>
      </vt:variant>
      <vt:variant>
        <vt:lpwstr>http://projportal.worldbank.org/servlet/secmain?menuPK=109012&amp;theSitePK=213348&amp;pagePK=112935&amp;piPK=69345&amp;PSPID=P156508</vt:lpwstr>
      </vt:variant>
      <vt:variant>
        <vt:lpwstr/>
      </vt:variant>
      <vt:variant>
        <vt:i4>1835066</vt:i4>
      </vt:variant>
      <vt:variant>
        <vt:i4>122</vt:i4>
      </vt:variant>
      <vt:variant>
        <vt:i4>0</vt:i4>
      </vt:variant>
      <vt:variant>
        <vt:i4>5</vt:i4>
      </vt:variant>
      <vt:variant>
        <vt:lpwstr/>
      </vt:variant>
      <vt:variant>
        <vt:lpwstr>_Toc463883561</vt:lpwstr>
      </vt:variant>
      <vt:variant>
        <vt:i4>1835066</vt:i4>
      </vt:variant>
      <vt:variant>
        <vt:i4>116</vt:i4>
      </vt:variant>
      <vt:variant>
        <vt:i4>0</vt:i4>
      </vt:variant>
      <vt:variant>
        <vt:i4>5</vt:i4>
      </vt:variant>
      <vt:variant>
        <vt:lpwstr/>
      </vt:variant>
      <vt:variant>
        <vt:lpwstr>_Toc463883560</vt:lpwstr>
      </vt:variant>
      <vt:variant>
        <vt:i4>2031674</vt:i4>
      </vt:variant>
      <vt:variant>
        <vt:i4>110</vt:i4>
      </vt:variant>
      <vt:variant>
        <vt:i4>0</vt:i4>
      </vt:variant>
      <vt:variant>
        <vt:i4>5</vt:i4>
      </vt:variant>
      <vt:variant>
        <vt:lpwstr/>
      </vt:variant>
      <vt:variant>
        <vt:lpwstr>_Toc463883559</vt:lpwstr>
      </vt:variant>
      <vt:variant>
        <vt:i4>2031674</vt:i4>
      </vt:variant>
      <vt:variant>
        <vt:i4>104</vt:i4>
      </vt:variant>
      <vt:variant>
        <vt:i4>0</vt:i4>
      </vt:variant>
      <vt:variant>
        <vt:i4>5</vt:i4>
      </vt:variant>
      <vt:variant>
        <vt:lpwstr/>
      </vt:variant>
      <vt:variant>
        <vt:lpwstr>_Toc463883558</vt:lpwstr>
      </vt:variant>
      <vt:variant>
        <vt:i4>2031674</vt:i4>
      </vt:variant>
      <vt:variant>
        <vt:i4>98</vt:i4>
      </vt:variant>
      <vt:variant>
        <vt:i4>0</vt:i4>
      </vt:variant>
      <vt:variant>
        <vt:i4>5</vt:i4>
      </vt:variant>
      <vt:variant>
        <vt:lpwstr/>
      </vt:variant>
      <vt:variant>
        <vt:lpwstr>_Toc463883557</vt:lpwstr>
      </vt:variant>
      <vt:variant>
        <vt:i4>2031674</vt:i4>
      </vt:variant>
      <vt:variant>
        <vt:i4>92</vt:i4>
      </vt:variant>
      <vt:variant>
        <vt:i4>0</vt:i4>
      </vt:variant>
      <vt:variant>
        <vt:i4>5</vt:i4>
      </vt:variant>
      <vt:variant>
        <vt:lpwstr/>
      </vt:variant>
      <vt:variant>
        <vt:lpwstr>_Toc463883556</vt:lpwstr>
      </vt:variant>
      <vt:variant>
        <vt:i4>2031674</vt:i4>
      </vt:variant>
      <vt:variant>
        <vt:i4>86</vt:i4>
      </vt:variant>
      <vt:variant>
        <vt:i4>0</vt:i4>
      </vt:variant>
      <vt:variant>
        <vt:i4>5</vt:i4>
      </vt:variant>
      <vt:variant>
        <vt:lpwstr/>
      </vt:variant>
      <vt:variant>
        <vt:lpwstr>_Toc463883555</vt:lpwstr>
      </vt:variant>
      <vt:variant>
        <vt:i4>2031674</vt:i4>
      </vt:variant>
      <vt:variant>
        <vt:i4>80</vt:i4>
      </vt:variant>
      <vt:variant>
        <vt:i4>0</vt:i4>
      </vt:variant>
      <vt:variant>
        <vt:i4>5</vt:i4>
      </vt:variant>
      <vt:variant>
        <vt:lpwstr/>
      </vt:variant>
      <vt:variant>
        <vt:lpwstr>_Toc463883554</vt:lpwstr>
      </vt:variant>
      <vt:variant>
        <vt:i4>2031674</vt:i4>
      </vt:variant>
      <vt:variant>
        <vt:i4>74</vt:i4>
      </vt:variant>
      <vt:variant>
        <vt:i4>0</vt:i4>
      </vt:variant>
      <vt:variant>
        <vt:i4>5</vt:i4>
      </vt:variant>
      <vt:variant>
        <vt:lpwstr/>
      </vt:variant>
      <vt:variant>
        <vt:lpwstr>_Toc463883553</vt:lpwstr>
      </vt:variant>
      <vt:variant>
        <vt:i4>2031674</vt:i4>
      </vt:variant>
      <vt:variant>
        <vt:i4>68</vt:i4>
      </vt:variant>
      <vt:variant>
        <vt:i4>0</vt:i4>
      </vt:variant>
      <vt:variant>
        <vt:i4>5</vt:i4>
      </vt:variant>
      <vt:variant>
        <vt:lpwstr/>
      </vt:variant>
      <vt:variant>
        <vt:lpwstr>_Toc463883552</vt:lpwstr>
      </vt:variant>
      <vt:variant>
        <vt:i4>2031674</vt:i4>
      </vt:variant>
      <vt:variant>
        <vt:i4>62</vt:i4>
      </vt:variant>
      <vt:variant>
        <vt:i4>0</vt:i4>
      </vt:variant>
      <vt:variant>
        <vt:i4>5</vt:i4>
      </vt:variant>
      <vt:variant>
        <vt:lpwstr/>
      </vt:variant>
      <vt:variant>
        <vt:lpwstr>_Toc463883551</vt:lpwstr>
      </vt:variant>
      <vt:variant>
        <vt:i4>2031674</vt:i4>
      </vt:variant>
      <vt:variant>
        <vt:i4>56</vt:i4>
      </vt:variant>
      <vt:variant>
        <vt:i4>0</vt:i4>
      </vt:variant>
      <vt:variant>
        <vt:i4>5</vt:i4>
      </vt:variant>
      <vt:variant>
        <vt:lpwstr/>
      </vt:variant>
      <vt:variant>
        <vt:lpwstr>_Toc463883550</vt:lpwstr>
      </vt:variant>
      <vt:variant>
        <vt:i4>1966138</vt:i4>
      </vt:variant>
      <vt:variant>
        <vt:i4>50</vt:i4>
      </vt:variant>
      <vt:variant>
        <vt:i4>0</vt:i4>
      </vt:variant>
      <vt:variant>
        <vt:i4>5</vt:i4>
      </vt:variant>
      <vt:variant>
        <vt:lpwstr/>
      </vt:variant>
      <vt:variant>
        <vt:lpwstr>_Toc463883549</vt:lpwstr>
      </vt:variant>
      <vt:variant>
        <vt:i4>1966138</vt:i4>
      </vt:variant>
      <vt:variant>
        <vt:i4>44</vt:i4>
      </vt:variant>
      <vt:variant>
        <vt:i4>0</vt:i4>
      </vt:variant>
      <vt:variant>
        <vt:i4>5</vt:i4>
      </vt:variant>
      <vt:variant>
        <vt:lpwstr/>
      </vt:variant>
      <vt:variant>
        <vt:lpwstr>_Toc463883548</vt:lpwstr>
      </vt:variant>
      <vt:variant>
        <vt:i4>1966138</vt:i4>
      </vt:variant>
      <vt:variant>
        <vt:i4>38</vt:i4>
      </vt:variant>
      <vt:variant>
        <vt:i4>0</vt:i4>
      </vt:variant>
      <vt:variant>
        <vt:i4>5</vt:i4>
      </vt:variant>
      <vt:variant>
        <vt:lpwstr/>
      </vt:variant>
      <vt:variant>
        <vt:lpwstr>_Toc463883547</vt:lpwstr>
      </vt:variant>
      <vt:variant>
        <vt:i4>1966138</vt:i4>
      </vt:variant>
      <vt:variant>
        <vt:i4>32</vt:i4>
      </vt:variant>
      <vt:variant>
        <vt:i4>0</vt:i4>
      </vt:variant>
      <vt:variant>
        <vt:i4>5</vt:i4>
      </vt:variant>
      <vt:variant>
        <vt:lpwstr/>
      </vt:variant>
      <vt:variant>
        <vt:lpwstr>_Toc463883546</vt:lpwstr>
      </vt:variant>
      <vt:variant>
        <vt:i4>1966138</vt:i4>
      </vt:variant>
      <vt:variant>
        <vt:i4>26</vt:i4>
      </vt:variant>
      <vt:variant>
        <vt:i4>0</vt:i4>
      </vt:variant>
      <vt:variant>
        <vt:i4>5</vt:i4>
      </vt:variant>
      <vt:variant>
        <vt:lpwstr/>
      </vt:variant>
      <vt:variant>
        <vt:lpwstr>_Toc463883545</vt:lpwstr>
      </vt:variant>
      <vt:variant>
        <vt:i4>1966138</vt:i4>
      </vt:variant>
      <vt:variant>
        <vt:i4>20</vt:i4>
      </vt:variant>
      <vt:variant>
        <vt:i4>0</vt:i4>
      </vt:variant>
      <vt:variant>
        <vt:i4>5</vt:i4>
      </vt:variant>
      <vt:variant>
        <vt:lpwstr/>
      </vt:variant>
      <vt:variant>
        <vt:lpwstr>_Toc463883544</vt:lpwstr>
      </vt:variant>
      <vt:variant>
        <vt:i4>1966138</vt:i4>
      </vt:variant>
      <vt:variant>
        <vt:i4>14</vt:i4>
      </vt:variant>
      <vt:variant>
        <vt:i4>0</vt:i4>
      </vt:variant>
      <vt:variant>
        <vt:i4>5</vt:i4>
      </vt:variant>
      <vt:variant>
        <vt:lpwstr/>
      </vt:variant>
      <vt:variant>
        <vt:lpwstr>_Toc463883543</vt:lpwstr>
      </vt:variant>
      <vt:variant>
        <vt:i4>1966138</vt:i4>
      </vt:variant>
      <vt:variant>
        <vt:i4>8</vt:i4>
      </vt:variant>
      <vt:variant>
        <vt:i4>0</vt:i4>
      </vt:variant>
      <vt:variant>
        <vt:i4>5</vt:i4>
      </vt:variant>
      <vt:variant>
        <vt:lpwstr/>
      </vt:variant>
      <vt:variant>
        <vt:lpwstr>_Toc463883542</vt:lpwstr>
      </vt:variant>
      <vt:variant>
        <vt:i4>1966138</vt:i4>
      </vt:variant>
      <vt:variant>
        <vt:i4>2</vt:i4>
      </vt:variant>
      <vt:variant>
        <vt:i4>0</vt:i4>
      </vt:variant>
      <vt:variant>
        <vt:i4>5</vt:i4>
      </vt:variant>
      <vt:variant>
        <vt:lpwstr/>
      </vt:variant>
      <vt:variant>
        <vt:lpwstr>_Toc463883541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Madagascar - Public Finance Sustainability and Investment Development Policy Financing II - Program Document</dc:title>
  <dc:subject/>
  <dc:creator>wb90939</dc:creator>
  <cp:keywords/>
  <dc:description/>
  <cp:lastModifiedBy>Nani A. Makonnen</cp:lastModifiedBy>
  <cp:revision>2</cp:revision>
  <cp:lastPrinted>2017-10-19T19:47:00Z</cp:lastPrinted>
  <dcterms:created xsi:type="dcterms:W3CDTF">2017-10-19T19:54:00Z</dcterms:created>
  <dcterms:modified xsi:type="dcterms:W3CDTF">2017-10-19T19:54:00Z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0x0101008B7ED80168BFC54D8B2E9A470A96603D</vt:lpwstr>
  </property>
  <property fmtid="{D5CDD505-2E9C-101B-9397-08002B2CF9AE}" pid="3" name="_dlc_DocIdItemGuid">
    <vt:lpwstr>0dfdb33e-2c21-4965-9d96-4f7f79fa71e8</vt:lpwstr>
  </property>
</Properties>
</file>