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1B" w:rsidRDefault="00EE332D" w:rsidP="00EE332D">
      <w:pPr>
        <w:autoSpaceDE w:val="0"/>
        <w:autoSpaceDN w:val="0"/>
        <w:adjustRightInd w:val="0"/>
        <w:spacing w:after="0" w:line="240" w:lineRule="auto"/>
        <w:jc w:val="center"/>
        <w:rPr>
          <w:rFonts w:ascii="Times New Roman" w:hAnsi="Times New Roman" w:cs="Times New Roman"/>
          <w:b/>
          <w:bCs/>
          <w:iCs/>
          <w:color w:val="000000" w:themeColor="text1"/>
          <w:sz w:val="28"/>
          <w:szCs w:val="28"/>
        </w:rPr>
      </w:pPr>
      <w:r w:rsidRPr="00EE332D">
        <w:rPr>
          <w:rFonts w:ascii="Times New Roman" w:hAnsi="Times New Roman" w:cs="Times New Roman"/>
          <w:b/>
          <w:bCs/>
          <w:iCs/>
          <w:color w:val="000000" w:themeColor="text1"/>
          <w:sz w:val="28"/>
          <w:szCs w:val="28"/>
        </w:rPr>
        <w:t xml:space="preserve">A REVIEW OF </w:t>
      </w:r>
      <w:r w:rsidR="008F471B" w:rsidRPr="00EE332D">
        <w:rPr>
          <w:rFonts w:ascii="Times New Roman" w:hAnsi="Times New Roman" w:cs="Times New Roman"/>
          <w:b/>
          <w:bCs/>
          <w:iCs/>
          <w:color w:val="000000" w:themeColor="text1"/>
          <w:sz w:val="28"/>
          <w:szCs w:val="28"/>
        </w:rPr>
        <w:t xml:space="preserve">FLOOD PROTECTION </w:t>
      </w:r>
      <w:r w:rsidR="003C7C57">
        <w:rPr>
          <w:rFonts w:ascii="Times New Roman" w:hAnsi="Times New Roman" w:cs="Times New Roman"/>
          <w:b/>
          <w:bCs/>
          <w:iCs/>
          <w:color w:val="000000" w:themeColor="text1"/>
          <w:sz w:val="28"/>
          <w:szCs w:val="28"/>
        </w:rPr>
        <w:t xml:space="preserve">INVESTMENT </w:t>
      </w:r>
      <w:r w:rsidRPr="00EE332D">
        <w:rPr>
          <w:rFonts w:ascii="Times New Roman" w:hAnsi="Times New Roman" w:cs="Times New Roman"/>
          <w:b/>
          <w:bCs/>
          <w:iCs/>
          <w:color w:val="000000" w:themeColor="text1"/>
          <w:sz w:val="28"/>
          <w:szCs w:val="28"/>
        </w:rPr>
        <w:t>PROJECTS FINANCED BY THE WORLD BANK</w:t>
      </w:r>
    </w:p>
    <w:p w:rsidR="0028134C" w:rsidRPr="0028134C" w:rsidRDefault="0028134C" w:rsidP="00EE332D">
      <w:pPr>
        <w:autoSpaceDE w:val="0"/>
        <w:autoSpaceDN w:val="0"/>
        <w:adjustRightInd w:val="0"/>
        <w:spacing w:after="0" w:line="240" w:lineRule="auto"/>
        <w:jc w:val="center"/>
        <w:rPr>
          <w:rFonts w:ascii="Times New Roman" w:hAnsi="Times New Roman" w:cs="Times New Roman"/>
          <w:b/>
          <w:bCs/>
          <w:iCs/>
          <w:color w:val="000000" w:themeColor="text1"/>
          <w:sz w:val="12"/>
          <w:szCs w:val="12"/>
        </w:rPr>
      </w:pPr>
    </w:p>
    <w:p w:rsidR="0028134C" w:rsidRPr="0028134C" w:rsidRDefault="0028134C" w:rsidP="00EE332D">
      <w:pPr>
        <w:autoSpaceDE w:val="0"/>
        <w:autoSpaceDN w:val="0"/>
        <w:adjustRightInd w:val="0"/>
        <w:spacing w:after="0" w:line="240" w:lineRule="auto"/>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Prepared by the Water Resources and Watershed Management Thematic Group</w:t>
      </w:r>
      <w:r>
        <w:rPr>
          <w:rStyle w:val="FootnoteReference"/>
          <w:rFonts w:ascii="Times New Roman" w:hAnsi="Times New Roman" w:cs="Times New Roman"/>
          <w:b/>
          <w:bCs/>
          <w:i/>
          <w:iCs/>
          <w:color w:val="000000" w:themeColor="text1"/>
          <w:sz w:val="24"/>
          <w:szCs w:val="24"/>
        </w:rPr>
        <w:footnoteReference w:id="1"/>
      </w:r>
    </w:p>
    <w:p w:rsidR="00035774" w:rsidRPr="008F471B" w:rsidRDefault="00035774" w:rsidP="008F471B">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3C7C57" w:rsidRPr="003C7C57" w:rsidRDefault="003C7C57" w:rsidP="008F471B">
      <w:pPr>
        <w:autoSpaceDE w:val="0"/>
        <w:autoSpaceDN w:val="0"/>
        <w:adjustRightInd w:val="0"/>
        <w:spacing w:after="0" w:line="240" w:lineRule="auto"/>
        <w:rPr>
          <w:rFonts w:ascii="Times New Roman" w:hAnsi="Times New Roman" w:cs="Times New Roman"/>
          <w:b/>
          <w:bCs/>
          <w:iCs/>
          <w:color w:val="000000" w:themeColor="text1"/>
          <w:sz w:val="24"/>
          <w:szCs w:val="24"/>
        </w:rPr>
      </w:pPr>
      <w:r w:rsidRPr="003C7C57">
        <w:rPr>
          <w:rFonts w:ascii="Times New Roman" w:hAnsi="Times New Roman" w:cs="Times New Roman"/>
          <w:b/>
          <w:bCs/>
          <w:iCs/>
          <w:color w:val="000000" w:themeColor="text1"/>
          <w:sz w:val="24"/>
          <w:szCs w:val="24"/>
        </w:rPr>
        <w:t xml:space="preserve">World Bank </w:t>
      </w:r>
      <w:r w:rsidR="008C5722">
        <w:rPr>
          <w:rFonts w:ascii="Times New Roman" w:hAnsi="Times New Roman" w:cs="Times New Roman"/>
          <w:b/>
          <w:bCs/>
          <w:iCs/>
          <w:color w:val="000000" w:themeColor="text1"/>
          <w:sz w:val="24"/>
          <w:szCs w:val="24"/>
        </w:rPr>
        <w:t xml:space="preserve">Lending </w:t>
      </w:r>
      <w:r w:rsidRPr="003C7C57">
        <w:rPr>
          <w:rFonts w:ascii="Times New Roman" w:hAnsi="Times New Roman" w:cs="Times New Roman"/>
          <w:b/>
          <w:bCs/>
          <w:iCs/>
          <w:color w:val="000000" w:themeColor="text1"/>
          <w:sz w:val="24"/>
          <w:szCs w:val="24"/>
        </w:rPr>
        <w:t>in Flood Protection</w:t>
      </w:r>
    </w:p>
    <w:p w:rsidR="003C7C57" w:rsidRDefault="003C7C57" w:rsidP="008F471B">
      <w:pPr>
        <w:autoSpaceDE w:val="0"/>
        <w:autoSpaceDN w:val="0"/>
        <w:adjustRightInd w:val="0"/>
        <w:spacing w:after="0" w:line="240" w:lineRule="auto"/>
        <w:rPr>
          <w:rFonts w:ascii="Times New Roman" w:hAnsi="Times New Roman" w:cs="Times New Roman"/>
          <w:bCs/>
          <w:iCs/>
          <w:color w:val="000000" w:themeColor="text1"/>
          <w:sz w:val="24"/>
          <w:szCs w:val="24"/>
        </w:rPr>
      </w:pPr>
    </w:p>
    <w:p w:rsidR="00783B5C" w:rsidRDefault="00924EDC" w:rsidP="008F471B">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Between FY87 and end of calendar year 2011, th</w:t>
      </w:r>
      <w:r w:rsidR="00791E97">
        <w:rPr>
          <w:rFonts w:ascii="Times New Roman" w:hAnsi="Times New Roman" w:cs="Times New Roman"/>
          <w:bCs/>
          <w:iCs/>
          <w:color w:val="000000" w:themeColor="text1"/>
          <w:sz w:val="24"/>
          <w:szCs w:val="24"/>
        </w:rPr>
        <w:t xml:space="preserve">e </w:t>
      </w:r>
      <w:r w:rsidR="00EA3D2E">
        <w:rPr>
          <w:rFonts w:ascii="Times New Roman" w:hAnsi="Times New Roman" w:cs="Times New Roman"/>
          <w:bCs/>
          <w:iCs/>
          <w:color w:val="000000" w:themeColor="text1"/>
          <w:sz w:val="24"/>
          <w:szCs w:val="24"/>
        </w:rPr>
        <w:t xml:space="preserve">World </w:t>
      </w:r>
      <w:r w:rsidR="00791E97">
        <w:rPr>
          <w:rFonts w:ascii="Times New Roman" w:hAnsi="Times New Roman" w:cs="Times New Roman"/>
          <w:bCs/>
          <w:iCs/>
          <w:color w:val="000000" w:themeColor="text1"/>
          <w:sz w:val="24"/>
          <w:szCs w:val="24"/>
        </w:rPr>
        <w:t xml:space="preserve">Bank </w:t>
      </w:r>
      <w:r w:rsidR="00104E18">
        <w:rPr>
          <w:rFonts w:ascii="Times New Roman" w:hAnsi="Times New Roman" w:cs="Times New Roman"/>
          <w:bCs/>
          <w:iCs/>
          <w:color w:val="000000" w:themeColor="text1"/>
          <w:sz w:val="24"/>
          <w:szCs w:val="24"/>
        </w:rPr>
        <w:t xml:space="preserve">had </w:t>
      </w:r>
      <w:r w:rsidR="00791E97">
        <w:rPr>
          <w:rFonts w:ascii="Times New Roman" w:hAnsi="Times New Roman" w:cs="Times New Roman"/>
          <w:bCs/>
          <w:iCs/>
          <w:color w:val="000000" w:themeColor="text1"/>
          <w:sz w:val="24"/>
          <w:szCs w:val="24"/>
        </w:rPr>
        <w:t>approved 188</w:t>
      </w:r>
      <w:r>
        <w:rPr>
          <w:rFonts w:ascii="Times New Roman" w:hAnsi="Times New Roman" w:cs="Times New Roman"/>
          <w:bCs/>
          <w:iCs/>
          <w:color w:val="000000" w:themeColor="text1"/>
          <w:sz w:val="24"/>
          <w:szCs w:val="24"/>
        </w:rPr>
        <w:t xml:space="preserve"> projects </w:t>
      </w:r>
      <w:r w:rsidR="003C7C57">
        <w:rPr>
          <w:rFonts w:ascii="Times New Roman" w:hAnsi="Times New Roman" w:cs="Times New Roman"/>
          <w:bCs/>
          <w:iCs/>
          <w:color w:val="000000" w:themeColor="text1"/>
          <w:sz w:val="24"/>
          <w:szCs w:val="24"/>
        </w:rPr>
        <w:t xml:space="preserve">(only investment operations) </w:t>
      </w:r>
      <w:r>
        <w:rPr>
          <w:rFonts w:ascii="Times New Roman" w:hAnsi="Times New Roman" w:cs="Times New Roman"/>
          <w:bCs/>
          <w:iCs/>
          <w:color w:val="000000" w:themeColor="text1"/>
          <w:sz w:val="24"/>
          <w:szCs w:val="24"/>
        </w:rPr>
        <w:t>that included at least one activity related to flood protection</w:t>
      </w:r>
      <w:r w:rsidR="004D036B">
        <w:rPr>
          <w:rFonts w:ascii="Times New Roman" w:hAnsi="Times New Roman" w:cs="Times New Roman"/>
          <w:bCs/>
          <w:iCs/>
          <w:color w:val="000000" w:themeColor="text1"/>
          <w:sz w:val="24"/>
          <w:szCs w:val="24"/>
        </w:rPr>
        <w:t xml:space="preserve">. </w:t>
      </w:r>
      <w:r w:rsidR="00564F2F">
        <w:rPr>
          <w:rFonts w:ascii="Times New Roman" w:hAnsi="Times New Roman" w:cs="Times New Roman"/>
          <w:bCs/>
          <w:iCs/>
          <w:color w:val="000000" w:themeColor="text1"/>
          <w:sz w:val="24"/>
          <w:szCs w:val="24"/>
        </w:rPr>
        <w:t xml:space="preserve">Total funding for </w:t>
      </w:r>
      <w:r w:rsidR="00F27FA3">
        <w:rPr>
          <w:rFonts w:ascii="Times New Roman" w:hAnsi="Times New Roman" w:cs="Times New Roman"/>
          <w:bCs/>
          <w:iCs/>
          <w:color w:val="000000" w:themeColor="text1"/>
          <w:sz w:val="24"/>
          <w:szCs w:val="24"/>
        </w:rPr>
        <w:t xml:space="preserve">these projects, including </w:t>
      </w:r>
      <w:proofErr w:type="spellStart"/>
      <w:r w:rsidR="00F27FA3">
        <w:rPr>
          <w:rFonts w:ascii="Times New Roman" w:hAnsi="Times New Roman" w:cs="Times New Roman"/>
          <w:bCs/>
          <w:iCs/>
          <w:color w:val="000000" w:themeColor="text1"/>
          <w:sz w:val="24"/>
          <w:szCs w:val="24"/>
        </w:rPr>
        <w:t>IBRD</w:t>
      </w:r>
      <w:proofErr w:type="spellEnd"/>
      <w:r w:rsidR="00F27FA3">
        <w:rPr>
          <w:rFonts w:ascii="Times New Roman" w:hAnsi="Times New Roman" w:cs="Times New Roman"/>
          <w:bCs/>
          <w:iCs/>
          <w:color w:val="000000" w:themeColor="text1"/>
          <w:sz w:val="24"/>
          <w:szCs w:val="24"/>
        </w:rPr>
        <w:t xml:space="preserve"> loans, IDA credits and</w:t>
      </w:r>
      <w:r w:rsidR="00791E97">
        <w:rPr>
          <w:rFonts w:ascii="Times New Roman" w:hAnsi="Times New Roman" w:cs="Times New Roman"/>
          <w:bCs/>
          <w:iCs/>
          <w:color w:val="000000" w:themeColor="text1"/>
          <w:sz w:val="24"/>
          <w:szCs w:val="24"/>
        </w:rPr>
        <w:t xml:space="preserve"> grants, </w:t>
      </w:r>
      <w:r w:rsidR="00FC10A0">
        <w:rPr>
          <w:rFonts w:ascii="Times New Roman" w:hAnsi="Times New Roman" w:cs="Times New Roman"/>
          <w:bCs/>
          <w:iCs/>
          <w:color w:val="000000" w:themeColor="text1"/>
          <w:sz w:val="24"/>
          <w:szCs w:val="24"/>
        </w:rPr>
        <w:t xml:space="preserve">amounted </w:t>
      </w:r>
      <w:r w:rsidR="00791E97">
        <w:rPr>
          <w:rFonts w:ascii="Times New Roman" w:hAnsi="Times New Roman" w:cs="Times New Roman"/>
          <w:bCs/>
          <w:iCs/>
          <w:color w:val="000000" w:themeColor="text1"/>
          <w:sz w:val="24"/>
          <w:szCs w:val="24"/>
        </w:rPr>
        <w:t>US$14.3</w:t>
      </w:r>
      <w:r w:rsidR="00F27FA3">
        <w:rPr>
          <w:rFonts w:ascii="Times New Roman" w:hAnsi="Times New Roman" w:cs="Times New Roman"/>
          <w:bCs/>
          <w:iCs/>
          <w:color w:val="000000" w:themeColor="text1"/>
          <w:sz w:val="24"/>
          <w:szCs w:val="24"/>
        </w:rPr>
        <w:t xml:space="preserve"> billion, out of which direct World Bank support to flood pro</w:t>
      </w:r>
      <w:r w:rsidR="00791E97">
        <w:rPr>
          <w:rFonts w:ascii="Times New Roman" w:hAnsi="Times New Roman" w:cs="Times New Roman"/>
          <w:bCs/>
          <w:iCs/>
          <w:color w:val="000000" w:themeColor="text1"/>
          <w:sz w:val="24"/>
          <w:szCs w:val="24"/>
        </w:rPr>
        <w:t>tection was about US$4.4</w:t>
      </w:r>
      <w:r w:rsidR="00F27FA3">
        <w:rPr>
          <w:rFonts w:ascii="Times New Roman" w:hAnsi="Times New Roman" w:cs="Times New Roman"/>
          <w:bCs/>
          <w:iCs/>
          <w:color w:val="000000" w:themeColor="text1"/>
          <w:sz w:val="24"/>
          <w:szCs w:val="24"/>
        </w:rPr>
        <w:t xml:space="preserve"> billion</w:t>
      </w:r>
      <w:r w:rsidR="0012228D">
        <w:rPr>
          <w:rFonts w:ascii="Times New Roman" w:hAnsi="Times New Roman" w:cs="Times New Roman"/>
          <w:bCs/>
          <w:iCs/>
          <w:color w:val="000000" w:themeColor="text1"/>
          <w:sz w:val="24"/>
          <w:szCs w:val="24"/>
        </w:rPr>
        <w:t xml:space="preserve"> or 30</w:t>
      </w:r>
      <w:r w:rsidR="00764AD7">
        <w:rPr>
          <w:rFonts w:ascii="Times New Roman" w:hAnsi="Times New Roman" w:cs="Times New Roman"/>
          <w:bCs/>
          <w:iCs/>
          <w:color w:val="000000" w:themeColor="text1"/>
          <w:sz w:val="24"/>
          <w:szCs w:val="24"/>
        </w:rPr>
        <w:t xml:space="preserve"> percent</w:t>
      </w:r>
      <w:r w:rsidR="0012228D">
        <w:rPr>
          <w:rFonts w:ascii="Times New Roman" w:hAnsi="Times New Roman" w:cs="Times New Roman"/>
          <w:bCs/>
          <w:iCs/>
          <w:color w:val="000000" w:themeColor="text1"/>
          <w:sz w:val="24"/>
          <w:szCs w:val="24"/>
        </w:rPr>
        <w:t xml:space="preserve"> of </w:t>
      </w:r>
      <w:r w:rsidR="00272009">
        <w:rPr>
          <w:rFonts w:ascii="Times New Roman" w:hAnsi="Times New Roman" w:cs="Times New Roman"/>
          <w:bCs/>
          <w:iCs/>
          <w:color w:val="000000" w:themeColor="text1"/>
          <w:sz w:val="24"/>
          <w:szCs w:val="24"/>
        </w:rPr>
        <w:t xml:space="preserve">overall </w:t>
      </w:r>
      <w:r w:rsidR="0012228D">
        <w:rPr>
          <w:rFonts w:ascii="Times New Roman" w:hAnsi="Times New Roman" w:cs="Times New Roman"/>
          <w:bCs/>
          <w:iCs/>
          <w:color w:val="000000" w:themeColor="text1"/>
          <w:sz w:val="24"/>
          <w:szCs w:val="24"/>
        </w:rPr>
        <w:t>commitments.</w:t>
      </w:r>
      <w:r w:rsidR="004D036B">
        <w:rPr>
          <w:rFonts w:ascii="Times New Roman" w:hAnsi="Times New Roman" w:cs="Times New Roman"/>
          <w:bCs/>
          <w:iCs/>
          <w:color w:val="000000" w:themeColor="text1"/>
          <w:sz w:val="24"/>
          <w:szCs w:val="24"/>
        </w:rPr>
        <w:t xml:space="preserve"> </w:t>
      </w:r>
      <w:r w:rsidR="00EA48BA">
        <w:rPr>
          <w:rFonts w:ascii="Times New Roman" w:hAnsi="Times New Roman" w:cs="Times New Roman"/>
          <w:bCs/>
          <w:iCs/>
          <w:color w:val="000000" w:themeColor="text1"/>
          <w:sz w:val="24"/>
          <w:szCs w:val="24"/>
        </w:rPr>
        <w:t xml:space="preserve">Support for flood protected experienced the highest level ever in FY11, in term of both number of projects as well as commitment amounts (Figure 1). </w:t>
      </w:r>
      <w:r w:rsidR="004D036B">
        <w:rPr>
          <w:rFonts w:ascii="Times New Roman" w:hAnsi="Times New Roman" w:cs="Times New Roman"/>
          <w:bCs/>
          <w:iCs/>
          <w:color w:val="000000" w:themeColor="text1"/>
          <w:sz w:val="24"/>
          <w:szCs w:val="24"/>
        </w:rPr>
        <w:t xml:space="preserve">Bank financing participation for </w:t>
      </w:r>
      <w:r w:rsidR="00B517F2">
        <w:rPr>
          <w:rFonts w:ascii="Times New Roman" w:hAnsi="Times New Roman" w:cs="Times New Roman"/>
          <w:bCs/>
          <w:iCs/>
          <w:color w:val="000000" w:themeColor="text1"/>
          <w:sz w:val="24"/>
          <w:szCs w:val="24"/>
        </w:rPr>
        <w:t xml:space="preserve">all </w:t>
      </w:r>
      <w:r w:rsidR="004D036B">
        <w:rPr>
          <w:rFonts w:ascii="Times New Roman" w:hAnsi="Times New Roman" w:cs="Times New Roman"/>
          <w:bCs/>
          <w:iCs/>
          <w:color w:val="000000" w:themeColor="text1"/>
          <w:sz w:val="24"/>
          <w:szCs w:val="24"/>
        </w:rPr>
        <w:t xml:space="preserve">flood protection activities is estimated at </w:t>
      </w:r>
      <w:r w:rsidR="00B517F2">
        <w:rPr>
          <w:rFonts w:ascii="Times New Roman" w:hAnsi="Times New Roman" w:cs="Times New Roman"/>
          <w:bCs/>
          <w:iCs/>
          <w:color w:val="000000" w:themeColor="text1"/>
          <w:sz w:val="24"/>
          <w:szCs w:val="24"/>
        </w:rPr>
        <w:t>49</w:t>
      </w:r>
      <w:r w:rsidR="00764AD7">
        <w:rPr>
          <w:rFonts w:ascii="Times New Roman" w:hAnsi="Times New Roman" w:cs="Times New Roman"/>
          <w:bCs/>
          <w:iCs/>
          <w:color w:val="000000" w:themeColor="text1"/>
          <w:sz w:val="24"/>
          <w:szCs w:val="24"/>
        </w:rPr>
        <w:t xml:space="preserve"> percent</w:t>
      </w:r>
      <w:r w:rsidR="004D036B">
        <w:rPr>
          <w:rFonts w:ascii="Times New Roman" w:hAnsi="Times New Roman" w:cs="Times New Roman"/>
          <w:bCs/>
          <w:iCs/>
          <w:color w:val="000000" w:themeColor="text1"/>
          <w:sz w:val="24"/>
          <w:szCs w:val="24"/>
        </w:rPr>
        <w:t xml:space="preserve"> of </w:t>
      </w:r>
      <w:r w:rsidR="00764AD7">
        <w:rPr>
          <w:rFonts w:ascii="Times New Roman" w:hAnsi="Times New Roman" w:cs="Times New Roman"/>
          <w:bCs/>
          <w:iCs/>
          <w:color w:val="000000" w:themeColor="text1"/>
          <w:sz w:val="24"/>
          <w:szCs w:val="24"/>
        </w:rPr>
        <w:t xml:space="preserve">activities’ </w:t>
      </w:r>
      <w:r w:rsidR="004D036B">
        <w:rPr>
          <w:rFonts w:ascii="Times New Roman" w:hAnsi="Times New Roman" w:cs="Times New Roman"/>
          <w:bCs/>
          <w:iCs/>
          <w:color w:val="000000" w:themeColor="text1"/>
          <w:sz w:val="24"/>
          <w:szCs w:val="24"/>
        </w:rPr>
        <w:t>costs.</w:t>
      </w:r>
    </w:p>
    <w:p w:rsidR="00791E97" w:rsidRDefault="00791E97" w:rsidP="008F471B">
      <w:pPr>
        <w:autoSpaceDE w:val="0"/>
        <w:autoSpaceDN w:val="0"/>
        <w:adjustRightInd w:val="0"/>
        <w:spacing w:after="0" w:line="240" w:lineRule="auto"/>
        <w:rPr>
          <w:rFonts w:ascii="Times New Roman" w:hAnsi="Times New Roman" w:cs="Times New Roman"/>
          <w:bCs/>
          <w:iCs/>
          <w:color w:val="000000" w:themeColor="text1"/>
          <w:sz w:val="24"/>
          <w:szCs w:val="24"/>
        </w:rPr>
      </w:pPr>
    </w:p>
    <w:p w:rsidR="008C5722" w:rsidRDefault="00FC10A0"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E818B2">
        <w:rPr>
          <w:rFonts w:ascii="Times New Roman" w:hAnsi="Times New Roman" w:cs="Times New Roman"/>
          <w:b/>
          <w:bCs/>
          <w:iCs/>
          <w:color w:val="000000" w:themeColor="text1"/>
          <w:sz w:val="24"/>
          <w:szCs w:val="24"/>
        </w:rPr>
        <w:t xml:space="preserve">Figure 1: </w:t>
      </w:r>
      <w:r w:rsidR="00EA48BA">
        <w:rPr>
          <w:rFonts w:ascii="Times New Roman" w:hAnsi="Times New Roman" w:cs="Times New Roman"/>
          <w:b/>
          <w:bCs/>
          <w:iCs/>
          <w:color w:val="000000" w:themeColor="text1"/>
          <w:sz w:val="24"/>
          <w:szCs w:val="24"/>
        </w:rPr>
        <w:t xml:space="preserve">Approved </w:t>
      </w:r>
      <w:r w:rsidRPr="00E818B2">
        <w:rPr>
          <w:rFonts w:ascii="Times New Roman" w:hAnsi="Times New Roman" w:cs="Times New Roman"/>
          <w:b/>
          <w:bCs/>
          <w:iCs/>
          <w:color w:val="000000" w:themeColor="text1"/>
          <w:sz w:val="24"/>
          <w:szCs w:val="24"/>
        </w:rPr>
        <w:t>Flood Protection Projects by Fiscal Year</w:t>
      </w:r>
    </w:p>
    <w:p w:rsidR="008C5722" w:rsidRPr="00E818B2" w:rsidRDefault="008C5722" w:rsidP="00EE332D">
      <w:pPr>
        <w:autoSpaceDE w:val="0"/>
        <w:autoSpaceDN w:val="0"/>
        <w:adjustRightInd w:val="0"/>
        <w:spacing w:line="240" w:lineRule="auto"/>
        <w:jc w:val="center"/>
        <w:rPr>
          <w:rFonts w:ascii="Times New Roman" w:hAnsi="Times New Roman" w:cs="Times New Roman"/>
          <w:b/>
          <w:bCs/>
          <w:iCs/>
          <w:color w:val="000000" w:themeColor="text1"/>
          <w:sz w:val="24"/>
          <w:szCs w:val="24"/>
        </w:rPr>
      </w:pPr>
      <w:r w:rsidRPr="008C5722">
        <w:rPr>
          <w:rFonts w:ascii="Times New Roman" w:hAnsi="Times New Roman" w:cs="Times New Roman"/>
          <w:b/>
          <w:bCs/>
          <w:iCs/>
          <w:noProof/>
          <w:color w:val="000000" w:themeColor="text1"/>
          <w:sz w:val="24"/>
          <w:szCs w:val="24"/>
        </w:rPr>
        <w:drawing>
          <wp:inline distT="0" distB="0" distL="0" distR="0">
            <wp:extent cx="5648325" cy="25241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3E8A" w:rsidRDefault="00FC10A0" w:rsidP="00783B5C">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sidR="00EE332D">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5A44D8" w:rsidRDefault="005A44D8" w:rsidP="00783B5C">
      <w:pPr>
        <w:autoSpaceDE w:val="0"/>
        <w:autoSpaceDN w:val="0"/>
        <w:adjustRightInd w:val="0"/>
        <w:spacing w:after="0" w:line="240" w:lineRule="auto"/>
        <w:rPr>
          <w:rFonts w:ascii="Times New Roman" w:hAnsi="Times New Roman" w:cs="Times New Roman"/>
          <w:bCs/>
          <w:iCs/>
          <w:color w:val="000000" w:themeColor="text1"/>
          <w:sz w:val="20"/>
          <w:szCs w:val="20"/>
        </w:rPr>
      </w:pPr>
      <w:r w:rsidRPr="005A44D8">
        <w:rPr>
          <w:rFonts w:ascii="Times New Roman" w:hAnsi="Times New Roman" w:cs="Times New Roman"/>
          <w:b/>
          <w:bCs/>
          <w:iCs/>
          <w:color w:val="000000" w:themeColor="text1"/>
          <w:sz w:val="20"/>
          <w:szCs w:val="20"/>
        </w:rPr>
        <w:t>Note:</w:t>
      </w:r>
      <w:r>
        <w:rPr>
          <w:rFonts w:ascii="Times New Roman" w:hAnsi="Times New Roman" w:cs="Times New Roman"/>
          <w:bCs/>
          <w:iCs/>
          <w:color w:val="000000" w:themeColor="text1"/>
          <w:sz w:val="20"/>
          <w:szCs w:val="20"/>
        </w:rPr>
        <w:t xml:space="preserve"> * It only includes projects approved by end of calendar year 2011.</w:t>
      </w:r>
    </w:p>
    <w:p w:rsidR="00D23E8A" w:rsidRDefault="00D23E8A" w:rsidP="00783B5C">
      <w:pPr>
        <w:autoSpaceDE w:val="0"/>
        <w:autoSpaceDN w:val="0"/>
        <w:adjustRightInd w:val="0"/>
        <w:spacing w:after="0" w:line="240" w:lineRule="auto"/>
        <w:rPr>
          <w:rFonts w:ascii="Times New Roman" w:hAnsi="Times New Roman" w:cs="Times New Roman"/>
          <w:bCs/>
          <w:iCs/>
          <w:color w:val="000000" w:themeColor="text1"/>
          <w:sz w:val="20"/>
          <w:szCs w:val="20"/>
        </w:rPr>
      </w:pPr>
    </w:p>
    <w:p w:rsidR="009E49A7" w:rsidRDefault="00953F4C" w:rsidP="00783B5C">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w:t>
      </w:r>
      <w:r w:rsidR="00D23E8A">
        <w:rPr>
          <w:rFonts w:ascii="Times New Roman" w:hAnsi="Times New Roman" w:cs="Times New Roman"/>
          <w:bCs/>
          <w:iCs/>
          <w:color w:val="000000" w:themeColor="text1"/>
          <w:sz w:val="24"/>
          <w:szCs w:val="24"/>
        </w:rPr>
        <w:t xml:space="preserve">he flood protection portfolio is characterized by a sharp decline in commitments </w:t>
      </w:r>
      <w:r w:rsidR="001E263F">
        <w:rPr>
          <w:rFonts w:ascii="Times New Roman" w:hAnsi="Times New Roman" w:cs="Times New Roman"/>
          <w:bCs/>
          <w:iCs/>
          <w:color w:val="000000" w:themeColor="text1"/>
          <w:sz w:val="24"/>
          <w:szCs w:val="24"/>
        </w:rPr>
        <w:t xml:space="preserve">(in current prices) </w:t>
      </w:r>
      <w:r w:rsidR="00D23E8A">
        <w:rPr>
          <w:rFonts w:ascii="Times New Roman" w:hAnsi="Times New Roman" w:cs="Times New Roman"/>
          <w:bCs/>
          <w:iCs/>
          <w:color w:val="000000" w:themeColor="text1"/>
          <w:sz w:val="24"/>
          <w:szCs w:val="24"/>
        </w:rPr>
        <w:t xml:space="preserve">during the period FY01-03, reaching the lowest point </w:t>
      </w:r>
      <w:r w:rsidR="009E49A7">
        <w:rPr>
          <w:rFonts w:ascii="Times New Roman" w:hAnsi="Times New Roman" w:cs="Times New Roman"/>
          <w:bCs/>
          <w:iCs/>
          <w:color w:val="000000" w:themeColor="text1"/>
          <w:sz w:val="24"/>
          <w:szCs w:val="24"/>
        </w:rPr>
        <w:t xml:space="preserve">(about US$33 million) </w:t>
      </w:r>
      <w:r w:rsidR="00D23E8A">
        <w:rPr>
          <w:rFonts w:ascii="Times New Roman" w:hAnsi="Times New Roman" w:cs="Times New Roman"/>
          <w:bCs/>
          <w:iCs/>
          <w:color w:val="000000" w:themeColor="text1"/>
          <w:sz w:val="24"/>
          <w:szCs w:val="24"/>
        </w:rPr>
        <w:t xml:space="preserve">in FY03. </w:t>
      </w:r>
      <w:r w:rsidR="009E49A7">
        <w:rPr>
          <w:rFonts w:ascii="Times New Roman" w:hAnsi="Times New Roman" w:cs="Times New Roman"/>
          <w:bCs/>
          <w:iCs/>
          <w:color w:val="000000" w:themeColor="text1"/>
          <w:sz w:val="24"/>
          <w:szCs w:val="24"/>
        </w:rPr>
        <w:t xml:space="preserve">The period </w:t>
      </w:r>
      <w:r w:rsidR="00D23E8A">
        <w:rPr>
          <w:rFonts w:ascii="Times New Roman" w:hAnsi="Times New Roman" w:cs="Times New Roman"/>
          <w:bCs/>
          <w:iCs/>
          <w:color w:val="000000" w:themeColor="text1"/>
          <w:sz w:val="24"/>
          <w:szCs w:val="24"/>
        </w:rPr>
        <w:t>FY07-11</w:t>
      </w:r>
      <w:r w:rsidR="009E49A7">
        <w:rPr>
          <w:rFonts w:ascii="Times New Roman" w:hAnsi="Times New Roman" w:cs="Times New Roman"/>
          <w:bCs/>
          <w:iCs/>
          <w:color w:val="000000" w:themeColor="text1"/>
          <w:sz w:val="24"/>
          <w:szCs w:val="24"/>
        </w:rPr>
        <w:t xml:space="preserve"> saw an increase in commitments for flood protection </w:t>
      </w:r>
      <w:r w:rsidR="008C5722">
        <w:rPr>
          <w:rFonts w:ascii="Times New Roman" w:hAnsi="Times New Roman" w:cs="Times New Roman"/>
          <w:bCs/>
          <w:iCs/>
          <w:color w:val="000000" w:themeColor="text1"/>
          <w:sz w:val="24"/>
          <w:szCs w:val="24"/>
        </w:rPr>
        <w:t xml:space="preserve">and the number of projects presented to the Board </w:t>
      </w:r>
      <w:r w:rsidR="009E49A7">
        <w:rPr>
          <w:rFonts w:ascii="Times New Roman" w:hAnsi="Times New Roman" w:cs="Times New Roman"/>
          <w:bCs/>
          <w:iCs/>
          <w:color w:val="000000" w:themeColor="text1"/>
          <w:sz w:val="24"/>
          <w:szCs w:val="24"/>
        </w:rPr>
        <w:t>more than an</w:t>
      </w:r>
      <w:r w:rsidR="00FD4FD3">
        <w:rPr>
          <w:rFonts w:ascii="Times New Roman" w:hAnsi="Times New Roman" w:cs="Times New Roman"/>
          <w:bCs/>
          <w:iCs/>
          <w:color w:val="000000" w:themeColor="text1"/>
          <w:sz w:val="24"/>
          <w:szCs w:val="24"/>
        </w:rPr>
        <w:t xml:space="preserve">y other previous </w:t>
      </w:r>
      <w:proofErr w:type="spellStart"/>
      <w:r w:rsidR="00FD4FD3">
        <w:rPr>
          <w:rFonts w:ascii="Times New Roman" w:hAnsi="Times New Roman" w:cs="Times New Roman"/>
          <w:bCs/>
          <w:iCs/>
          <w:color w:val="000000" w:themeColor="text1"/>
          <w:sz w:val="24"/>
          <w:szCs w:val="24"/>
        </w:rPr>
        <w:t>quinquennium</w:t>
      </w:r>
      <w:proofErr w:type="spellEnd"/>
      <w:r w:rsidR="00FD4FD3">
        <w:rPr>
          <w:rFonts w:ascii="Times New Roman" w:hAnsi="Times New Roman" w:cs="Times New Roman"/>
          <w:bCs/>
          <w:iCs/>
          <w:color w:val="000000" w:themeColor="text1"/>
          <w:sz w:val="24"/>
          <w:szCs w:val="24"/>
        </w:rPr>
        <w:t xml:space="preserve"> (F</w:t>
      </w:r>
      <w:r w:rsidR="009E49A7">
        <w:rPr>
          <w:rFonts w:ascii="Times New Roman" w:hAnsi="Times New Roman" w:cs="Times New Roman"/>
          <w:bCs/>
          <w:iCs/>
          <w:color w:val="000000" w:themeColor="text1"/>
          <w:sz w:val="24"/>
          <w:szCs w:val="24"/>
        </w:rPr>
        <w:t>igure 2). Th</w:t>
      </w:r>
      <w:r w:rsidR="008C5722">
        <w:rPr>
          <w:rFonts w:ascii="Times New Roman" w:hAnsi="Times New Roman" w:cs="Times New Roman"/>
          <w:bCs/>
          <w:iCs/>
          <w:color w:val="000000" w:themeColor="text1"/>
          <w:sz w:val="24"/>
          <w:szCs w:val="24"/>
        </w:rPr>
        <w:t>e</w:t>
      </w:r>
      <w:r w:rsidR="009E49A7">
        <w:rPr>
          <w:rFonts w:ascii="Times New Roman" w:hAnsi="Times New Roman" w:cs="Times New Roman"/>
          <w:bCs/>
          <w:iCs/>
          <w:color w:val="000000" w:themeColor="text1"/>
          <w:sz w:val="24"/>
          <w:szCs w:val="24"/>
        </w:rPr>
        <w:t xml:space="preserve"> increase </w:t>
      </w:r>
      <w:r w:rsidR="008C5722">
        <w:rPr>
          <w:rFonts w:ascii="Times New Roman" w:hAnsi="Times New Roman" w:cs="Times New Roman"/>
          <w:bCs/>
          <w:iCs/>
          <w:color w:val="000000" w:themeColor="text1"/>
          <w:sz w:val="24"/>
          <w:szCs w:val="24"/>
        </w:rPr>
        <w:t xml:space="preserve">in commitment </w:t>
      </w:r>
      <w:r w:rsidR="009E49A7">
        <w:rPr>
          <w:rFonts w:ascii="Times New Roman" w:hAnsi="Times New Roman" w:cs="Times New Roman"/>
          <w:bCs/>
          <w:iCs/>
          <w:color w:val="000000" w:themeColor="text1"/>
          <w:sz w:val="24"/>
          <w:szCs w:val="24"/>
        </w:rPr>
        <w:t xml:space="preserve">was driven by two large projects: the FY07 Odra River Basin Flood Protection Project in Poland (with US$160 million commitment to flood protection) and the FY11 </w:t>
      </w:r>
      <w:proofErr w:type="spellStart"/>
      <w:r w:rsidR="009E49A7" w:rsidRPr="009E49A7">
        <w:rPr>
          <w:rFonts w:ascii="Times New Roman" w:hAnsi="Times New Roman" w:cs="Times New Roman"/>
          <w:bCs/>
          <w:iCs/>
          <w:color w:val="000000" w:themeColor="text1"/>
          <w:sz w:val="24"/>
          <w:szCs w:val="24"/>
        </w:rPr>
        <w:t>Padma</w:t>
      </w:r>
      <w:proofErr w:type="spellEnd"/>
      <w:r w:rsidR="009E49A7" w:rsidRPr="009E49A7">
        <w:rPr>
          <w:rFonts w:ascii="Times New Roman" w:hAnsi="Times New Roman" w:cs="Times New Roman"/>
          <w:bCs/>
          <w:iCs/>
          <w:color w:val="000000" w:themeColor="text1"/>
          <w:sz w:val="24"/>
          <w:szCs w:val="24"/>
        </w:rPr>
        <w:t xml:space="preserve"> Multipurpose Bridge Project</w:t>
      </w:r>
      <w:r w:rsidR="009E49A7">
        <w:rPr>
          <w:rFonts w:ascii="Times New Roman" w:hAnsi="Times New Roman" w:cs="Times New Roman"/>
          <w:bCs/>
          <w:iCs/>
          <w:color w:val="000000" w:themeColor="text1"/>
          <w:sz w:val="24"/>
          <w:szCs w:val="24"/>
        </w:rPr>
        <w:t xml:space="preserve"> in </w:t>
      </w:r>
      <w:r w:rsidR="009E49A7" w:rsidRPr="009E49A7">
        <w:rPr>
          <w:rFonts w:ascii="Times New Roman" w:hAnsi="Times New Roman" w:cs="Times New Roman"/>
          <w:bCs/>
          <w:iCs/>
          <w:color w:val="000000" w:themeColor="text1"/>
          <w:sz w:val="24"/>
          <w:szCs w:val="24"/>
        </w:rPr>
        <w:t>Bangladesh</w:t>
      </w:r>
      <w:r w:rsidR="009E49A7">
        <w:rPr>
          <w:rFonts w:ascii="Times New Roman" w:hAnsi="Times New Roman" w:cs="Times New Roman"/>
          <w:bCs/>
          <w:iCs/>
          <w:color w:val="000000" w:themeColor="text1"/>
          <w:sz w:val="24"/>
          <w:szCs w:val="24"/>
        </w:rPr>
        <w:t xml:space="preserve"> (with US$324 million commitment to flood protection)</w:t>
      </w:r>
      <w:r w:rsidR="000E47BD">
        <w:rPr>
          <w:rFonts w:ascii="Times New Roman" w:hAnsi="Times New Roman" w:cs="Times New Roman"/>
          <w:bCs/>
          <w:iCs/>
          <w:color w:val="000000" w:themeColor="text1"/>
          <w:sz w:val="24"/>
          <w:szCs w:val="24"/>
        </w:rPr>
        <w:t>.</w:t>
      </w:r>
    </w:p>
    <w:p w:rsidR="00B15AF9" w:rsidRPr="009E49A7" w:rsidRDefault="00B15AF9"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9E49A7">
        <w:rPr>
          <w:rFonts w:ascii="Times New Roman" w:hAnsi="Times New Roman" w:cs="Times New Roman"/>
          <w:b/>
          <w:bCs/>
          <w:iCs/>
          <w:color w:val="000000" w:themeColor="text1"/>
          <w:sz w:val="24"/>
          <w:szCs w:val="24"/>
        </w:rPr>
        <w:lastRenderedPageBreak/>
        <w:t xml:space="preserve">Figure 2: World Bank Support to Flood Protection by </w:t>
      </w:r>
      <w:proofErr w:type="spellStart"/>
      <w:r w:rsidRPr="009E49A7">
        <w:rPr>
          <w:rFonts w:ascii="Times New Roman" w:hAnsi="Times New Roman" w:cs="Times New Roman"/>
          <w:b/>
          <w:bCs/>
          <w:iCs/>
          <w:color w:val="000000" w:themeColor="text1"/>
          <w:sz w:val="24"/>
          <w:szCs w:val="24"/>
        </w:rPr>
        <w:t>Quinquennium</w:t>
      </w:r>
      <w:proofErr w:type="spellEnd"/>
    </w:p>
    <w:p w:rsidR="00B15AF9" w:rsidRDefault="00B15AF9" w:rsidP="00B15AF9">
      <w:pPr>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8C5722">
        <w:rPr>
          <w:noProof/>
        </w:rPr>
        <w:drawing>
          <wp:inline distT="0" distB="0" distL="0" distR="0">
            <wp:extent cx="4648200" cy="26098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AF9" w:rsidRDefault="00B15AF9" w:rsidP="00953F4C">
      <w:pPr>
        <w:autoSpaceDE w:val="0"/>
        <w:autoSpaceDN w:val="0"/>
        <w:adjustRightInd w:val="0"/>
        <w:spacing w:after="0" w:line="240" w:lineRule="auto"/>
        <w:rPr>
          <w:rFonts w:ascii="Times New Roman" w:hAnsi="Times New Roman" w:cs="Times New Roman"/>
          <w:b/>
          <w:bCs/>
          <w:iCs/>
          <w:color w:val="000000" w:themeColor="text1"/>
          <w:sz w:val="24"/>
          <w:szCs w:val="24"/>
        </w:rPr>
      </w:pPr>
    </w:p>
    <w:p w:rsidR="00B15AF9" w:rsidRDefault="00B15AF9" w:rsidP="00B15AF9">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B15AF9" w:rsidRDefault="00B15AF9" w:rsidP="00953F4C">
      <w:pPr>
        <w:autoSpaceDE w:val="0"/>
        <w:autoSpaceDN w:val="0"/>
        <w:adjustRightInd w:val="0"/>
        <w:spacing w:after="0" w:line="240" w:lineRule="auto"/>
        <w:rPr>
          <w:rFonts w:ascii="Times New Roman" w:hAnsi="Times New Roman" w:cs="Times New Roman"/>
          <w:b/>
          <w:bCs/>
          <w:iCs/>
          <w:color w:val="000000" w:themeColor="text1"/>
          <w:sz w:val="24"/>
          <w:szCs w:val="24"/>
        </w:rPr>
      </w:pPr>
    </w:p>
    <w:p w:rsidR="00045B86" w:rsidRPr="00045B86" w:rsidRDefault="00045B86" w:rsidP="00953F4C">
      <w:pPr>
        <w:autoSpaceDE w:val="0"/>
        <w:autoSpaceDN w:val="0"/>
        <w:adjustRightInd w:val="0"/>
        <w:spacing w:after="0" w:line="240" w:lineRule="auto"/>
        <w:rPr>
          <w:rFonts w:ascii="Times New Roman" w:hAnsi="Times New Roman" w:cs="Times New Roman"/>
          <w:b/>
          <w:bCs/>
          <w:iCs/>
          <w:color w:val="000000" w:themeColor="text1"/>
          <w:sz w:val="24"/>
          <w:szCs w:val="24"/>
        </w:rPr>
      </w:pPr>
      <w:r w:rsidRPr="00045B86">
        <w:rPr>
          <w:rFonts w:ascii="Times New Roman" w:hAnsi="Times New Roman" w:cs="Times New Roman"/>
          <w:b/>
          <w:bCs/>
          <w:iCs/>
          <w:color w:val="000000" w:themeColor="text1"/>
          <w:sz w:val="24"/>
          <w:szCs w:val="24"/>
        </w:rPr>
        <w:t>Regional Distribution of Flood Protection Commitments</w:t>
      </w:r>
    </w:p>
    <w:p w:rsidR="00045B86" w:rsidRDefault="00045B86" w:rsidP="00953F4C">
      <w:pPr>
        <w:autoSpaceDE w:val="0"/>
        <w:autoSpaceDN w:val="0"/>
        <w:adjustRightInd w:val="0"/>
        <w:spacing w:after="0" w:line="240" w:lineRule="auto"/>
        <w:rPr>
          <w:rFonts w:ascii="Times New Roman" w:hAnsi="Times New Roman" w:cs="Times New Roman"/>
          <w:bCs/>
          <w:iCs/>
          <w:color w:val="000000" w:themeColor="text1"/>
          <w:sz w:val="24"/>
          <w:szCs w:val="24"/>
        </w:rPr>
      </w:pPr>
    </w:p>
    <w:p w:rsidR="00F84B53" w:rsidRDefault="00F84B53" w:rsidP="00B15AF9">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Overall Bank commitments for flood protection made between FY87 and end-December 2011 are dominated by projects in three regions: East Asia and Pacific with 34 percent of total commitment, South Asia with 25 percent and Latin America and Caribbean with 19 percent (Figure </w:t>
      </w:r>
      <w:r w:rsidR="00EF7990">
        <w:rPr>
          <w:rFonts w:ascii="Times New Roman" w:hAnsi="Times New Roman" w:cs="Times New Roman"/>
          <w:bCs/>
          <w:iCs/>
          <w:color w:val="000000" w:themeColor="text1"/>
          <w:sz w:val="24"/>
          <w:szCs w:val="24"/>
        </w:rPr>
        <w:t>3</w:t>
      </w:r>
      <w:r>
        <w:rPr>
          <w:rFonts w:ascii="Times New Roman" w:hAnsi="Times New Roman" w:cs="Times New Roman"/>
          <w:bCs/>
          <w:iCs/>
          <w:color w:val="000000" w:themeColor="text1"/>
          <w:sz w:val="24"/>
          <w:szCs w:val="24"/>
        </w:rPr>
        <w:t xml:space="preserve">). A closer analysis indicates that </w:t>
      </w:r>
      <w:r w:rsidR="00BF53F1">
        <w:rPr>
          <w:rFonts w:ascii="Times New Roman" w:hAnsi="Times New Roman" w:cs="Times New Roman"/>
          <w:bCs/>
          <w:iCs/>
          <w:color w:val="000000" w:themeColor="text1"/>
          <w:sz w:val="24"/>
          <w:szCs w:val="24"/>
        </w:rPr>
        <w:t xml:space="preserve">60 projects in 9 </w:t>
      </w:r>
      <w:r w:rsidR="00EF7990">
        <w:rPr>
          <w:rFonts w:ascii="Times New Roman" w:hAnsi="Times New Roman" w:cs="Times New Roman"/>
          <w:bCs/>
          <w:iCs/>
          <w:color w:val="000000" w:themeColor="text1"/>
          <w:sz w:val="24"/>
          <w:szCs w:val="24"/>
        </w:rPr>
        <w:t xml:space="preserve">countries, led by China, account for </w:t>
      </w:r>
      <w:r w:rsidR="00BF53F1">
        <w:rPr>
          <w:rFonts w:ascii="Times New Roman" w:hAnsi="Times New Roman" w:cs="Times New Roman"/>
          <w:bCs/>
          <w:iCs/>
          <w:color w:val="000000" w:themeColor="text1"/>
          <w:sz w:val="24"/>
          <w:szCs w:val="24"/>
        </w:rPr>
        <w:t xml:space="preserve">nearly </w:t>
      </w:r>
      <w:r w:rsidR="00EF7990">
        <w:rPr>
          <w:rFonts w:ascii="Times New Roman" w:hAnsi="Times New Roman" w:cs="Times New Roman"/>
          <w:bCs/>
          <w:iCs/>
          <w:color w:val="000000" w:themeColor="text1"/>
          <w:sz w:val="24"/>
          <w:szCs w:val="24"/>
        </w:rPr>
        <w:t>80 percent of the overall Bank commitment for flood protection (Figure 4).</w:t>
      </w:r>
    </w:p>
    <w:p w:rsidR="00F84B53" w:rsidRDefault="00F84B53" w:rsidP="00B15AF9">
      <w:pPr>
        <w:autoSpaceDE w:val="0"/>
        <w:autoSpaceDN w:val="0"/>
        <w:adjustRightInd w:val="0"/>
        <w:spacing w:after="0" w:line="240" w:lineRule="auto"/>
        <w:rPr>
          <w:rFonts w:ascii="Times New Roman" w:hAnsi="Times New Roman" w:cs="Times New Roman"/>
          <w:bCs/>
          <w:iCs/>
          <w:color w:val="000000" w:themeColor="text1"/>
          <w:sz w:val="24"/>
          <w:szCs w:val="24"/>
        </w:rPr>
      </w:pPr>
    </w:p>
    <w:p w:rsidR="00F84B53" w:rsidRPr="00EF7990" w:rsidRDefault="00EF7990"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EF7990">
        <w:rPr>
          <w:rFonts w:ascii="Times New Roman" w:hAnsi="Times New Roman" w:cs="Times New Roman"/>
          <w:b/>
          <w:bCs/>
          <w:iCs/>
          <w:color w:val="000000" w:themeColor="text1"/>
          <w:sz w:val="24"/>
          <w:szCs w:val="24"/>
        </w:rPr>
        <w:t xml:space="preserve">Figure 3: </w:t>
      </w:r>
      <w:r>
        <w:rPr>
          <w:rFonts w:ascii="Times New Roman" w:hAnsi="Times New Roman" w:cs="Times New Roman"/>
          <w:b/>
          <w:bCs/>
          <w:iCs/>
          <w:color w:val="000000" w:themeColor="text1"/>
          <w:sz w:val="24"/>
          <w:szCs w:val="24"/>
        </w:rPr>
        <w:t xml:space="preserve">Overall </w:t>
      </w:r>
      <w:r w:rsidR="00F84B53" w:rsidRPr="00EF7990">
        <w:rPr>
          <w:rFonts w:ascii="Times New Roman" w:hAnsi="Times New Roman" w:cs="Times New Roman"/>
          <w:b/>
          <w:bCs/>
          <w:iCs/>
          <w:color w:val="000000" w:themeColor="text1"/>
          <w:sz w:val="24"/>
          <w:szCs w:val="24"/>
        </w:rPr>
        <w:t>Bank Commitments for Flood Protection by Region</w:t>
      </w:r>
    </w:p>
    <w:p w:rsidR="00F84B53" w:rsidRDefault="00F84B53" w:rsidP="00F84B53">
      <w:pPr>
        <w:autoSpaceDE w:val="0"/>
        <w:autoSpaceDN w:val="0"/>
        <w:adjustRightInd w:val="0"/>
        <w:spacing w:after="0" w:line="240" w:lineRule="auto"/>
        <w:jc w:val="center"/>
        <w:rPr>
          <w:rFonts w:ascii="Times New Roman" w:hAnsi="Times New Roman" w:cs="Times New Roman"/>
          <w:bCs/>
          <w:iCs/>
          <w:color w:val="000000" w:themeColor="text1"/>
          <w:sz w:val="24"/>
          <w:szCs w:val="24"/>
        </w:rPr>
      </w:pPr>
      <w:r w:rsidRPr="00F84B53">
        <w:rPr>
          <w:rFonts w:ascii="Times New Roman" w:hAnsi="Times New Roman" w:cs="Times New Roman"/>
          <w:bCs/>
          <w:iCs/>
          <w:noProof/>
          <w:color w:val="000000" w:themeColor="text1"/>
          <w:sz w:val="24"/>
          <w:szCs w:val="24"/>
        </w:rPr>
        <w:drawing>
          <wp:inline distT="0" distB="0" distL="0" distR="0">
            <wp:extent cx="4352925" cy="24384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7990" w:rsidRDefault="00EF7990" w:rsidP="00B15AF9">
      <w:pPr>
        <w:autoSpaceDE w:val="0"/>
        <w:autoSpaceDN w:val="0"/>
        <w:adjustRightInd w:val="0"/>
        <w:spacing w:after="0" w:line="240" w:lineRule="auto"/>
        <w:rPr>
          <w:rFonts w:ascii="Times New Roman" w:hAnsi="Times New Roman" w:cs="Times New Roman"/>
          <w:bCs/>
          <w:iCs/>
          <w:color w:val="000000" w:themeColor="text1"/>
          <w:sz w:val="24"/>
          <w:szCs w:val="24"/>
        </w:rPr>
      </w:pPr>
    </w:p>
    <w:p w:rsidR="00EF7990" w:rsidRDefault="00EF7990" w:rsidP="00EF7990">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3F1617" w:rsidRPr="00EF7990" w:rsidRDefault="003F1617"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EF7990">
        <w:rPr>
          <w:rFonts w:ascii="Times New Roman" w:hAnsi="Times New Roman" w:cs="Times New Roman"/>
          <w:b/>
          <w:bCs/>
          <w:iCs/>
          <w:color w:val="000000" w:themeColor="text1"/>
          <w:sz w:val="24"/>
          <w:szCs w:val="24"/>
        </w:rPr>
        <w:lastRenderedPageBreak/>
        <w:t xml:space="preserve">Figure </w:t>
      </w:r>
      <w:r>
        <w:rPr>
          <w:rFonts w:ascii="Times New Roman" w:hAnsi="Times New Roman" w:cs="Times New Roman"/>
          <w:b/>
          <w:bCs/>
          <w:iCs/>
          <w:color w:val="000000" w:themeColor="text1"/>
          <w:sz w:val="24"/>
          <w:szCs w:val="24"/>
        </w:rPr>
        <w:t>4</w:t>
      </w:r>
      <w:r w:rsidRPr="00EF7990">
        <w:rPr>
          <w:rFonts w:ascii="Times New Roman" w:hAnsi="Times New Roman" w:cs="Times New Roman"/>
          <w:b/>
          <w:bCs/>
          <w:iCs/>
          <w:color w:val="000000" w:themeColor="text1"/>
          <w:sz w:val="24"/>
          <w:szCs w:val="24"/>
        </w:rPr>
        <w:t xml:space="preserve">: Bank Commitments for Flood Protection by </w:t>
      </w:r>
      <w:r>
        <w:rPr>
          <w:rFonts w:ascii="Times New Roman" w:hAnsi="Times New Roman" w:cs="Times New Roman"/>
          <w:b/>
          <w:bCs/>
          <w:iCs/>
          <w:color w:val="000000" w:themeColor="text1"/>
          <w:sz w:val="24"/>
          <w:szCs w:val="24"/>
        </w:rPr>
        <w:t>Country</w:t>
      </w:r>
    </w:p>
    <w:p w:rsidR="00990216" w:rsidRDefault="00EF7990" w:rsidP="00953F4C">
      <w:pPr>
        <w:autoSpaceDE w:val="0"/>
        <w:autoSpaceDN w:val="0"/>
        <w:adjustRightInd w:val="0"/>
        <w:spacing w:after="0" w:line="240" w:lineRule="auto"/>
        <w:rPr>
          <w:rFonts w:ascii="Times New Roman" w:hAnsi="Times New Roman" w:cs="Times New Roman"/>
          <w:bCs/>
          <w:iCs/>
          <w:color w:val="000000" w:themeColor="text1"/>
          <w:sz w:val="24"/>
          <w:szCs w:val="24"/>
        </w:rPr>
      </w:pPr>
      <w:r w:rsidRPr="00EF7990">
        <w:rPr>
          <w:rFonts w:ascii="Times New Roman" w:hAnsi="Times New Roman" w:cs="Times New Roman"/>
          <w:bCs/>
          <w:iCs/>
          <w:noProof/>
          <w:color w:val="000000" w:themeColor="text1"/>
          <w:sz w:val="24"/>
          <w:szCs w:val="24"/>
        </w:rPr>
        <w:drawing>
          <wp:inline distT="0" distB="0" distL="0" distR="0">
            <wp:extent cx="5943600" cy="341947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1617" w:rsidRDefault="003F1617" w:rsidP="003F1617">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3F1617" w:rsidRDefault="003F1617" w:rsidP="003F1617">
      <w:pPr>
        <w:autoSpaceDE w:val="0"/>
        <w:autoSpaceDN w:val="0"/>
        <w:adjustRightInd w:val="0"/>
        <w:spacing w:after="0" w:line="240" w:lineRule="auto"/>
        <w:rPr>
          <w:rFonts w:ascii="Times New Roman" w:hAnsi="Times New Roman" w:cs="Times New Roman"/>
          <w:bCs/>
          <w:iCs/>
          <w:color w:val="000000" w:themeColor="text1"/>
          <w:sz w:val="20"/>
          <w:szCs w:val="20"/>
        </w:rPr>
      </w:pPr>
      <w:r>
        <w:rPr>
          <w:rFonts w:ascii="Times New Roman" w:hAnsi="Times New Roman" w:cs="Times New Roman"/>
          <w:b/>
          <w:bCs/>
          <w:iCs/>
          <w:color w:val="000000" w:themeColor="text1"/>
          <w:sz w:val="20"/>
          <w:szCs w:val="20"/>
        </w:rPr>
        <w:t>Note</w:t>
      </w:r>
      <w:r w:rsidRPr="003F1617">
        <w:rPr>
          <w:rFonts w:ascii="Times New Roman" w:hAnsi="Times New Roman" w:cs="Times New Roman"/>
          <w:b/>
          <w:bCs/>
          <w:iCs/>
          <w:color w:val="000000" w:themeColor="text1"/>
          <w:sz w:val="20"/>
          <w:szCs w:val="20"/>
        </w:rPr>
        <w:t>:</w:t>
      </w:r>
      <w:r>
        <w:rPr>
          <w:rFonts w:ascii="Times New Roman" w:hAnsi="Times New Roman" w:cs="Times New Roman"/>
          <w:bCs/>
          <w:iCs/>
          <w:color w:val="000000" w:themeColor="text1"/>
          <w:sz w:val="20"/>
          <w:szCs w:val="20"/>
        </w:rPr>
        <w:t xml:space="preserve">  It only accounts for 78 percent of the overall Bank commitment. It shows countries with more than US$100 million commitments for flood protection. The various colors in the bars indicate commitments for flood protection by project. In the case of China for example, there are 19 projects supporting flood protection. In the case of Bangladesh, the number of projects amounts to 13. </w:t>
      </w:r>
    </w:p>
    <w:p w:rsidR="00B15AF9" w:rsidRDefault="00B15AF9" w:rsidP="00953F4C">
      <w:pPr>
        <w:autoSpaceDE w:val="0"/>
        <w:autoSpaceDN w:val="0"/>
        <w:adjustRightInd w:val="0"/>
        <w:spacing w:after="0" w:line="240" w:lineRule="auto"/>
        <w:rPr>
          <w:rFonts w:ascii="Times New Roman" w:hAnsi="Times New Roman" w:cs="Times New Roman"/>
          <w:bCs/>
          <w:iCs/>
          <w:color w:val="000000" w:themeColor="text1"/>
          <w:sz w:val="24"/>
          <w:szCs w:val="24"/>
        </w:rPr>
      </w:pPr>
    </w:p>
    <w:p w:rsidR="00990216" w:rsidRPr="00B15AF9" w:rsidRDefault="00B15AF9" w:rsidP="00953F4C">
      <w:pPr>
        <w:autoSpaceDE w:val="0"/>
        <w:autoSpaceDN w:val="0"/>
        <w:adjustRightInd w:val="0"/>
        <w:spacing w:after="0" w:line="240" w:lineRule="auto"/>
        <w:rPr>
          <w:rFonts w:ascii="Times New Roman" w:hAnsi="Times New Roman" w:cs="Times New Roman"/>
          <w:b/>
          <w:bCs/>
          <w:iCs/>
          <w:color w:val="000000" w:themeColor="text1"/>
          <w:sz w:val="24"/>
          <w:szCs w:val="24"/>
        </w:rPr>
      </w:pPr>
      <w:r w:rsidRPr="00B15AF9">
        <w:rPr>
          <w:rFonts w:ascii="Times New Roman" w:hAnsi="Times New Roman" w:cs="Times New Roman"/>
          <w:b/>
          <w:bCs/>
          <w:iCs/>
          <w:color w:val="000000" w:themeColor="text1"/>
          <w:sz w:val="24"/>
          <w:szCs w:val="24"/>
        </w:rPr>
        <w:t>Dedicated and Non-Dedicated Flood Protection Projects</w:t>
      </w:r>
    </w:p>
    <w:p w:rsidR="00B15AF9" w:rsidRDefault="00B15AF9" w:rsidP="00953F4C">
      <w:pPr>
        <w:autoSpaceDE w:val="0"/>
        <w:autoSpaceDN w:val="0"/>
        <w:adjustRightInd w:val="0"/>
        <w:spacing w:after="0" w:line="240" w:lineRule="auto"/>
        <w:rPr>
          <w:rFonts w:ascii="Times New Roman" w:hAnsi="Times New Roman" w:cs="Times New Roman"/>
          <w:bCs/>
          <w:iCs/>
          <w:color w:val="000000" w:themeColor="text1"/>
          <w:sz w:val="24"/>
          <w:szCs w:val="24"/>
        </w:rPr>
      </w:pPr>
    </w:p>
    <w:p w:rsidR="00EE332D" w:rsidRDefault="001E263F" w:rsidP="00953F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color w:val="000000" w:themeColor="text1"/>
          <w:sz w:val="24"/>
          <w:szCs w:val="24"/>
        </w:rPr>
        <w:t xml:space="preserve">Overall, the </w:t>
      </w:r>
      <w:r w:rsidR="00953F4C">
        <w:rPr>
          <w:rFonts w:ascii="Times New Roman" w:hAnsi="Times New Roman" w:cs="Times New Roman"/>
          <w:bCs/>
          <w:iCs/>
          <w:color w:val="000000" w:themeColor="text1"/>
          <w:sz w:val="24"/>
          <w:szCs w:val="24"/>
        </w:rPr>
        <w:t xml:space="preserve">flood protection portfolio includes </w:t>
      </w:r>
      <w:r w:rsidRPr="00953F4C">
        <w:rPr>
          <w:rFonts w:ascii="Times New Roman" w:hAnsi="Times New Roman" w:cs="Times New Roman"/>
          <w:bCs/>
          <w:iCs/>
          <w:color w:val="000000" w:themeColor="text1"/>
          <w:sz w:val="24"/>
          <w:szCs w:val="24"/>
        </w:rPr>
        <w:t xml:space="preserve">dedicated </w:t>
      </w:r>
      <w:r w:rsidR="00953F4C">
        <w:rPr>
          <w:rFonts w:ascii="Times New Roman" w:hAnsi="Times New Roman" w:cs="Times New Roman"/>
          <w:bCs/>
          <w:iCs/>
          <w:color w:val="000000" w:themeColor="text1"/>
          <w:sz w:val="24"/>
          <w:szCs w:val="24"/>
        </w:rPr>
        <w:t xml:space="preserve">and non-dedicated </w:t>
      </w:r>
      <w:r w:rsidR="00EE332D">
        <w:rPr>
          <w:rFonts w:ascii="Times New Roman" w:hAnsi="Times New Roman" w:cs="Times New Roman"/>
          <w:bCs/>
          <w:iCs/>
          <w:color w:val="000000" w:themeColor="text1"/>
          <w:sz w:val="24"/>
          <w:szCs w:val="24"/>
        </w:rPr>
        <w:t xml:space="preserve">flood protection </w:t>
      </w:r>
      <w:r w:rsidR="00953F4C">
        <w:rPr>
          <w:rFonts w:ascii="Times New Roman" w:hAnsi="Times New Roman" w:cs="Times New Roman"/>
          <w:bCs/>
          <w:iCs/>
          <w:color w:val="000000" w:themeColor="text1"/>
          <w:sz w:val="24"/>
          <w:szCs w:val="24"/>
        </w:rPr>
        <w:t xml:space="preserve">projects. In this review, </w:t>
      </w:r>
      <w:r w:rsidR="00953F4C" w:rsidRPr="00953F4C">
        <w:rPr>
          <w:rFonts w:ascii="Times New Roman" w:hAnsi="Times New Roman" w:cs="Times New Roman"/>
          <w:sz w:val="24"/>
          <w:szCs w:val="24"/>
        </w:rPr>
        <w:t xml:space="preserve">a dedicated </w:t>
      </w:r>
      <w:r w:rsidR="00026592">
        <w:rPr>
          <w:rFonts w:ascii="Times New Roman" w:hAnsi="Times New Roman" w:cs="Times New Roman"/>
          <w:sz w:val="24"/>
          <w:szCs w:val="24"/>
        </w:rPr>
        <w:t xml:space="preserve">flood protection </w:t>
      </w:r>
      <w:r w:rsidR="00953F4C" w:rsidRPr="00953F4C">
        <w:rPr>
          <w:rFonts w:ascii="Times New Roman" w:hAnsi="Times New Roman" w:cs="Times New Roman"/>
          <w:sz w:val="24"/>
          <w:szCs w:val="24"/>
        </w:rPr>
        <w:t>project is defined as the one that meets the following two criteria: at least 40</w:t>
      </w:r>
      <w:r w:rsidR="00764AD7">
        <w:rPr>
          <w:rFonts w:ascii="Times New Roman" w:hAnsi="Times New Roman" w:cs="Times New Roman"/>
          <w:sz w:val="24"/>
          <w:szCs w:val="24"/>
        </w:rPr>
        <w:t xml:space="preserve"> percent </w:t>
      </w:r>
      <w:r w:rsidR="00953F4C" w:rsidRPr="00953F4C">
        <w:rPr>
          <w:rFonts w:ascii="Times New Roman" w:hAnsi="Times New Roman" w:cs="Times New Roman"/>
          <w:sz w:val="24"/>
          <w:szCs w:val="24"/>
        </w:rPr>
        <w:t>of its commitment is allocated to flood protection; and the greatest proportion of its commitment is allocated to flood protection</w:t>
      </w:r>
      <w:r w:rsidR="00953F4C">
        <w:rPr>
          <w:rFonts w:ascii="Times New Roman" w:hAnsi="Times New Roman" w:cs="Times New Roman"/>
          <w:sz w:val="24"/>
          <w:szCs w:val="24"/>
        </w:rPr>
        <w:t xml:space="preserve">. </w:t>
      </w:r>
      <w:r w:rsidR="00CD70C5">
        <w:rPr>
          <w:rFonts w:ascii="Times New Roman" w:hAnsi="Times New Roman" w:cs="Times New Roman"/>
          <w:sz w:val="24"/>
          <w:szCs w:val="24"/>
        </w:rPr>
        <w:t xml:space="preserve">Seventy seven </w:t>
      </w:r>
      <w:r w:rsidR="00EE332D">
        <w:rPr>
          <w:rFonts w:ascii="Times New Roman" w:hAnsi="Times New Roman" w:cs="Times New Roman"/>
          <w:sz w:val="24"/>
          <w:szCs w:val="24"/>
        </w:rPr>
        <w:t>project</w:t>
      </w:r>
      <w:r w:rsidR="00BF53F1">
        <w:rPr>
          <w:rFonts w:ascii="Times New Roman" w:hAnsi="Times New Roman" w:cs="Times New Roman"/>
          <w:sz w:val="24"/>
          <w:szCs w:val="24"/>
        </w:rPr>
        <w:t>s</w:t>
      </w:r>
      <w:r w:rsidR="00EE332D">
        <w:rPr>
          <w:rFonts w:ascii="Times New Roman" w:hAnsi="Times New Roman" w:cs="Times New Roman"/>
          <w:sz w:val="24"/>
          <w:szCs w:val="24"/>
        </w:rPr>
        <w:t xml:space="preserve"> or about 4</w:t>
      </w:r>
      <w:r w:rsidR="00BF53F1">
        <w:rPr>
          <w:rFonts w:ascii="Times New Roman" w:hAnsi="Times New Roman" w:cs="Times New Roman"/>
          <w:sz w:val="24"/>
          <w:szCs w:val="24"/>
        </w:rPr>
        <w:t>1</w:t>
      </w:r>
      <w:r w:rsidR="00EE332D">
        <w:rPr>
          <w:rFonts w:ascii="Times New Roman" w:hAnsi="Times New Roman" w:cs="Times New Roman"/>
          <w:sz w:val="24"/>
          <w:szCs w:val="24"/>
        </w:rPr>
        <w:t xml:space="preserve"> percent of the </w:t>
      </w:r>
      <w:r w:rsidR="00CD70C5">
        <w:rPr>
          <w:rFonts w:ascii="Times New Roman" w:hAnsi="Times New Roman" w:cs="Times New Roman"/>
          <w:sz w:val="24"/>
          <w:szCs w:val="24"/>
        </w:rPr>
        <w:t xml:space="preserve">approved </w:t>
      </w:r>
      <w:r w:rsidR="00EE332D">
        <w:rPr>
          <w:rFonts w:ascii="Times New Roman" w:hAnsi="Times New Roman" w:cs="Times New Roman"/>
          <w:sz w:val="24"/>
          <w:szCs w:val="24"/>
        </w:rPr>
        <w:t>projects fit the definition of dedicated projects</w:t>
      </w:r>
      <w:r w:rsidR="00732076">
        <w:rPr>
          <w:rFonts w:ascii="Times New Roman" w:hAnsi="Times New Roman" w:cs="Times New Roman"/>
          <w:sz w:val="24"/>
          <w:szCs w:val="24"/>
        </w:rPr>
        <w:t xml:space="preserve">. The number of dedicated projects experienced a </w:t>
      </w:r>
      <w:r w:rsidR="000E47BD">
        <w:rPr>
          <w:rFonts w:ascii="Times New Roman" w:hAnsi="Times New Roman" w:cs="Times New Roman"/>
          <w:sz w:val="24"/>
          <w:szCs w:val="24"/>
        </w:rPr>
        <w:t>considerable increase from FY04 onwards, reaching the pick of 12 projects in FY11</w:t>
      </w:r>
      <w:r w:rsidR="00BF53F1">
        <w:rPr>
          <w:rFonts w:ascii="Times New Roman" w:hAnsi="Times New Roman" w:cs="Times New Roman"/>
          <w:sz w:val="24"/>
          <w:szCs w:val="24"/>
        </w:rPr>
        <w:t xml:space="preserve"> </w:t>
      </w:r>
      <w:r w:rsidR="00FD4FD3">
        <w:rPr>
          <w:rFonts w:ascii="Times New Roman" w:hAnsi="Times New Roman" w:cs="Times New Roman"/>
          <w:sz w:val="24"/>
          <w:szCs w:val="24"/>
        </w:rPr>
        <w:t xml:space="preserve">(Figure </w:t>
      </w:r>
      <w:r w:rsidR="003F1617">
        <w:rPr>
          <w:rFonts w:ascii="Times New Roman" w:hAnsi="Times New Roman" w:cs="Times New Roman"/>
          <w:sz w:val="24"/>
          <w:szCs w:val="24"/>
        </w:rPr>
        <w:t>5</w:t>
      </w:r>
      <w:r w:rsidR="00FD4FD3">
        <w:rPr>
          <w:rFonts w:ascii="Times New Roman" w:hAnsi="Times New Roman" w:cs="Times New Roman"/>
          <w:sz w:val="24"/>
          <w:szCs w:val="24"/>
        </w:rPr>
        <w:t>)</w:t>
      </w:r>
      <w:r w:rsidR="00EE332D">
        <w:rPr>
          <w:rFonts w:ascii="Times New Roman" w:hAnsi="Times New Roman" w:cs="Times New Roman"/>
          <w:sz w:val="24"/>
          <w:szCs w:val="24"/>
        </w:rPr>
        <w:t xml:space="preserve">. </w:t>
      </w:r>
    </w:p>
    <w:p w:rsidR="00EE332D" w:rsidRDefault="00EE332D" w:rsidP="00EE332D">
      <w:pPr>
        <w:autoSpaceDE w:val="0"/>
        <w:autoSpaceDN w:val="0"/>
        <w:adjustRightInd w:val="0"/>
        <w:spacing w:after="0" w:line="240" w:lineRule="auto"/>
        <w:rPr>
          <w:b/>
        </w:rPr>
      </w:pPr>
    </w:p>
    <w:p w:rsidR="003F1617" w:rsidRDefault="003F1617">
      <w:pP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br w:type="page"/>
      </w:r>
    </w:p>
    <w:p w:rsidR="00052926" w:rsidRPr="00EE332D" w:rsidRDefault="003F1617"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lastRenderedPageBreak/>
        <w:t>Figure 5</w:t>
      </w:r>
      <w:r w:rsidR="00052926" w:rsidRPr="00EE332D">
        <w:rPr>
          <w:rFonts w:ascii="Times New Roman" w:hAnsi="Times New Roman" w:cs="Times New Roman"/>
          <w:b/>
          <w:bCs/>
          <w:iCs/>
          <w:color w:val="000000" w:themeColor="text1"/>
          <w:sz w:val="24"/>
          <w:szCs w:val="24"/>
        </w:rPr>
        <w:t xml:space="preserve">: Number of Dedicated and Non-Dedicated </w:t>
      </w:r>
      <w:r w:rsidR="00CD70C5">
        <w:rPr>
          <w:rFonts w:ascii="Times New Roman" w:hAnsi="Times New Roman" w:cs="Times New Roman"/>
          <w:b/>
          <w:bCs/>
          <w:iCs/>
          <w:color w:val="000000" w:themeColor="text1"/>
          <w:sz w:val="24"/>
          <w:szCs w:val="24"/>
        </w:rPr>
        <w:t xml:space="preserve">Approved </w:t>
      </w:r>
      <w:r w:rsidR="00052926" w:rsidRPr="00EE332D">
        <w:rPr>
          <w:rFonts w:ascii="Times New Roman" w:hAnsi="Times New Roman" w:cs="Times New Roman"/>
          <w:b/>
          <w:bCs/>
          <w:iCs/>
          <w:color w:val="000000" w:themeColor="text1"/>
          <w:sz w:val="24"/>
          <w:szCs w:val="24"/>
        </w:rPr>
        <w:t>Flood Protection Projects by Fiscal Year</w:t>
      </w:r>
    </w:p>
    <w:p w:rsidR="00564F2F" w:rsidRDefault="0052639D" w:rsidP="008F471B">
      <w:pPr>
        <w:autoSpaceDE w:val="0"/>
        <w:autoSpaceDN w:val="0"/>
        <w:adjustRightInd w:val="0"/>
        <w:spacing w:after="0" w:line="240" w:lineRule="auto"/>
        <w:rPr>
          <w:rFonts w:ascii="Times New Roman" w:hAnsi="Times New Roman" w:cs="Times New Roman"/>
          <w:bCs/>
          <w:iCs/>
          <w:color w:val="000000" w:themeColor="text1"/>
          <w:sz w:val="24"/>
          <w:szCs w:val="24"/>
        </w:rPr>
      </w:pPr>
      <w:r w:rsidRPr="0052639D">
        <w:rPr>
          <w:rFonts w:ascii="Times New Roman" w:hAnsi="Times New Roman" w:cs="Times New Roman"/>
          <w:bCs/>
          <w:iCs/>
          <w:noProof/>
          <w:color w:val="000000" w:themeColor="text1"/>
          <w:sz w:val="24"/>
          <w:szCs w:val="24"/>
        </w:rPr>
        <w:drawing>
          <wp:inline distT="0" distB="0" distL="0" distR="0">
            <wp:extent cx="5876925" cy="2181225"/>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32D" w:rsidRDefault="00EE332D" w:rsidP="00EE332D">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3F1617" w:rsidRDefault="003F1617" w:rsidP="003F1617">
      <w:pPr>
        <w:spacing w:after="0" w:line="240" w:lineRule="auto"/>
        <w:rPr>
          <w:rFonts w:ascii="Times New Roman" w:hAnsi="Times New Roman" w:cs="Times New Roman"/>
          <w:b/>
          <w:bCs/>
          <w:iCs/>
          <w:color w:val="000000" w:themeColor="text1"/>
          <w:sz w:val="24"/>
          <w:szCs w:val="24"/>
        </w:rPr>
      </w:pPr>
    </w:p>
    <w:p w:rsidR="00052926" w:rsidRDefault="003C7C57" w:rsidP="000E47BD">
      <w:pPr>
        <w:rPr>
          <w:rFonts w:ascii="Times New Roman" w:hAnsi="Times New Roman" w:cs="Times New Roman"/>
          <w:b/>
          <w:bCs/>
          <w:iCs/>
          <w:color w:val="000000" w:themeColor="text1"/>
          <w:sz w:val="24"/>
          <w:szCs w:val="24"/>
        </w:rPr>
      </w:pPr>
      <w:r w:rsidRPr="003C7C57">
        <w:rPr>
          <w:rFonts w:ascii="Times New Roman" w:hAnsi="Times New Roman" w:cs="Times New Roman"/>
          <w:b/>
          <w:bCs/>
          <w:iCs/>
          <w:color w:val="000000" w:themeColor="text1"/>
          <w:sz w:val="24"/>
          <w:szCs w:val="24"/>
        </w:rPr>
        <w:t xml:space="preserve">Regional Distribution of </w:t>
      </w:r>
      <w:r w:rsidR="00535BD8">
        <w:rPr>
          <w:rFonts w:ascii="Times New Roman" w:hAnsi="Times New Roman" w:cs="Times New Roman"/>
          <w:b/>
          <w:bCs/>
          <w:iCs/>
          <w:color w:val="000000" w:themeColor="text1"/>
          <w:sz w:val="24"/>
          <w:szCs w:val="24"/>
        </w:rPr>
        <w:t xml:space="preserve">Approved </w:t>
      </w:r>
      <w:r w:rsidRPr="003C7C57">
        <w:rPr>
          <w:rFonts w:ascii="Times New Roman" w:hAnsi="Times New Roman" w:cs="Times New Roman"/>
          <w:b/>
          <w:bCs/>
          <w:iCs/>
          <w:color w:val="000000" w:themeColor="text1"/>
          <w:sz w:val="24"/>
          <w:szCs w:val="24"/>
        </w:rPr>
        <w:t>Dedicated</w:t>
      </w:r>
      <w:r w:rsidR="00CD70C5">
        <w:rPr>
          <w:rFonts w:ascii="Times New Roman" w:hAnsi="Times New Roman" w:cs="Times New Roman"/>
          <w:b/>
          <w:bCs/>
          <w:iCs/>
          <w:color w:val="000000" w:themeColor="text1"/>
          <w:sz w:val="24"/>
          <w:szCs w:val="24"/>
        </w:rPr>
        <w:t xml:space="preserve"> </w:t>
      </w:r>
      <w:r w:rsidRPr="003C7C57">
        <w:rPr>
          <w:rFonts w:ascii="Times New Roman" w:hAnsi="Times New Roman" w:cs="Times New Roman"/>
          <w:b/>
          <w:bCs/>
          <w:iCs/>
          <w:color w:val="000000" w:themeColor="text1"/>
          <w:sz w:val="24"/>
          <w:szCs w:val="24"/>
        </w:rPr>
        <w:t>Flood Protection Projects</w:t>
      </w:r>
    </w:p>
    <w:p w:rsidR="00930BFF" w:rsidRDefault="00BF53F1" w:rsidP="008F471B">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Data from approved dedicated flood protection projects approved between </w:t>
      </w:r>
      <w:r w:rsidR="00CD70C5">
        <w:rPr>
          <w:rFonts w:ascii="Times New Roman" w:hAnsi="Times New Roman" w:cs="Times New Roman"/>
          <w:bCs/>
          <w:iCs/>
          <w:color w:val="000000" w:themeColor="text1"/>
          <w:sz w:val="24"/>
          <w:szCs w:val="24"/>
        </w:rPr>
        <w:t xml:space="preserve">FY87 </w:t>
      </w:r>
      <w:r>
        <w:rPr>
          <w:rFonts w:ascii="Times New Roman" w:hAnsi="Times New Roman" w:cs="Times New Roman"/>
          <w:bCs/>
          <w:iCs/>
          <w:color w:val="000000" w:themeColor="text1"/>
          <w:sz w:val="24"/>
          <w:szCs w:val="24"/>
        </w:rPr>
        <w:t xml:space="preserve">and </w:t>
      </w:r>
      <w:r w:rsidR="00CD70C5">
        <w:rPr>
          <w:rFonts w:ascii="Times New Roman" w:hAnsi="Times New Roman" w:cs="Times New Roman"/>
          <w:bCs/>
          <w:iCs/>
          <w:color w:val="000000" w:themeColor="text1"/>
          <w:sz w:val="24"/>
          <w:szCs w:val="24"/>
        </w:rPr>
        <w:t>end-</w:t>
      </w:r>
      <w:r>
        <w:rPr>
          <w:rFonts w:ascii="Times New Roman" w:hAnsi="Times New Roman" w:cs="Times New Roman"/>
          <w:bCs/>
          <w:iCs/>
          <w:color w:val="000000" w:themeColor="text1"/>
          <w:sz w:val="24"/>
          <w:szCs w:val="24"/>
        </w:rPr>
        <w:t xml:space="preserve">December </w:t>
      </w:r>
      <w:r w:rsidR="00CD70C5">
        <w:rPr>
          <w:rFonts w:ascii="Times New Roman" w:hAnsi="Times New Roman" w:cs="Times New Roman"/>
          <w:bCs/>
          <w:iCs/>
          <w:color w:val="000000" w:themeColor="text1"/>
          <w:sz w:val="24"/>
          <w:szCs w:val="24"/>
        </w:rPr>
        <w:t xml:space="preserve">2011 reveal that </w:t>
      </w:r>
      <w:r w:rsidR="002A22A6">
        <w:rPr>
          <w:rFonts w:ascii="Times New Roman" w:hAnsi="Times New Roman" w:cs="Times New Roman"/>
          <w:bCs/>
          <w:iCs/>
          <w:color w:val="000000" w:themeColor="text1"/>
          <w:sz w:val="24"/>
          <w:szCs w:val="24"/>
        </w:rPr>
        <w:t>three-quarters of Bank</w:t>
      </w:r>
      <w:r w:rsidR="00CD70C5">
        <w:rPr>
          <w:rFonts w:ascii="Times New Roman" w:hAnsi="Times New Roman" w:cs="Times New Roman"/>
          <w:bCs/>
          <w:iCs/>
          <w:color w:val="000000" w:themeColor="text1"/>
          <w:sz w:val="24"/>
          <w:szCs w:val="24"/>
        </w:rPr>
        <w:t xml:space="preserve"> </w:t>
      </w:r>
      <w:r w:rsidR="002A22A6">
        <w:rPr>
          <w:rFonts w:ascii="Times New Roman" w:hAnsi="Times New Roman" w:cs="Times New Roman"/>
          <w:bCs/>
          <w:iCs/>
          <w:color w:val="000000" w:themeColor="text1"/>
          <w:sz w:val="24"/>
          <w:szCs w:val="24"/>
        </w:rPr>
        <w:t xml:space="preserve">commitment is concentrated in </w:t>
      </w:r>
      <w:r w:rsidR="002517C2">
        <w:rPr>
          <w:rFonts w:ascii="Times New Roman" w:hAnsi="Times New Roman" w:cs="Times New Roman"/>
          <w:bCs/>
          <w:iCs/>
          <w:color w:val="000000" w:themeColor="text1"/>
          <w:sz w:val="24"/>
          <w:szCs w:val="24"/>
        </w:rPr>
        <w:t>East Asia and Pacific, South Asia</w:t>
      </w:r>
      <w:r w:rsidR="002A22A6">
        <w:rPr>
          <w:rFonts w:ascii="Times New Roman" w:hAnsi="Times New Roman" w:cs="Times New Roman"/>
          <w:bCs/>
          <w:iCs/>
          <w:color w:val="000000" w:themeColor="text1"/>
          <w:sz w:val="24"/>
          <w:szCs w:val="24"/>
        </w:rPr>
        <w:t xml:space="preserve"> and </w:t>
      </w:r>
      <w:r w:rsidR="002517C2">
        <w:rPr>
          <w:rFonts w:ascii="Times New Roman" w:hAnsi="Times New Roman" w:cs="Times New Roman"/>
          <w:bCs/>
          <w:iCs/>
          <w:color w:val="000000" w:themeColor="text1"/>
          <w:sz w:val="24"/>
          <w:szCs w:val="24"/>
        </w:rPr>
        <w:t xml:space="preserve">Latin America and the Caribbean, with East Asia and the Pacific </w:t>
      </w:r>
      <w:r w:rsidR="002A22A6">
        <w:rPr>
          <w:rFonts w:ascii="Times New Roman" w:hAnsi="Times New Roman" w:cs="Times New Roman"/>
          <w:bCs/>
          <w:iCs/>
          <w:color w:val="000000" w:themeColor="text1"/>
          <w:sz w:val="24"/>
          <w:szCs w:val="24"/>
        </w:rPr>
        <w:t xml:space="preserve">committing </w:t>
      </w:r>
      <w:r w:rsidR="002517C2">
        <w:rPr>
          <w:rFonts w:ascii="Times New Roman" w:hAnsi="Times New Roman" w:cs="Times New Roman"/>
          <w:bCs/>
          <w:iCs/>
          <w:color w:val="000000" w:themeColor="text1"/>
          <w:sz w:val="24"/>
          <w:szCs w:val="24"/>
        </w:rPr>
        <w:t>far more than any other region</w:t>
      </w:r>
      <w:r w:rsidR="002A22A6">
        <w:rPr>
          <w:rFonts w:ascii="Times New Roman" w:hAnsi="Times New Roman" w:cs="Times New Roman"/>
          <w:bCs/>
          <w:iCs/>
          <w:color w:val="000000" w:themeColor="text1"/>
          <w:sz w:val="24"/>
          <w:szCs w:val="24"/>
        </w:rPr>
        <w:t xml:space="preserve">, </w:t>
      </w:r>
      <w:r w:rsidR="002517C2">
        <w:rPr>
          <w:rFonts w:ascii="Times New Roman" w:hAnsi="Times New Roman" w:cs="Times New Roman"/>
          <w:bCs/>
          <w:iCs/>
          <w:color w:val="000000" w:themeColor="text1"/>
          <w:sz w:val="24"/>
          <w:szCs w:val="24"/>
        </w:rPr>
        <w:t xml:space="preserve">about </w:t>
      </w:r>
      <w:r w:rsidR="002A22A6">
        <w:rPr>
          <w:rFonts w:ascii="Times New Roman" w:hAnsi="Times New Roman" w:cs="Times New Roman"/>
          <w:bCs/>
          <w:iCs/>
          <w:color w:val="000000" w:themeColor="text1"/>
          <w:sz w:val="24"/>
          <w:szCs w:val="24"/>
        </w:rPr>
        <w:t xml:space="preserve">40 percent or </w:t>
      </w:r>
      <w:r w:rsidR="002517C2">
        <w:rPr>
          <w:rFonts w:ascii="Times New Roman" w:hAnsi="Times New Roman" w:cs="Times New Roman"/>
          <w:bCs/>
          <w:iCs/>
          <w:color w:val="000000" w:themeColor="text1"/>
          <w:sz w:val="24"/>
          <w:szCs w:val="24"/>
        </w:rPr>
        <w:t>US$1.1 billion</w:t>
      </w:r>
      <w:r w:rsidR="002A22A6">
        <w:rPr>
          <w:rFonts w:ascii="Times New Roman" w:hAnsi="Times New Roman" w:cs="Times New Roman"/>
          <w:bCs/>
          <w:iCs/>
          <w:color w:val="000000" w:themeColor="text1"/>
          <w:sz w:val="24"/>
          <w:szCs w:val="24"/>
        </w:rPr>
        <w:t>.</w:t>
      </w:r>
      <w:r w:rsidR="002517C2">
        <w:rPr>
          <w:rFonts w:ascii="Times New Roman" w:hAnsi="Times New Roman" w:cs="Times New Roman"/>
          <w:bCs/>
          <w:iCs/>
          <w:color w:val="000000" w:themeColor="text1"/>
          <w:sz w:val="24"/>
          <w:szCs w:val="24"/>
        </w:rPr>
        <w:t xml:space="preserve"> </w:t>
      </w:r>
      <w:r w:rsidR="002A22A6">
        <w:rPr>
          <w:rFonts w:ascii="Times New Roman" w:hAnsi="Times New Roman" w:cs="Times New Roman"/>
          <w:bCs/>
          <w:iCs/>
          <w:color w:val="000000" w:themeColor="text1"/>
          <w:sz w:val="24"/>
          <w:szCs w:val="24"/>
        </w:rPr>
        <w:t xml:space="preserve">Support for flood protection under these dedicated projects represents 70 percent of overall Bank commitments. </w:t>
      </w:r>
      <w:r w:rsidR="00764AD7">
        <w:rPr>
          <w:rFonts w:ascii="Times New Roman" w:hAnsi="Times New Roman" w:cs="Times New Roman"/>
          <w:bCs/>
          <w:iCs/>
          <w:color w:val="000000" w:themeColor="text1"/>
          <w:sz w:val="24"/>
          <w:szCs w:val="24"/>
        </w:rPr>
        <w:t>Bank financing participation in these projects is estimated at 4</w:t>
      </w:r>
      <w:r w:rsidR="00B517F2">
        <w:rPr>
          <w:rFonts w:ascii="Times New Roman" w:hAnsi="Times New Roman" w:cs="Times New Roman"/>
          <w:bCs/>
          <w:iCs/>
          <w:color w:val="000000" w:themeColor="text1"/>
          <w:sz w:val="24"/>
          <w:szCs w:val="24"/>
        </w:rPr>
        <w:t>5</w:t>
      </w:r>
      <w:r w:rsidR="00764AD7">
        <w:rPr>
          <w:rFonts w:ascii="Times New Roman" w:hAnsi="Times New Roman" w:cs="Times New Roman"/>
          <w:bCs/>
          <w:iCs/>
          <w:color w:val="000000" w:themeColor="text1"/>
          <w:sz w:val="24"/>
          <w:szCs w:val="24"/>
        </w:rPr>
        <w:t xml:space="preserve"> percent of flood protection activities’ costs. </w:t>
      </w:r>
      <w:r w:rsidR="002517C2">
        <w:rPr>
          <w:rFonts w:ascii="Times New Roman" w:hAnsi="Times New Roman" w:cs="Times New Roman"/>
          <w:bCs/>
          <w:iCs/>
          <w:color w:val="000000" w:themeColor="text1"/>
          <w:sz w:val="24"/>
          <w:szCs w:val="24"/>
        </w:rPr>
        <w:t>Both East Asia and the Pacific Region and South Asia tend to lend more on average per project at US$72.7 million and US$54.1 million, respectively</w:t>
      </w:r>
      <w:r w:rsidR="00DD4473">
        <w:rPr>
          <w:rFonts w:ascii="Times New Roman" w:hAnsi="Times New Roman" w:cs="Times New Roman"/>
          <w:bCs/>
          <w:iCs/>
          <w:color w:val="000000" w:themeColor="text1"/>
          <w:sz w:val="24"/>
          <w:szCs w:val="24"/>
        </w:rPr>
        <w:t xml:space="preserve"> </w:t>
      </w:r>
      <w:r w:rsidR="00FD4FD3">
        <w:rPr>
          <w:rFonts w:ascii="Times New Roman" w:hAnsi="Times New Roman" w:cs="Times New Roman"/>
          <w:bCs/>
          <w:iCs/>
          <w:color w:val="000000" w:themeColor="text1"/>
          <w:sz w:val="24"/>
          <w:szCs w:val="24"/>
        </w:rPr>
        <w:t>(F</w:t>
      </w:r>
      <w:r w:rsidR="002517C2">
        <w:rPr>
          <w:rFonts w:ascii="Times New Roman" w:hAnsi="Times New Roman" w:cs="Times New Roman"/>
          <w:bCs/>
          <w:iCs/>
          <w:color w:val="000000" w:themeColor="text1"/>
          <w:sz w:val="24"/>
          <w:szCs w:val="24"/>
        </w:rPr>
        <w:t xml:space="preserve">igure </w:t>
      </w:r>
      <w:r w:rsidR="003F1617">
        <w:rPr>
          <w:rFonts w:ascii="Times New Roman" w:hAnsi="Times New Roman" w:cs="Times New Roman"/>
          <w:bCs/>
          <w:iCs/>
          <w:color w:val="000000" w:themeColor="text1"/>
          <w:sz w:val="24"/>
          <w:szCs w:val="24"/>
        </w:rPr>
        <w:t>6</w:t>
      </w:r>
      <w:r w:rsidR="002517C2">
        <w:rPr>
          <w:rFonts w:ascii="Times New Roman" w:hAnsi="Times New Roman" w:cs="Times New Roman"/>
          <w:bCs/>
          <w:iCs/>
          <w:color w:val="000000" w:themeColor="text1"/>
          <w:sz w:val="24"/>
          <w:szCs w:val="24"/>
        </w:rPr>
        <w:t>).</w:t>
      </w:r>
    </w:p>
    <w:p w:rsidR="00764AD7" w:rsidRDefault="00764AD7" w:rsidP="008F471B">
      <w:pPr>
        <w:autoSpaceDE w:val="0"/>
        <w:autoSpaceDN w:val="0"/>
        <w:adjustRightInd w:val="0"/>
        <w:spacing w:after="0" w:line="240" w:lineRule="auto"/>
        <w:rPr>
          <w:rFonts w:ascii="Times New Roman" w:hAnsi="Times New Roman" w:cs="Times New Roman"/>
          <w:bCs/>
          <w:iCs/>
          <w:color w:val="000000" w:themeColor="text1"/>
          <w:sz w:val="24"/>
          <w:szCs w:val="24"/>
        </w:rPr>
      </w:pPr>
    </w:p>
    <w:p w:rsidR="004A4616" w:rsidRDefault="002517C2"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2517C2">
        <w:rPr>
          <w:rFonts w:ascii="Times New Roman" w:hAnsi="Times New Roman" w:cs="Times New Roman"/>
          <w:b/>
          <w:bCs/>
          <w:iCs/>
          <w:color w:val="000000" w:themeColor="text1"/>
          <w:sz w:val="24"/>
          <w:szCs w:val="24"/>
        </w:rPr>
        <w:t xml:space="preserve">Figure </w:t>
      </w:r>
      <w:r w:rsidR="003F1617">
        <w:rPr>
          <w:rFonts w:ascii="Times New Roman" w:hAnsi="Times New Roman" w:cs="Times New Roman"/>
          <w:b/>
          <w:bCs/>
          <w:iCs/>
          <w:color w:val="000000" w:themeColor="text1"/>
          <w:sz w:val="24"/>
          <w:szCs w:val="24"/>
        </w:rPr>
        <w:t>6</w:t>
      </w:r>
      <w:r w:rsidRPr="002517C2">
        <w:rPr>
          <w:rFonts w:ascii="Times New Roman" w:hAnsi="Times New Roman" w:cs="Times New Roman"/>
          <w:b/>
          <w:bCs/>
          <w:iCs/>
          <w:color w:val="000000" w:themeColor="text1"/>
          <w:sz w:val="24"/>
          <w:szCs w:val="24"/>
        </w:rPr>
        <w:t xml:space="preserve">: </w:t>
      </w:r>
      <w:r w:rsidR="00DD4473">
        <w:rPr>
          <w:rFonts w:ascii="Times New Roman" w:hAnsi="Times New Roman" w:cs="Times New Roman"/>
          <w:b/>
          <w:bCs/>
          <w:iCs/>
          <w:color w:val="000000" w:themeColor="text1"/>
          <w:sz w:val="24"/>
          <w:szCs w:val="24"/>
        </w:rPr>
        <w:t xml:space="preserve">Total and Average </w:t>
      </w:r>
      <w:r w:rsidRPr="002517C2">
        <w:rPr>
          <w:rFonts w:ascii="Times New Roman" w:hAnsi="Times New Roman" w:cs="Times New Roman"/>
          <w:b/>
          <w:bCs/>
          <w:iCs/>
          <w:color w:val="000000" w:themeColor="text1"/>
          <w:sz w:val="24"/>
          <w:szCs w:val="24"/>
        </w:rPr>
        <w:t xml:space="preserve">World </w:t>
      </w:r>
      <w:r>
        <w:rPr>
          <w:rFonts w:ascii="Times New Roman" w:hAnsi="Times New Roman" w:cs="Times New Roman"/>
          <w:b/>
          <w:bCs/>
          <w:iCs/>
          <w:color w:val="000000" w:themeColor="text1"/>
          <w:sz w:val="24"/>
          <w:szCs w:val="24"/>
        </w:rPr>
        <w:t>B</w:t>
      </w:r>
      <w:r w:rsidRPr="002517C2">
        <w:rPr>
          <w:rFonts w:ascii="Times New Roman" w:hAnsi="Times New Roman" w:cs="Times New Roman"/>
          <w:b/>
          <w:bCs/>
          <w:iCs/>
          <w:color w:val="000000" w:themeColor="text1"/>
          <w:sz w:val="24"/>
          <w:szCs w:val="24"/>
        </w:rPr>
        <w:t xml:space="preserve">ank </w:t>
      </w:r>
      <w:r>
        <w:rPr>
          <w:rFonts w:ascii="Times New Roman" w:hAnsi="Times New Roman" w:cs="Times New Roman"/>
          <w:b/>
          <w:bCs/>
          <w:iCs/>
          <w:color w:val="000000" w:themeColor="text1"/>
          <w:sz w:val="24"/>
          <w:szCs w:val="24"/>
        </w:rPr>
        <w:t>Commitment</w:t>
      </w:r>
      <w:r w:rsidRPr="002517C2">
        <w:rPr>
          <w:rFonts w:ascii="Times New Roman" w:hAnsi="Times New Roman" w:cs="Times New Roman"/>
          <w:b/>
          <w:bCs/>
          <w:iCs/>
          <w:color w:val="000000" w:themeColor="text1"/>
          <w:sz w:val="24"/>
          <w:szCs w:val="24"/>
        </w:rPr>
        <w:t xml:space="preserve"> in </w:t>
      </w:r>
      <w:r>
        <w:rPr>
          <w:rFonts w:ascii="Times New Roman" w:hAnsi="Times New Roman" w:cs="Times New Roman"/>
          <w:b/>
          <w:bCs/>
          <w:iCs/>
          <w:color w:val="000000" w:themeColor="text1"/>
          <w:sz w:val="24"/>
          <w:szCs w:val="24"/>
        </w:rPr>
        <w:t xml:space="preserve">Dedicated </w:t>
      </w:r>
      <w:r w:rsidRPr="002517C2">
        <w:rPr>
          <w:rFonts w:ascii="Times New Roman" w:hAnsi="Times New Roman" w:cs="Times New Roman"/>
          <w:b/>
          <w:bCs/>
          <w:iCs/>
          <w:color w:val="000000" w:themeColor="text1"/>
          <w:sz w:val="24"/>
          <w:szCs w:val="24"/>
        </w:rPr>
        <w:t>Flood Protection Projects by Region</w:t>
      </w:r>
    </w:p>
    <w:p w:rsidR="002517C2" w:rsidRDefault="0028134C" w:rsidP="00FF49A1">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noProof/>
          <w:color w:val="000000" w:themeColor="text1"/>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50165</wp:posOffset>
            </wp:positionV>
            <wp:extent cx="3133725" cy="2371725"/>
            <wp:effectExtent l="19050" t="0" r="9525" b="0"/>
            <wp:wrapTight wrapText="bothSides">
              <wp:wrapPolygon edited="0">
                <wp:start x="-131" y="0"/>
                <wp:lineTo x="-131" y="21513"/>
                <wp:lineTo x="21666" y="21513"/>
                <wp:lineTo x="21666" y="0"/>
                <wp:lineTo x="-131" y="0"/>
              </wp:wrapPolygon>
            </wp:wrapTight>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DD4473" w:rsidRPr="00DD4473">
        <w:rPr>
          <w:rFonts w:ascii="Times New Roman" w:hAnsi="Times New Roman" w:cs="Times New Roman"/>
          <w:bCs/>
          <w:iCs/>
          <w:noProof/>
          <w:color w:val="000000" w:themeColor="text1"/>
          <w:sz w:val="24"/>
          <w:szCs w:val="24"/>
        </w:rPr>
        <w:drawing>
          <wp:inline distT="0" distB="0" distL="0" distR="0">
            <wp:extent cx="2905125" cy="241935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4473" w:rsidRDefault="00DD4473" w:rsidP="00DD4473">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C54D44" w:rsidRDefault="006C06EC" w:rsidP="000E47BD">
      <w:pPr>
        <w:autoSpaceDE w:val="0"/>
        <w:autoSpaceDN w:val="0"/>
        <w:adjustRightInd w:val="0"/>
        <w:spacing w:after="0" w:line="240" w:lineRule="auto"/>
        <w:rPr>
          <w:rFonts w:ascii="Times New Roman" w:hAnsi="Times New Roman" w:cs="Times New Roman"/>
          <w:bCs/>
          <w:iCs/>
          <w:color w:val="000000" w:themeColor="text1"/>
          <w:sz w:val="24"/>
          <w:szCs w:val="24"/>
        </w:rPr>
      </w:pPr>
      <w:r w:rsidRPr="006C06EC">
        <w:rPr>
          <w:rFonts w:ascii="Times New Roman" w:hAnsi="Times New Roman" w:cs="Times New Roman"/>
          <w:bCs/>
          <w:iCs/>
          <w:color w:val="000000" w:themeColor="text1"/>
          <w:sz w:val="24"/>
          <w:szCs w:val="24"/>
        </w:rPr>
        <w:lastRenderedPageBreak/>
        <w:t xml:space="preserve">The region </w:t>
      </w:r>
      <w:r>
        <w:rPr>
          <w:rFonts w:ascii="Times New Roman" w:hAnsi="Times New Roman" w:cs="Times New Roman"/>
          <w:bCs/>
          <w:iCs/>
          <w:color w:val="000000" w:themeColor="text1"/>
          <w:sz w:val="24"/>
          <w:szCs w:val="24"/>
        </w:rPr>
        <w:t xml:space="preserve">with the </w:t>
      </w:r>
      <w:r w:rsidR="001C738D">
        <w:rPr>
          <w:rFonts w:ascii="Times New Roman" w:hAnsi="Times New Roman" w:cs="Times New Roman"/>
          <w:bCs/>
          <w:iCs/>
          <w:color w:val="000000" w:themeColor="text1"/>
          <w:sz w:val="24"/>
          <w:szCs w:val="24"/>
        </w:rPr>
        <w:t xml:space="preserve">largest number of </w:t>
      </w:r>
      <w:r>
        <w:rPr>
          <w:rFonts w:ascii="Times New Roman" w:hAnsi="Times New Roman" w:cs="Times New Roman"/>
          <w:bCs/>
          <w:iCs/>
          <w:color w:val="000000" w:themeColor="text1"/>
          <w:sz w:val="24"/>
          <w:szCs w:val="24"/>
        </w:rPr>
        <w:t xml:space="preserve">dedicated </w:t>
      </w:r>
      <w:r w:rsidR="001C738D">
        <w:rPr>
          <w:rFonts w:ascii="Times New Roman" w:hAnsi="Times New Roman" w:cs="Times New Roman"/>
          <w:bCs/>
          <w:iCs/>
          <w:color w:val="000000" w:themeColor="text1"/>
          <w:sz w:val="24"/>
          <w:szCs w:val="24"/>
        </w:rPr>
        <w:t xml:space="preserve">(and approved) </w:t>
      </w:r>
      <w:r>
        <w:rPr>
          <w:rFonts w:ascii="Times New Roman" w:hAnsi="Times New Roman" w:cs="Times New Roman"/>
          <w:bCs/>
          <w:iCs/>
          <w:color w:val="000000" w:themeColor="text1"/>
          <w:sz w:val="24"/>
          <w:szCs w:val="24"/>
        </w:rPr>
        <w:t xml:space="preserve">flood protection projects </w:t>
      </w:r>
      <w:r w:rsidR="001C738D">
        <w:rPr>
          <w:rFonts w:ascii="Times New Roman" w:hAnsi="Times New Roman" w:cs="Times New Roman"/>
          <w:bCs/>
          <w:iCs/>
          <w:color w:val="000000" w:themeColor="text1"/>
          <w:sz w:val="24"/>
          <w:szCs w:val="24"/>
        </w:rPr>
        <w:t>is</w:t>
      </w:r>
      <w:r>
        <w:rPr>
          <w:rFonts w:ascii="Times New Roman" w:hAnsi="Times New Roman" w:cs="Times New Roman"/>
          <w:bCs/>
          <w:iCs/>
          <w:color w:val="000000" w:themeColor="text1"/>
          <w:sz w:val="24"/>
          <w:szCs w:val="24"/>
        </w:rPr>
        <w:t xml:space="preserve"> Latin American and Caribbean (21), follow</w:t>
      </w:r>
      <w:r w:rsidR="001C738D">
        <w:rPr>
          <w:rFonts w:ascii="Times New Roman" w:hAnsi="Times New Roman" w:cs="Times New Roman"/>
          <w:bCs/>
          <w:iCs/>
          <w:color w:val="000000" w:themeColor="text1"/>
          <w:sz w:val="24"/>
          <w:szCs w:val="24"/>
        </w:rPr>
        <w:t>-up by East Asian and Pacific (15) and Africa (14)</w:t>
      </w:r>
      <w:r w:rsidR="002A22A6">
        <w:rPr>
          <w:rFonts w:ascii="Times New Roman" w:hAnsi="Times New Roman" w:cs="Times New Roman"/>
          <w:bCs/>
          <w:iCs/>
          <w:color w:val="000000" w:themeColor="text1"/>
          <w:sz w:val="24"/>
          <w:szCs w:val="24"/>
        </w:rPr>
        <w:t xml:space="preserve"> (Figure 7)</w:t>
      </w:r>
      <w:r w:rsidR="001C738D">
        <w:rPr>
          <w:rFonts w:ascii="Times New Roman" w:hAnsi="Times New Roman" w:cs="Times New Roman"/>
          <w:bCs/>
          <w:iCs/>
          <w:color w:val="000000" w:themeColor="text1"/>
          <w:sz w:val="24"/>
          <w:szCs w:val="24"/>
        </w:rPr>
        <w:t xml:space="preserve">. </w:t>
      </w:r>
      <w:r w:rsidR="00C54D44">
        <w:rPr>
          <w:rFonts w:ascii="Times New Roman" w:hAnsi="Times New Roman" w:cs="Times New Roman"/>
          <w:bCs/>
          <w:iCs/>
          <w:color w:val="000000" w:themeColor="text1"/>
          <w:sz w:val="24"/>
          <w:szCs w:val="24"/>
        </w:rPr>
        <w:t xml:space="preserve">China has the </w:t>
      </w:r>
      <w:r w:rsidR="002A22A6">
        <w:rPr>
          <w:rFonts w:ascii="Times New Roman" w:hAnsi="Times New Roman" w:cs="Times New Roman"/>
          <w:bCs/>
          <w:iCs/>
          <w:color w:val="000000" w:themeColor="text1"/>
          <w:sz w:val="24"/>
          <w:szCs w:val="24"/>
        </w:rPr>
        <w:t xml:space="preserve">largest </w:t>
      </w:r>
      <w:r w:rsidR="00C54D44">
        <w:rPr>
          <w:rFonts w:ascii="Times New Roman" w:hAnsi="Times New Roman" w:cs="Times New Roman"/>
          <w:bCs/>
          <w:iCs/>
          <w:color w:val="000000" w:themeColor="text1"/>
          <w:sz w:val="24"/>
          <w:szCs w:val="24"/>
        </w:rPr>
        <w:t>number of dedicated projects (7</w:t>
      </w:r>
      <w:r w:rsidR="002A22A6">
        <w:rPr>
          <w:rFonts w:ascii="Times New Roman" w:hAnsi="Times New Roman" w:cs="Times New Roman"/>
          <w:bCs/>
          <w:iCs/>
          <w:color w:val="000000" w:themeColor="text1"/>
          <w:sz w:val="24"/>
          <w:szCs w:val="24"/>
        </w:rPr>
        <w:t>)</w:t>
      </w:r>
      <w:r w:rsidR="00C54D44">
        <w:rPr>
          <w:rFonts w:ascii="Times New Roman" w:hAnsi="Times New Roman" w:cs="Times New Roman"/>
          <w:bCs/>
          <w:iCs/>
          <w:color w:val="000000" w:themeColor="text1"/>
          <w:sz w:val="24"/>
          <w:szCs w:val="24"/>
        </w:rPr>
        <w:t xml:space="preserve">. Twenty-three </w:t>
      </w:r>
      <w:r w:rsidR="000C7E2F">
        <w:rPr>
          <w:rFonts w:ascii="Times New Roman" w:hAnsi="Times New Roman" w:cs="Times New Roman"/>
          <w:bCs/>
          <w:iCs/>
          <w:color w:val="000000" w:themeColor="text1"/>
          <w:sz w:val="24"/>
          <w:szCs w:val="24"/>
        </w:rPr>
        <w:t xml:space="preserve">dedicated </w:t>
      </w:r>
      <w:r w:rsidR="00C54D44">
        <w:rPr>
          <w:rFonts w:ascii="Times New Roman" w:hAnsi="Times New Roman" w:cs="Times New Roman"/>
          <w:bCs/>
          <w:iCs/>
          <w:color w:val="000000" w:themeColor="text1"/>
          <w:sz w:val="24"/>
          <w:szCs w:val="24"/>
        </w:rPr>
        <w:t>projects in China (7), Bangladesh (6), Argentina (4), Poland (1), India (3) and Iran (2) account for more than three-quarters of the World Bank commitments for flood protection</w:t>
      </w:r>
      <w:r w:rsidR="00FD4FD3">
        <w:rPr>
          <w:rFonts w:ascii="Times New Roman" w:hAnsi="Times New Roman" w:cs="Times New Roman"/>
          <w:bCs/>
          <w:iCs/>
          <w:color w:val="000000" w:themeColor="text1"/>
          <w:sz w:val="24"/>
          <w:szCs w:val="24"/>
        </w:rPr>
        <w:t xml:space="preserve"> (Table 1)</w:t>
      </w:r>
      <w:r w:rsidR="00C54D44">
        <w:rPr>
          <w:rFonts w:ascii="Times New Roman" w:hAnsi="Times New Roman" w:cs="Times New Roman"/>
          <w:bCs/>
          <w:iCs/>
          <w:color w:val="000000" w:themeColor="text1"/>
          <w:sz w:val="24"/>
          <w:szCs w:val="24"/>
        </w:rPr>
        <w:t xml:space="preserve">. </w:t>
      </w:r>
    </w:p>
    <w:p w:rsidR="00FD4FD3" w:rsidRDefault="00FD4FD3" w:rsidP="000E47BD">
      <w:pPr>
        <w:spacing w:after="0" w:line="240" w:lineRule="auto"/>
        <w:rPr>
          <w:rFonts w:ascii="Times New Roman" w:hAnsi="Times New Roman" w:cs="Times New Roman"/>
          <w:bCs/>
          <w:iCs/>
          <w:color w:val="000000" w:themeColor="text1"/>
          <w:sz w:val="24"/>
          <w:szCs w:val="24"/>
        </w:rPr>
      </w:pPr>
    </w:p>
    <w:p w:rsidR="00FD4FD3" w:rsidRPr="00FF49A1" w:rsidRDefault="00FD4FD3" w:rsidP="000E47BD">
      <w:pPr>
        <w:spacing w:after="0" w:line="240" w:lineRule="auto"/>
        <w:rPr>
          <w:rFonts w:ascii="Times New Roman" w:hAnsi="Times New Roman" w:cs="Times New Roman"/>
          <w:bCs/>
          <w:iCs/>
          <w:color w:val="000000" w:themeColor="text1"/>
          <w:sz w:val="24"/>
          <w:szCs w:val="24"/>
        </w:rPr>
      </w:pPr>
      <w:r w:rsidRPr="00FF49A1">
        <w:rPr>
          <w:rFonts w:ascii="Times New Roman" w:hAnsi="Times New Roman" w:cs="Times New Roman"/>
          <w:bCs/>
          <w:iCs/>
          <w:color w:val="000000" w:themeColor="text1"/>
          <w:sz w:val="24"/>
          <w:szCs w:val="24"/>
        </w:rPr>
        <w:t>The dedicated flood protection projects approved between FY87 and end-calendar year 2011 are spread over 6 Sector Boards.  The Urban Sector Board oversees more dedicated flood protection projects (38</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than any other sector board, which represents 16</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xml:space="preserve"> of the volume of commitments.  It is followed by the Agriculture and Rural Development Sector Board, which oversees 25</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xml:space="preserve"> of the projects and 40</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xml:space="preserve"> of the commitments, and the Water Sector Board, which oversees 21</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xml:space="preserve"> of the projects and 41</w:t>
      </w:r>
      <w:r w:rsidR="000E47BD">
        <w:rPr>
          <w:rFonts w:ascii="Times New Roman" w:hAnsi="Times New Roman" w:cs="Times New Roman"/>
          <w:bCs/>
          <w:iCs/>
          <w:color w:val="000000" w:themeColor="text1"/>
          <w:sz w:val="24"/>
          <w:szCs w:val="24"/>
        </w:rPr>
        <w:t xml:space="preserve"> percent</w:t>
      </w:r>
      <w:r w:rsidRPr="00FF49A1">
        <w:rPr>
          <w:rFonts w:ascii="Times New Roman" w:hAnsi="Times New Roman" w:cs="Times New Roman"/>
          <w:bCs/>
          <w:iCs/>
          <w:color w:val="000000" w:themeColor="text1"/>
          <w:sz w:val="24"/>
          <w:szCs w:val="24"/>
        </w:rPr>
        <w:t xml:space="preserve"> of the commitments</w:t>
      </w:r>
      <w:r>
        <w:rPr>
          <w:rFonts w:ascii="Times New Roman" w:hAnsi="Times New Roman" w:cs="Times New Roman"/>
          <w:bCs/>
          <w:iCs/>
          <w:color w:val="000000" w:themeColor="text1"/>
          <w:sz w:val="24"/>
          <w:szCs w:val="24"/>
        </w:rPr>
        <w:t xml:space="preserve"> (Figure</w:t>
      </w:r>
      <w:r w:rsidR="003F1617">
        <w:rPr>
          <w:rFonts w:ascii="Times New Roman" w:hAnsi="Times New Roman" w:cs="Times New Roman"/>
          <w:bCs/>
          <w:iCs/>
          <w:color w:val="000000" w:themeColor="text1"/>
          <w:sz w:val="24"/>
          <w:szCs w:val="24"/>
        </w:rPr>
        <w:t>s</w:t>
      </w:r>
      <w:r>
        <w:rPr>
          <w:rFonts w:ascii="Times New Roman" w:hAnsi="Times New Roman" w:cs="Times New Roman"/>
          <w:bCs/>
          <w:iCs/>
          <w:color w:val="000000" w:themeColor="text1"/>
          <w:sz w:val="24"/>
          <w:szCs w:val="24"/>
        </w:rPr>
        <w:t xml:space="preserve"> </w:t>
      </w:r>
      <w:r w:rsidR="003F1617">
        <w:rPr>
          <w:rFonts w:ascii="Times New Roman" w:hAnsi="Times New Roman" w:cs="Times New Roman"/>
          <w:bCs/>
          <w:iCs/>
          <w:color w:val="000000" w:themeColor="text1"/>
          <w:sz w:val="24"/>
          <w:szCs w:val="24"/>
        </w:rPr>
        <w:t>8 and 9</w:t>
      </w:r>
      <w:r>
        <w:rPr>
          <w:rFonts w:ascii="Times New Roman" w:hAnsi="Times New Roman" w:cs="Times New Roman"/>
          <w:bCs/>
          <w:iCs/>
          <w:color w:val="000000" w:themeColor="text1"/>
          <w:sz w:val="24"/>
          <w:szCs w:val="24"/>
        </w:rPr>
        <w:t>)</w:t>
      </w:r>
      <w:r w:rsidRPr="00FF49A1">
        <w:rPr>
          <w:rFonts w:ascii="Times New Roman" w:hAnsi="Times New Roman" w:cs="Times New Roman"/>
          <w:bCs/>
          <w:iCs/>
          <w:color w:val="000000" w:themeColor="text1"/>
          <w:sz w:val="24"/>
          <w:szCs w:val="24"/>
        </w:rPr>
        <w:t xml:space="preserve">. </w:t>
      </w:r>
    </w:p>
    <w:p w:rsidR="006C06EC" w:rsidRPr="001C738D" w:rsidRDefault="001C738D"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1C738D">
        <w:rPr>
          <w:rFonts w:ascii="Times New Roman" w:hAnsi="Times New Roman" w:cs="Times New Roman"/>
          <w:b/>
          <w:bCs/>
          <w:iCs/>
          <w:color w:val="000000" w:themeColor="text1"/>
          <w:sz w:val="24"/>
          <w:szCs w:val="24"/>
        </w:rPr>
        <w:t xml:space="preserve">Figure </w:t>
      </w:r>
      <w:r w:rsidR="003F1617">
        <w:rPr>
          <w:rFonts w:ascii="Times New Roman" w:hAnsi="Times New Roman" w:cs="Times New Roman"/>
          <w:b/>
          <w:bCs/>
          <w:iCs/>
          <w:color w:val="000000" w:themeColor="text1"/>
          <w:sz w:val="24"/>
          <w:szCs w:val="24"/>
        </w:rPr>
        <w:t>7</w:t>
      </w:r>
      <w:r w:rsidRPr="001C738D">
        <w:rPr>
          <w:rFonts w:ascii="Times New Roman" w:hAnsi="Times New Roman" w:cs="Times New Roman"/>
          <w:b/>
          <w:bCs/>
          <w:iCs/>
          <w:color w:val="000000" w:themeColor="text1"/>
          <w:sz w:val="24"/>
          <w:szCs w:val="24"/>
        </w:rPr>
        <w:t>: Number of Dedicated Flood Protection Projects by Region</w:t>
      </w:r>
    </w:p>
    <w:p w:rsidR="001C738D" w:rsidRDefault="001C738D" w:rsidP="001C738D">
      <w:pPr>
        <w:autoSpaceDE w:val="0"/>
        <w:autoSpaceDN w:val="0"/>
        <w:adjustRightInd w:val="0"/>
        <w:spacing w:after="0" w:line="240" w:lineRule="auto"/>
        <w:jc w:val="center"/>
        <w:rPr>
          <w:rFonts w:ascii="Times New Roman" w:hAnsi="Times New Roman" w:cs="Times New Roman"/>
          <w:bCs/>
          <w:iCs/>
          <w:color w:val="000000" w:themeColor="text1"/>
          <w:sz w:val="24"/>
          <w:szCs w:val="24"/>
        </w:rPr>
      </w:pPr>
      <w:r w:rsidRPr="001C738D">
        <w:rPr>
          <w:rFonts w:ascii="Times New Roman" w:hAnsi="Times New Roman" w:cs="Times New Roman"/>
          <w:bCs/>
          <w:iCs/>
          <w:noProof/>
          <w:color w:val="000000" w:themeColor="text1"/>
          <w:sz w:val="24"/>
          <w:szCs w:val="24"/>
        </w:rPr>
        <w:drawing>
          <wp:inline distT="0" distB="0" distL="0" distR="0">
            <wp:extent cx="4191000" cy="222885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E3E" w:rsidRDefault="00452E3E" w:rsidP="00452E3E">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4D29D0" w:rsidRDefault="004D29D0" w:rsidP="001C738D">
      <w:pPr>
        <w:autoSpaceDE w:val="0"/>
        <w:autoSpaceDN w:val="0"/>
        <w:adjustRightInd w:val="0"/>
        <w:spacing w:after="0" w:line="240" w:lineRule="auto"/>
        <w:jc w:val="center"/>
        <w:rPr>
          <w:rFonts w:ascii="Times New Roman" w:hAnsi="Times New Roman" w:cs="Times New Roman"/>
          <w:bCs/>
          <w:iCs/>
          <w:color w:val="000000" w:themeColor="text1"/>
          <w:sz w:val="24"/>
          <w:szCs w:val="24"/>
        </w:rPr>
      </w:pPr>
    </w:p>
    <w:p w:rsidR="0052639D" w:rsidRPr="001C738D" w:rsidRDefault="00E56121"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Pr>
          <w:rFonts w:ascii="Times New Roman" w:hAnsi="Times New Roman" w:cs="Times New Roman"/>
          <w:b/>
          <w:bCs/>
          <w:iCs/>
          <w:noProof/>
          <w:color w:val="000000" w:themeColor="text1"/>
          <w:sz w:val="24"/>
          <w:szCs w:val="24"/>
        </w:rPr>
        <w:drawing>
          <wp:anchor distT="0" distB="0" distL="114300" distR="114300" simplePos="0" relativeHeight="251659264" behindDoc="1" locked="0" layoutInCell="1" allowOverlap="1">
            <wp:simplePos x="0" y="0"/>
            <wp:positionH relativeFrom="column">
              <wp:posOffset>590550</wp:posOffset>
            </wp:positionH>
            <wp:positionV relativeFrom="paragraph">
              <wp:posOffset>262890</wp:posOffset>
            </wp:positionV>
            <wp:extent cx="4629150" cy="2219325"/>
            <wp:effectExtent l="19050" t="0" r="19050" b="0"/>
            <wp:wrapTight wrapText="bothSides">
              <wp:wrapPolygon edited="0">
                <wp:start x="-89" y="0"/>
                <wp:lineTo x="-89" y="21507"/>
                <wp:lineTo x="21689" y="21507"/>
                <wp:lineTo x="21689" y="0"/>
                <wp:lineTo x="-89" y="0"/>
              </wp:wrapPolygon>
            </wp:wrapTight>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2639D">
        <w:rPr>
          <w:rFonts w:ascii="Times New Roman" w:hAnsi="Times New Roman" w:cs="Times New Roman"/>
          <w:b/>
          <w:bCs/>
          <w:iCs/>
          <w:color w:val="000000" w:themeColor="text1"/>
          <w:sz w:val="24"/>
          <w:szCs w:val="24"/>
        </w:rPr>
        <w:t xml:space="preserve">Figure </w:t>
      </w:r>
      <w:r w:rsidR="003F1617">
        <w:rPr>
          <w:rFonts w:ascii="Times New Roman" w:hAnsi="Times New Roman" w:cs="Times New Roman"/>
          <w:b/>
          <w:bCs/>
          <w:iCs/>
          <w:color w:val="000000" w:themeColor="text1"/>
          <w:sz w:val="24"/>
          <w:szCs w:val="24"/>
        </w:rPr>
        <w:t>8</w:t>
      </w:r>
      <w:r w:rsidR="0052639D" w:rsidRPr="001C738D">
        <w:rPr>
          <w:rFonts w:ascii="Times New Roman" w:hAnsi="Times New Roman" w:cs="Times New Roman"/>
          <w:b/>
          <w:bCs/>
          <w:iCs/>
          <w:color w:val="000000" w:themeColor="text1"/>
          <w:sz w:val="24"/>
          <w:szCs w:val="24"/>
        </w:rPr>
        <w:t xml:space="preserve">: Number </w:t>
      </w:r>
      <w:r w:rsidR="00FD4FD3">
        <w:rPr>
          <w:rFonts w:ascii="Times New Roman" w:hAnsi="Times New Roman" w:cs="Times New Roman"/>
          <w:b/>
          <w:bCs/>
          <w:iCs/>
          <w:color w:val="000000" w:themeColor="text1"/>
          <w:sz w:val="24"/>
          <w:szCs w:val="24"/>
        </w:rPr>
        <w:t xml:space="preserve">of </w:t>
      </w:r>
      <w:r w:rsidR="0052639D" w:rsidRPr="001C738D">
        <w:rPr>
          <w:rFonts w:ascii="Times New Roman" w:hAnsi="Times New Roman" w:cs="Times New Roman"/>
          <w:b/>
          <w:bCs/>
          <w:iCs/>
          <w:color w:val="000000" w:themeColor="text1"/>
          <w:sz w:val="24"/>
          <w:szCs w:val="24"/>
        </w:rPr>
        <w:t>Dedicated Flo</w:t>
      </w:r>
      <w:r w:rsidR="00FD4FD3">
        <w:rPr>
          <w:rFonts w:ascii="Times New Roman" w:hAnsi="Times New Roman" w:cs="Times New Roman"/>
          <w:b/>
          <w:bCs/>
          <w:iCs/>
          <w:color w:val="000000" w:themeColor="text1"/>
          <w:sz w:val="24"/>
          <w:szCs w:val="24"/>
        </w:rPr>
        <w:t>od Protection Projects by Sector Board</w:t>
      </w: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3F1617" w:rsidRDefault="003F1617"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E56121" w:rsidRDefault="00E56121" w:rsidP="00E56121">
      <w:pPr>
        <w:autoSpaceDE w:val="0"/>
        <w:autoSpaceDN w:val="0"/>
        <w:adjustRightInd w:val="0"/>
        <w:spacing w:after="0" w:line="240" w:lineRule="auto"/>
        <w:rPr>
          <w:rFonts w:ascii="Times New Roman" w:hAnsi="Times New Roman" w:cs="Times New Roman"/>
          <w:b/>
          <w:bCs/>
          <w:iCs/>
          <w:color w:val="000000" w:themeColor="text1"/>
          <w:sz w:val="20"/>
          <w:szCs w:val="20"/>
        </w:rPr>
      </w:pPr>
    </w:p>
    <w:p w:rsidR="00E56121" w:rsidRDefault="00E56121" w:rsidP="00E56121">
      <w:pPr>
        <w:autoSpaceDE w:val="0"/>
        <w:autoSpaceDN w:val="0"/>
        <w:adjustRightInd w:val="0"/>
        <w:spacing w:after="0" w:line="240" w:lineRule="auto"/>
        <w:rPr>
          <w:rFonts w:ascii="Times New Roman" w:hAnsi="Times New Roman" w:cs="Times New Roman"/>
          <w:b/>
          <w:bCs/>
          <w:iCs/>
          <w:color w:val="000000" w:themeColor="text1"/>
          <w:sz w:val="20"/>
          <w:szCs w:val="20"/>
        </w:rPr>
      </w:pPr>
    </w:p>
    <w:p w:rsidR="0028134C" w:rsidRDefault="0028134C" w:rsidP="00E56121">
      <w:pPr>
        <w:autoSpaceDE w:val="0"/>
        <w:autoSpaceDN w:val="0"/>
        <w:adjustRightInd w:val="0"/>
        <w:spacing w:after="0" w:line="240" w:lineRule="auto"/>
        <w:rPr>
          <w:rFonts w:ascii="Times New Roman" w:hAnsi="Times New Roman" w:cs="Times New Roman"/>
          <w:b/>
          <w:bCs/>
          <w:iCs/>
          <w:color w:val="000000" w:themeColor="text1"/>
          <w:sz w:val="20"/>
          <w:szCs w:val="20"/>
        </w:rPr>
      </w:pPr>
    </w:p>
    <w:p w:rsidR="00E56121" w:rsidRDefault="00E56121" w:rsidP="00E56121">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FF49A1" w:rsidRDefault="008A78F2"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Pr>
          <w:rFonts w:ascii="Times New Roman" w:hAnsi="Times New Roman" w:cs="Times New Roman"/>
          <w:b/>
          <w:bCs/>
          <w:iCs/>
          <w:noProof/>
          <w:color w:val="000000" w:themeColor="text1"/>
          <w:sz w:val="24"/>
          <w:szCs w:val="24"/>
        </w:rPr>
        <w:lastRenderedPageBreak/>
        <w:drawing>
          <wp:anchor distT="0" distB="0" distL="114300" distR="114300" simplePos="0" relativeHeight="251662336" behindDoc="0" locked="0" layoutInCell="1" allowOverlap="1">
            <wp:simplePos x="0" y="0"/>
            <wp:positionH relativeFrom="column">
              <wp:posOffset>590550</wp:posOffset>
            </wp:positionH>
            <wp:positionV relativeFrom="paragraph">
              <wp:posOffset>342900</wp:posOffset>
            </wp:positionV>
            <wp:extent cx="4962525" cy="2543175"/>
            <wp:effectExtent l="19050" t="0" r="9525" b="0"/>
            <wp:wrapTopAndBottom/>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b/>
          <w:bCs/>
          <w:iCs/>
          <w:color w:val="000000" w:themeColor="text1"/>
          <w:sz w:val="24"/>
          <w:szCs w:val="24"/>
        </w:rPr>
        <w:t xml:space="preserve">Figure </w:t>
      </w:r>
      <w:r w:rsidR="008146E4">
        <w:rPr>
          <w:rFonts w:ascii="Times New Roman" w:hAnsi="Times New Roman" w:cs="Times New Roman"/>
          <w:b/>
          <w:bCs/>
          <w:iCs/>
          <w:color w:val="000000" w:themeColor="text1"/>
          <w:sz w:val="24"/>
          <w:szCs w:val="24"/>
        </w:rPr>
        <w:t>9</w:t>
      </w:r>
      <w:r w:rsidRPr="001C738D">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t xml:space="preserve">Volume of Commitment </w:t>
      </w:r>
      <w:r w:rsidRPr="001C738D">
        <w:rPr>
          <w:rFonts w:ascii="Times New Roman" w:hAnsi="Times New Roman" w:cs="Times New Roman"/>
          <w:b/>
          <w:bCs/>
          <w:iCs/>
          <w:color w:val="000000" w:themeColor="text1"/>
          <w:sz w:val="24"/>
          <w:szCs w:val="24"/>
        </w:rPr>
        <w:t>Dedicated Flo</w:t>
      </w:r>
      <w:r>
        <w:rPr>
          <w:rFonts w:ascii="Times New Roman" w:hAnsi="Times New Roman" w:cs="Times New Roman"/>
          <w:b/>
          <w:bCs/>
          <w:iCs/>
          <w:color w:val="000000" w:themeColor="text1"/>
          <w:sz w:val="24"/>
          <w:szCs w:val="24"/>
        </w:rPr>
        <w:t>od Protection Projects by Sector Board</w:t>
      </w:r>
      <w:r>
        <w:rPr>
          <w:rFonts w:ascii="Times New Roman" w:hAnsi="Times New Roman" w:cs="Times New Roman"/>
          <w:b/>
          <w:bCs/>
          <w:iCs/>
          <w:noProof/>
          <w:color w:val="000000" w:themeColor="text1"/>
          <w:sz w:val="24"/>
          <w:szCs w:val="24"/>
        </w:rPr>
        <w:t xml:space="preserve"> </w:t>
      </w:r>
    </w:p>
    <w:p w:rsidR="00452E3E" w:rsidRDefault="00452E3E" w:rsidP="00452E3E">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FF49A1" w:rsidRDefault="00FF49A1"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p>
    <w:p w:rsidR="0002657C" w:rsidRPr="008C5722" w:rsidRDefault="0002657C" w:rsidP="0002657C">
      <w:pPr>
        <w:autoSpaceDE w:val="0"/>
        <w:autoSpaceDN w:val="0"/>
        <w:adjustRightInd w:val="0"/>
        <w:spacing w:after="0" w:line="240" w:lineRule="auto"/>
        <w:rPr>
          <w:rFonts w:ascii="Times New Roman" w:hAnsi="Times New Roman" w:cs="Times New Roman"/>
          <w:b/>
          <w:bCs/>
          <w:iCs/>
          <w:color w:val="000000" w:themeColor="text1"/>
          <w:sz w:val="24"/>
          <w:szCs w:val="24"/>
        </w:rPr>
      </w:pPr>
      <w:r w:rsidRPr="008C5722">
        <w:rPr>
          <w:rFonts w:ascii="Times New Roman" w:hAnsi="Times New Roman" w:cs="Times New Roman"/>
          <w:b/>
          <w:bCs/>
          <w:iCs/>
          <w:color w:val="000000" w:themeColor="text1"/>
          <w:sz w:val="24"/>
          <w:szCs w:val="24"/>
        </w:rPr>
        <w:t>The Flood Protection Pipeline</w:t>
      </w:r>
    </w:p>
    <w:p w:rsidR="0002657C" w:rsidRDefault="0002657C" w:rsidP="0002657C">
      <w:pPr>
        <w:autoSpaceDE w:val="0"/>
        <w:autoSpaceDN w:val="0"/>
        <w:adjustRightInd w:val="0"/>
        <w:spacing w:after="0" w:line="240" w:lineRule="auto"/>
        <w:rPr>
          <w:rFonts w:ascii="Times New Roman" w:hAnsi="Times New Roman" w:cs="Times New Roman"/>
          <w:bCs/>
          <w:iCs/>
          <w:color w:val="000000" w:themeColor="text1"/>
          <w:sz w:val="24"/>
          <w:szCs w:val="24"/>
        </w:rPr>
      </w:pPr>
    </w:p>
    <w:p w:rsidR="0002657C" w:rsidRDefault="0002657C" w:rsidP="0002657C">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FY12-13 pipeline includes 33 projects with at least one activity related to flood protection, with a total </w:t>
      </w:r>
      <w:r w:rsidR="00EE41E9">
        <w:rPr>
          <w:rFonts w:ascii="Times New Roman" w:hAnsi="Times New Roman" w:cs="Times New Roman"/>
          <w:bCs/>
          <w:iCs/>
          <w:color w:val="000000" w:themeColor="text1"/>
          <w:sz w:val="24"/>
          <w:szCs w:val="24"/>
        </w:rPr>
        <w:t xml:space="preserve">expected </w:t>
      </w:r>
      <w:r>
        <w:rPr>
          <w:rFonts w:ascii="Times New Roman" w:hAnsi="Times New Roman" w:cs="Times New Roman"/>
          <w:bCs/>
          <w:iCs/>
          <w:color w:val="000000" w:themeColor="text1"/>
          <w:sz w:val="24"/>
          <w:szCs w:val="24"/>
        </w:rPr>
        <w:t>funding of US$1.8 billion. About 50</w:t>
      </w:r>
      <w:r w:rsidR="000E47BD">
        <w:rPr>
          <w:rFonts w:ascii="Times New Roman" w:hAnsi="Times New Roman" w:cs="Times New Roman"/>
          <w:bCs/>
          <w:iCs/>
          <w:color w:val="000000" w:themeColor="text1"/>
          <w:sz w:val="24"/>
          <w:szCs w:val="24"/>
        </w:rPr>
        <w:t xml:space="preserve"> percent</w:t>
      </w:r>
      <w:r>
        <w:rPr>
          <w:rFonts w:ascii="Times New Roman" w:hAnsi="Times New Roman" w:cs="Times New Roman"/>
          <w:bCs/>
          <w:iCs/>
          <w:color w:val="000000" w:themeColor="text1"/>
          <w:sz w:val="24"/>
          <w:szCs w:val="24"/>
        </w:rPr>
        <w:t xml:space="preserve"> </w:t>
      </w:r>
      <w:r w:rsidR="00EE41E9">
        <w:rPr>
          <w:rFonts w:ascii="Times New Roman" w:hAnsi="Times New Roman" w:cs="Times New Roman"/>
          <w:bCs/>
          <w:iCs/>
          <w:color w:val="000000" w:themeColor="text1"/>
          <w:sz w:val="24"/>
          <w:szCs w:val="24"/>
        </w:rPr>
        <w:t xml:space="preserve">or US$0.88 billion </w:t>
      </w:r>
      <w:r>
        <w:rPr>
          <w:rFonts w:ascii="Times New Roman" w:hAnsi="Times New Roman" w:cs="Times New Roman"/>
          <w:bCs/>
          <w:iCs/>
          <w:color w:val="000000" w:themeColor="text1"/>
          <w:sz w:val="24"/>
          <w:szCs w:val="24"/>
        </w:rPr>
        <w:t>of World Bank commitments are expected to finance flood protection activities</w:t>
      </w:r>
      <w:r w:rsidR="005E7037">
        <w:rPr>
          <w:rFonts w:ascii="Times New Roman" w:hAnsi="Times New Roman" w:cs="Times New Roman"/>
          <w:bCs/>
          <w:iCs/>
          <w:color w:val="000000" w:themeColor="text1"/>
          <w:sz w:val="24"/>
          <w:szCs w:val="24"/>
        </w:rPr>
        <w:t xml:space="preserve">. </w:t>
      </w:r>
      <w:r w:rsidR="00EA48BA">
        <w:rPr>
          <w:rFonts w:ascii="Times New Roman" w:hAnsi="Times New Roman" w:cs="Times New Roman"/>
          <w:bCs/>
          <w:iCs/>
          <w:color w:val="000000" w:themeColor="text1"/>
          <w:sz w:val="24"/>
          <w:szCs w:val="24"/>
        </w:rPr>
        <w:t xml:space="preserve">Although number of projects and commitments for flood protection for FY12-13 are expected to be lower than those for FY11, lending prospects in flood protection are showing a substantial increase over the period </w:t>
      </w:r>
      <w:r w:rsidR="00547A71">
        <w:rPr>
          <w:rFonts w:ascii="Times New Roman" w:hAnsi="Times New Roman" w:cs="Times New Roman"/>
          <w:bCs/>
          <w:iCs/>
          <w:color w:val="000000" w:themeColor="text1"/>
          <w:sz w:val="24"/>
          <w:szCs w:val="24"/>
        </w:rPr>
        <w:t xml:space="preserve">FY08-10 (Figure </w:t>
      </w:r>
      <w:r w:rsidR="008146E4">
        <w:rPr>
          <w:rFonts w:ascii="Times New Roman" w:hAnsi="Times New Roman" w:cs="Times New Roman"/>
          <w:bCs/>
          <w:iCs/>
          <w:color w:val="000000" w:themeColor="text1"/>
          <w:sz w:val="24"/>
          <w:szCs w:val="24"/>
        </w:rPr>
        <w:t>10</w:t>
      </w:r>
      <w:r w:rsidR="00547A71">
        <w:rPr>
          <w:rFonts w:ascii="Times New Roman" w:hAnsi="Times New Roman" w:cs="Times New Roman"/>
          <w:bCs/>
          <w:iCs/>
          <w:color w:val="000000" w:themeColor="text1"/>
          <w:sz w:val="24"/>
          <w:szCs w:val="24"/>
        </w:rPr>
        <w:t xml:space="preserve">). </w:t>
      </w:r>
    </w:p>
    <w:p w:rsidR="00547A71" w:rsidRDefault="00547A71" w:rsidP="0028134C">
      <w:pPr>
        <w:autoSpaceDE w:val="0"/>
        <w:autoSpaceDN w:val="0"/>
        <w:adjustRightInd w:val="0"/>
        <w:spacing w:after="120" w:line="240" w:lineRule="auto"/>
        <w:jc w:val="center"/>
        <w:rPr>
          <w:rFonts w:ascii="Times New Roman" w:hAnsi="Times New Roman" w:cs="Times New Roman"/>
          <w:b/>
          <w:bCs/>
          <w:iCs/>
          <w:color w:val="000000" w:themeColor="text1"/>
          <w:sz w:val="24"/>
          <w:szCs w:val="24"/>
        </w:rPr>
      </w:pPr>
      <w:r w:rsidRPr="00E818B2">
        <w:rPr>
          <w:rFonts w:ascii="Times New Roman" w:hAnsi="Times New Roman" w:cs="Times New Roman"/>
          <w:b/>
          <w:bCs/>
          <w:iCs/>
          <w:color w:val="000000" w:themeColor="text1"/>
          <w:sz w:val="24"/>
          <w:szCs w:val="24"/>
        </w:rPr>
        <w:t xml:space="preserve">Figure </w:t>
      </w:r>
      <w:r w:rsidR="00D979F9">
        <w:rPr>
          <w:rFonts w:ascii="Times New Roman" w:hAnsi="Times New Roman" w:cs="Times New Roman"/>
          <w:b/>
          <w:bCs/>
          <w:iCs/>
          <w:color w:val="000000" w:themeColor="text1"/>
          <w:sz w:val="24"/>
          <w:szCs w:val="24"/>
        </w:rPr>
        <w:t>10</w:t>
      </w:r>
      <w:r w:rsidRPr="00E818B2">
        <w:rPr>
          <w:rFonts w:ascii="Times New Roman" w:hAnsi="Times New Roman" w:cs="Times New Roman"/>
          <w:b/>
          <w:bCs/>
          <w:iCs/>
          <w:color w:val="000000" w:themeColor="text1"/>
          <w:sz w:val="24"/>
          <w:szCs w:val="24"/>
        </w:rPr>
        <w:t>: Flood Protection Projects by Fiscal Year</w:t>
      </w:r>
    </w:p>
    <w:p w:rsidR="00EA48BA" w:rsidRDefault="00EA48BA" w:rsidP="003C7C57">
      <w:pPr>
        <w:autoSpaceDE w:val="0"/>
        <w:autoSpaceDN w:val="0"/>
        <w:adjustRightInd w:val="0"/>
        <w:spacing w:after="0" w:line="240" w:lineRule="auto"/>
        <w:rPr>
          <w:rFonts w:ascii="Times New Roman" w:hAnsi="Times New Roman" w:cs="Times New Roman"/>
          <w:bCs/>
          <w:iCs/>
          <w:color w:val="000000" w:themeColor="text1"/>
          <w:sz w:val="24"/>
          <w:szCs w:val="24"/>
        </w:rPr>
      </w:pPr>
      <w:r w:rsidRPr="00EA48BA">
        <w:rPr>
          <w:rFonts w:ascii="Times New Roman" w:hAnsi="Times New Roman" w:cs="Times New Roman"/>
          <w:bCs/>
          <w:iCs/>
          <w:noProof/>
          <w:color w:val="000000" w:themeColor="text1"/>
          <w:sz w:val="24"/>
          <w:szCs w:val="24"/>
        </w:rPr>
        <w:drawing>
          <wp:inline distT="0" distB="0" distL="0" distR="0">
            <wp:extent cx="5695950" cy="2647950"/>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7A71" w:rsidRDefault="00547A71" w:rsidP="00547A71">
      <w:pPr>
        <w:autoSpaceDE w:val="0"/>
        <w:autoSpaceDN w:val="0"/>
        <w:adjustRightInd w:val="0"/>
        <w:spacing w:after="0" w:line="240" w:lineRule="auto"/>
        <w:rPr>
          <w:rFonts w:ascii="Times New Roman" w:hAnsi="Times New Roman" w:cs="Times New Roman"/>
          <w:bCs/>
          <w:iCs/>
          <w:color w:val="000000" w:themeColor="text1"/>
          <w:sz w:val="20"/>
          <w:szCs w:val="20"/>
        </w:rPr>
      </w:pPr>
      <w:r w:rsidRPr="00FC10A0">
        <w:rPr>
          <w:rFonts w:ascii="Times New Roman" w:hAnsi="Times New Roman" w:cs="Times New Roman"/>
          <w:b/>
          <w:bCs/>
          <w:iCs/>
          <w:color w:val="000000" w:themeColor="text1"/>
          <w:sz w:val="20"/>
          <w:szCs w:val="20"/>
        </w:rPr>
        <w:t>Source:</w:t>
      </w:r>
      <w:r w:rsidRPr="00FC10A0">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Comprehensive database on flood protection projects prepared on the basis of the data contained in the </w:t>
      </w:r>
      <w:r w:rsidRPr="00FC10A0">
        <w:rPr>
          <w:rFonts w:ascii="Times New Roman" w:hAnsi="Times New Roman" w:cs="Times New Roman"/>
          <w:bCs/>
          <w:iCs/>
          <w:color w:val="000000" w:themeColor="text1"/>
          <w:sz w:val="20"/>
          <w:szCs w:val="20"/>
        </w:rPr>
        <w:t xml:space="preserve">Water Portal, accessed on January 6, 2012. </w:t>
      </w:r>
    </w:p>
    <w:p w:rsidR="00547A71" w:rsidRPr="00FF49A1" w:rsidRDefault="00547A71" w:rsidP="00CF7C15">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 xml:space="preserve">More than half of these projects (17) are considered dedicated flood protection projects, and account for 86 percent or US$0.76 billion of all expected commitments for flood protection. This represents 76 percent of expected commitments under the dedicated projects. </w:t>
      </w:r>
      <w:r w:rsidR="002A22A6">
        <w:rPr>
          <w:rFonts w:ascii="Times New Roman" w:hAnsi="Times New Roman" w:cs="Times New Roman"/>
          <w:bCs/>
          <w:iCs/>
          <w:color w:val="000000" w:themeColor="text1"/>
          <w:sz w:val="24"/>
          <w:szCs w:val="24"/>
        </w:rPr>
        <w:t xml:space="preserve">The pipeline shows that </w:t>
      </w:r>
      <w:r>
        <w:rPr>
          <w:rFonts w:ascii="Times New Roman" w:hAnsi="Times New Roman" w:cs="Times New Roman"/>
          <w:bCs/>
          <w:iCs/>
          <w:color w:val="000000" w:themeColor="text1"/>
          <w:sz w:val="24"/>
          <w:szCs w:val="24"/>
        </w:rPr>
        <w:t>6 projects will go to the Board in FY12 and 11 in FY13 (Table 2). The Urban Sector Board is expected to oversee 53 percent of the dedicated flood protection projects and 66 percent of the commitments. This is followed by the Water Sector Board, which is expected to oversee 23 percent of the projects a</w:t>
      </w:r>
      <w:r w:rsidR="00CF7C15">
        <w:rPr>
          <w:rFonts w:ascii="Times New Roman" w:hAnsi="Times New Roman" w:cs="Times New Roman"/>
          <w:bCs/>
          <w:iCs/>
          <w:color w:val="000000" w:themeColor="text1"/>
          <w:sz w:val="24"/>
          <w:szCs w:val="24"/>
        </w:rPr>
        <w:t>nd 21 percent of the commitments</w:t>
      </w:r>
      <w:r w:rsidRPr="00FF49A1">
        <w:rPr>
          <w:rFonts w:ascii="Times New Roman" w:hAnsi="Times New Roman" w:cs="Times New Roman"/>
          <w:bCs/>
          <w:iCs/>
          <w:color w:val="000000" w:themeColor="text1"/>
          <w:sz w:val="24"/>
          <w:szCs w:val="24"/>
        </w:rPr>
        <w:t xml:space="preserve">. </w:t>
      </w:r>
    </w:p>
    <w:p w:rsidR="00547A71" w:rsidRDefault="00547A71" w:rsidP="003C7C57">
      <w:pPr>
        <w:autoSpaceDE w:val="0"/>
        <w:autoSpaceDN w:val="0"/>
        <w:adjustRightInd w:val="0"/>
        <w:spacing w:after="0" w:line="240" w:lineRule="auto"/>
        <w:rPr>
          <w:rFonts w:ascii="Times New Roman" w:hAnsi="Times New Roman" w:cs="Times New Roman"/>
          <w:bCs/>
          <w:iCs/>
          <w:color w:val="000000" w:themeColor="text1"/>
          <w:sz w:val="24"/>
          <w:szCs w:val="24"/>
        </w:rPr>
        <w:sectPr w:rsidR="00547A71" w:rsidSect="00A357D5">
          <w:pgSz w:w="12240" w:h="15840"/>
          <w:pgMar w:top="1440" w:right="1440" w:bottom="1440" w:left="1440" w:header="720" w:footer="720" w:gutter="0"/>
          <w:cols w:space="720"/>
          <w:docGrid w:linePitch="360"/>
        </w:sectPr>
      </w:pPr>
    </w:p>
    <w:p w:rsidR="006C5CF4" w:rsidRPr="006C5CF4" w:rsidRDefault="006C5CF4" w:rsidP="006C5CF4">
      <w:pPr>
        <w:autoSpaceDE w:val="0"/>
        <w:autoSpaceDN w:val="0"/>
        <w:adjustRightInd w:val="0"/>
        <w:spacing w:line="240" w:lineRule="auto"/>
        <w:jc w:val="center"/>
        <w:rPr>
          <w:rFonts w:ascii="Times New Roman" w:hAnsi="Times New Roman" w:cs="Times New Roman"/>
          <w:b/>
          <w:bCs/>
          <w:iCs/>
          <w:color w:val="000000" w:themeColor="text1"/>
          <w:sz w:val="24"/>
          <w:szCs w:val="24"/>
        </w:rPr>
      </w:pPr>
      <w:r w:rsidRPr="006C5CF4">
        <w:rPr>
          <w:rFonts w:ascii="Times New Roman" w:hAnsi="Times New Roman" w:cs="Times New Roman"/>
          <w:b/>
          <w:bCs/>
          <w:iCs/>
          <w:color w:val="000000" w:themeColor="text1"/>
          <w:sz w:val="24"/>
          <w:szCs w:val="24"/>
        </w:rPr>
        <w:lastRenderedPageBreak/>
        <w:t xml:space="preserve">Table 1: World Bank Approved Dedicated Flood Protection Projects </w:t>
      </w:r>
      <w:proofErr w:type="gramStart"/>
      <w:r w:rsidRPr="006C5CF4">
        <w:rPr>
          <w:rFonts w:ascii="Times New Roman" w:hAnsi="Times New Roman" w:cs="Times New Roman"/>
          <w:b/>
          <w:bCs/>
          <w:iCs/>
          <w:color w:val="000000" w:themeColor="text1"/>
          <w:sz w:val="24"/>
          <w:szCs w:val="24"/>
        </w:rPr>
        <w:t>Since</w:t>
      </w:r>
      <w:proofErr w:type="gramEnd"/>
      <w:r w:rsidRPr="006C5CF4">
        <w:rPr>
          <w:rFonts w:ascii="Times New Roman" w:hAnsi="Times New Roman" w:cs="Times New Roman"/>
          <w:b/>
          <w:bCs/>
          <w:iCs/>
          <w:color w:val="000000" w:themeColor="text1"/>
          <w:sz w:val="24"/>
          <w:szCs w:val="24"/>
        </w:rPr>
        <w:t xml:space="preserve"> FY87</w:t>
      </w:r>
    </w:p>
    <w:tbl>
      <w:tblPr>
        <w:tblW w:w="14490" w:type="dxa"/>
        <w:tblInd w:w="-522" w:type="dxa"/>
        <w:tblLayout w:type="fixed"/>
        <w:tblLook w:val="0000"/>
      </w:tblPr>
      <w:tblGrid>
        <w:gridCol w:w="1260"/>
        <w:gridCol w:w="720"/>
        <w:gridCol w:w="5040"/>
        <w:gridCol w:w="1080"/>
        <w:gridCol w:w="810"/>
        <w:gridCol w:w="1080"/>
        <w:gridCol w:w="900"/>
        <w:gridCol w:w="810"/>
        <w:gridCol w:w="900"/>
        <w:gridCol w:w="900"/>
        <w:gridCol w:w="990"/>
      </w:tblGrid>
      <w:tr w:rsidR="009D0D77" w:rsidRPr="009D0D77" w:rsidTr="006C5CF4">
        <w:trPr>
          <w:trHeight w:val="233"/>
          <w:tblHeader/>
        </w:trPr>
        <w:tc>
          <w:tcPr>
            <w:tcW w:w="1260" w:type="dxa"/>
            <w:tcBorders>
              <w:top w:val="single" w:sz="6" w:space="0" w:color="auto"/>
              <w:left w:val="single" w:sz="6" w:space="0" w:color="auto"/>
              <w:bottom w:val="nil"/>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Country</w:t>
            </w:r>
          </w:p>
        </w:tc>
        <w:tc>
          <w:tcPr>
            <w:tcW w:w="720" w:type="dxa"/>
            <w:tcBorders>
              <w:top w:val="single" w:sz="6" w:space="0" w:color="auto"/>
              <w:left w:val="single" w:sz="6" w:space="0" w:color="auto"/>
              <w:bottom w:val="nil"/>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FY</w:t>
            </w:r>
          </w:p>
        </w:tc>
        <w:tc>
          <w:tcPr>
            <w:tcW w:w="5040" w:type="dxa"/>
            <w:tcBorders>
              <w:top w:val="single" w:sz="6" w:space="0" w:color="auto"/>
              <w:left w:val="single" w:sz="6" w:space="0" w:color="auto"/>
              <w:bottom w:val="nil"/>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Project Name</w:t>
            </w:r>
          </w:p>
        </w:tc>
        <w:tc>
          <w:tcPr>
            <w:tcW w:w="1080" w:type="dxa"/>
            <w:tcBorders>
              <w:top w:val="single" w:sz="6" w:space="0" w:color="auto"/>
              <w:left w:val="single" w:sz="6" w:space="0" w:color="auto"/>
              <w:bottom w:val="nil"/>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Total Cost</w:t>
            </w:r>
          </w:p>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US$ million</w:t>
            </w:r>
          </w:p>
        </w:tc>
        <w:tc>
          <w:tcPr>
            <w:tcW w:w="1890" w:type="dxa"/>
            <w:gridSpan w:val="2"/>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Flood Protection Cost</w:t>
            </w:r>
          </w:p>
        </w:tc>
        <w:tc>
          <w:tcPr>
            <w:tcW w:w="4500" w:type="dxa"/>
            <w:gridSpan w:val="5"/>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World Bank Commitment (US$ million)</w:t>
            </w:r>
          </w:p>
        </w:tc>
      </w:tr>
      <w:tr w:rsidR="006C5CF4" w:rsidRPr="009D0D77" w:rsidTr="006C5CF4">
        <w:trPr>
          <w:trHeight w:val="466"/>
          <w:tblHeader/>
        </w:trPr>
        <w:tc>
          <w:tcPr>
            <w:tcW w:w="1260" w:type="dxa"/>
            <w:tcBorders>
              <w:top w:val="nil"/>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20" w:type="dxa"/>
            <w:tcBorders>
              <w:top w:val="nil"/>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5040" w:type="dxa"/>
            <w:tcBorders>
              <w:top w:val="nil"/>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80" w:type="dxa"/>
            <w:tcBorders>
              <w:top w:val="nil"/>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US$ million</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proofErr w:type="spellStart"/>
            <w:r w:rsidRPr="009D0D77">
              <w:rPr>
                <w:rFonts w:ascii="Times New Roman" w:hAnsi="Times New Roman" w:cs="Times New Roman"/>
                <w:b/>
                <w:bCs/>
                <w:color w:val="000000"/>
                <w:sz w:val="18"/>
                <w:szCs w:val="18"/>
              </w:rPr>
              <w:t>IBRD</w:t>
            </w:r>
            <w:proofErr w:type="spellEnd"/>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IDA</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Grant</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Total</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For Flood Control</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3A7A70">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Africa</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Africa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6C5CF4">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Eastern Nile Flood Prevention and Early Warning Project Phase </w:t>
            </w:r>
            <w:r w:rsidR="006C5CF4">
              <w:rPr>
                <w:rFonts w:ascii="Times New Roman" w:hAnsi="Times New Roman" w:cs="Times New Roman"/>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4.1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3.5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1.7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Strengthening </w:t>
            </w:r>
            <w:proofErr w:type="spellStart"/>
            <w:r w:rsidRPr="009D0D77">
              <w:rPr>
                <w:rFonts w:ascii="Times New Roman" w:hAnsi="Times New Roman" w:cs="Times New Roman"/>
                <w:color w:val="000000"/>
                <w:sz w:val="18"/>
                <w:szCs w:val="18"/>
              </w:rPr>
              <w:t>ICPAC</w:t>
            </w:r>
            <w:proofErr w:type="spellEnd"/>
            <w:r w:rsidRPr="009D0D77">
              <w:rPr>
                <w:rFonts w:ascii="Times New Roman" w:hAnsi="Times New Roman" w:cs="Times New Roman"/>
                <w:color w:val="000000"/>
                <w:sz w:val="18"/>
                <w:szCs w:val="18"/>
              </w:rPr>
              <w:t xml:space="preserve"> as a regional centre of excellence for disaster risk reduction</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0.4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0.4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0.4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Benin</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Second Decentralized City Management Project - Additional Financing</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46.6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32.6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40.0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40.0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28.0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Burkina Faso</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Maintreaming</w:t>
            </w:r>
            <w:proofErr w:type="spellEnd"/>
            <w:r w:rsidRPr="009D0D77">
              <w:rPr>
                <w:rFonts w:ascii="Times New Roman" w:hAnsi="Times New Roman" w:cs="Times New Roman"/>
                <w:color w:val="000000"/>
                <w:sz w:val="18"/>
                <w:szCs w:val="18"/>
              </w:rPr>
              <w:t xml:space="preserve"> Disaster Reduction (</w:t>
            </w:r>
            <w:proofErr w:type="spellStart"/>
            <w:r w:rsidRPr="009D0D77">
              <w:rPr>
                <w:rFonts w:ascii="Times New Roman" w:hAnsi="Times New Roman" w:cs="Times New Roman"/>
                <w:color w:val="000000"/>
                <w:sz w:val="18"/>
                <w:szCs w:val="18"/>
              </w:rPr>
              <w:t>GFDRR</w:t>
            </w:r>
            <w:proofErr w:type="spellEnd"/>
            <w:r w:rsidRPr="009D0D77">
              <w:rPr>
                <w:rFonts w:ascii="Times New Roman" w:hAnsi="Times New Roman" w:cs="Times New Roman"/>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1.4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1.4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Central African Republic</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Emergency Urban Infrastructure Rehabilitation and Maintenance Project - Additional Financing</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23.9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49</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11.7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23.9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23.9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11.7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Ethiopia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Flood Risks Prevention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0.3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0.3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0.3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Madagascar</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1990</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Antananarivo Plain Development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68.6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27.4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D0D77" w:rsidRPr="009D0D77">
              <w:rPr>
                <w:rFonts w:ascii="Times New Roman" w:hAnsi="Times New Roman" w:cs="Times New Roman"/>
                <w:color w:val="000000"/>
                <w:sz w:val="18"/>
                <w:szCs w:val="18"/>
              </w:rPr>
              <w:t xml:space="preserve">30.5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30.5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12.2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Mali</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Maintreaming</w:t>
            </w:r>
            <w:proofErr w:type="spellEnd"/>
            <w:r w:rsidRPr="009D0D77">
              <w:rPr>
                <w:rFonts w:ascii="Times New Roman" w:hAnsi="Times New Roman" w:cs="Times New Roman"/>
                <w:color w:val="000000"/>
                <w:sz w:val="18"/>
                <w:szCs w:val="18"/>
              </w:rPr>
              <w:t xml:space="preserve"> Disaster Reduction (</w:t>
            </w:r>
            <w:proofErr w:type="spellStart"/>
            <w:r w:rsidRPr="009D0D77">
              <w:rPr>
                <w:rFonts w:ascii="Times New Roman" w:hAnsi="Times New Roman" w:cs="Times New Roman"/>
                <w:color w:val="000000"/>
                <w:sz w:val="18"/>
                <w:szCs w:val="18"/>
              </w:rPr>
              <w:t>GFDRR</w:t>
            </w:r>
            <w:proofErr w:type="spellEnd"/>
            <w:r w:rsidRPr="009D0D77">
              <w:rPr>
                <w:rFonts w:ascii="Times New Roman" w:hAnsi="Times New Roman" w:cs="Times New Roman"/>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1.4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1.4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Sao Tome and Principe</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Adaptation to Climate Change</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4.1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4.2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4.2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3.3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Senegal</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Disaster Risk Management and Climate Change Adaptation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5.0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Seychelles</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National Disaster Preparedness and Response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1.2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0.9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0.9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0.5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Togo</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Emergency Infrastructure Rehabilitation and Energy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26.8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25.0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Emergency Infrastructure Rehabilitation and Energy Project - Additional Financing</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86</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12.9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12.9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Uganda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Nakivubo</w:t>
            </w:r>
            <w:proofErr w:type="spellEnd"/>
            <w:r w:rsidRPr="009D0D77">
              <w:rPr>
                <w:rFonts w:ascii="Times New Roman" w:hAnsi="Times New Roman" w:cs="Times New Roman"/>
                <w:color w:val="000000"/>
                <w:sz w:val="18"/>
                <w:szCs w:val="18"/>
              </w:rPr>
              <w:t xml:space="preserve"> Channel Rehabilitation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22.4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79</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17.7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22.4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22.4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17.7 </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East Asia and Pacific</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China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China Bengbu Integrated Environment Improvement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224.0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112.0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Huai</w:t>
            </w:r>
            <w:proofErr w:type="spellEnd"/>
            <w:r w:rsidRPr="009D0D77">
              <w:rPr>
                <w:rFonts w:ascii="Times New Roman" w:hAnsi="Times New Roman" w:cs="Times New Roman"/>
                <w:color w:val="000000"/>
                <w:sz w:val="18"/>
                <w:szCs w:val="18"/>
              </w:rPr>
              <w:t xml:space="preserve"> River Basin Flood Management and Drainage Improvement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597.4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65</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388.3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130.0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2005</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Hunan Urban Development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364.2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45</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163.9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172.0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172.0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77.4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1993</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Taihu</w:t>
            </w:r>
            <w:proofErr w:type="spellEnd"/>
            <w:r w:rsidRPr="009D0D77">
              <w:rPr>
                <w:rFonts w:ascii="Times New Roman" w:hAnsi="Times New Roman" w:cs="Times New Roman"/>
                <w:color w:val="000000"/>
                <w:sz w:val="18"/>
                <w:szCs w:val="18"/>
              </w:rPr>
              <w:t xml:space="preserve"> Basin Flood Control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497.3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497.3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A7A70" w:rsidRPr="009D0D77">
              <w:rPr>
                <w:rFonts w:ascii="Times New Roman" w:hAnsi="Times New Roman" w:cs="Times New Roman"/>
                <w:color w:val="000000"/>
                <w:sz w:val="18"/>
                <w:szCs w:val="18"/>
              </w:rPr>
              <w:t xml:space="preserve">100.0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1994</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Xiaolangdi</w:t>
            </w:r>
            <w:proofErr w:type="spellEnd"/>
            <w:r w:rsidRPr="009D0D77">
              <w:rPr>
                <w:rFonts w:ascii="Times New Roman" w:hAnsi="Times New Roman" w:cs="Times New Roman"/>
                <w:color w:val="000000"/>
                <w:sz w:val="18"/>
                <w:szCs w:val="18"/>
              </w:rPr>
              <w:t xml:space="preserve"> Multipurpose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2,294.7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1,147.4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460.0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460.0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230.0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Xining Flood and Watershed Management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188.0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112.8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60.0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2000</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Yangtze Dike Strengthening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545.5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97</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529.1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210.0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210.0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203.7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East Asia and Pacific</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Building Community Resilience in </w:t>
            </w:r>
            <w:proofErr w:type="spellStart"/>
            <w:r w:rsidRPr="009D0D77">
              <w:rPr>
                <w:rFonts w:ascii="Times New Roman" w:hAnsi="Times New Roman" w:cs="Times New Roman"/>
                <w:color w:val="000000"/>
                <w:sz w:val="18"/>
                <w:szCs w:val="18"/>
              </w:rPr>
              <w:t>EAP</w:t>
            </w:r>
            <w:proofErr w:type="spellEnd"/>
            <w:r w:rsidRPr="009D0D77">
              <w:rPr>
                <w:rFonts w:ascii="Times New Roman" w:hAnsi="Times New Roman" w:cs="Times New Roman"/>
                <w:color w:val="000000"/>
                <w:sz w:val="18"/>
                <w:szCs w:val="18"/>
              </w:rPr>
              <w:t xml:space="preserve"> (</w:t>
            </w:r>
            <w:proofErr w:type="spellStart"/>
            <w:r w:rsidRPr="009D0D77">
              <w:rPr>
                <w:rFonts w:ascii="Times New Roman" w:hAnsi="Times New Roman" w:cs="Times New Roman"/>
                <w:color w:val="000000"/>
                <w:sz w:val="18"/>
                <w:szCs w:val="18"/>
              </w:rPr>
              <w:t>GFDRR</w:t>
            </w:r>
            <w:proofErr w:type="spellEnd"/>
            <w:r w:rsidRPr="009D0D77">
              <w:rPr>
                <w:rFonts w:ascii="Times New Roman" w:hAnsi="Times New Roman" w:cs="Times New Roman"/>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0.1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0.1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Fiji</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2010</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Integrated Flood Management - </w:t>
            </w:r>
            <w:proofErr w:type="spellStart"/>
            <w:r w:rsidRPr="009D0D77">
              <w:rPr>
                <w:rFonts w:ascii="Times New Roman" w:hAnsi="Times New Roman" w:cs="Times New Roman"/>
                <w:color w:val="000000"/>
                <w:sz w:val="18"/>
                <w:szCs w:val="18"/>
              </w:rPr>
              <w:t>Nadi</w:t>
            </w:r>
            <w:proofErr w:type="spellEnd"/>
            <w:r w:rsidRPr="009D0D77">
              <w:rPr>
                <w:rFonts w:ascii="Times New Roman" w:hAnsi="Times New Roman" w:cs="Times New Roman"/>
                <w:color w:val="000000"/>
                <w:sz w:val="18"/>
                <w:szCs w:val="18"/>
              </w:rPr>
              <w:t xml:space="preserve"> Basin Pilot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0.8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0.8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0.7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lastRenderedPageBreak/>
              <w:t>Indonesia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2006</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Emergency Rehabilitation of Drainage and Flood Protection Systems in Banda Ache</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4.5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3.6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4.5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3.6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TA for Jakarta Flood Mitigation</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2.5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Malaysia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1987</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Western </w:t>
            </w:r>
            <w:proofErr w:type="spellStart"/>
            <w:r w:rsidRPr="009D0D77">
              <w:rPr>
                <w:rFonts w:ascii="Times New Roman" w:hAnsi="Times New Roman" w:cs="Times New Roman"/>
                <w:color w:val="000000"/>
                <w:sz w:val="18"/>
                <w:szCs w:val="18"/>
              </w:rPr>
              <w:t>Johore</w:t>
            </w:r>
            <w:proofErr w:type="spellEnd"/>
            <w:r w:rsidRPr="009D0D77">
              <w:rPr>
                <w:rFonts w:ascii="Times New Roman" w:hAnsi="Times New Roman" w:cs="Times New Roman"/>
                <w:color w:val="000000"/>
                <w:sz w:val="18"/>
                <w:szCs w:val="18"/>
              </w:rPr>
              <w:t xml:space="preserve"> Agricultural Development Project (02)</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148.3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62</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91.9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55.0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55.0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34.1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Samoa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2004</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Cyclone Emergency Recovery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75</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D0D77" w:rsidRPr="009D0D77">
              <w:rPr>
                <w:rFonts w:ascii="Times New Roman" w:hAnsi="Times New Roman" w:cs="Times New Roman"/>
                <w:color w:val="000000"/>
                <w:sz w:val="18"/>
                <w:szCs w:val="18"/>
              </w:rPr>
              <w:t xml:space="preserve">4.5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4.5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3.4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Vietnam</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2006</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Natural Disaster Risk Management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102.5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71.8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86.0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86.0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60.2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Three Cities Sanitation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119.5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43</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51.4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80.5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80.5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34.6 </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Europe and Central Asia</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Albania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Disaster Risk Mitigation and Adaptation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10.2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43</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D0D77" w:rsidRPr="009D0D77">
              <w:rPr>
                <w:rFonts w:ascii="Times New Roman" w:hAnsi="Times New Roman" w:cs="Times New Roman"/>
                <w:color w:val="000000"/>
                <w:sz w:val="18"/>
                <w:szCs w:val="18"/>
              </w:rPr>
              <w:t xml:space="preserve">6.2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9.2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3.9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Central Asia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Central Asia Hydrometeorology Modernization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27.7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66</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18.3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20.7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20.7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13.7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Croatia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Kopacki</w:t>
            </w:r>
            <w:proofErr w:type="spellEnd"/>
            <w:r w:rsidRPr="009D0D77">
              <w:rPr>
                <w:rFonts w:ascii="Times New Roman" w:hAnsi="Times New Roman" w:cs="Times New Roman"/>
                <w:color w:val="000000"/>
                <w:sz w:val="18"/>
                <w:szCs w:val="18"/>
              </w:rPr>
              <w:t xml:space="preserve"> </w:t>
            </w:r>
            <w:proofErr w:type="spellStart"/>
            <w:r w:rsidRPr="009D0D77">
              <w:rPr>
                <w:rFonts w:ascii="Times New Roman" w:hAnsi="Times New Roman" w:cs="Times New Roman"/>
                <w:color w:val="000000"/>
                <w:sz w:val="18"/>
                <w:szCs w:val="18"/>
              </w:rPr>
              <w:t>Rit</w:t>
            </w:r>
            <w:proofErr w:type="spellEnd"/>
            <w:r w:rsidRPr="009D0D77">
              <w:rPr>
                <w:rFonts w:ascii="Times New Roman" w:hAnsi="Times New Roman" w:cs="Times New Roman"/>
                <w:color w:val="000000"/>
                <w:sz w:val="18"/>
                <w:szCs w:val="18"/>
              </w:rPr>
              <w:t xml:space="preserve"> Wetlands Management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0.8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0.8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0.5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1998</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Reconstruction Project for Eastern Slavonia, </w:t>
            </w:r>
            <w:proofErr w:type="spellStart"/>
            <w:r w:rsidRPr="009D0D77">
              <w:rPr>
                <w:rFonts w:ascii="Times New Roman" w:hAnsi="Times New Roman" w:cs="Times New Roman"/>
                <w:color w:val="000000"/>
                <w:sz w:val="18"/>
                <w:szCs w:val="18"/>
              </w:rPr>
              <w:t>Baranja</w:t>
            </w:r>
            <w:proofErr w:type="spellEnd"/>
            <w:r w:rsidRPr="009D0D77">
              <w:rPr>
                <w:rFonts w:ascii="Times New Roman" w:hAnsi="Times New Roman" w:cs="Times New Roman"/>
                <w:color w:val="000000"/>
                <w:sz w:val="18"/>
                <w:szCs w:val="18"/>
              </w:rPr>
              <w:t xml:space="preserve"> and Western </w:t>
            </w:r>
            <w:proofErr w:type="spellStart"/>
            <w:r w:rsidRPr="009D0D77">
              <w:rPr>
                <w:rFonts w:ascii="Times New Roman" w:hAnsi="Times New Roman" w:cs="Times New Roman"/>
                <w:color w:val="000000"/>
                <w:sz w:val="18"/>
                <w:szCs w:val="18"/>
              </w:rPr>
              <w:t>Srijem</w:t>
            </w:r>
            <w:proofErr w:type="spellEnd"/>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68</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34.0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40.6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40.6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27.6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Cyprus</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1988</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Southern Conveyor Project (02)</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164.5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94</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154.7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30.0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30.0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28.2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Georgia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2005</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Irrigation and Drainage Community Development Project Additional Financing</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16.1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65</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13.0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8.5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Kyrgyz Republic</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Flood Emergency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14.1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69</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9.7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6.9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Coordination of Emergency Situations</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Poland</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Odra River Basin Flood Protection</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489.0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87</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425.4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184.0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184.0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160.1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Romania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2004</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Hazard Risk Mitigation &amp; Emergency Preparedness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196.7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98.3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150.0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150.0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75.0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Serbia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Serbia Irrigation and Drainage Rehabilitation Project Additional Financing</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62.5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56.3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49.4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49.4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44.4 </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Latin America and Caribbean</w:t>
            </w:r>
          </w:p>
        </w:tc>
      </w:tr>
      <w:tr w:rsidR="003A7A70" w:rsidRPr="009D0D77" w:rsidTr="006C5CF4">
        <w:trPr>
          <w:trHeight w:val="247"/>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Argentina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2006</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Argentina - Urban Flood Prevention and Drainage APL 2</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91.6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64.1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49.0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1997</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Flood Protection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420.0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85</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357.0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170.0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1993</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Flood Rehabilitation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270.0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108.0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2005</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Urban Flood Prevention and Drainage APL1</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190.0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94</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178.6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130.0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122.2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Brazil</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BR Municipal APL: Sao Luis Enhancing Municipal Governance and Quality of Life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59.4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52</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30.9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35.6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35.6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18.5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BR Municipal APL1: Uberaba</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28.8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41</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11.8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17.3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17.3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7.1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Central America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lang w:val="es-ES"/>
              </w:rPr>
            </w:pPr>
            <w:r w:rsidRPr="009D0D77">
              <w:rPr>
                <w:rFonts w:ascii="Times New Roman" w:hAnsi="Times New Roman" w:cs="Times New Roman"/>
                <w:color w:val="000000"/>
                <w:sz w:val="18"/>
                <w:szCs w:val="18"/>
                <w:lang w:val="es-ES"/>
              </w:rPr>
              <w:t xml:space="preserve">Central </w:t>
            </w:r>
            <w:proofErr w:type="spellStart"/>
            <w:r w:rsidRPr="009D0D77">
              <w:rPr>
                <w:rFonts w:ascii="Times New Roman" w:hAnsi="Times New Roman" w:cs="Times New Roman"/>
                <w:color w:val="000000"/>
                <w:sz w:val="18"/>
                <w:szCs w:val="18"/>
                <w:lang w:val="es-ES"/>
              </w:rPr>
              <w:t>America</w:t>
            </w:r>
            <w:proofErr w:type="spellEnd"/>
            <w:r w:rsidRPr="009D0D77">
              <w:rPr>
                <w:rFonts w:ascii="Times New Roman" w:hAnsi="Times New Roman" w:cs="Times New Roman"/>
                <w:color w:val="000000"/>
                <w:sz w:val="18"/>
                <w:szCs w:val="18"/>
                <w:lang w:val="es-ES"/>
              </w:rPr>
              <w:t xml:space="preserve"> </w:t>
            </w:r>
            <w:proofErr w:type="spellStart"/>
            <w:r w:rsidRPr="009D0D77">
              <w:rPr>
                <w:rFonts w:ascii="Times New Roman" w:hAnsi="Times New Roman" w:cs="Times New Roman"/>
                <w:color w:val="000000"/>
                <w:sz w:val="18"/>
                <w:szCs w:val="18"/>
                <w:lang w:val="es-ES"/>
              </w:rPr>
              <w:t>DRR</w:t>
            </w:r>
            <w:proofErr w:type="spellEnd"/>
            <w:r w:rsidRPr="009D0D77">
              <w:rPr>
                <w:rFonts w:ascii="Times New Roman" w:hAnsi="Times New Roman" w:cs="Times New Roman"/>
                <w:color w:val="000000"/>
                <w:sz w:val="18"/>
                <w:szCs w:val="18"/>
                <w:lang w:val="es-ES"/>
              </w:rPr>
              <w:t xml:space="preserve"> &amp; </w:t>
            </w:r>
            <w:proofErr w:type="spellStart"/>
            <w:r w:rsidRPr="009D0D77">
              <w:rPr>
                <w:rFonts w:ascii="Times New Roman" w:hAnsi="Times New Roman" w:cs="Times New Roman"/>
                <w:color w:val="000000"/>
                <w:sz w:val="18"/>
                <w:szCs w:val="18"/>
                <w:lang w:val="es-ES"/>
              </w:rPr>
              <w:t>CCA</w:t>
            </w:r>
            <w:proofErr w:type="spellEnd"/>
            <w:r w:rsidRPr="009D0D77">
              <w:rPr>
                <w:rFonts w:ascii="Times New Roman" w:hAnsi="Times New Roman" w:cs="Times New Roman"/>
                <w:color w:val="000000"/>
                <w:sz w:val="18"/>
                <w:szCs w:val="18"/>
                <w:lang w:val="es-ES"/>
              </w:rPr>
              <w:t xml:space="preserve"> </w:t>
            </w:r>
            <w:proofErr w:type="spellStart"/>
            <w:r w:rsidRPr="009D0D77">
              <w:rPr>
                <w:rFonts w:ascii="Times New Roman" w:hAnsi="Times New Roman" w:cs="Times New Roman"/>
                <w:color w:val="000000"/>
                <w:sz w:val="18"/>
                <w:szCs w:val="18"/>
                <w:lang w:val="es-ES"/>
              </w:rPr>
              <w:t>Program</w:t>
            </w:r>
            <w:proofErr w:type="spellEnd"/>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lang w:val="es-ES"/>
              </w:rPr>
              <w:t xml:space="preserve">  </w:t>
            </w:r>
            <w:r w:rsidRPr="009D0D77">
              <w:rPr>
                <w:rFonts w:ascii="Times New Roman" w:hAnsi="Times New Roman" w:cs="Times New Roman"/>
                <w:color w:val="000000"/>
                <w:sz w:val="18"/>
                <w:szCs w:val="18"/>
              </w:rPr>
              <w:t xml:space="preserve">0.7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0.7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0.7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Central America Mitch +10 Report and Summit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Costa Rica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Adaptive Natural Resources Management will Bolster </w:t>
            </w:r>
            <w:proofErr w:type="spellStart"/>
            <w:r w:rsidRPr="009D0D77">
              <w:rPr>
                <w:rFonts w:ascii="Times New Roman" w:hAnsi="Times New Roman" w:cs="Times New Roman"/>
                <w:color w:val="000000"/>
                <w:sz w:val="18"/>
                <w:szCs w:val="18"/>
              </w:rPr>
              <w:t>Cabécar</w:t>
            </w:r>
            <w:proofErr w:type="spellEnd"/>
            <w:r w:rsidRPr="009D0D77">
              <w:rPr>
                <w:rFonts w:ascii="Times New Roman" w:hAnsi="Times New Roman" w:cs="Times New Roman"/>
                <w:color w:val="000000"/>
                <w:sz w:val="18"/>
                <w:szCs w:val="18"/>
              </w:rPr>
              <w:t xml:space="preserve"> Communities</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2010</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Costa Rica Pilot on Early Warning Systems for </w:t>
            </w:r>
            <w:proofErr w:type="spellStart"/>
            <w:r w:rsidRPr="009D0D77">
              <w:rPr>
                <w:rFonts w:ascii="Times New Roman" w:hAnsi="Times New Roman" w:cs="Times New Roman"/>
                <w:color w:val="000000"/>
                <w:sz w:val="18"/>
                <w:szCs w:val="18"/>
              </w:rPr>
              <w:t>Hydrometeorological</w:t>
            </w:r>
            <w:proofErr w:type="spellEnd"/>
            <w:r w:rsidRPr="009D0D77">
              <w:rPr>
                <w:rFonts w:ascii="Times New Roman" w:hAnsi="Times New Roman" w:cs="Times New Roman"/>
                <w:color w:val="000000"/>
                <w:sz w:val="18"/>
                <w:szCs w:val="18"/>
              </w:rPr>
              <w:t xml:space="preserve"> Hazards</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0.3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70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0.2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0.3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0.3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0.2 </w:t>
            </w:r>
          </w:p>
        </w:tc>
      </w:tr>
      <w:tr w:rsidR="006C5CF4" w:rsidRPr="009D0D77" w:rsidTr="006C5CF4">
        <w:trPr>
          <w:trHeight w:val="233"/>
        </w:trPr>
        <w:tc>
          <w:tcPr>
            <w:tcW w:w="126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Dominica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Dominica Emergency Recovery &amp; Disaster Management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68</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4.1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D0D77" w:rsidRPr="009D0D77">
              <w:rPr>
                <w:rFonts w:ascii="Times New Roman" w:hAnsi="Times New Roman" w:cs="Times New Roman"/>
                <w:color w:val="000000"/>
                <w:sz w:val="18"/>
                <w:szCs w:val="18"/>
              </w:rPr>
              <w:t xml:space="preserve">1.8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4.3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2.9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Ecuador</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Disaster Risk Reduction Program for the Municipalities of Quito</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1.0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1991</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Guayas Flood Control</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75.0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59.0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59.0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29.5 </w:t>
            </w:r>
          </w:p>
        </w:tc>
      </w:tr>
      <w:tr w:rsidR="006C5CF4" w:rsidRPr="009D0D77" w:rsidTr="006C5CF4">
        <w:trPr>
          <w:trHeight w:val="233"/>
        </w:trPr>
        <w:tc>
          <w:tcPr>
            <w:tcW w:w="1260" w:type="dxa"/>
            <w:tcBorders>
              <w:top w:val="single" w:sz="6" w:space="0" w:color="auto"/>
              <w:left w:val="single" w:sz="6" w:space="0" w:color="auto"/>
              <w:bottom w:val="single" w:sz="2" w:space="0" w:color="000000"/>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Grenada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Emergency Recovery &amp; Disaster Management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11.8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68</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8.0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5.1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D0D77" w:rsidRPr="009D0D77">
              <w:rPr>
                <w:rFonts w:ascii="Times New Roman" w:hAnsi="Times New Roman" w:cs="Times New Roman"/>
                <w:color w:val="000000"/>
                <w:sz w:val="18"/>
                <w:szCs w:val="18"/>
              </w:rPr>
              <w:t xml:space="preserve">5.0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10.1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6.8 </w:t>
            </w:r>
          </w:p>
        </w:tc>
      </w:tr>
      <w:tr w:rsidR="006C5CF4" w:rsidRPr="009D0D77" w:rsidTr="006C5CF4">
        <w:trPr>
          <w:trHeight w:val="233"/>
        </w:trPr>
        <w:tc>
          <w:tcPr>
            <w:tcW w:w="1260" w:type="dxa"/>
            <w:tcBorders>
              <w:top w:val="single" w:sz="2" w:space="0" w:color="000000"/>
              <w:left w:val="single" w:sz="6" w:space="0" w:color="auto"/>
              <w:bottom w:val="single" w:sz="2" w:space="0" w:color="000000"/>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Guyana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Conservancy Adaptation Project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97</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4.9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3.8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3.8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3.7 </w:t>
            </w:r>
          </w:p>
        </w:tc>
      </w:tr>
      <w:tr w:rsidR="006C5CF4" w:rsidRPr="009D0D77" w:rsidTr="006C5CF4">
        <w:trPr>
          <w:trHeight w:val="233"/>
        </w:trPr>
        <w:tc>
          <w:tcPr>
            <w:tcW w:w="1260" w:type="dxa"/>
            <w:tcBorders>
              <w:top w:val="single" w:sz="2" w:space="0" w:color="000000"/>
              <w:left w:val="single" w:sz="6" w:space="0" w:color="auto"/>
              <w:bottom w:val="single" w:sz="2" w:space="0" w:color="000000"/>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Haiti</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Disaster Risk Management and Reconstruction</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60.0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30.0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60.0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60.0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30.0 </w:t>
            </w:r>
          </w:p>
        </w:tc>
      </w:tr>
      <w:tr w:rsidR="006C5CF4" w:rsidRPr="009D0D77" w:rsidTr="006C5CF4">
        <w:trPr>
          <w:trHeight w:val="233"/>
        </w:trPr>
        <w:tc>
          <w:tcPr>
            <w:tcW w:w="1260" w:type="dxa"/>
            <w:tcBorders>
              <w:top w:val="single" w:sz="2" w:space="0" w:color="000000"/>
              <w:left w:val="single" w:sz="6" w:space="0" w:color="auto"/>
              <w:bottom w:val="single" w:sz="2" w:space="0" w:color="000000"/>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Jamaica</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2010</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Community-based Landslide Risk Reduction (</w:t>
            </w:r>
            <w:proofErr w:type="spellStart"/>
            <w:r w:rsidRPr="009D0D77">
              <w:rPr>
                <w:rFonts w:ascii="Times New Roman" w:hAnsi="Times New Roman" w:cs="Times New Roman"/>
                <w:color w:val="000000"/>
                <w:sz w:val="18"/>
                <w:szCs w:val="18"/>
              </w:rPr>
              <w:t>JSDF</w:t>
            </w:r>
            <w:proofErr w:type="spellEnd"/>
            <w:r w:rsidRPr="009D0D77">
              <w:rPr>
                <w:rFonts w:ascii="Times New Roman" w:hAnsi="Times New Roman" w:cs="Times New Roman"/>
                <w:color w:val="000000"/>
                <w:sz w:val="18"/>
                <w:szCs w:val="18"/>
              </w:rPr>
              <w:t xml:space="preserve"> Grant)</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2.5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2.5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2.5 </w:t>
            </w:r>
          </w:p>
        </w:tc>
      </w:tr>
      <w:tr w:rsidR="006C5CF4" w:rsidRPr="009D0D77" w:rsidTr="006C5CF4">
        <w:trPr>
          <w:trHeight w:val="233"/>
        </w:trPr>
        <w:tc>
          <w:tcPr>
            <w:tcW w:w="1260" w:type="dxa"/>
            <w:tcBorders>
              <w:top w:val="single" w:sz="2" w:space="0" w:color="000000"/>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OECS</w:t>
            </w:r>
            <w:proofErr w:type="spellEnd"/>
            <w:r w:rsidRPr="009D0D77">
              <w:rPr>
                <w:rFonts w:ascii="Times New Roman" w:hAnsi="Times New Roman" w:cs="Times New Roman"/>
                <w:color w:val="000000"/>
                <w:sz w:val="18"/>
                <w:szCs w:val="18"/>
              </w:rPr>
              <w:t xml:space="preserve"> Countries</w:t>
            </w:r>
          </w:p>
        </w:tc>
        <w:tc>
          <w:tcPr>
            <w:tcW w:w="72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2011</w:t>
            </w:r>
          </w:p>
        </w:tc>
        <w:tc>
          <w:tcPr>
            <w:tcW w:w="504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Regional Disaster Vulnerability Reduction APL1 - Grenada and St. Vincent and the Grenadines</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53.1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68</w:t>
            </w:r>
          </w:p>
        </w:tc>
        <w:tc>
          <w:tcPr>
            <w:tcW w:w="1080" w:type="dxa"/>
            <w:tcBorders>
              <w:top w:val="single" w:sz="6" w:space="0" w:color="auto"/>
              <w:left w:val="single" w:sz="6" w:space="0" w:color="auto"/>
              <w:bottom w:val="single" w:sz="6" w:space="0" w:color="auto"/>
              <w:right w:val="single" w:sz="6" w:space="0" w:color="auto"/>
            </w:tcBorders>
          </w:tcPr>
          <w:p w:rsidR="009D0D77" w:rsidRPr="009D0D77" w:rsidRDefault="009D0D77"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36.1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20.9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20.9 </w:t>
            </w:r>
          </w:p>
        </w:tc>
        <w:tc>
          <w:tcPr>
            <w:tcW w:w="990" w:type="dxa"/>
            <w:tcBorders>
              <w:top w:val="single" w:sz="6" w:space="0" w:color="auto"/>
              <w:left w:val="single" w:sz="6" w:space="0" w:color="auto"/>
              <w:bottom w:val="single" w:sz="6" w:space="0" w:color="auto"/>
              <w:right w:val="single" w:sz="6" w:space="0" w:color="auto"/>
            </w:tcBorders>
          </w:tcPr>
          <w:p w:rsidR="009D0D77" w:rsidRPr="009D0D77" w:rsidRDefault="009D0D77"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14.2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St. Lucia</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Disaster Management Project II - Additional Financing </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3.6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A7A70" w:rsidRPr="009D0D77">
              <w:rPr>
                <w:rFonts w:ascii="Times New Roman" w:hAnsi="Times New Roman" w:cs="Times New Roman"/>
                <w:color w:val="000000"/>
                <w:sz w:val="18"/>
                <w:szCs w:val="18"/>
              </w:rPr>
              <w:t xml:space="preserve">3.0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3.0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2.7 </w:t>
            </w:r>
          </w:p>
        </w:tc>
      </w:tr>
      <w:tr w:rsidR="003A7A70" w:rsidRPr="009D0D77" w:rsidTr="006C5CF4">
        <w:trPr>
          <w:trHeight w:val="233"/>
        </w:trPr>
        <w:tc>
          <w:tcPr>
            <w:tcW w:w="1260" w:type="dxa"/>
            <w:vMerge/>
            <w:tcBorders>
              <w:left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2004</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Disaster Management Project II</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8.9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5.3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3.7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A7A70" w:rsidRPr="009D0D77">
              <w:rPr>
                <w:rFonts w:ascii="Times New Roman" w:hAnsi="Times New Roman" w:cs="Times New Roman"/>
                <w:color w:val="000000"/>
                <w:sz w:val="18"/>
                <w:szCs w:val="18"/>
              </w:rPr>
              <w:t xml:space="preserve">3.8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7.5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4.5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1996</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Watershed and Environmental Management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7.1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2.6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A7A70" w:rsidRPr="009D0D77">
              <w:rPr>
                <w:rFonts w:ascii="Times New Roman" w:hAnsi="Times New Roman" w:cs="Times New Roman"/>
                <w:color w:val="000000"/>
                <w:sz w:val="18"/>
                <w:szCs w:val="18"/>
              </w:rPr>
              <w:t xml:space="preserve">2.7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5.3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4.2 </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Middle East and North Africa</w:t>
            </w:r>
          </w:p>
        </w:tc>
      </w:tr>
      <w:tr w:rsidR="006C5CF4" w:rsidRPr="009D0D77" w:rsidTr="001C34A4">
        <w:trPr>
          <w:trHeight w:val="233"/>
        </w:trPr>
        <w:tc>
          <w:tcPr>
            <w:tcW w:w="1260" w:type="dxa"/>
            <w:vMerge w:val="restart"/>
            <w:tcBorders>
              <w:top w:val="single" w:sz="6" w:space="0" w:color="auto"/>
              <w:left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Djibouti</w:t>
            </w: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Flood Emergency Rehabilitation - Additional Grant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2.0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0.8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D0D77">
              <w:rPr>
                <w:rFonts w:ascii="Times New Roman" w:hAnsi="Times New Roman" w:cs="Times New Roman"/>
                <w:color w:val="000000"/>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2.0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0.8 </w:t>
            </w:r>
          </w:p>
        </w:tc>
      </w:tr>
      <w:tr w:rsidR="006C5CF4" w:rsidRPr="009D0D77" w:rsidTr="001C34A4">
        <w:trPr>
          <w:trHeight w:val="233"/>
        </w:trPr>
        <w:tc>
          <w:tcPr>
            <w:tcW w:w="1260" w:type="dxa"/>
            <w:vMerge/>
            <w:tcBorders>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2010</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Natural Disaster Risk Assessment and Monitoring System</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0.9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0.9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0.9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0.5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Iran, Islamic Republic of</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1992</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Sistan</w:t>
            </w:r>
            <w:proofErr w:type="spellEnd"/>
            <w:r w:rsidRPr="009D0D77">
              <w:rPr>
                <w:rFonts w:ascii="Times New Roman" w:hAnsi="Times New Roman" w:cs="Times New Roman"/>
                <w:color w:val="000000"/>
                <w:sz w:val="18"/>
                <w:szCs w:val="18"/>
              </w:rPr>
              <w:t xml:space="preserve"> River Flood Works Rehabilitation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92</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92.0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57.0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57.0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52.4 </w:t>
            </w:r>
          </w:p>
        </w:tc>
      </w:tr>
      <w:tr w:rsidR="003A7A70" w:rsidRPr="009D0D77" w:rsidTr="006C5CF4">
        <w:trPr>
          <w:trHeight w:val="233"/>
        </w:trPr>
        <w:tc>
          <w:tcPr>
            <w:tcW w:w="1260" w:type="dxa"/>
            <w:vMerge/>
            <w:tcBorders>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1992</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Tehran Drainage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95.6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95</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90.8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77.0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77.0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73.2 </w:t>
            </w:r>
          </w:p>
        </w:tc>
      </w:tr>
      <w:tr w:rsidR="003A7A70" w:rsidRPr="009D0D77" w:rsidTr="006C5CF4">
        <w:trPr>
          <w:trHeight w:val="233"/>
        </w:trPr>
        <w:tc>
          <w:tcPr>
            <w:tcW w:w="1260" w:type="dxa"/>
            <w:vMerge w:val="restart"/>
            <w:tcBorders>
              <w:top w:val="single" w:sz="6" w:space="0" w:color="auto"/>
              <w:left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Yemen, Republic of</w:t>
            </w:r>
          </w:p>
        </w:tc>
        <w:tc>
          <w:tcPr>
            <w:tcW w:w="72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1990</w:t>
            </w:r>
          </w:p>
        </w:tc>
        <w:tc>
          <w:tcPr>
            <w:tcW w:w="504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rPr>
                <w:rFonts w:ascii="Times New Roman" w:hAnsi="Times New Roman" w:cs="Times New Roman"/>
                <w:color w:val="000000"/>
                <w:sz w:val="18"/>
                <w:szCs w:val="18"/>
              </w:rPr>
            </w:pPr>
            <w:proofErr w:type="spellStart"/>
            <w:r w:rsidRPr="009D0D77">
              <w:rPr>
                <w:rFonts w:ascii="Times New Roman" w:hAnsi="Times New Roman" w:cs="Times New Roman"/>
                <w:color w:val="000000"/>
                <w:sz w:val="18"/>
                <w:szCs w:val="18"/>
              </w:rPr>
              <w:t>Taiz</w:t>
            </w:r>
            <w:proofErr w:type="spellEnd"/>
            <w:r w:rsidRPr="009D0D77">
              <w:rPr>
                <w:rFonts w:ascii="Times New Roman" w:hAnsi="Times New Roman" w:cs="Times New Roman"/>
                <w:color w:val="000000"/>
                <w:sz w:val="18"/>
                <w:szCs w:val="18"/>
              </w:rPr>
              <w:t xml:space="preserve"> Flood Disaster Prevention &amp; Municipal Development Project</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28.8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11.5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15.0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15.0 </w:t>
            </w:r>
          </w:p>
        </w:tc>
        <w:tc>
          <w:tcPr>
            <w:tcW w:w="990" w:type="dxa"/>
            <w:tcBorders>
              <w:top w:val="single" w:sz="6" w:space="0" w:color="auto"/>
              <w:left w:val="single" w:sz="6" w:space="0" w:color="auto"/>
              <w:bottom w:val="single" w:sz="6" w:space="0" w:color="auto"/>
              <w:right w:val="single" w:sz="6" w:space="0" w:color="auto"/>
            </w:tcBorders>
          </w:tcPr>
          <w:p w:rsidR="003A7A70" w:rsidRPr="009D0D77" w:rsidRDefault="003A7A70"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6.0 </w:t>
            </w:r>
          </w:p>
        </w:tc>
      </w:tr>
      <w:tr w:rsidR="006C5CF4" w:rsidRPr="009D0D77" w:rsidTr="006C5CF4">
        <w:trPr>
          <w:trHeight w:val="255"/>
        </w:trPr>
        <w:tc>
          <w:tcPr>
            <w:tcW w:w="1260" w:type="dxa"/>
            <w:vMerge/>
            <w:tcBorders>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jc w:val="center"/>
              <w:rPr>
                <w:rFonts w:ascii="Times New Roman" w:hAnsi="Times New Roman" w:cs="Times New Roman"/>
                <w:color w:val="000000"/>
                <w:sz w:val="18"/>
                <w:szCs w:val="18"/>
              </w:rPr>
            </w:pPr>
            <w:r w:rsidRPr="006C5CF4">
              <w:rPr>
                <w:rFonts w:ascii="Times New Roman" w:hAnsi="Times New Roman" w:cs="Times New Roman"/>
                <w:color w:val="000000"/>
                <w:sz w:val="18"/>
                <w:szCs w:val="18"/>
              </w:rPr>
              <w:t>2002</w:t>
            </w:r>
          </w:p>
        </w:tc>
        <w:tc>
          <w:tcPr>
            <w:tcW w:w="504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rPr>
                <w:rFonts w:ascii="Times New Roman" w:hAnsi="Times New Roman" w:cs="Times New Roman"/>
                <w:color w:val="000000"/>
                <w:sz w:val="18"/>
                <w:szCs w:val="18"/>
              </w:rPr>
            </w:pPr>
            <w:proofErr w:type="spellStart"/>
            <w:r w:rsidRPr="006C5CF4">
              <w:rPr>
                <w:rFonts w:ascii="Times New Roman" w:hAnsi="Times New Roman" w:cs="Times New Roman"/>
                <w:color w:val="000000"/>
                <w:sz w:val="18"/>
                <w:szCs w:val="18"/>
              </w:rPr>
              <w:t>Taiz</w:t>
            </w:r>
            <w:proofErr w:type="spellEnd"/>
            <w:r w:rsidRPr="006C5CF4">
              <w:rPr>
                <w:rFonts w:ascii="Times New Roman" w:hAnsi="Times New Roman" w:cs="Times New Roman"/>
                <w:color w:val="000000"/>
                <w:sz w:val="18"/>
                <w:szCs w:val="18"/>
              </w:rPr>
              <w:t xml:space="preserve"> Municipal Development and Flood Protection Project</w:t>
            </w:r>
          </w:p>
        </w:tc>
        <w:tc>
          <w:tcPr>
            <w:tcW w:w="108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50.0 </w:t>
            </w:r>
          </w:p>
        </w:tc>
        <w:tc>
          <w:tcPr>
            <w:tcW w:w="81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74</w:t>
            </w:r>
          </w:p>
        </w:tc>
        <w:tc>
          <w:tcPr>
            <w:tcW w:w="108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37.0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w:t>
            </w:r>
          </w:p>
        </w:tc>
        <w:tc>
          <w:tcPr>
            <w:tcW w:w="81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45.2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45.2 </w:t>
            </w:r>
          </w:p>
        </w:tc>
        <w:tc>
          <w:tcPr>
            <w:tcW w:w="99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33.4 </w:t>
            </w:r>
          </w:p>
        </w:tc>
      </w:tr>
      <w:tr w:rsidR="006C5CF4" w:rsidRPr="009D0D77" w:rsidTr="006C5CF4">
        <w:trPr>
          <w:trHeight w:val="233"/>
        </w:trPr>
        <w:tc>
          <w:tcPr>
            <w:tcW w:w="1260" w:type="dxa"/>
            <w:vMerge/>
            <w:tcBorders>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jc w:val="center"/>
              <w:rPr>
                <w:rFonts w:ascii="Times New Roman" w:hAnsi="Times New Roman" w:cs="Times New Roman"/>
                <w:color w:val="000000"/>
                <w:sz w:val="18"/>
                <w:szCs w:val="18"/>
              </w:rPr>
            </w:pPr>
            <w:r w:rsidRPr="006C5CF4">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rPr>
                <w:rFonts w:ascii="Times New Roman" w:hAnsi="Times New Roman" w:cs="Times New Roman"/>
                <w:color w:val="000000"/>
                <w:sz w:val="18"/>
                <w:szCs w:val="18"/>
              </w:rPr>
            </w:pPr>
            <w:proofErr w:type="spellStart"/>
            <w:r w:rsidRPr="006C5CF4">
              <w:rPr>
                <w:rFonts w:ascii="Times New Roman" w:hAnsi="Times New Roman" w:cs="Times New Roman"/>
                <w:color w:val="000000"/>
                <w:sz w:val="18"/>
                <w:szCs w:val="18"/>
              </w:rPr>
              <w:t>Taiz</w:t>
            </w:r>
            <w:proofErr w:type="spellEnd"/>
            <w:r w:rsidRPr="006C5CF4">
              <w:rPr>
                <w:rFonts w:ascii="Times New Roman" w:hAnsi="Times New Roman" w:cs="Times New Roman"/>
                <w:color w:val="000000"/>
                <w:sz w:val="18"/>
                <w:szCs w:val="18"/>
              </w:rPr>
              <w:t xml:space="preserve"> Municipal Development and Flood Protection Project</w:t>
            </w:r>
          </w:p>
        </w:tc>
        <w:tc>
          <w:tcPr>
            <w:tcW w:w="108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22.1 </w:t>
            </w:r>
          </w:p>
        </w:tc>
        <w:tc>
          <w:tcPr>
            <w:tcW w:w="81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6C5CF4">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52</w:t>
            </w:r>
          </w:p>
        </w:tc>
        <w:tc>
          <w:tcPr>
            <w:tcW w:w="108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11.5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20.0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20.0 </w:t>
            </w:r>
          </w:p>
        </w:tc>
        <w:tc>
          <w:tcPr>
            <w:tcW w:w="990" w:type="dxa"/>
            <w:tcBorders>
              <w:top w:val="single" w:sz="6" w:space="0" w:color="auto"/>
              <w:left w:val="single" w:sz="6" w:space="0" w:color="auto"/>
              <w:bottom w:val="single" w:sz="6" w:space="0" w:color="auto"/>
              <w:right w:val="single" w:sz="6" w:space="0" w:color="auto"/>
            </w:tcBorders>
            <w:vAlign w:val="bottom"/>
          </w:tcPr>
          <w:p w:rsidR="006C5CF4" w:rsidRPr="006C5CF4"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6C5CF4">
              <w:rPr>
                <w:rFonts w:ascii="Times New Roman" w:hAnsi="Times New Roman" w:cs="Times New Roman"/>
                <w:color w:val="000000"/>
                <w:sz w:val="18"/>
                <w:szCs w:val="18"/>
              </w:rPr>
              <w:t xml:space="preserve"> 10.4 </w:t>
            </w:r>
          </w:p>
        </w:tc>
      </w:tr>
      <w:tr w:rsidR="003A7A70" w:rsidRPr="009D0D77" w:rsidTr="006C5CF4">
        <w:trPr>
          <w:trHeight w:val="233"/>
        </w:trPr>
        <w:tc>
          <w:tcPr>
            <w:tcW w:w="14490" w:type="dxa"/>
            <w:gridSpan w:val="11"/>
            <w:tcBorders>
              <w:top w:val="single" w:sz="6" w:space="0" w:color="auto"/>
              <w:left w:val="single" w:sz="6" w:space="0" w:color="auto"/>
              <w:bottom w:val="single" w:sz="6" w:space="0" w:color="auto"/>
              <w:right w:val="single" w:sz="6" w:space="0" w:color="auto"/>
            </w:tcBorders>
          </w:tcPr>
          <w:p w:rsidR="003A7A70" w:rsidRPr="009D0D77" w:rsidRDefault="003A7A70" w:rsidP="009D0D77">
            <w:pPr>
              <w:autoSpaceDE w:val="0"/>
              <w:autoSpaceDN w:val="0"/>
              <w:adjustRightInd w:val="0"/>
              <w:spacing w:after="0" w:line="240" w:lineRule="auto"/>
              <w:jc w:val="center"/>
              <w:rPr>
                <w:rFonts w:ascii="Times New Roman" w:hAnsi="Times New Roman" w:cs="Times New Roman"/>
                <w:b/>
                <w:bCs/>
                <w:color w:val="000000"/>
                <w:sz w:val="18"/>
                <w:szCs w:val="18"/>
              </w:rPr>
            </w:pPr>
            <w:r w:rsidRPr="009D0D77">
              <w:rPr>
                <w:rFonts w:ascii="Times New Roman" w:hAnsi="Times New Roman" w:cs="Times New Roman"/>
                <w:b/>
                <w:bCs/>
                <w:color w:val="000000"/>
                <w:sz w:val="18"/>
                <w:szCs w:val="18"/>
              </w:rPr>
              <w:t>South Asia</w:t>
            </w:r>
          </w:p>
        </w:tc>
      </w:tr>
      <w:tr w:rsidR="006C5CF4" w:rsidRPr="009D0D77" w:rsidTr="001C34A4">
        <w:trPr>
          <w:trHeight w:val="233"/>
        </w:trPr>
        <w:tc>
          <w:tcPr>
            <w:tcW w:w="1260" w:type="dxa"/>
            <w:vMerge w:val="restart"/>
            <w:tcBorders>
              <w:top w:val="single" w:sz="6" w:space="0" w:color="auto"/>
              <w:left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Bangladesh</w:t>
            </w: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1996</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Coastal Embankment Rehabilitation</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87.8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85</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74.6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53.0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53.0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45.1 </w:t>
            </w:r>
          </w:p>
        </w:tc>
      </w:tr>
      <w:tr w:rsidR="006C5CF4" w:rsidRPr="009D0D77" w:rsidTr="001C34A4">
        <w:trPr>
          <w:trHeight w:val="233"/>
        </w:trPr>
        <w:tc>
          <w:tcPr>
            <w:tcW w:w="1260" w:type="dxa"/>
            <w:vMerge/>
            <w:tcBorders>
              <w:left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Coastal Embankment Rehabilitation - Additional Financing</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16.5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58</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9.6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16.5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16.5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9.6 </w:t>
            </w:r>
          </w:p>
        </w:tc>
      </w:tr>
      <w:tr w:rsidR="006C5CF4" w:rsidRPr="009D0D77" w:rsidTr="001C34A4">
        <w:trPr>
          <w:trHeight w:val="233"/>
        </w:trPr>
        <w:tc>
          <w:tcPr>
            <w:tcW w:w="1260" w:type="dxa"/>
            <w:vMerge/>
            <w:tcBorders>
              <w:left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2009</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Dhaka Water Supply and Sanitation Project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165.7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51</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84.5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D0D77">
              <w:rPr>
                <w:rFonts w:ascii="Times New Roman" w:hAnsi="Times New Roman" w:cs="Times New Roman"/>
                <w:color w:val="000000"/>
                <w:sz w:val="18"/>
                <w:szCs w:val="18"/>
              </w:rPr>
              <w:t xml:space="preserve">149.0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149.0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76.0 </w:t>
            </w:r>
          </w:p>
        </w:tc>
      </w:tr>
      <w:tr w:rsidR="006C5CF4" w:rsidRPr="009D0D77" w:rsidTr="001C34A4">
        <w:trPr>
          <w:trHeight w:val="233"/>
        </w:trPr>
        <w:tc>
          <w:tcPr>
            <w:tcW w:w="1260" w:type="dxa"/>
            <w:vMerge/>
            <w:tcBorders>
              <w:left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1999</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River Bank Protection Project - Additional Financing</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45.0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94</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42.3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45.0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45.0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42.3 </w:t>
            </w:r>
          </w:p>
        </w:tc>
      </w:tr>
      <w:tr w:rsidR="006C5CF4" w:rsidRPr="009D0D77" w:rsidTr="001C34A4">
        <w:trPr>
          <w:trHeight w:val="233"/>
        </w:trPr>
        <w:tc>
          <w:tcPr>
            <w:tcW w:w="1260" w:type="dxa"/>
            <w:vMerge/>
            <w:tcBorders>
              <w:left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1996</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River Bank Protection Project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192.0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93</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178.6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D0D77">
              <w:rPr>
                <w:rFonts w:ascii="Times New Roman" w:hAnsi="Times New Roman" w:cs="Times New Roman"/>
                <w:color w:val="000000"/>
                <w:sz w:val="18"/>
                <w:szCs w:val="18"/>
              </w:rPr>
              <w:t xml:space="preserve">121.9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121.9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113.4 </w:t>
            </w:r>
          </w:p>
        </w:tc>
      </w:tr>
      <w:tr w:rsidR="006C5CF4" w:rsidRPr="009D0D77" w:rsidTr="001C34A4">
        <w:trPr>
          <w:trHeight w:val="233"/>
        </w:trPr>
        <w:tc>
          <w:tcPr>
            <w:tcW w:w="1260" w:type="dxa"/>
            <w:vMerge/>
            <w:tcBorders>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2008</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Water Management Improvement Project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136.7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64</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87.5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D0D77">
              <w:rPr>
                <w:rFonts w:ascii="Times New Roman" w:hAnsi="Times New Roman" w:cs="Times New Roman"/>
                <w:color w:val="000000"/>
                <w:sz w:val="18"/>
                <w:szCs w:val="18"/>
              </w:rPr>
              <w:t xml:space="preserve">102.3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102.3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65.4 </w:t>
            </w:r>
          </w:p>
        </w:tc>
      </w:tr>
      <w:tr w:rsidR="006C5CF4" w:rsidRPr="009D0D77" w:rsidTr="001C34A4">
        <w:trPr>
          <w:trHeight w:val="233"/>
        </w:trPr>
        <w:tc>
          <w:tcPr>
            <w:tcW w:w="1260" w:type="dxa"/>
            <w:vMerge w:val="restart"/>
            <w:tcBorders>
              <w:top w:val="single" w:sz="6" w:space="0" w:color="auto"/>
              <w:left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India</w:t>
            </w: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2010</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Bihar Flood Management Information System Phase II</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1.5 </w:t>
            </w:r>
          </w:p>
        </w:tc>
      </w:tr>
      <w:tr w:rsidR="006C5CF4" w:rsidRPr="009D0D77" w:rsidTr="001C34A4">
        <w:trPr>
          <w:trHeight w:val="233"/>
        </w:trPr>
        <w:tc>
          <w:tcPr>
            <w:tcW w:w="1260" w:type="dxa"/>
            <w:vMerge/>
            <w:tcBorders>
              <w:left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1991</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Dam Safety Project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196.8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87</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171.2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23.0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D0D77">
              <w:rPr>
                <w:rFonts w:ascii="Times New Roman" w:hAnsi="Times New Roman" w:cs="Times New Roman"/>
                <w:color w:val="000000"/>
                <w:sz w:val="18"/>
                <w:szCs w:val="18"/>
              </w:rPr>
              <w:t xml:space="preserve">130.0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153.0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133.1 </w:t>
            </w:r>
          </w:p>
        </w:tc>
      </w:tr>
      <w:tr w:rsidR="006C5CF4" w:rsidRPr="009D0D77" w:rsidTr="001C34A4">
        <w:trPr>
          <w:trHeight w:val="233"/>
        </w:trPr>
        <w:tc>
          <w:tcPr>
            <w:tcW w:w="1260" w:type="dxa"/>
            <w:vMerge/>
            <w:tcBorders>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center"/>
              <w:rPr>
                <w:rFonts w:ascii="Times New Roman" w:hAnsi="Times New Roman" w:cs="Times New Roman"/>
                <w:color w:val="000000"/>
                <w:sz w:val="18"/>
                <w:szCs w:val="18"/>
              </w:rPr>
            </w:pPr>
            <w:r w:rsidRPr="009D0D77">
              <w:rPr>
                <w:rFonts w:ascii="Times New Roman" w:hAnsi="Times New Roman" w:cs="Times New Roman"/>
                <w:color w:val="000000"/>
                <w:sz w:val="18"/>
                <w:szCs w:val="18"/>
              </w:rPr>
              <w:t>2007</w:t>
            </w:r>
          </w:p>
        </w:tc>
        <w:tc>
          <w:tcPr>
            <w:tcW w:w="504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rPr>
                <w:rFonts w:ascii="Times New Roman" w:hAnsi="Times New Roman" w:cs="Times New Roman"/>
                <w:color w:val="000000"/>
                <w:sz w:val="18"/>
                <w:szCs w:val="18"/>
              </w:rPr>
            </w:pPr>
            <w:r w:rsidRPr="009D0D77">
              <w:rPr>
                <w:rFonts w:ascii="Times New Roman" w:hAnsi="Times New Roman" w:cs="Times New Roman"/>
                <w:color w:val="000000"/>
                <w:sz w:val="18"/>
                <w:szCs w:val="18"/>
              </w:rPr>
              <w:t>Bihar Flood Management (</w:t>
            </w:r>
            <w:proofErr w:type="spellStart"/>
            <w:r w:rsidRPr="009D0D77">
              <w:rPr>
                <w:rFonts w:ascii="Times New Roman" w:hAnsi="Times New Roman" w:cs="Times New Roman"/>
                <w:color w:val="000000"/>
                <w:sz w:val="18"/>
                <w:szCs w:val="18"/>
              </w:rPr>
              <w:t>DFID</w:t>
            </w:r>
            <w:proofErr w:type="spellEnd"/>
            <w:r w:rsidRPr="009D0D77">
              <w:rPr>
                <w:rFonts w:ascii="Times New Roman" w:hAnsi="Times New Roman" w:cs="Times New Roman"/>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0.6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6C5CF4" w:rsidRPr="009D0D77" w:rsidRDefault="006C5CF4" w:rsidP="009D0D77">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0.6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  0.6 </w:t>
            </w:r>
          </w:p>
        </w:tc>
        <w:tc>
          <w:tcPr>
            <w:tcW w:w="90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0.6 </w:t>
            </w:r>
          </w:p>
        </w:tc>
        <w:tc>
          <w:tcPr>
            <w:tcW w:w="990" w:type="dxa"/>
            <w:tcBorders>
              <w:top w:val="single" w:sz="6" w:space="0" w:color="auto"/>
              <w:left w:val="single" w:sz="6" w:space="0" w:color="auto"/>
              <w:bottom w:val="single" w:sz="6" w:space="0" w:color="auto"/>
              <w:right w:val="single" w:sz="6" w:space="0" w:color="auto"/>
            </w:tcBorders>
          </w:tcPr>
          <w:p w:rsidR="006C5CF4" w:rsidRPr="009D0D77" w:rsidRDefault="006C5CF4" w:rsidP="0002657C">
            <w:pPr>
              <w:autoSpaceDE w:val="0"/>
              <w:autoSpaceDN w:val="0"/>
              <w:adjustRightInd w:val="0"/>
              <w:spacing w:after="0" w:line="240" w:lineRule="auto"/>
              <w:jc w:val="right"/>
              <w:rPr>
                <w:rFonts w:ascii="Times New Roman" w:hAnsi="Times New Roman" w:cs="Times New Roman"/>
                <w:color w:val="000000"/>
                <w:sz w:val="18"/>
                <w:szCs w:val="18"/>
              </w:rPr>
            </w:pPr>
            <w:r w:rsidRPr="009D0D77">
              <w:rPr>
                <w:rFonts w:ascii="Times New Roman" w:hAnsi="Times New Roman" w:cs="Times New Roman"/>
                <w:color w:val="000000"/>
                <w:sz w:val="18"/>
                <w:szCs w:val="18"/>
              </w:rPr>
              <w:t xml:space="preserve">0.6 </w:t>
            </w:r>
          </w:p>
        </w:tc>
      </w:tr>
    </w:tbl>
    <w:p w:rsidR="000A6D07" w:rsidRDefault="000A6D07" w:rsidP="003C7C57">
      <w:pPr>
        <w:autoSpaceDE w:val="0"/>
        <w:autoSpaceDN w:val="0"/>
        <w:adjustRightInd w:val="0"/>
        <w:spacing w:after="0" w:line="240" w:lineRule="auto"/>
        <w:rPr>
          <w:rFonts w:ascii="Times New Roman" w:hAnsi="Times New Roman" w:cs="Times New Roman"/>
          <w:bCs/>
          <w:iCs/>
          <w:color w:val="000000" w:themeColor="text1"/>
          <w:sz w:val="24"/>
          <w:szCs w:val="24"/>
        </w:rPr>
      </w:pPr>
    </w:p>
    <w:p w:rsidR="0002657C" w:rsidRPr="006C5CF4" w:rsidRDefault="0002657C" w:rsidP="0002657C">
      <w:pPr>
        <w:autoSpaceDE w:val="0"/>
        <w:autoSpaceDN w:val="0"/>
        <w:adjustRightInd w:val="0"/>
        <w:spacing w:line="240" w:lineRule="auto"/>
        <w:jc w:val="center"/>
        <w:rPr>
          <w:rFonts w:ascii="Times New Roman" w:hAnsi="Times New Roman" w:cs="Times New Roman"/>
          <w:b/>
          <w:bCs/>
          <w:iCs/>
          <w:color w:val="000000" w:themeColor="text1"/>
          <w:sz w:val="24"/>
          <w:szCs w:val="24"/>
        </w:rPr>
      </w:pPr>
      <w:r w:rsidRPr="006C5CF4">
        <w:rPr>
          <w:rFonts w:ascii="Times New Roman" w:hAnsi="Times New Roman" w:cs="Times New Roman"/>
          <w:b/>
          <w:bCs/>
          <w:iCs/>
          <w:color w:val="000000" w:themeColor="text1"/>
          <w:sz w:val="24"/>
          <w:szCs w:val="24"/>
        </w:rPr>
        <w:lastRenderedPageBreak/>
        <w:t xml:space="preserve">Table </w:t>
      </w:r>
      <w:r>
        <w:rPr>
          <w:rFonts w:ascii="Times New Roman" w:hAnsi="Times New Roman" w:cs="Times New Roman"/>
          <w:b/>
          <w:bCs/>
          <w:iCs/>
          <w:color w:val="000000" w:themeColor="text1"/>
          <w:sz w:val="24"/>
          <w:szCs w:val="24"/>
        </w:rPr>
        <w:t>2</w:t>
      </w:r>
      <w:r w:rsidRPr="006C5CF4">
        <w:rPr>
          <w:rFonts w:ascii="Times New Roman" w:hAnsi="Times New Roman" w:cs="Times New Roman"/>
          <w:b/>
          <w:bCs/>
          <w:iCs/>
          <w:color w:val="000000" w:themeColor="text1"/>
          <w:sz w:val="24"/>
          <w:szCs w:val="24"/>
        </w:rPr>
        <w:t xml:space="preserve">: World Bank Dedicated Flood Protection Projects </w:t>
      </w:r>
      <w:r>
        <w:rPr>
          <w:rFonts w:ascii="Times New Roman" w:hAnsi="Times New Roman" w:cs="Times New Roman"/>
          <w:b/>
          <w:bCs/>
          <w:iCs/>
          <w:color w:val="000000" w:themeColor="text1"/>
          <w:sz w:val="24"/>
          <w:szCs w:val="24"/>
        </w:rPr>
        <w:t>in the FY12-13 Pipeline</w:t>
      </w:r>
    </w:p>
    <w:p w:rsidR="006C5CF4" w:rsidRDefault="006C5CF4" w:rsidP="003C7C57">
      <w:pPr>
        <w:autoSpaceDE w:val="0"/>
        <w:autoSpaceDN w:val="0"/>
        <w:adjustRightInd w:val="0"/>
        <w:spacing w:after="0" w:line="240" w:lineRule="auto"/>
        <w:rPr>
          <w:rFonts w:ascii="Times New Roman" w:hAnsi="Times New Roman" w:cs="Times New Roman"/>
          <w:bCs/>
          <w:iCs/>
          <w:color w:val="000000" w:themeColor="text1"/>
          <w:sz w:val="24"/>
          <w:szCs w:val="24"/>
        </w:rPr>
      </w:pPr>
    </w:p>
    <w:tbl>
      <w:tblPr>
        <w:tblW w:w="14490" w:type="dxa"/>
        <w:tblInd w:w="-522" w:type="dxa"/>
        <w:tblLayout w:type="fixed"/>
        <w:tblLook w:val="0000"/>
      </w:tblPr>
      <w:tblGrid>
        <w:gridCol w:w="1260"/>
        <w:gridCol w:w="720"/>
        <w:gridCol w:w="5040"/>
        <w:gridCol w:w="1080"/>
        <w:gridCol w:w="810"/>
        <w:gridCol w:w="1080"/>
        <w:gridCol w:w="900"/>
        <w:gridCol w:w="810"/>
        <w:gridCol w:w="900"/>
        <w:gridCol w:w="900"/>
        <w:gridCol w:w="990"/>
      </w:tblGrid>
      <w:tr w:rsidR="001C34A4" w:rsidRPr="001C34A4" w:rsidTr="001C34A4">
        <w:trPr>
          <w:trHeight w:val="233"/>
        </w:trPr>
        <w:tc>
          <w:tcPr>
            <w:tcW w:w="1260" w:type="dxa"/>
            <w:tcBorders>
              <w:top w:val="single" w:sz="6" w:space="0" w:color="auto"/>
              <w:left w:val="single" w:sz="6" w:space="0" w:color="auto"/>
              <w:bottom w:val="nil"/>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Country</w:t>
            </w:r>
          </w:p>
        </w:tc>
        <w:tc>
          <w:tcPr>
            <w:tcW w:w="720" w:type="dxa"/>
            <w:tcBorders>
              <w:top w:val="single" w:sz="6" w:space="0" w:color="auto"/>
              <w:left w:val="single" w:sz="6" w:space="0" w:color="auto"/>
              <w:bottom w:val="nil"/>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FY</w:t>
            </w:r>
          </w:p>
        </w:tc>
        <w:tc>
          <w:tcPr>
            <w:tcW w:w="5040" w:type="dxa"/>
            <w:tcBorders>
              <w:top w:val="single" w:sz="6" w:space="0" w:color="auto"/>
              <w:left w:val="single" w:sz="6" w:space="0" w:color="auto"/>
              <w:bottom w:val="nil"/>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Project Name</w:t>
            </w:r>
          </w:p>
        </w:tc>
        <w:tc>
          <w:tcPr>
            <w:tcW w:w="1080" w:type="dxa"/>
            <w:tcBorders>
              <w:top w:val="single" w:sz="6" w:space="0" w:color="auto"/>
              <w:left w:val="single" w:sz="6" w:space="0" w:color="auto"/>
              <w:bottom w:val="nil"/>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Total Cost</w:t>
            </w:r>
          </w:p>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US$ million</w:t>
            </w:r>
          </w:p>
        </w:tc>
        <w:tc>
          <w:tcPr>
            <w:tcW w:w="1890" w:type="dxa"/>
            <w:gridSpan w:val="2"/>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Flood Protection Cost</w:t>
            </w:r>
          </w:p>
        </w:tc>
        <w:tc>
          <w:tcPr>
            <w:tcW w:w="4500" w:type="dxa"/>
            <w:gridSpan w:val="5"/>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World Bank Commitment (US$ million)</w:t>
            </w:r>
          </w:p>
        </w:tc>
      </w:tr>
      <w:tr w:rsidR="001C34A4" w:rsidRPr="001C34A4" w:rsidTr="001C34A4">
        <w:trPr>
          <w:trHeight w:val="233"/>
        </w:trPr>
        <w:tc>
          <w:tcPr>
            <w:tcW w:w="1260" w:type="dxa"/>
            <w:tcBorders>
              <w:top w:val="nil"/>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20" w:type="dxa"/>
            <w:tcBorders>
              <w:top w:val="nil"/>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5040" w:type="dxa"/>
            <w:tcBorders>
              <w:top w:val="nil"/>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80" w:type="dxa"/>
            <w:tcBorders>
              <w:top w:val="nil"/>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US$ million</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proofErr w:type="spellStart"/>
            <w:r w:rsidRPr="001C34A4">
              <w:rPr>
                <w:rFonts w:ascii="Times New Roman" w:hAnsi="Times New Roman" w:cs="Times New Roman"/>
                <w:b/>
                <w:bCs/>
                <w:color w:val="000000"/>
                <w:sz w:val="18"/>
                <w:szCs w:val="18"/>
              </w:rPr>
              <w:t>IBRD</w:t>
            </w:r>
            <w:proofErr w:type="spellEnd"/>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IDA</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Grant</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Total</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For Flood Control</w:t>
            </w:r>
          </w:p>
        </w:tc>
      </w:tr>
      <w:tr w:rsidR="0002657C" w:rsidRPr="001C34A4" w:rsidTr="00045B86">
        <w:trPr>
          <w:trHeight w:val="233"/>
        </w:trPr>
        <w:tc>
          <w:tcPr>
            <w:tcW w:w="14490" w:type="dxa"/>
            <w:gridSpan w:val="11"/>
            <w:tcBorders>
              <w:top w:val="single" w:sz="6" w:space="0" w:color="auto"/>
              <w:left w:val="single" w:sz="6" w:space="0" w:color="auto"/>
              <w:bottom w:val="single" w:sz="6" w:space="0" w:color="000000"/>
              <w:right w:val="single" w:sz="6" w:space="0" w:color="auto"/>
            </w:tcBorders>
          </w:tcPr>
          <w:p w:rsidR="0002657C" w:rsidRPr="001C34A4" w:rsidRDefault="0002657C"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Africa</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Senegal</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proofErr w:type="spellStart"/>
            <w:r w:rsidRPr="001C34A4">
              <w:rPr>
                <w:rFonts w:ascii="Times New Roman" w:hAnsi="Times New Roman" w:cs="Times New Roman"/>
                <w:color w:val="000000"/>
                <w:sz w:val="18"/>
                <w:szCs w:val="18"/>
              </w:rPr>
              <w:t>Stormwater</w:t>
            </w:r>
            <w:proofErr w:type="spellEnd"/>
            <w:r w:rsidRPr="001C34A4">
              <w:rPr>
                <w:rFonts w:ascii="Times New Roman" w:hAnsi="Times New Roman" w:cs="Times New Roman"/>
                <w:color w:val="000000"/>
                <w:sz w:val="18"/>
                <w:szCs w:val="18"/>
              </w:rPr>
              <w:t xml:space="preserve"> Mgt. and Climate Change Adaptation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86.2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51.7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55.2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55.2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33.1 </w:t>
            </w:r>
          </w:p>
        </w:tc>
      </w:tr>
      <w:tr w:rsidR="001C34A4" w:rsidRPr="001C34A4" w:rsidTr="001C34A4">
        <w:trPr>
          <w:trHeight w:val="233"/>
        </w:trPr>
        <w:tc>
          <w:tcPr>
            <w:tcW w:w="1260" w:type="dxa"/>
            <w:tcBorders>
              <w:top w:val="single" w:sz="6" w:space="0" w:color="000000"/>
              <w:left w:val="single" w:sz="6" w:space="0" w:color="000000"/>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Togo</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Emergency Infrastructure Rehabilitation &amp; Energy Project - Additional Financing</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14.0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80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11.2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14.0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14.0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02657C">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11.2 </w:t>
            </w:r>
          </w:p>
        </w:tc>
      </w:tr>
      <w:tr w:rsidR="0002657C" w:rsidRPr="001C34A4" w:rsidTr="00045B86">
        <w:trPr>
          <w:trHeight w:val="233"/>
        </w:trPr>
        <w:tc>
          <w:tcPr>
            <w:tcW w:w="14490" w:type="dxa"/>
            <w:gridSpan w:val="11"/>
            <w:tcBorders>
              <w:top w:val="single" w:sz="6" w:space="0" w:color="auto"/>
              <w:left w:val="single" w:sz="6" w:space="0" w:color="auto"/>
              <w:bottom w:val="single" w:sz="6" w:space="0" w:color="000000"/>
              <w:right w:val="single" w:sz="6" w:space="0" w:color="auto"/>
            </w:tcBorders>
          </w:tcPr>
          <w:p w:rsidR="0002657C" w:rsidRPr="001C34A4" w:rsidRDefault="0002657C"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East Asia and Pacific</w:t>
            </w:r>
          </w:p>
        </w:tc>
      </w:tr>
      <w:tr w:rsidR="001C34A4" w:rsidRPr="001C34A4" w:rsidTr="001C34A4">
        <w:trPr>
          <w:trHeight w:val="233"/>
        </w:trPr>
        <w:tc>
          <w:tcPr>
            <w:tcW w:w="1260" w:type="dxa"/>
            <w:tcBorders>
              <w:top w:val="single" w:sz="6" w:space="0" w:color="000000"/>
              <w:left w:val="single" w:sz="6" w:space="0" w:color="000000"/>
              <w:bottom w:val="nil"/>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China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Guangxi </w:t>
            </w:r>
            <w:proofErr w:type="spellStart"/>
            <w:r w:rsidRPr="001C34A4">
              <w:rPr>
                <w:rFonts w:ascii="Times New Roman" w:hAnsi="Times New Roman" w:cs="Times New Roman"/>
                <w:color w:val="000000"/>
                <w:sz w:val="18"/>
                <w:szCs w:val="18"/>
              </w:rPr>
              <w:t>Laibin</w:t>
            </w:r>
            <w:proofErr w:type="spellEnd"/>
            <w:r w:rsidRPr="001C34A4">
              <w:rPr>
                <w:rFonts w:ascii="Times New Roman" w:hAnsi="Times New Roman" w:cs="Times New Roman"/>
                <w:color w:val="000000"/>
                <w:sz w:val="18"/>
                <w:szCs w:val="18"/>
              </w:rPr>
              <w:t xml:space="preserve"> Water and Environment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160.0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80.0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1C34A4" w:rsidRPr="001C34A4" w:rsidTr="001C34A4">
        <w:trPr>
          <w:trHeight w:val="233"/>
        </w:trPr>
        <w:tc>
          <w:tcPr>
            <w:tcW w:w="1260" w:type="dxa"/>
            <w:tcBorders>
              <w:top w:val="nil"/>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proofErr w:type="spellStart"/>
            <w:r w:rsidRPr="001C34A4">
              <w:rPr>
                <w:rFonts w:ascii="Times New Roman" w:hAnsi="Times New Roman" w:cs="Times New Roman"/>
                <w:color w:val="000000"/>
                <w:sz w:val="18"/>
                <w:szCs w:val="18"/>
              </w:rPr>
              <w:t>Ma'anshan</w:t>
            </w:r>
            <w:proofErr w:type="spellEnd"/>
            <w:r w:rsidRPr="001C34A4">
              <w:rPr>
                <w:rFonts w:ascii="Times New Roman" w:hAnsi="Times New Roman" w:cs="Times New Roman"/>
                <w:color w:val="000000"/>
                <w:sz w:val="18"/>
                <w:szCs w:val="18"/>
              </w:rPr>
              <w:t xml:space="preserve"> </w:t>
            </w:r>
            <w:proofErr w:type="spellStart"/>
            <w:r w:rsidRPr="001C34A4">
              <w:rPr>
                <w:rFonts w:ascii="Times New Roman" w:hAnsi="Times New Roman" w:cs="Times New Roman"/>
                <w:color w:val="000000"/>
                <w:sz w:val="18"/>
                <w:szCs w:val="18"/>
              </w:rPr>
              <w:t>Cihu</w:t>
            </w:r>
            <w:proofErr w:type="spellEnd"/>
            <w:r w:rsidRPr="001C34A4">
              <w:rPr>
                <w:rFonts w:ascii="Times New Roman" w:hAnsi="Times New Roman" w:cs="Times New Roman"/>
                <w:color w:val="000000"/>
                <w:sz w:val="18"/>
                <w:szCs w:val="18"/>
              </w:rPr>
              <w:t xml:space="preserve"> River Basin Improvement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286.0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143.0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110.0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110.0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55.0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Indonesia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Jakarta Urgent Flood Mitigation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189.9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189.9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139.6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139.6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139.6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Mongolia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Improving Disaster Risk Management in Mongolia</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2.7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1.4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2.7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2.7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1.4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Pacific Islands</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Integrated Flood Management: Pilot Project, </w:t>
            </w:r>
            <w:proofErr w:type="spellStart"/>
            <w:r w:rsidRPr="001C34A4">
              <w:rPr>
                <w:rFonts w:ascii="Times New Roman" w:hAnsi="Times New Roman" w:cs="Times New Roman"/>
                <w:color w:val="000000"/>
                <w:sz w:val="18"/>
                <w:szCs w:val="18"/>
              </w:rPr>
              <w:t>Nadi</w:t>
            </w:r>
            <w:proofErr w:type="spellEnd"/>
            <w:r w:rsidRPr="001C34A4">
              <w:rPr>
                <w:rFonts w:ascii="Times New Roman" w:hAnsi="Times New Roman" w:cs="Times New Roman"/>
                <w:color w:val="000000"/>
                <w:sz w:val="18"/>
                <w:szCs w:val="18"/>
              </w:rPr>
              <w:t>, Fiji</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Solomon Islands</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Increasing Resilience to Climate Change and Natural Hazards.</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2.7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1.6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1C34A4" w:rsidRPr="001C34A4" w:rsidTr="001C34A4">
        <w:trPr>
          <w:trHeight w:val="233"/>
        </w:trPr>
        <w:tc>
          <w:tcPr>
            <w:tcW w:w="1260" w:type="dxa"/>
            <w:tcBorders>
              <w:top w:val="single" w:sz="6" w:space="0" w:color="000000"/>
              <w:left w:val="single" w:sz="6" w:space="0" w:color="000000"/>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Vanuatu</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Mainstreaming Disaster Risk Reduction.</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2.7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1.6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02657C" w:rsidRPr="001C34A4" w:rsidTr="00045B86">
        <w:trPr>
          <w:trHeight w:val="233"/>
        </w:trPr>
        <w:tc>
          <w:tcPr>
            <w:tcW w:w="14490" w:type="dxa"/>
            <w:gridSpan w:val="11"/>
            <w:tcBorders>
              <w:top w:val="single" w:sz="6" w:space="0" w:color="auto"/>
              <w:left w:val="single" w:sz="6" w:space="0" w:color="auto"/>
              <w:bottom w:val="single" w:sz="6" w:space="0" w:color="000000"/>
              <w:right w:val="single" w:sz="6" w:space="0" w:color="auto"/>
            </w:tcBorders>
          </w:tcPr>
          <w:p w:rsidR="0002657C" w:rsidRPr="001C34A4" w:rsidRDefault="0002657C"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Europe and Central Asia</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Albania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Water Resources and Irrigation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40.0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20.0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40.0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40.0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20.0 </w:t>
            </w:r>
          </w:p>
        </w:tc>
      </w:tr>
      <w:tr w:rsidR="001C34A4" w:rsidRPr="001C34A4" w:rsidTr="001C34A4">
        <w:trPr>
          <w:trHeight w:val="233"/>
        </w:trPr>
        <w:tc>
          <w:tcPr>
            <w:tcW w:w="1260" w:type="dxa"/>
            <w:tcBorders>
              <w:top w:val="single" w:sz="6" w:space="0" w:color="000000"/>
              <w:left w:val="single" w:sz="6" w:space="0" w:color="000000"/>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Kazakhstan</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proofErr w:type="spellStart"/>
            <w:r w:rsidRPr="001C34A4">
              <w:rPr>
                <w:rFonts w:ascii="Times New Roman" w:hAnsi="Times New Roman" w:cs="Times New Roman"/>
                <w:color w:val="000000"/>
                <w:sz w:val="18"/>
                <w:szCs w:val="18"/>
              </w:rPr>
              <w:t>Syr</w:t>
            </w:r>
            <w:proofErr w:type="spellEnd"/>
            <w:r w:rsidRPr="001C34A4">
              <w:rPr>
                <w:rFonts w:ascii="Times New Roman" w:hAnsi="Times New Roman" w:cs="Times New Roman"/>
                <w:color w:val="000000"/>
                <w:sz w:val="18"/>
                <w:szCs w:val="18"/>
              </w:rPr>
              <w:t xml:space="preserve"> Darya Control and Northern Aral Sea Project - Phase II</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325.8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40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130.3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165.8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165.8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66.3 </w:t>
            </w:r>
          </w:p>
        </w:tc>
      </w:tr>
      <w:tr w:rsidR="0002657C" w:rsidRPr="001C34A4" w:rsidTr="00045B86">
        <w:trPr>
          <w:trHeight w:val="233"/>
        </w:trPr>
        <w:tc>
          <w:tcPr>
            <w:tcW w:w="14490" w:type="dxa"/>
            <w:gridSpan w:val="11"/>
            <w:tcBorders>
              <w:top w:val="single" w:sz="6" w:space="0" w:color="auto"/>
              <w:left w:val="single" w:sz="6" w:space="0" w:color="auto"/>
              <w:bottom w:val="single" w:sz="6" w:space="0" w:color="000000"/>
              <w:right w:val="single" w:sz="6" w:space="0" w:color="auto"/>
            </w:tcBorders>
          </w:tcPr>
          <w:p w:rsidR="0002657C" w:rsidRPr="001C34A4" w:rsidRDefault="0002657C"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Latin America and Caribbean</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Brazil</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BR Federal </w:t>
            </w:r>
            <w:proofErr w:type="spellStart"/>
            <w:r w:rsidRPr="001C34A4">
              <w:rPr>
                <w:rFonts w:ascii="Times New Roman" w:hAnsi="Times New Roman" w:cs="Times New Roman"/>
                <w:color w:val="000000"/>
                <w:sz w:val="18"/>
                <w:szCs w:val="18"/>
              </w:rPr>
              <w:t>DRM</w:t>
            </w:r>
            <w:proofErr w:type="spellEnd"/>
            <w:r w:rsidRPr="001C34A4">
              <w:rPr>
                <w:rFonts w:ascii="Times New Roman" w:hAnsi="Times New Roman" w:cs="Times New Roman"/>
                <w:color w:val="000000"/>
                <w:sz w:val="18"/>
                <w:szCs w:val="18"/>
              </w:rPr>
              <w:t xml:space="preserve">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60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60.0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100.0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100.0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60.0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Colombia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Barranquilla Urban Flood Management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250.0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250.0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150.0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150.0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150.0 </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Dominica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Third Phase Disaster </w:t>
            </w:r>
            <w:proofErr w:type="spellStart"/>
            <w:r w:rsidRPr="001C34A4">
              <w:rPr>
                <w:rFonts w:ascii="Times New Roman" w:hAnsi="Times New Roman" w:cs="Times New Roman"/>
                <w:color w:val="000000"/>
                <w:sz w:val="18"/>
                <w:szCs w:val="18"/>
              </w:rPr>
              <w:t>Vuln.Reduction</w:t>
            </w:r>
            <w:proofErr w:type="spellEnd"/>
            <w:r w:rsidRPr="001C34A4">
              <w:rPr>
                <w:rFonts w:ascii="Times New Roman" w:hAnsi="Times New Roman" w:cs="Times New Roman"/>
                <w:color w:val="000000"/>
                <w:sz w:val="18"/>
                <w:szCs w:val="18"/>
              </w:rPr>
              <w:t xml:space="preserve"> APL for Dominica</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15.0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7.5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1C34A4" w:rsidRPr="001C34A4" w:rsidTr="001C34A4">
        <w:trPr>
          <w:trHeight w:val="233"/>
        </w:trPr>
        <w:tc>
          <w:tcPr>
            <w:tcW w:w="1260" w:type="dxa"/>
            <w:tcBorders>
              <w:top w:val="single" w:sz="6" w:space="0" w:color="000000"/>
              <w:left w:val="single" w:sz="6" w:space="0" w:color="000000"/>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proofErr w:type="spellStart"/>
            <w:r w:rsidRPr="001C34A4">
              <w:rPr>
                <w:rFonts w:ascii="Times New Roman" w:hAnsi="Times New Roman" w:cs="Times New Roman"/>
                <w:color w:val="000000"/>
                <w:sz w:val="18"/>
                <w:szCs w:val="18"/>
              </w:rPr>
              <w:t>OECS</w:t>
            </w:r>
            <w:proofErr w:type="spellEnd"/>
            <w:r w:rsidRPr="001C34A4">
              <w:rPr>
                <w:rFonts w:ascii="Times New Roman" w:hAnsi="Times New Roman" w:cs="Times New Roman"/>
                <w:color w:val="000000"/>
                <w:sz w:val="18"/>
                <w:szCs w:val="18"/>
              </w:rPr>
              <w:t xml:space="preserve"> Countries</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2013</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Second Phase Disaster Vulnerability Reduction APL for St. Lucia</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22.0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11.0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10.0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5.0 </w:t>
            </w:r>
          </w:p>
        </w:tc>
      </w:tr>
      <w:tr w:rsidR="0002657C" w:rsidRPr="001C34A4" w:rsidTr="00045B86">
        <w:trPr>
          <w:trHeight w:val="233"/>
        </w:trPr>
        <w:tc>
          <w:tcPr>
            <w:tcW w:w="14490" w:type="dxa"/>
            <w:gridSpan w:val="11"/>
            <w:tcBorders>
              <w:top w:val="single" w:sz="6" w:space="0" w:color="auto"/>
              <w:left w:val="single" w:sz="6" w:space="0" w:color="auto"/>
              <w:bottom w:val="single" w:sz="6" w:space="0" w:color="000000"/>
              <w:right w:val="single" w:sz="6" w:space="0" w:color="auto"/>
            </w:tcBorders>
          </w:tcPr>
          <w:p w:rsidR="0002657C" w:rsidRPr="001C34A4" w:rsidRDefault="0002657C" w:rsidP="001C34A4">
            <w:pPr>
              <w:autoSpaceDE w:val="0"/>
              <w:autoSpaceDN w:val="0"/>
              <w:adjustRightInd w:val="0"/>
              <w:spacing w:after="0" w:line="240" w:lineRule="auto"/>
              <w:jc w:val="center"/>
              <w:rPr>
                <w:rFonts w:ascii="Times New Roman" w:hAnsi="Times New Roman" w:cs="Times New Roman"/>
                <w:b/>
                <w:bCs/>
                <w:color w:val="000000"/>
                <w:sz w:val="18"/>
                <w:szCs w:val="18"/>
              </w:rPr>
            </w:pPr>
            <w:r w:rsidRPr="001C34A4">
              <w:rPr>
                <w:rFonts w:ascii="Times New Roman" w:hAnsi="Times New Roman" w:cs="Times New Roman"/>
                <w:b/>
                <w:bCs/>
                <w:color w:val="000000"/>
                <w:sz w:val="18"/>
                <w:szCs w:val="18"/>
              </w:rPr>
              <w:t>South Asia</w:t>
            </w:r>
          </w:p>
        </w:tc>
      </w:tr>
      <w:tr w:rsidR="001C34A4" w:rsidRPr="001C34A4" w:rsidTr="001C34A4">
        <w:trPr>
          <w:trHeight w:val="233"/>
        </w:trPr>
        <w:tc>
          <w:tcPr>
            <w:tcW w:w="1260" w:type="dxa"/>
            <w:tcBorders>
              <w:top w:val="single" w:sz="6" w:space="0" w:color="000000"/>
              <w:left w:val="single" w:sz="6" w:space="0" w:color="000000"/>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Sri Lanka</w:t>
            </w:r>
          </w:p>
        </w:tc>
        <w:tc>
          <w:tcPr>
            <w:tcW w:w="72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Metro Colombo - Towards a Flood Resilient Urban Environment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1.2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1.2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r>
      <w:tr w:rsidR="001C34A4" w:rsidRPr="001C34A4" w:rsidTr="001C34A4">
        <w:trPr>
          <w:trHeight w:val="233"/>
        </w:trPr>
        <w:tc>
          <w:tcPr>
            <w:tcW w:w="1260" w:type="dxa"/>
            <w:tcBorders>
              <w:top w:val="single" w:sz="6" w:space="0" w:color="000000"/>
              <w:left w:val="single" w:sz="6" w:space="0" w:color="000000"/>
              <w:bottom w:val="single" w:sz="2" w:space="0" w:color="000000"/>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single" w:sz="6" w:space="0" w:color="auto"/>
              <w:left w:val="single" w:sz="6" w:space="0" w:color="auto"/>
              <w:bottom w:val="single" w:sz="6" w:space="0" w:color="000000"/>
              <w:right w:val="single" w:sz="6" w:space="0" w:color="auto"/>
            </w:tcBorders>
          </w:tcPr>
          <w:p w:rsidR="001C34A4" w:rsidRPr="001C34A4" w:rsidRDefault="001C34A4" w:rsidP="001C34A4">
            <w:pPr>
              <w:autoSpaceDE w:val="0"/>
              <w:autoSpaceDN w:val="0"/>
              <w:adjustRightInd w:val="0"/>
              <w:spacing w:after="0" w:line="240" w:lineRule="auto"/>
              <w:jc w:val="center"/>
              <w:rPr>
                <w:rFonts w:ascii="Times New Roman" w:hAnsi="Times New Roman" w:cs="Times New Roman"/>
                <w:color w:val="000000"/>
                <w:sz w:val="18"/>
                <w:szCs w:val="18"/>
              </w:rPr>
            </w:pPr>
            <w:r w:rsidRPr="001C34A4">
              <w:rPr>
                <w:rFonts w:ascii="Times New Roman" w:hAnsi="Times New Roman" w:cs="Times New Roman"/>
                <w:color w:val="000000"/>
                <w:sz w:val="18"/>
                <w:szCs w:val="18"/>
              </w:rPr>
              <w:t>2012</w:t>
            </w:r>
          </w:p>
        </w:tc>
        <w:tc>
          <w:tcPr>
            <w:tcW w:w="504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rPr>
                <w:rFonts w:ascii="Times New Roman" w:hAnsi="Times New Roman" w:cs="Times New Roman"/>
                <w:color w:val="000000"/>
                <w:sz w:val="18"/>
                <w:szCs w:val="18"/>
              </w:rPr>
            </w:pPr>
            <w:r w:rsidRPr="001C34A4">
              <w:rPr>
                <w:rFonts w:ascii="Times New Roman" w:hAnsi="Times New Roman" w:cs="Times New Roman"/>
                <w:color w:val="000000"/>
                <w:sz w:val="18"/>
                <w:szCs w:val="18"/>
              </w:rPr>
              <w:t>Metro Colombo Urban Development Project</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267.9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267.9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117.0 </w:t>
            </w:r>
          </w:p>
        </w:tc>
        <w:tc>
          <w:tcPr>
            <w:tcW w:w="81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100.0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217.0 </w:t>
            </w:r>
          </w:p>
        </w:tc>
        <w:tc>
          <w:tcPr>
            <w:tcW w:w="990" w:type="dxa"/>
            <w:tcBorders>
              <w:top w:val="single" w:sz="6" w:space="0" w:color="auto"/>
              <w:left w:val="single" w:sz="6" w:space="0" w:color="auto"/>
              <w:bottom w:val="single" w:sz="6" w:space="0" w:color="auto"/>
              <w:right w:val="single" w:sz="6" w:space="0" w:color="auto"/>
            </w:tcBorders>
          </w:tcPr>
          <w:p w:rsidR="001C34A4" w:rsidRPr="001C34A4" w:rsidRDefault="001C34A4" w:rsidP="001C34A4">
            <w:pPr>
              <w:autoSpaceDE w:val="0"/>
              <w:autoSpaceDN w:val="0"/>
              <w:adjustRightInd w:val="0"/>
              <w:spacing w:after="0" w:line="240" w:lineRule="auto"/>
              <w:jc w:val="right"/>
              <w:rPr>
                <w:rFonts w:ascii="Times New Roman" w:hAnsi="Times New Roman" w:cs="Times New Roman"/>
                <w:color w:val="000000"/>
                <w:sz w:val="18"/>
                <w:szCs w:val="18"/>
              </w:rPr>
            </w:pPr>
            <w:r w:rsidRPr="001C34A4">
              <w:rPr>
                <w:rFonts w:ascii="Times New Roman" w:hAnsi="Times New Roman" w:cs="Times New Roman"/>
                <w:color w:val="000000"/>
                <w:sz w:val="18"/>
                <w:szCs w:val="18"/>
              </w:rPr>
              <w:t xml:space="preserve">  217.0 </w:t>
            </w:r>
          </w:p>
        </w:tc>
      </w:tr>
    </w:tbl>
    <w:p w:rsidR="001C34A4" w:rsidRDefault="001C34A4" w:rsidP="003C7C57">
      <w:pPr>
        <w:autoSpaceDE w:val="0"/>
        <w:autoSpaceDN w:val="0"/>
        <w:adjustRightInd w:val="0"/>
        <w:spacing w:after="0" w:line="240" w:lineRule="auto"/>
        <w:rPr>
          <w:rFonts w:ascii="Times New Roman" w:hAnsi="Times New Roman" w:cs="Times New Roman"/>
          <w:bCs/>
          <w:iCs/>
          <w:color w:val="000000" w:themeColor="text1"/>
          <w:sz w:val="24"/>
          <w:szCs w:val="24"/>
        </w:rPr>
      </w:pPr>
    </w:p>
    <w:sectPr w:rsidR="001C34A4" w:rsidSect="00B517F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74" w:rsidRDefault="004C1174" w:rsidP="008F471B">
      <w:pPr>
        <w:spacing w:after="0" w:line="240" w:lineRule="auto"/>
      </w:pPr>
      <w:r>
        <w:separator/>
      </w:r>
    </w:p>
  </w:endnote>
  <w:endnote w:type="continuationSeparator" w:id="0">
    <w:p w:rsidR="004C1174" w:rsidRDefault="004C1174" w:rsidP="008F4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74" w:rsidRDefault="004C1174" w:rsidP="008F471B">
      <w:pPr>
        <w:spacing w:after="0" w:line="240" w:lineRule="auto"/>
      </w:pPr>
      <w:r>
        <w:separator/>
      </w:r>
    </w:p>
  </w:footnote>
  <w:footnote w:type="continuationSeparator" w:id="0">
    <w:p w:rsidR="004C1174" w:rsidRDefault="004C1174" w:rsidP="008F471B">
      <w:pPr>
        <w:spacing w:after="0" w:line="240" w:lineRule="auto"/>
      </w:pPr>
      <w:r>
        <w:continuationSeparator/>
      </w:r>
    </w:p>
  </w:footnote>
  <w:footnote w:id="1">
    <w:p w:rsidR="0028134C" w:rsidRDefault="0028134C">
      <w:pPr>
        <w:pStyle w:val="FootnoteText"/>
      </w:pPr>
      <w:r>
        <w:rPr>
          <w:rStyle w:val="FootnoteReference"/>
        </w:rPr>
        <w:footnoteRef/>
      </w:r>
      <w:r>
        <w:t xml:space="preserve"> </w:t>
      </w:r>
      <w:r>
        <w:tab/>
      </w:r>
      <w:proofErr w:type="gramStart"/>
      <w:r>
        <w:t>Prepared at the request of Thematic Group members in January 2012.</w:t>
      </w:r>
      <w:proofErr w:type="gramEnd"/>
      <w:r>
        <w:t xml:space="preserve"> For additional information about this note and the database, please contact Rita </w:t>
      </w:r>
      <w:proofErr w:type="spellStart"/>
      <w:r>
        <w:t>Cestti</w:t>
      </w:r>
      <w:proofErr w:type="spellEnd"/>
      <w:r>
        <w:t>, Rcestti@worldbank.org.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6A3"/>
    <w:multiLevelType w:val="hybridMultilevel"/>
    <w:tmpl w:val="714857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471B"/>
    <w:rsid w:val="000005B4"/>
    <w:rsid w:val="00001569"/>
    <w:rsid w:val="00001E46"/>
    <w:rsid w:val="00001F4E"/>
    <w:rsid w:val="00001FCD"/>
    <w:rsid w:val="00002E42"/>
    <w:rsid w:val="00003094"/>
    <w:rsid w:val="000030E6"/>
    <w:rsid w:val="00003308"/>
    <w:rsid w:val="00003C80"/>
    <w:rsid w:val="00003DF9"/>
    <w:rsid w:val="0000501A"/>
    <w:rsid w:val="0000514F"/>
    <w:rsid w:val="0000587B"/>
    <w:rsid w:val="00005B78"/>
    <w:rsid w:val="00005D2E"/>
    <w:rsid w:val="00006005"/>
    <w:rsid w:val="000062C9"/>
    <w:rsid w:val="0000661A"/>
    <w:rsid w:val="00006E23"/>
    <w:rsid w:val="00011389"/>
    <w:rsid w:val="000116E7"/>
    <w:rsid w:val="0001200F"/>
    <w:rsid w:val="000120F8"/>
    <w:rsid w:val="00013611"/>
    <w:rsid w:val="00013B96"/>
    <w:rsid w:val="00013D2E"/>
    <w:rsid w:val="000142D2"/>
    <w:rsid w:val="0001449B"/>
    <w:rsid w:val="00014B7A"/>
    <w:rsid w:val="000151DA"/>
    <w:rsid w:val="000153AE"/>
    <w:rsid w:val="00015E76"/>
    <w:rsid w:val="000203A0"/>
    <w:rsid w:val="000204AB"/>
    <w:rsid w:val="00020A2C"/>
    <w:rsid w:val="00020D17"/>
    <w:rsid w:val="0002166D"/>
    <w:rsid w:val="000220B6"/>
    <w:rsid w:val="000225E9"/>
    <w:rsid w:val="000227A1"/>
    <w:rsid w:val="0002373D"/>
    <w:rsid w:val="00024BBB"/>
    <w:rsid w:val="00025258"/>
    <w:rsid w:val="0002535D"/>
    <w:rsid w:val="0002567D"/>
    <w:rsid w:val="00026024"/>
    <w:rsid w:val="0002657C"/>
    <w:rsid w:val="00026592"/>
    <w:rsid w:val="00026873"/>
    <w:rsid w:val="000269B7"/>
    <w:rsid w:val="00026F5C"/>
    <w:rsid w:val="000277CC"/>
    <w:rsid w:val="00031081"/>
    <w:rsid w:val="00031DD1"/>
    <w:rsid w:val="000325B4"/>
    <w:rsid w:val="00032DCD"/>
    <w:rsid w:val="00033661"/>
    <w:rsid w:val="00034636"/>
    <w:rsid w:val="0003511E"/>
    <w:rsid w:val="00035261"/>
    <w:rsid w:val="00035774"/>
    <w:rsid w:val="00036BB4"/>
    <w:rsid w:val="0003774C"/>
    <w:rsid w:val="0004095F"/>
    <w:rsid w:val="00040B89"/>
    <w:rsid w:val="00040CCA"/>
    <w:rsid w:val="00040EEF"/>
    <w:rsid w:val="0004111A"/>
    <w:rsid w:val="00041553"/>
    <w:rsid w:val="000415D5"/>
    <w:rsid w:val="00042175"/>
    <w:rsid w:val="00042973"/>
    <w:rsid w:val="000429D8"/>
    <w:rsid w:val="000441F5"/>
    <w:rsid w:val="0004532E"/>
    <w:rsid w:val="00045A96"/>
    <w:rsid w:val="00045B86"/>
    <w:rsid w:val="00045DDA"/>
    <w:rsid w:val="00045E9F"/>
    <w:rsid w:val="000461E2"/>
    <w:rsid w:val="0004656B"/>
    <w:rsid w:val="00046A8D"/>
    <w:rsid w:val="00047065"/>
    <w:rsid w:val="00047AD5"/>
    <w:rsid w:val="000511F0"/>
    <w:rsid w:val="000513BF"/>
    <w:rsid w:val="00051BF2"/>
    <w:rsid w:val="000527E5"/>
    <w:rsid w:val="00052926"/>
    <w:rsid w:val="000535BA"/>
    <w:rsid w:val="000535D0"/>
    <w:rsid w:val="00054608"/>
    <w:rsid w:val="00054F47"/>
    <w:rsid w:val="00055B99"/>
    <w:rsid w:val="000568E3"/>
    <w:rsid w:val="00057F6A"/>
    <w:rsid w:val="0006059F"/>
    <w:rsid w:val="000607E8"/>
    <w:rsid w:val="0006092A"/>
    <w:rsid w:val="0006154B"/>
    <w:rsid w:val="000630D3"/>
    <w:rsid w:val="000639A4"/>
    <w:rsid w:val="00064362"/>
    <w:rsid w:val="0006465B"/>
    <w:rsid w:val="00065091"/>
    <w:rsid w:val="00065457"/>
    <w:rsid w:val="00065B3E"/>
    <w:rsid w:val="00065DC9"/>
    <w:rsid w:val="00065E94"/>
    <w:rsid w:val="0006601C"/>
    <w:rsid w:val="000675CE"/>
    <w:rsid w:val="000719DF"/>
    <w:rsid w:val="00071CA0"/>
    <w:rsid w:val="00071E91"/>
    <w:rsid w:val="000721BD"/>
    <w:rsid w:val="000723D2"/>
    <w:rsid w:val="00073507"/>
    <w:rsid w:val="00074D17"/>
    <w:rsid w:val="00074E56"/>
    <w:rsid w:val="00075050"/>
    <w:rsid w:val="000754D6"/>
    <w:rsid w:val="00075761"/>
    <w:rsid w:val="00075E9F"/>
    <w:rsid w:val="00076C1C"/>
    <w:rsid w:val="000775A6"/>
    <w:rsid w:val="00077FC0"/>
    <w:rsid w:val="0008045F"/>
    <w:rsid w:val="00080A7F"/>
    <w:rsid w:val="00083A4E"/>
    <w:rsid w:val="00085B3D"/>
    <w:rsid w:val="00085DD4"/>
    <w:rsid w:val="00086F58"/>
    <w:rsid w:val="00087BEB"/>
    <w:rsid w:val="00087E02"/>
    <w:rsid w:val="00091404"/>
    <w:rsid w:val="0009189C"/>
    <w:rsid w:val="0009217D"/>
    <w:rsid w:val="00092436"/>
    <w:rsid w:val="00092A76"/>
    <w:rsid w:val="00092D83"/>
    <w:rsid w:val="00092F21"/>
    <w:rsid w:val="000933CB"/>
    <w:rsid w:val="00093A57"/>
    <w:rsid w:val="00094BE5"/>
    <w:rsid w:val="00094E0E"/>
    <w:rsid w:val="00095572"/>
    <w:rsid w:val="00096806"/>
    <w:rsid w:val="000973EB"/>
    <w:rsid w:val="000A0425"/>
    <w:rsid w:val="000A0BE1"/>
    <w:rsid w:val="000A1BAB"/>
    <w:rsid w:val="000A2C77"/>
    <w:rsid w:val="000A2F80"/>
    <w:rsid w:val="000A3D65"/>
    <w:rsid w:val="000A4FD1"/>
    <w:rsid w:val="000A5F8C"/>
    <w:rsid w:val="000A6D07"/>
    <w:rsid w:val="000A7074"/>
    <w:rsid w:val="000A730F"/>
    <w:rsid w:val="000A7445"/>
    <w:rsid w:val="000A7FCC"/>
    <w:rsid w:val="000B0735"/>
    <w:rsid w:val="000B0824"/>
    <w:rsid w:val="000B1725"/>
    <w:rsid w:val="000B1EEA"/>
    <w:rsid w:val="000B2004"/>
    <w:rsid w:val="000B3314"/>
    <w:rsid w:val="000B3386"/>
    <w:rsid w:val="000B34DB"/>
    <w:rsid w:val="000B3829"/>
    <w:rsid w:val="000B3BA3"/>
    <w:rsid w:val="000B3F3E"/>
    <w:rsid w:val="000B41D8"/>
    <w:rsid w:val="000B4C4F"/>
    <w:rsid w:val="000C0365"/>
    <w:rsid w:val="000C0644"/>
    <w:rsid w:val="000C0B4D"/>
    <w:rsid w:val="000C11DB"/>
    <w:rsid w:val="000C2D22"/>
    <w:rsid w:val="000C3281"/>
    <w:rsid w:val="000C50E9"/>
    <w:rsid w:val="000C554E"/>
    <w:rsid w:val="000C5569"/>
    <w:rsid w:val="000C59C9"/>
    <w:rsid w:val="000C5C9C"/>
    <w:rsid w:val="000C611A"/>
    <w:rsid w:val="000C6458"/>
    <w:rsid w:val="000C64CD"/>
    <w:rsid w:val="000C6A84"/>
    <w:rsid w:val="000C77A9"/>
    <w:rsid w:val="000C78F3"/>
    <w:rsid w:val="000C7BA3"/>
    <w:rsid w:val="000C7E2F"/>
    <w:rsid w:val="000C7F26"/>
    <w:rsid w:val="000D0755"/>
    <w:rsid w:val="000D096B"/>
    <w:rsid w:val="000D09E9"/>
    <w:rsid w:val="000D0FC4"/>
    <w:rsid w:val="000D1315"/>
    <w:rsid w:val="000D152C"/>
    <w:rsid w:val="000D1883"/>
    <w:rsid w:val="000D19AA"/>
    <w:rsid w:val="000D19BE"/>
    <w:rsid w:val="000D1A78"/>
    <w:rsid w:val="000D1D94"/>
    <w:rsid w:val="000D2D96"/>
    <w:rsid w:val="000D306A"/>
    <w:rsid w:val="000D3183"/>
    <w:rsid w:val="000D3325"/>
    <w:rsid w:val="000D36C9"/>
    <w:rsid w:val="000D4BEA"/>
    <w:rsid w:val="000D5461"/>
    <w:rsid w:val="000D596E"/>
    <w:rsid w:val="000D59FC"/>
    <w:rsid w:val="000D61EA"/>
    <w:rsid w:val="000D67F5"/>
    <w:rsid w:val="000D7C15"/>
    <w:rsid w:val="000E0369"/>
    <w:rsid w:val="000E0725"/>
    <w:rsid w:val="000E07E0"/>
    <w:rsid w:val="000E1955"/>
    <w:rsid w:val="000E1BEB"/>
    <w:rsid w:val="000E1DFF"/>
    <w:rsid w:val="000E2BA3"/>
    <w:rsid w:val="000E2F11"/>
    <w:rsid w:val="000E3187"/>
    <w:rsid w:val="000E47BD"/>
    <w:rsid w:val="000E5E0F"/>
    <w:rsid w:val="000E6ECF"/>
    <w:rsid w:val="000E7211"/>
    <w:rsid w:val="000E7B2F"/>
    <w:rsid w:val="000F0377"/>
    <w:rsid w:val="000F0C48"/>
    <w:rsid w:val="000F110C"/>
    <w:rsid w:val="000F1354"/>
    <w:rsid w:val="000F21DA"/>
    <w:rsid w:val="000F24C2"/>
    <w:rsid w:val="000F29F2"/>
    <w:rsid w:val="000F31DB"/>
    <w:rsid w:val="000F35DF"/>
    <w:rsid w:val="000F3DB6"/>
    <w:rsid w:val="000F4377"/>
    <w:rsid w:val="000F43AC"/>
    <w:rsid w:val="000F4BE7"/>
    <w:rsid w:val="000F4DA6"/>
    <w:rsid w:val="000F4DF5"/>
    <w:rsid w:val="000F4FC8"/>
    <w:rsid w:val="000F58B2"/>
    <w:rsid w:val="000F58C0"/>
    <w:rsid w:val="000F5ECE"/>
    <w:rsid w:val="000F64B4"/>
    <w:rsid w:val="000F6DC7"/>
    <w:rsid w:val="000F707A"/>
    <w:rsid w:val="000F76E7"/>
    <w:rsid w:val="000F794C"/>
    <w:rsid w:val="001009AB"/>
    <w:rsid w:val="001014DA"/>
    <w:rsid w:val="0010276F"/>
    <w:rsid w:val="00102930"/>
    <w:rsid w:val="00103BC1"/>
    <w:rsid w:val="00104E18"/>
    <w:rsid w:val="0010528B"/>
    <w:rsid w:val="00106332"/>
    <w:rsid w:val="0010658A"/>
    <w:rsid w:val="001068B7"/>
    <w:rsid w:val="001076FB"/>
    <w:rsid w:val="00110062"/>
    <w:rsid w:val="001101C5"/>
    <w:rsid w:val="0011091B"/>
    <w:rsid w:val="001113F0"/>
    <w:rsid w:val="0011182B"/>
    <w:rsid w:val="00111AA5"/>
    <w:rsid w:val="00111DB7"/>
    <w:rsid w:val="00111E5D"/>
    <w:rsid w:val="00112B52"/>
    <w:rsid w:val="001133C6"/>
    <w:rsid w:val="00113C09"/>
    <w:rsid w:val="00113D32"/>
    <w:rsid w:val="00113EF6"/>
    <w:rsid w:val="001145D6"/>
    <w:rsid w:val="001147F6"/>
    <w:rsid w:val="00114A37"/>
    <w:rsid w:val="00115A54"/>
    <w:rsid w:val="00115B3C"/>
    <w:rsid w:val="00115F17"/>
    <w:rsid w:val="001161B8"/>
    <w:rsid w:val="001171F5"/>
    <w:rsid w:val="00117913"/>
    <w:rsid w:val="00120754"/>
    <w:rsid w:val="00122074"/>
    <w:rsid w:val="0012228D"/>
    <w:rsid w:val="0012250F"/>
    <w:rsid w:val="00123520"/>
    <w:rsid w:val="0012353E"/>
    <w:rsid w:val="0012368C"/>
    <w:rsid w:val="00123740"/>
    <w:rsid w:val="00123AA3"/>
    <w:rsid w:val="00123CE5"/>
    <w:rsid w:val="00124534"/>
    <w:rsid w:val="001246AD"/>
    <w:rsid w:val="00124C65"/>
    <w:rsid w:val="00124D41"/>
    <w:rsid w:val="0012578C"/>
    <w:rsid w:val="00125964"/>
    <w:rsid w:val="00125FEE"/>
    <w:rsid w:val="00126128"/>
    <w:rsid w:val="00126DEE"/>
    <w:rsid w:val="00130338"/>
    <w:rsid w:val="00130461"/>
    <w:rsid w:val="001311E0"/>
    <w:rsid w:val="001316CE"/>
    <w:rsid w:val="00131D4B"/>
    <w:rsid w:val="001332BF"/>
    <w:rsid w:val="00133419"/>
    <w:rsid w:val="00133DBC"/>
    <w:rsid w:val="001342AF"/>
    <w:rsid w:val="00134415"/>
    <w:rsid w:val="00134D15"/>
    <w:rsid w:val="00135129"/>
    <w:rsid w:val="00135DD9"/>
    <w:rsid w:val="0013670B"/>
    <w:rsid w:val="001369ED"/>
    <w:rsid w:val="001405F3"/>
    <w:rsid w:val="0014065A"/>
    <w:rsid w:val="0014103B"/>
    <w:rsid w:val="00141BC4"/>
    <w:rsid w:val="001429C2"/>
    <w:rsid w:val="001430F7"/>
    <w:rsid w:val="0014348A"/>
    <w:rsid w:val="00143816"/>
    <w:rsid w:val="001441CC"/>
    <w:rsid w:val="001447D2"/>
    <w:rsid w:val="00144CD3"/>
    <w:rsid w:val="001454C1"/>
    <w:rsid w:val="001456F2"/>
    <w:rsid w:val="001464A4"/>
    <w:rsid w:val="001474FE"/>
    <w:rsid w:val="0014771F"/>
    <w:rsid w:val="00147EDA"/>
    <w:rsid w:val="0015050E"/>
    <w:rsid w:val="00150F58"/>
    <w:rsid w:val="001516CF"/>
    <w:rsid w:val="001520EA"/>
    <w:rsid w:val="0015257F"/>
    <w:rsid w:val="001526DC"/>
    <w:rsid w:val="0015376F"/>
    <w:rsid w:val="001543CD"/>
    <w:rsid w:val="00154E9E"/>
    <w:rsid w:val="00156CD2"/>
    <w:rsid w:val="00157E4B"/>
    <w:rsid w:val="00160CD0"/>
    <w:rsid w:val="00161250"/>
    <w:rsid w:val="00161A04"/>
    <w:rsid w:val="0016295A"/>
    <w:rsid w:val="0016323E"/>
    <w:rsid w:val="00163798"/>
    <w:rsid w:val="00164BDF"/>
    <w:rsid w:val="00165141"/>
    <w:rsid w:val="00165C26"/>
    <w:rsid w:val="00166FD7"/>
    <w:rsid w:val="00170145"/>
    <w:rsid w:val="001707BF"/>
    <w:rsid w:val="0017081A"/>
    <w:rsid w:val="0017257C"/>
    <w:rsid w:val="0017269B"/>
    <w:rsid w:val="0017274B"/>
    <w:rsid w:val="00172D07"/>
    <w:rsid w:val="00172F49"/>
    <w:rsid w:val="001731F4"/>
    <w:rsid w:val="0017327E"/>
    <w:rsid w:val="0017351B"/>
    <w:rsid w:val="0017398C"/>
    <w:rsid w:val="00173B7C"/>
    <w:rsid w:val="00173D51"/>
    <w:rsid w:val="00173D6A"/>
    <w:rsid w:val="00173FB6"/>
    <w:rsid w:val="00174844"/>
    <w:rsid w:val="001748E6"/>
    <w:rsid w:val="00174FDD"/>
    <w:rsid w:val="0017522B"/>
    <w:rsid w:val="00175FBA"/>
    <w:rsid w:val="00176C41"/>
    <w:rsid w:val="00177785"/>
    <w:rsid w:val="001807B3"/>
    <w:rsid w:val="00180A74"/>
    <w:rsid w:val="001813DE"/>
    <w:rsid w:val="00181D15"/>
    <w:rsid w:val="001826D4"/>
    <w:rsid w:val="001830D5"/>
    <w:rsid w:val="0018399C"/>
    <w:rsid w:val="00183D2B"/>
    <w:rsid w:val="00183F37"/>
    <w:rsid w:val="0018445A"/>
    <w:rsid w:val="0018546F"/>
    <w:rsid w:val="00185AE7"/>
    <w:rsid w:val="00185E17"/>
    <w:rsid w:val="0018701E"/>
    <w:rsid w:val="00191568"/>
    <w:rsid w:val="00191C03"/>
    <w:rsid w:val="00191D79"/>
    <w:rsid w:val="0019256F"/>
    <w:rsid w:val="00192683"/>
    <w:rsid w:val="001930BC"/>
    <w:rsid w:val="00193A39"/>
    <w:rsid w:val="00193B21"/>
    <w:rsid w:val="00193E2E"/>
    <w:rsid w:val="00193E9C"/>
    <w:rsid w:val="00193F35"/>
    <w:rsid w:val="001945A0"/>
    <w:rsid w:val="001955F9"/>
    <w:rsid w:val="001957FD"/>
    <w:rsid w:val="00196855"/>
    <w:rsid w:val="00196FA2"/>
    <w:rsid w:val="00197C86"/>
    <w:rsid w:val="00197F1C"/>
    <w:rsid w:val="001A0DFC"/>
    <w:rsid w:val="001A277A"/>
    <w:rsid w:val="001A33B3"/>
    <w:rsid w:val="001A4114"/>
    <w:rsid w:val="001A44C5"/>
    <w:rsid w:val="001A4BC5"/>
    <w:rsid w:val="001A58ED"/>
    <w:rsid w:val="001A5BBA"/>
    <w:rsid w:val="001A6356"/>
    <w:rsid w:val="001A7310"/>
    <w:rsid w:val="001A7B93"/>
    <w:rsid w:val="001A7E03"/>
    <w:rsid w:val="001B0281"/>
    <w:rsid w:val="001B155D"/>
    <w:rsid w:val="001B19D7"/>
    <w:rsid w:val="001B1B2B"/>
    <w:rsid w:val="001B3231"/>
    <w:rsid w:val="001B466F"/>
    <w:rsid w:val="001B4EE3"/>
    <w:rsid w:val="001B5D4E"/>
    <w:rsid w:val="001B69AA"/>
    <w:rsid w:val="001B72B1"/>
    <w:rsid w:val="001B7399"/>
    <w:rsid w:val="001B74B0"/>
    <w:rsid w:val="001C0D0A"/>
    <w:rsid w:val="001C213F"/>
    <w:rsid w:val="001C2F0E"/>
    <w:rsid w:val="001C305B"/>
    <w:rsid w:val="001C34A4"/>
    <w:rsid w:val="001C44D8"/>
    <w:rsid w:val="001C497A"/>
    <w:rsid w:val="001C5E0D"/>
    <w:rsid w:val="001C6610"/>
    <w:rsid w:val="001C6B54"/>
    <w:rsid w:val="001C738D"/>
    <w:rsid w:val="001D028A"/>
    <w:rsid w:val="001D163A"/>
    <w:rsid w:val="001D1B85"/>
    <w:rsid w:val="001D2B44"/>
    <w:rsid w:val="001D4909"/>
    <w:rsid w:val="001D50C6"/>
    <w:rsid w:val="001D5727"/>
    <w:rsid w:val="001D707D"/>
    <w:rsid w:val="001D74D5"/>
    <w:rsid w:val="001D760E"/>
    <w:rsid w:val="001D7AAC"/>
    <w:rsid w:val="001E0F02"/>
    <w:rsid w:val="001E16C8"/>
    <w:rsid w:val="001E1A9C"/>
    <w:rsid w:val="001E1B04"/>
    <w:rsid w:val="001E2262"/>
    <w:rsid w:val="001E263F"/>
    <w:rsid w:val="001E27DE"/>
    <w:rsid w:val="001E3ADA"/>
    <w:rsid w:val="001E43E4"/>
    <w:rsid w:val="001E49B6"/>
    <w:rsid w:val="001E4D95"/>
    <w:rsid w:val="001E4E93"/>
    <w:rsid w:val="001E54E3"/>
    <w:rsid w:val="001E563A"/>
    <w:rsid w:val="001E59DC"/>
    <w:rsid w:val="001E5C8C"/>
    <w:rsid w:val="001E605C"/>
    <w:rsid w:val="001E72A7"/>
    <w:rsid w:val="001E7664"/>
    <w:rsid w:val="001F02DB"/>
    <w:rsid w:val="001F1175"/>
    <w:rsid w:val="001F1314"/>
    <w:rsid w:val="001F149B"/>
    <w:rsid w:val="001F15B7"/>
    <w:rsid w:val="001F1BB8"/>
    <w:rsid w:val="001F3462"/>
    <w:rsid w:val="001F35C2"/>
    <w:rsid w:val="001F3D8C"/>
    <w:rsid w:val="001F4497"/>
    <w:rsid w:val="001F4EDE"/>
    <w:rsid w:val="001F4F2F"/>
    <w:rsid w:val="001F517B"/>
    <w:rsid w:val="001F6889"/>
    <w:rsid w:val="001F71B7"/>
    <w:rsid w:val="001F73B9"/>
    <w:rsid w:val="0020046A"/>
    <w:rsid w:val="002019E3"/>
    <w:rsid w:val="00202741"/>
    <w:rsid w:val="00202EEC"/>
    <w:rsid w:val="00202FD6"/>
    <w:rsid w:val="00203CFA"/>
    <w:rsid w:val="002044E8"/>
    <w:rsid w:val="002044FE"/>
    <w:rsid w:val="002048AD"/>
    <w:rsid w:val="00204E5C"/>
    <w:rsid w:val="00204E6F"/>
    <w:rsid w:val="002055D0"/>
    <w:rsid w:val="00206062"/>
    <w:rsid w:val="002064BE"/>
    <w:rsid w:val="00206C08"/>
    <w:rsid w:val="00207152"/>
    <w:rsid w:val="00207C24"/>
    <w:rsid w:val="00207CE9"/>
    <w:rsid w:val="002105DA"/>
    <w:rsid w:val="00210FCC"/>
    <w:rsid w:val="002111B3"/>
    <w:rsid w:val="00212302"/>
    <w:rsid w:val="0021233E"/>
    <w:rsid w:val="0021271E"/>
    <w:rsid w:val="00212CAD"/>
    <w:rsid w:val="00213444"/>
    <w:rsid w:val="0021360E"/>
    <w:rsid w:val="00215334"/>
    <w:rsid w:val="002153C5"/>
    <w:rsid w:val="00215458"/>
    <w:rsid w:val="002155CF"/>
    <w:rsid w:val="00215756"/>
    <w:rsid w:val="00215FC2"/>
    <w:rsid w:val="00216FA5"/>
    <w:rsid w:val="002170A9"/>
    <w:rsid w:val="0021783F"/>
    <w:rsid w:val="00220ED9"/>
    <w:rsid w:val="0022166C"/>
    <w:rsid w:val="00221DD4"/>
    <w:rsid w:val="0022218E"/>
    <w:rsid w:val="00222D38"/>
    <w:rsid w:val="0022368B"/>
    <w:rsid w:val="00223996"/>
    <w:rsid w:val="00223C5F"/>
    <w:rsid w:val="00224AED"/>
    <w:rsid w:val="00225003"/>
    <w:rsid w:val="0022532F"/>
    <w:rsid w:val="002259C3"/>
    <w:rsid w:val="00225FBF"/>
    <w:rsid w:val="0022622F"/>
    <w:rsid w:val="00226647"/>
    <w:rsid w:val="0022681F"/>
    <w:rsid w:val="002268F6"/>
    <w:rsid w:val="00227652"/>
    <w:rsid w:val="00227B4D"/>
    <w:rsid w:val="0023069E"/>
    <w:rsid w:val="0023226C"/>
    <w:rsid w:val="002339FA"/>
    <w:rsid w:val="00233AD2"/>
    <w:rsid w:val="00233DCE"/>
    <w:rsid w:val="00233E8F"/>
    <w:rsid w:val="00233EDF"/>
    <w:rsid w:val="00234CF3"/>
    <w:rsid w:val="00234F74"/>
    <w:rsid w:val="00235FA5"/>
    <w:rsid w:val="00235FDA"/>
    <w:rsid w:val="0023618E"/>
    <w:rsid w:val="00236C8F"/>
    <w:rsid w:val="00237003"/>
    <w:rsid w:val="0023721E"/>
    <w:rsid w:val="00240D3E"/>
    <w:rsid w:val="00241B64"/>
    <w:rsid w:val="0024228C"/>
    <w:rsid w:val="00244204"/>
    <w:rsid w:val="00244342"/>
    <w:rsid w:val="00244558"/>
    <w:rsid w:val="0024493E"/>
    <w:rsid w:val="00244C5C"/>
    <w:rsid w:val="00245A0B"/>
    <w:rsid w:val="00245C4C"/>
    <w:rsid w:val="00245D21"/>
    <w:rsid w:val="0024621A"/>
    <w:rsid w:val="00246450"/>
    <w:rsid w:val="002466E3"/>
    <w:rsid w:val="00246B27"/>
    <w:rsid w:val="00247017"/>
    <w:rsid w:val="0024736D"/>
    <w:rsid w:val="00250FF5"/>
    <w:rsid w:val="002517C2"/>
    <w:rsid w:val="00251A47"/>
    <w:rsid w:val="00251E64"/>
    <w:rsid w:val="002521C7"/>
    <w:rsid w:val="002556E7"/>
    <w:rsid w:val="00255AF3"/>
    <w:rsid w:val="00255BAC"/>
    <w:rsid w:val="00255CFE"/>
    <w:rsid w:val="00256489"/>
    <w:rsid w:val="00256A3E"/>
    <w:rsid w:val="0025700D"/>
    <w:rsid w:val="00261253"/>
    <w:rsid w:val="002612E4"/>
    <w:rsid w:val="002616E7"/>
    <w:rsid w:val="00261D90"/>
    <w:rsid w:val="00262070"/>
    <w:rsid w:val="00262BB4"/>
    <w:rsid w:val="00262F57"/>
    <w:rsid w:val="00263475"/>
    <w:rsid w:val="00263C9E"/>
    <w:rsid w:val="00263DB9"/>
    <w:rsid w:val="00263EDF"/>
    <w:rsid w:val="00263F32"/>
    <w:rsid w:val="00264A7C"/>
    <w:rsid w:val="00264B28"/>
    <w:rsid w:val="00265E93"/>
    <w:rsid w:val="00266198"/>
    <w:rsid w:val="00266473"/>
    <w:rsid w:val="0026761D"/>
    <w:rsid w:val="00267F0C"/>
    <w:rsid w:val="00270ED8"/>
    <w:rsid w:val="00270F66"/>
    <w:rsid w:val="00272009"/>
    <w:rsid w:val="0027254F"/>
    <w:rsid w:val="00272B0C"/>
    <w:rsid w:val="00272DB4"/>
    <w:rsid w:val="00273544"/>
    <w:rsid w:val="00273B42"/>
    <w:rsid w:val="002744E2"/>
    <w:rsid w:val="0027492F"/>
    <w:rsid w:val="00274D5E"/>
    <w:rsid w:val="0027548B"/>
    <w:rsid w:val="00275B96"/>
    <w:rsid w:val="0027632A"/>
    <w:rsid w:val="00276DE3"/>
    <w:rsid w:val="00276F89"/>
    <w:rsid w:val="002773B8"/>
    <w:rsid w:val="00280063"/>
    <w:rsid w:val="00280302"/>
    <w:rsid w:val="002810C7"/>
    <w:rsid w:val="0028134C"/>
    <w:rsid w:val="00281F47"/>
    <w:rsid w:val="00281F5B"/>
    <w:rsid w:val="002823BF"/>
    <w:rsid w:val="002825C4"/>
    <w:rsid w:val="00283F2F"/>
    <w:rsid w:val="00284455"/>
    <w:rsid w:val="00284C1F"/>
    <w:rsid w:val="0028509C"/>
    <w:rsid w:val="00285317"/>
    <w:rsid w:val="00285CB1"/>
    <w:rsid w:val="00286884"/>
    <w:rsid w:val="002868CE"/>
    <w:rsid w:val="00286F75"/>
    <w:rsid w:val="002873AE"/>
    <w:rsid w:val="0029069A"/>
    <w:rsid w:val="00291365"/>
    <w:rsid w:val="002914C3"/>
    <w:rsid w:val="0029298E"/>
    <w:rsid w:val="00293445"/>
    <w:rsid w:val="00293772"/>
    <w:rsid w:val="00293CA2"/>
    <w:rsid w:val="00293DB3"/>
    <w:rsid w:val="002949A2"/>
    <w:rsid w:val="00294AB8"/>
    <w:rsid w:val="00295A09"/>
    <w:rsid w:val="00296069"/>
    <w:rsid w:val="0029607C"/>
    <w:rsid w:val="00296F55"/>
    <w:rsid w:val="0029772F"/>
    <w:rsid w:val="00297C02"/>
    <w:rsid w:val="00297F74"/>
    <w:rsid w:val="002A0DEE"/>
    <w:rsid w:val="002A1029"/>
    <w:rsid w:val="002A117C"/>
    <w:rsid w:val="002A12AD"/>
    <w:rsid w:val="002A2077"/>
    <w:rsid w:val="002A22A6"/>
    <w:rsid w:val="002A27C8"/>
    <w:rsid w:val="002A40EC"/>
    <w:rsid w:val="002A57E0"/>
    <w:rsid w:val="002A59B8"/>
    <w:rsid w:val="002A5CF1"/>
    <w:rsid w:val="002A5DF1"/>
    <w:rsid w:val="002A60BD"/>
    <w:rsid w:val="002A6D90"/>
    <w:rsid w:val="002A769A"/>
    <w:rsid w:val="002B2D09"/>
    <w:rsid w:val="002B3D4E"/>
    <w:rsid w:val="002B4055"/>
    <w:rsid w:val="002B4DD8"/>
    <w:rsid w:val="002B509F"/>
    <w:rsid w:val="002B5A39"/>
    <w:rsid w:val="002B642B"/>
    <w:rsid w:val="002B71AB"/>
    <w:rsid w:val="002B74D4"/>
    <w:rsid w:val="002B7CF0"/>
    <w:rsid w:val="002B7DAD"/>
    <w:rsid w:val="002C01EA"/>
    <w:rsid w:val="002C09DF"/>
    <w:rsid w:val="002C0C80"/>
    <w:rsid w:val="002C0ECD"/>
    <w:rsid w:val="002C13E2"/>
    <w:rsid w:val="002C2097"/>
    <w:rsid w:val="002C26DF"/>
    <w:rsid w:val="002C304A"/>
    <w:rsid w:val="002C3E45"/>
    <w:rsid w:val="002C4CBC"/>
    <w:rsid w:val="002C4CE5"/>
    <w:rsid w:val="002C50B0"/>
    <w:rsid w:val="002C5FEA"/>
    <w:rsid w:val="002C6045"/>
    <w:rsid w:val="002C62E1"/>
    <w:rsid w:val="002C6858"/>
    <w:rsid w:val="002C6FE6"/>
    <w:rsid w:val="002C7587"/>
    <w:rsid w:val="002C78E9"/>
    <w:rsid w:val="002C7E48"/>
    <w:rsid w:val="002D08FF"/>
    <w:rsid w:val="002D0CEC"/>
    <w:rsid w:val="002D185D"/>
    <w:rsid w:val="002D1EA0"/>
    <w:rsid w:val="002D1F97"/>
    <w:rsid w:val="002D22D7"/>
    <w:rsid w:val="002D39E4"/>
    <w:rsid w:val="002D4465"/>
    <w:rsid w:val="002D4ED8"/>
    <w:rsid w:val="002D4F0C"/>
    <w:rsid w:val="002D5C8A"/>
    <w:rsid w:val="002D5D5C"/>
    <w:rsid w:val="002D5DDC"/>
    <w:rsid w:val="002D62CA"/>
    <w:rsid w:val="002D6AEE"/>
    <w:rsid w:val="002D7047"/>
    <w:rsid w:val="002D73AD"/>
    <w:rsid w:val="002E10F6"/>
    <w:rsid w:val="002E1147"/>
    <w:rsid w:val="002E1DAC"/>
    <w:rsid w:val="002E27F9"/>
    <w:rsid w:val="002E30DB"/>
    <w:rsid w:val="002E3796"/>
    <w:rsid w:val="002E3927"/>
    <w:rsid w:val="002E394C"/>
    <w:rsid w:val="002E3C87"/>
    <w:rsid w:val="002E3ECD"/>
    <w:rsid w:val="002E41B4"/>
    <w:rsid w:val="002E4BF4"/>
    <w:rsid w:val="002E4D9E"/>
    <w:rsid w:val="002E6159"/>
    <w:rsid w:val="002E6DB4"/>
    <w:rsid w:val="002E702A"/>
    <w:rsid w:val="002E78E0"/>
    <w:rsid w:val="002E7E54"/>
    <w:rsid w:val="002E7F78"/>
    <w:rsid w:val="002F087D"/>
    <w:rsid w:val="002F1659"/>
    <w:rsid w:val="002F1A1C"/>
    <w:rsid w:val="002F1BC3"/>
    <w:rsid w:val="002F3999"/>
    <w:rsid w:val="002F57A5"/>
    <w:rsid w:val="002F5897"/>
    <w:rsid w:val="002F5E7C"/>
    <w:rsid w:val="002F612C"/>
    <w:rsid w:val="002F6AB2"/>
    <w:rsid w:val="002F6CE4"/>
    <w:rsid w:val="00300FF0"/>
    <w:rsid w:val="0030120E"/>
    <w:rsid w:val="0030187D"/>
    <w:rsid w:val="00302861"/>
    <w:rsid w:val="00303585"/>
    <w:rsid w:val="00303E8D"/>
    <w:rsid w:val="00304B4F"/>
    <w:rsid w:val="00305331"/>
    <w:rsid w:val="00305A9E"/>
    <w:rsid w:val="0030656F"/>
    <w:rsid w:val="00306736"/>
    <w:rsid w:val="00306CC6"/>
    <w:rsid w:val="00306F8E"/>
    <w:rsid w:val="00307FCB"/>
    <w:rsid w:val="00310472"/>
    <w:rsid w:val="00311B16"/>
    <w:rsid w:val="00312E10"/>
    <w:rsid w:val="00312FF5"/>
    <w:rsid w:val="003131E1"/>
    <w:rsid w:val="00313433"/>
    <w:rsid w:val="00313AF1"/>
    <w:rsid w:val="00313CF1"/>
    <w:rsid w:val="003142D0"/>
    <w:rsid w:val="0031435F"/>
    <w:rsid w:val="003143D6"/>
    <w:rsid w:val="00314544"/>
    <w:rsid w:val="00314C5E"/>
    <w:rsid w:val="0031530E"/>
    <w:rsid w:val="003158D8"/>
    <w:rsid w:val="00316054"/>
    <w:rsid w:val="003165B4"/>
    <w:rsid w:val="00316ECB"/>
    <w:rsid w:val="00317441"/>
    <w:rsid w:val="00317D7F"/>
    <w:rsid w:val="003208C4"/>
    <w:rsid w:val="00320CE4"/>
    <w:rsid w:val="00321E5D"/>
    <w:rsid w:val="00322117"/>
    <w:rsid w:val="003232F5"/>
    <w:rsid w:val="00323357"/>
    <w:rsid w:val="003247A9"/>
    <w:rsid w:val="003247EF"/>
    <w:rsid w:val="00324C34"/>
    <w:rsid w:val="0032533E"/>
    <w:rsid w:val="00325500"/>
    <w:rsid w:val="00327AFA"/>
    <w:rsid w:val="00330926"/>
    <w:rsid w:val="00331EF6"/>
    <w:rsid w:val="00332349"/>
    <w:rsid w:val="0033257E"/>
    <w:rsid w:val="003328A8"/>
    <w:rsid w:val="00333BB7"/>
    <w:rsid w:val="00334654"/>
    <w:rsid w:val="00334ED7"/>
    <w:rsid w:val="00335315"/>
    <w:rsid w:val="0033563C"/>
    <w:rsid w:val="00335F38"/>
    <w:rsid w:val="003403B7"/>
    <w:rsid w:val="00341920"/>
    <w:rsid w:val="00342BE2"/>
    <w:rsid w:val="00342D57"/>
    <w:rsid w:val="00343196"/>
    <w:rsid w:val="0034367F"/>
    <w:rsid w:val="00344601"/>
    <w:rsid w:val="00344A38"/>
    <w:rsid w:val="00344BD7"/>
    <w:rsid w:val="00345B0D"/>
    <w:rsid w:val="00347858"/>
    <w:rsid w:val="00347A4C"/>
    <w:rsid w:val="00350145"/>
    <w:rsid w:val="003503DB"/>
    <w:rsid w:val="0035040E"/>
    <w:rsid w:val="0035044C"/>
    <w:rsid w:val="00351493"/>
    <w:rsid w:val="00351B29"/>
    <w:rsid w:val="00352DAB"/>
    <w:rsid w:val="00352F00"/>
    <w:rsid w:val="00352F6E"/>
    <w:rsid w:val="00353DB9"/>
    <w:rsid w:val="003541B8"/>
    <w:rsid w:val="003541DA"/>
    <w:rsid w:val="0035446A"/>
    <w:rsid w:val="0035460B"/>
    <w:rsid w:val="003557AD"/>
    <w:rsid w:val="00356375"/>
    <w:rsid w:val="00357666"/>
    <w:rsid w:val="00357713"/>
    <w:rsid w:val="00357B63"/>
    <w:rsid w:val="00360155"/>
    <w:rsid w:val="003623AC"/>
    <w:rsid w:val="00362BB4"/>
    <w:rsid w:val="00362EEC"/>
    <w:rsid w:val="003632B0"/>
    <w:rsid w:val="00363389"/>
    <w:rsid w:val="003634CA"/>
    <w:rsid w:val="00364FD8"/>
    <w:rsid w:val="003654BC"/>
    <w:rsid w:val="003655AC"/>
    <w:rsid w:val="00365751"/>
    <w:rsid w:val="00365CA2"/>
    <w:rsid w:val="0036645D"/>
    <w:rsid w:val="003667A5"/>
    <w:rsid w:val="003672C5"/>
    <w:rsid w:val="003675A5"/>
    <w:rsid w:val="003677C6"/>
    <w:rsid w:val="00370818"/>
    <w:rsid w:val="00371448"/>
    <w:rsid w:val="00371801"/>
    <w:rsid w:val="00371C48"/>
    <w:rsid w:val="003729C7"/>
    <w:rsid w:val="003748B4"/>
    <w:rsid w:val="00374A0E"/>
    <w:rsid w:val="0037710B"/>
    <w:rsid w:val="003772CE"/>
    <w:rsid w:val="0037747F"/>
    <w:rsid w:val="00377533"/>
    <w:rsid w:val="00377EA6"/>
    <w:rsid w:val="003800AA"/>
    <w:rsid w:val="003805E7"/>
    <w:rsid w:val="00380AD2"/>
    <w:rsid w:val="00381ACB"/>
    <w:rsid w:val="00381E82"/>
    <w:rsid w:val="003832CD"/>
    <w:rsid w:val="00383464"/>
    <w:rsid w:val="00384B55"/>
    <w:rsid w:val="00384BAB"/>
    <w:rsid w:val="00384BD1"/>
    <w:rsid w:val="00385151"/>
    <w:rsid w:val="00387503"/>
    <w:rsid w:val="003905BC"/>
    <w:rsid w:val="00391121"/>
    <w:rsid w:val="00391786"/>
    <w:rsid w:val="00391AE4"/>
    <w:rsid w:val="00392412"/>
    <w:rsid w:val="003926A5"/>
    <w:rsid w:val="0039270C"/>
    <w:rsid w:val="00392A34"/>
    <w:rsid w:val="0039370C"/>
    <w:rsid w:val="00393AAE"/>
    <w:rsid w:val="00394755"/>
    <w:rsid w:val="00394F7E"/>
    <w:rsid w:val="00395C6E"/>
    <w:rsid w:val="003A1A75"/>
    <w:rsid w:val="003A1B80"/>
    <w:rsid w:val="003A27F7"/>
    <w:rsid w:val="003A2BE1"/>
    <w:rsid w:val="003A324A"/>
    <w:rsid w:val="003A337D"/>
    <w:rsid w:val="003A353E"/>
    <w:rsid w:val="003A3603"/>
    <w:rsid w:val="003A3C30"/>
    <w:rsid w:val="003A3CF0"/>
    <w:rsid w:val="003A3F21"/>
    <w:rsid w:val="003A5FE3"/>
    <w:rsid w:val="003A68EA"/>
    <w:rsid w:val="003A6A9D"/>
    <w:rsid w:val="003A750E"/>
    <w:rsid w:val="003A7A70"/>
    <w:rsid w:val="003B07C0"/>
    <w:rsid w:val="003B31D5"/>
    <w:rsid w:val="003B4D91"/>
    <w:rsid w:val="003B52D2"/>
    <w:rsid w:val="003B5924"/>
    <w:rsid w:val="003B5C83"/>
    <w:rsid w:val="003B63CA"/>
    <w:rsid w:val="003B71B8"/>
    <w:rsid w:val="003B7A02"/>
    <w:rsid w:val="003C0D82"/>
    <w:rsid w:val="003C166A"/>
    <w:rsid w:val="003C1E3A"/>
    <w:rsid w:val="003C2685"/>
    <w:rsid w:val="003C2B9C"/>
    <w:rsid w:val="003C2C42"/>
    <w:rsid w:val="003C3C5C"/>
    <w:rsid w:val="003C4156"/>
    <w:rsid w:val="003C49CE"/>
    <w:rsid w:val="003C59F9"/>
    <w:rsid w:val="003C60F5"/>
    <w:rsid w:val="003C6263"/>
    <w:rsid w:val="003C6C64"/>
    <w:rsid w:val="003C769A"/>
    <w:rsid w:val="003C782A"/>
    <w:rsid w:val="003C7C57"/>
    <w:rsid w:val="003C7DB9"/>
    <w:rsid w:val="003D035F"/>
    <w:rsid w:val="003D1250"/>
    <w:rsid w:val="003D1A2F"/>
    <w:rsid w:val="003D225B"/>
    <w:rsid w:val="003D3335"/>
    <w:rsid w:val="003D38F1"/>
    <w:rsid w:val="003D3A2F"/>
    <w:rsid w:val="003D3F63"/>
    <w:rsid w:val="003D4E14"/>
    <w:rsid w:val="003D5E30"/>
    <w:rsid w:val="003E03A9"/>
    <w:rsid w:val="003E07E8"/>
    <w:rsid w:val="003E0FD0"/>
    <w:rsid w:val="003E19DB"/>
    <w:rsid w:val="003E1A08"/>
    <w:rsid w:val="003E1A5D"/>
    <w:rsid w:val="003E3062"/>
    <w:rsid w:val="003E3069"/>
    <w:rsid w:val="003E3932"/>
    <w:rsid w:val="003E3E0F"/>
    <w:rsid w:val="003E5493"/>
    <w:rsid w:val="003E587D"/>
    <w:rsid w:val="003E5F4F"/>
    <w:rsid w:val="003E7EF1"/>
    <w:rsid w:val="003F0076"/>
    <w:rsid w:val="003F121B"/>
    <w:rsid w:val="003F15CD"/>
    <w:rsid w:val="003F1617"/>
    <w:rsid w:val="003F2457"/>
    <w:rsid w:val="003F277A"/>
    <w:rsid w:val="003F2F01"/>
    <w:rsid w:val="003F316D"/>
    <w:rsid w:val="003F32DD"/>
    <w:rsid w:val="003F3D60"/>
    <w:rsid w:val="003F41A6"/>
    <w:rsid w:val="003F450D"/>
    <w:rsid w:val="003F4888"/>
    <w:rsid w:val="003F4914"/>
    <w:rsid w:val="003F4A42"/>
    <w:rsid w:val="003F5364"/>
    <w:rsid w:val="003F569F"/>
    <w:rsid w:val="003F5704"/>
    <w:rsid w:val="003F6957"/>
    <w:rsid w:val="003F73DE"/>
    <w:rsid w:val="004008D0"/>
    <w:rsid w:val="00400DC2"/>
    <w:rsid w:val="004016DF"/>
    <w:rsid w:val="004020F8"/>
    <w:rsid w:val="004028AC"/>
    <w:rsid w:val="00402C76"/>
    <w:rsid w:val="0040340D"/>
    <w:rsid w:val="00405E60"/>
    <w:rsid w:val="00406284"/>
    <w:rsid w:val="00407195"/>
    <w:rsid w:val="004075D8"/>
    <w:rsid w:val="00407750"/>
    <w:rsid w:val="00411E08"/>
    <w:rsid w:val="004123D3"/>
    <w:rsid w:val="0041364F"/>
    <w:rsid w:val="00413985"/>
    <w:rsid w:val="004146FC"/>
    <w:rsid w:val="00414BB8"/>
    <w:rsid w:val="00414C6F"/>
    <w:rsid w:val="0041535F"/>
    <w:rsid w:val="00415628"/>
    <w:rsid w:val="004159E9"/>
    <w:rsid w:val="00415A1D"/>
    <w:rsid w:val="00416C62"/>
    <w:rsid w:val="00417040"/>
    <w:rsid w:val="00417089"/>
    <w:rsid w:val="00417150"/>
    <w:rsid w:val="0041763B"/>
    <w:rsid w:val="00417837"/>
    <w:rsid w:val="0042054B"/>
    <w:rsid w:val="00420E36"/>
    <w:rsid w:val="0042162C"/>
    <w:rsid w:val="004216CA"/>
    <w:rsid w:val="004226A3"/>
    <w:rsid w:val="00423F1D"/>
    <w:rsid w:val="004240D9"/>
    <w:rsid w:val="0042419E"/>
    <w:rsid w:val="004241C1"/>
    <w:rsid w:val="00424633"/>
    <w:rsid w:val="00424FE2"/>
    <w:rsid w:val="004253B9"/>
    <w:rsid w:val="004256BC"/>
    <w:rsid w:val="0042614E"/>
    <w:rsid w:val="0042685E"/>
    <w:rsid w:val="00426C1F"/>
    <w:rsid w:val="0042712E"/>
    <w:rsid w:val="004271D0"/>
    <w:rsid w:val="00427DD9"/>
    <w:rsid w:val="004303CD"/>
    <w:rsid w:val="00430816"/>
    <w:rsid w:val="00430AB4"/>
    <w:rsid w:val="00431147"/>
    <w:rsid w:val="00432C22"/>
    <w:rsid w:val="0043333E"/>
    <w:rsid w:val="004356F4"/>
    <w:rsid w:val="00435BFC"/>
    <w:rsid w:val="00436699"/>
    <w:rsid w:val="00436FDE"/>
    <w:rsid w:val="0043722B"/>
    <w:rsid w:val="004373CD"/>
    <w:rsid w:val="004375C3"/>
    <w:rsid w:val="0043764A"/>
    <w:rsid w:val="00437935"/>
    <w:rsid w:val="00437A8D"/>
    <w:rsid w:val="00437CE0"/>
    <w:rsid w:val="00437F39"/>
    <w:rsid w:val="00441606"/>
    <w:rsid w:val="00442586"/>
    <w:rsid w:val="00442757"/>
    <w:rsid w:val="00442E39"/>
    <w:rsid w:val="00444A22"/>
    <w:rsid w:val="00445D15"/>
    <w:rsid w:val="004465DC"/>
    <w:rsid w:val="004466B7"/>
    <w:rsid w:val="00450A0F"/>
    <w:rsid w:val="00450E7C"/>
    <w:rsid w:val="00451316"/>
    <w:rsid w:val="004518CD"/>
    <w:rsid w:val="00451B5C"/>
    <w:rsid w:val="004524C1"/>
    <w:rsid w:val="00452E3E"/>
    <w:rsid w:val="004549A1"/>
    <w:rsid w:val="00455991"/>
    <w:rsid w:val="00455E70"/>
    <w:rsid w:val="00455FF9"/>
    <w:rsid w:val="00456E56"/>
    <w:rsid w:val="00457C0C"/>
    <w:rsid w:val="0046000A"/>
    <w:rsid w:val="004606C3"/>
    <w:rsid w:val="00461111"/>
    <w:rsid w:val="00462F94"/>
    <w:rsid w:val="00463544"/>
    <w:rsid w:val="0046393B"/>
    <w:rsid w:val="00464242"/>
    <w:rsid w:val="004642F2"/>
    <w:rsid w:val="004645F6"/>
    <w:rsid w:val="00464812"/>
    <w:rsid w:val="00464C60"/>
    <w:rsid w:val="00464D7F"/>
    <w:rsid w:val="004657D0"/>
    <w:rsid w:val="004657E7"/>
    <w:rsid w:val="0046720E"/>
    <w:rsid w:val="004706F0"/>
    <w:rsid w:val="0047101D"/>
    <w:rsid w:val="004718F8"/>
    <w:rsid w:val="00471B18"/>
    <w:rsid w:val="00471F02"/>
    <w:rsid w:val="00471F8A"/>
    <w:rsid w:val="00471FBB"/>
    <w:rsid w:val="004725BE"/>
    <w:rsid w:val="004726FB"/>
    <w:rsid w:val="00472DF2"/>
    <w:rsid w:val="004736CB"/>
    <w:rsid w:val="00473ACB"/>
    <w:rsid w:val="00474047"/>
    <w:rsid w:val="00474814"/>
    <w:rsid w:val="0047490C"/>
    <w:rsid w:val="0047496D"/>
    <w:rsid w:val="00474F48"/>
    <w:rsid w:val="00475250"/>
    <w:rsid w:val="004756DB"/>
    <w:rsid w:val="00475721"/>
    <w:rsid w:val="00475992"/>
    <w:rsid w:val="00480AE2"/>
    <w:rsid w:val="00480C02"/>
    <w:rsid w:val="004810CB"/>
    <w:rsid w:val="004817FD"/>
    <w:rsid w:val="004818FC"/>
    <w:rsid w:val="00481B45"/>
    <w:rsid w:val="00481BB3"/>
    <w:rsid w:val="00481D30"/>
    <w:rsid w:val="00482364"/>
    <w:rsid w:val="00482547"/>
    <w:rsid w:val="00483794"/>
    <w:rsid w:val="00484266"/>
    <w:rsid w:val="00484703"/>
    <w:rsid w:val="00485454"/>
    <w:rsid w:val="00485AA2"/>
    <w:rsid w:val="00485D4F"/>
    <w:rsid w:val="00485DED"/>
    <w:rsid w:val="00485ED1"/>
    <w:rsid w:val="0048755F"/>
    <w:rsid w:val="00487970"/>
    <w:rsid w:val="00487C25"/>
    <w:rsid w:val="0049046A"/>
    <w:rsid w:val="00490A05"/>
    <w:rsid w:val="00490BCC"/>
    <w:rsid w:val="00490C49"/>
    <w:rsid w:val="00490DE2"/>
    <w:rsid w:val="004934B5"/>
    <w:rsid w:val="004936BB"/>
    <w:rsid w:val="004937DA"/>
    <w:rsid w:val="00494634"/>
    <w:rsid w:val="00494A33"/>
    <w:rsid w:val="00494C68"/>
    <w:rsid w:val="00494D87"/>
    <w:rsid w:val="004966C8"/>
    <w:rsid w:val="00496BC9"/>
    <w:rsid w:val="00497075"/>
    <w:rsid w:val="00497280"/>
    <w:rsid w:val="0049790A"/>
    <w:rsid w:val="00497DDA"/>
    <w:rsid w:val="004A0C74"/>
    <w:rsid w:val="004A100F"/>
    <w:rsid w:val="004A1472"/>
    <w:rsid w:val="004A232F"/>
    <w:rsid w:val="004A3DC3"/>
    <w:rsid w:val="004A3E38"/>
    <w:rsid w:val="004A3F60"/>
    <w:rsid w:val="004A44E9"/>
    <w:rsid w:val="004A4616"/>
    <w:rsid w:val="004A489D"/>
    <w:rsid w:val="004A4F4E"/>
    <w:rsid w:val="004A56AD"/>
    <w:rsid w:val="004A57DA"/>
    <w:rsid w:val="004A5B81"/>
    <w:rsid w:val="004A5F37"/>
    <w:rsid w:val="004A6318"/>
    <w:rsid w:val="004A64BB"/>
    <w:rsid w:val="004A7D7C"/>
    <w:rsid w:val="004B00A2"/>
    <w:rsid w:val="004B0794"/>
    <w:rsid w:val="004B0D62"/>
    <w:rsid w:val="004B1822"/>
    <w:rsid w:val="004B1D4B"/>
    <w:rsid w:val="004B2435"/>
    <w:rsid w:val="004B2B8B"/>
    <w:rsid w:val="004B2DEE"/>
    <w:rsid w:val="004B2ED6"/>
    <w:rsid w:val="004B4082"/>
    <w:rsid w:val="004B4E51"/>
    <w:rsid w:val="004B5067"/>
    <w:rsid w:val="004B56D3"/>
    <w:rsid w:val="004B79B4"/>
    <w:rsid w:val="004C0386"/>
    <w:rsid w:val="004C1174"/>
    <w:rsid w:val="004C12A3"/>
    <w:rsid w:val="004C1BCB"/>
    <w:rsid w:val="004C1D8E"/>
    <w:rsid w:val="004C3666"/>
    <w:rsid w:val="004C3A4E"/>
    <w:rsid w:val="004C4484"/>
    <w:rsid w:val="004C46BE"/>
    <w:rsid w:val="004C5974"/>
    <w:rsid w:val="004C5FCE"/>
    <w:rsid w:val="004C6718"/>
    <w:rsid w:val="004C7966"/>
    <w:rsid w:val="004C7C48"/>
    <w:rsid w:val="004D036B"/>
    <w:rsid w:val="004D0461"/>
    <w:rsid w:val="004D0A04"/>
    <w:rsid w:val="004D0A4C"/>
    <w:rsid w:val="004D0C10"/>
    <w:rsid w:val="004D0C2A"/>
    <w:rsid w:val="004D1111"/>
    <w:rsid w:val="004D1689"/>
    <w:rsid w:val="004D29D0"/>
    <w:rsid w:val="004D3838"/>
    <w:rsid w:val="004D467B"/>
    <w:rsid w:val="004D4802"/>
    <w:rsid w:val="004D4B20"/>
    <w:rsid w:val="004D655A"/>
    <w:rsid w:val="004D710E"/>
    <w:rsid w:val="004D74AF"/>
    <w:rsid w:val="004D7949"/>
    <w:rsid w:val="004E012D"/>
    <w:rsid w:val="004E1F14"/>
    <w:rsid w:val="004E274F"/>
    <w:rsid w:val="004E31C3"/>
    <w:rsid w:val="004E3298"/>
    <w:rsid w:val="004E4E73"/>
    <w:rsid w:val="004E4E78"/>
    <w:rsid w:val="004E4EA8"/>
    <w:rsid w:val="004E4FC7"/>
    <w:rsid w:val="004E6717"/>
    <w:rsid w:val="004E6BA1"/>
    <w:rsid w:val="004E6F79"/>
    <w:rsid w:val="004E7323"/>
    <w:rsid w:val="004F0267"/>
    <w:rsid w:val="004F0F88"/>
    <w:rsid w:val="004F118F"/>
    <w:rsid w:val="004F1853"/>
    <w:rsid w:val="004F1F9C"/>
    <w:rsid w:val="004F244C"/>
    <w:rsid w:val="004F2C24"/>
    <w:rsid w:val="004F2E49"/>
    <w:rsid w:val="004F34E3"/>
    <w:rsid w:val="004F40DB"/>
    <w:rsid w:val="004F53FF"/>
    <w:rsid w:val="004F5458"/>
    <w:rsid w:val="004F6720"/>
    <w:rsid w:val="004F7667"/>
    <w:rsid w:val="00500EA4"/>
    <w:rsid w:val="005016A2"/>
    <w:rsid w:val="00501976"/>
    <w:rsid w:val="00501C34"/>
    <w:rsid w:val="005022AC"/>
    <w:rsid w:val="005031A2"/>
    <w:rsid w:val="005038BB"/>
    <w:rsid w:val="00504160"/>
    <w:rsid w:val="005044CB"/>
    <w:rsid w:val="0050493D"/>
    <w:rsid w:val="005049E4"/>
    <w:rsid w:val="00504BC8"/>
    <w:rsid w:val="0050574F"/>
    <w:rsid w:val="00506B33"/>
    <w:rsid w:val="005073B1"/>
    <w:rsid w:val="0050753A"/>
    <w:rsid w:val="00507C3C"/>
    <w:rsid w:val="00507D74"/>
    <w:rsid w:val="00507D8F"/>
    <w:rsid w:val="00510389"/>
    <w:rsid w:val="005110AC"/>
    <w:rsid w:val="00511BA3"/>
    <w:rsid w:val="00511C2D"/>
    <w:rsid w:val="00513BE0"/>
    <w:rsid w:val="00514B5E"/>
    <w:rsid w:val="00516324"/>
    <w:rsid w:val="005177A4"/>
    <w:rsid w:val="00517BB4"/>
    <w:rsid w:val="00521D37"/>
    <w:rsid w:val="0052257A"/>
    <w:rsid w:val="00522F94"/>
    <w:rsid w:val="005239FF"/>
    <w:rsid w:val="00523E16"/>
    <w:rsid w:val="00524C34"/>
    <w:rsid w:val="005253A7"/>
    <w:rsid w:val="00525DF8"/>
    <w:rsid w:val="00525E0E"/>
    <w:rsid w:val="0052639D"/>
    <w:rsid w:val="005264F6"/>
    <w:rsid w:val="0052771E"/>
    <w:rsid w:val="0053026C"/>
    <w:rsid w:val="005308ED"/>
    <w:rsid w:val="00531095"/>
    <w:rsid w:val="00531721"/>
    <w:rsid w:val="0053239F"/>
    <w:rsid w:val="00533677"/>
    <w:rsid w:val="00533BCE"/>
    <w:rsid w:val="00534301"/>
    <w:rsid w:val="00534C5C"/>
    <w:rsid w:val="005357A5"/>
    <w:rsid w:val="00535AD2"/>
    <w:rsid w:val="00535BD8"/>
    <w:rsid w:val="0053691A"/>
    <w:rsid w:val="005371E1"/>
    <w:rsid w:val="005373F5"/>
    <w:rsid w:val="00537B12"/>
    <w:rsid w:val="00537C9A"/>
    <w:rsid w:val="00540B44"/>
    <w:rsid w:val="005418DA"/>
    <w:rsid w:val="005421DF"/>
    <w:rsid w:val="00542244"/>
    <w:rsid w:val="00542719"/>
    <w:rsid w:val="00542E19"/>
    <w:rsid w:val="0054329E"/>
    <w:rsid w:val="00543B32"/>
    <w:rsid w:val="00543B6D"/>
    <w:rsid w:val="00544066"/>
    <w:rsid w:val="005444F7"/>
    <w:rsid w:val="00545428"/>
    <w:rsid w:val="00545857"/>
    <w:rsid w:val="00546E12"/>
    <w:rsid w:val="005474E9"/>
    <w:rsid w:val="00547A71"/>
    <w:rsid w:val="00547D4A"/>
    <w:rsid w:val="0055018E"/>
    <w:rsid w:val="00550689"/>
    <w:rsid w:val="00551A1C"/>
    <w:rsid w:val="00553D76"/>
    <w:rsid w:val="00554BF4"/>
    <w:rsid w:val="00555271"/>
    <w:rsid w:val="005559A3"/>
    <w:rsid w:val="00555C89"/>
    <w:rsid w:val="005565AB"/>
    <w:rsid w:val="0055792F"/>
    <w:rsid w:val="00557B28"/>
    <w:rsid w:val="005613C2"/>
    <w:rsid w:val="00561B92"/>
    <w:rsid w:val="0056253E"/>
    <w:rsid w:val="00562C3C"/>
    <w:rsid w:val="00562E54"/>
    <w:rsid w:val="00563069"/>
    <w:rsid w:val="00563E64"/>
    <w:rsid w:val="00564059"/>
    <w:rsid w:val="00564C94"/>
    <w:rsid w:val="00564F2F"/>
    <w:rsid w:val="005655AA"/>
    <w:rsid w:val="0056590F"/>
    <w:rsid w:val="00565CA1"/>
    <w:rsid w:val="00565E2A"/>
    <w:rsid w:val="00566374"/>
    <w:rsid w:val="00566887"/>
    <w:rsid w:val="00570738"/>
    <w:rsid w:val="005707E2"/>
    <w:rsid w:val="00570FB2"/>
    <w:rsid w:val="005710B6"/>
    <w:rsid w:val="0057123B"/>
    <w:rsid w:val="00571A97"/>
    <w:rsid w:val="00571CE6"/>
    <w:rsid w:val="00571E1A"/>
    <w:rsid w:val="00573B39"/>
    <w:rsid w:val="00573F8C"/>
    <w:rsid w:val="005744FB"/>
    <w:rsid w:val="00575F33"/>
    <w:rsid w:val="00576105"/>
    <w:rsid w:val="00576966"/>
    <w:rsid w:val="00576FF8"/>
    <w:rsid w:val="00577069"/>
    <w:rsid w:val="0057736A"/>
    <w:rsid w:val="00580519"/>
    <w:rsid w:val="00580E8E"/>
    <w:rsid w:val="0058143D"/>
    <w:rsid w:val="00582135"/>
    <w:rsid w:val="0058224A"/>
    <w:rsid w:val="00582D64"/>
    <w:rsid w:val="00583576"/>
    <w:rsid w:val="00584134"/>
    <w:rsid w:val="005844DC"/>
    <w:rsid w:val="0058460C"/>
    <w:rsid w:val="00584853"/>
    <w:rsid w:val="00584D0E"/>
    <w:rsid w:val="00584E5C"/>
    <w:rsid w:val="0058543E"/>
    <w:rsid w:val="00585D5E"/>
    <w:rsid w:val="005861E7"/>
    <w:rsid w:val="0058622C"/>
    <w:rsid w:val="00586453"/>
    <w:rsid w:val="00586E39"/>
    <w:rsid w:val="00587EA4"/>
    <w:rsid w:val="00590961"/>
    <w:rsid w:val="005913DF"/>
    <w:rsid w:val="005917B5"/>
    <w:rsid w:val="00592256"/>
    <w:rsid w:val="00592E81"/>
    <w:rsid w:val="00593A2E"/>
    <w:rsid w:val="00593CEF"/>
    <w:rsid w:val="00593D11"/>
    <w:rsid w:val="005948D2"/>
    <w:rsid w:val="00594A57"/>
    <w:rsid w:val="00594C02"/>
    <w:rsid w:val="00594D1B"/>
    <w:rsid w:val="005953FB"/>
    <w:rsid w:val="005966FB"/>
    <w:rsid w:val="005967B4"/>
    <w:rsid w:val="00596F9F"/>
    <w:rsid w:val="00597294"/>
    <w:rsid w:val="00597454"/>
    <w:rsid w:val="00597FBF"/>
    <w:rsid w:val="005A0910"/>
    <w:rsid w:val="005A095B"/>
    <w:rsid w:val="005A1039"/>
    <w:rsid w:val="005A15B6"/>
    <w:rsid w:val="005A29FE"/>
    <w:rsid w:val="005A3888"/>
    <w:rsid w:val="005A3E7E"/>
    <w:rsid w:val="005A42F4"/>
    <w:rsid w:val="005A430B"/>
    <w:rsid w:val="005A44D8"/>
    <w:rsid w:val="005A4FE1"/>
    <w:rsid w:val="005A6F63"/>
    <w:rsid w:val="005A72B9"/>
    <w:rsid w:val="005A7676"/>
    <w:rsid w:val="005A7C75"/>
    <w:rsid w:val="005B0811"/>
    <w:rsid w:val="005B0A38"/>
    <w:rsid w:val="005B177F"/>
    <w:rsid w:val="005B195D"/>
    <w:rsid w:val="005B233D"/>
    <w:rsid w:val="005B3265"/>
    <w:rsid w:val="005B3391"/>
    <w:rsid w:val="005B345B"/>
    <w:rsid w:val="005B34F1"/>
    <w:rsid w:val="005B3C08"/>
    <w:rsid w:val="005B44A3"/>
    <w:rsid w:val="005B480B"/>
    <w:rsid w:val="005B5408"/>
    <w:rsid w:val="005B5ACB"/>
    <w:rsid w:val="005B61FF"/>
    <w:rsid w:val="005B6410"/>
    <w:rsid w:val="005B72D7"/>
    <w:rsid w:val="005C0582"/>
    <w:rsid w:val="005C2DB9"/>
    <w:rsid w:val="005C31BB"/>
    <w:rsid w:val="005C33A2"/>
    <w:rsid w:val="005C4419"/>
    <w:rsid w:val="005C455A"/>
    <w:rsid w:val="005C4748"/>
    <w:rsid w:val="005C5F9E"/>
    <w:rsid w:val="005C6265"/>
    <w:rsid w:val="005C62AA"/>
    <w:rsid w:val="005C64EF"/>
    <w:rsid w:val="005C66F2"/>
    <w:rsid w:val="005C755F"/>
    <w:rsid w:val="005C780C"/>
    <w:rsid w:val="005C798F"/>
    <w:rsid w:val="005C7C90"/>
    <w:rsid w:val="005D022B"/>
    <w:rsid w:val="005D0387"/>
    <w:rsid w:val="005D05D2"/>
    <w:rsid w:val="005D18EB"/>
    <w:rsid w:val="005D1CB3"/>
    <w:rsid w:val="005D2666"/>
    <w:rsid w:val="005D26E0"/>
    <w:rsid w:val="005D29F4"/>
    <w:rsid w:val="005D3225"/>
    <w:rsid w:val="005D3233"/>
    <w:rsid w:val="005D3D05"/>
    <w:rsid w:val="005D4158"/>
    <w:rsid w:val="005D4D2F"/>
    <w:rsid w:val="005D5458"/>
    <w:rsid w:val="005D5C92"/>
    <w:rsid w:val="005D5CD7"/>
    <w:rsid w:val="005D7439"/>
    <w:rsid w:val="005E05BB"/>
    <w:rsid w:val="005E1AB4"/>
    <w:rsid w:val="005E2437"/>
    <w:rsid w:val="005E24D3"/>
    <w:rsid w:val="005E287E"/>
    <w:rsid w:val="005E2BD4"/>
    <w:rsid w:val="005E2C2F"/>
    <w:rsid w:val="005E30BA"/>
    <w:rsid w:val="005E3A63"/>
    <w:rsid w:val="005E404E"/>
    <w:rsid w:val="005E41AB"/>
    <w:rsid w:val="005E42D6"/>
    <w:rsid w:val="005E5118"/>
    <w:rsid w:val="005E5166"/>
    <w:rsid w:val="005E5932"/>
    <w:rsid w:val="005E6579"/>
    <w:rsid w:val="005E7037"/>
    <w:rsid w:val="005E7339"/>
    <w:rsid w:val="005E7BBF"/>
    <w:rsid w:val="005E7E66"/>
    <w:rsid w:val="005F0048"/>
    <w:rsid w:val="005F02A7"/>
    <w:rsid w:val="005F122F"/>
    <w:rsid w:val="005F12BB"/>
    <w:rsid w:val="005F1C1A"/>
    <w:rsid w:val="005F2923"/>
    <w:rsid w:val="005F2C11"/>
    <w:rsid w:val="005F2D7C"/>
    <w:rsid w:val="005F3187"/>
    <w:rsid w:val="005F328E"/>
    <w:rsid w:val="005F3393"/>
    <w:rsid w:val="005F35C0"/>
    <w:rsid w:val="005F434A"/>
    <w:rsid w:val="005F4472"/>
    <w:rsid w:val="005F4D65"/>
    <w:rsid w:val="005F5C08"/>
    <w:rsid w:val="005F607F"/>
    <w:rsid w:val="005F6422"/>
    <w:rsid w:val="005F6577"/>
    <w:rsid w:val="005F6BC6"/>
    <w:rsid w:val="005F6EFD"/>
    <w:rsid w:val="005F748B"/>
    <w:rsid w:val="005F77B2"/>
    <w:rsid w:val="005F7CF3"/>
    <w:rsid w:val="005F7D3B"/>
    <w:rsid w:val="006000E8"/>
    <w:rsid w:val="0060036B"/>
    <w:rsid w:val="00600591"/>
    <w:rsid w:val="00600828"/>
    <w:rsid w:val="00600A57"/>
    <w:rsid w:val="00600BCF"/>
    <w:rsid w:val="00600C51"/>
    <w:rsid w:val="006010CD"/>
    <w:rsid w:val="0060129D"/>
    <w:rsid w:val="0060158D"/>
    <w:rsid w:val="0060235D"/>
    <w:rsid w:val="0060274E"/>
    <w:rsid w:val="00602847"/>
    <w:rsid w:val="006028D1"/>
    <w:rsid w:val="006035F3"/>
    <w:rsid w:val="0060376F"/>
    <w:rsid w:val="006037F2"/>
    <w:rsid w:val="00603AB3"/>
    <w:rsid w:val="0060565F"/>
    <w:rsid w:val="00605A58"/>
    <w:rsid w:val="00605C67"/>
    <w:rsid w:val="00606675"/>
    <w:rsid w:val="006104C8"/>
    <w:rsid w:val="006110BE"/>
    <w:rsid w:val="0061131C"/>
    <w:rsid w:val="00611520"/>
    <w:rsid w:val="006116C9"/>
    <w:rsid w:val="00614A82"/>
    <w:rsid w:val="00614C42"/>
    <w:rsid w:val="006156E0"/>
    <w:rsid w:val="00616148"/>
    <w:rsid w:val="0061627D"/>
    <w:rsid w:val="00616681"/>
    <w:rsid w:val="0062017D"/>
    <w:rsid w:val="00622AF7"/>
    <w:rsid w:val="0062329F"/>
    <w:rsid w:val="00625064"/>
    <w:rsid w:val="00625575"/>
    <w:rsid w:val="006258A9"/>
    <w:rsid w:val="006267B4"/>
    <w:rsid w:val="006268D5"/>
    <w:rsid w:val="00626DB1"/>
    <w:rsid w:val="00627634"/>
    <w:rsid w:val="006277D9"/>
    <w:rsid w:val="006278AA"/>
    <w:rsid w:val="00630263"/>
    <w:rsid w:val="00630297"/>
    <w:rsid w:val="00630AC1"/>
    <w:rsid w:val="00631941"/>
    <w:rsid w:val="00631BB8"/>
    <w:rsid w:val="006326CE"/>
    <w:rsid w:val="00633664"/>
    <w:rsid w:val="00633D8B"/>
    <w:rsid w:val="00634383"/>
    <w:rsid w:val="0063467F"/>
    <w:rsid w:val="00634A6C"/>
    <w:rsid w:val="00634F1B"/>
    <w:rsid w:val="00635947"/>
    <w:rsid w:val="00636BFF"/>
    <w:rsid w:val="00637BF7"/>
    <w:rsid w:val="006401A5"/>
    <w:rsid w:val="00640EC7"/>
    <w:rsid w:val="00640FD4"/>
    <w:rsid w:val="006418CF"/>
    <w:rsid w:val="00641BF0"/>
    <w:rsid w:val="00643215"/>
    <w:rsid w:val="006438DB"/>
    <w:rsid w:val="00643BEE"/>
    <w:rsid w:val="006443AA"/>
    <w:rsid w:val="00644E11"/>
    <w:rsid w:val="00644E56"/>
    <w:rsid w:val="00645084"/>
    <w:rsid w:val="006467DC"/>
    <w:rsid w:val="00647280"/>
    <w:rsid w:val="006474E7"/>
    <w:rsid w:val="00647F81"/>
    <w:rsid w:val="006502BD"/>
    <w:rsid w:val="00650534"/>
    <w:rsid w:val="006506C5"/>
    <w:rsid w:val="00650D84"/>
    <w:rsid w:val="00650FCC"/>
    <w:rsid w:val="00650FDB"/>
    <w:rsid w:val="006510B5"/>
    <w:rsid w:val="006516AE"/>
    <w:rsid w:val="006520C3"/>
    <w:rsid w:val="00652130"/>
    <w:rsid w:val="006523C4"/>
    <w:rsid w:val="00652733"/>
    <w:rsid w:val="00653BC9"/>
    <w:rsid w:val="00654279"/>
    <w:rsid w:val="00654426"/>
    <w:rsid w:val="00654B9A"/>
    <w:rsid w:val="00654DC4"/>
    <w:rsid w:val="00655453"/>
    <w:rsid w:val="00655E86"/>
    <w:rsid w:val="00656EB3"/>
    <w:rsid w:val="00657A0C"/>
    <w:rsid w:val="0066067C"/>
    <w:rsid w:val="006607AC"/>
    <w:rsid w:val="00661569"/>
    <w:rsid w:val="00661C88"/>
    <w:rsid w:val="00661CE4"/>
    <w:rsid w:val="00662F48"/>
    <w:rsid w:val="006640C3"/>
    <w:rsid w:val="00665276"/>
    <w:rsid w:val="006657D3"/>
    <w:rsid w:val="00665D92"/>
    <w:rsid w:val="006674B9"/>
    <w:rsid w:val="00667521"/>
    <w:rsid w:val="00667AE5"/>
    <w:rsid w:val="00667C63"/>
    <w:rsid w:val="00671F8D"/>
    <w:rsid w:val="006720C4"/>
    <w:rsid w:val="00672D87"/>
    <w:rsid w:val="00672EC4"/>
    <w:rsid w:val="00672F67"/>
    <w:rsid w:val="00672FD1"/>
    <w:rsid w:val="0067314F"/>
    <w:rsid w:val="00673F5F"/>
    <w:rsid w:val="00674307"/>
    <w:rsid w:val="00674680"/>
    <w:rsid w:val="00675101"/>
    <w:rsid w:val="00675465"/>
    <w:rsid w:val="006759A6"/>
    <w:rsid w:val="00676152"/>
    <w:rsid w:val="00676865"/>
    <w:rsid w:val="0067755E"/>
    <w:rsid w:val="00677CAF"/>
    <w:rsid w:val="0068045F"/>
    <w:rsid w:val="006818FE"/>
    <w:rsid w:val="006819E7"/>
    <w:rsid w:val="00682273"/>
    <w:rsid w:val="00682550"/>
    <w:rsid w:val="00682D56"/>
    <w:rsid w:val="00683743"/>
    <w:rsid w:val="006837A8"/>
    <w:rsid w:val="00683D6F"/>
    <w:rsid w:val="006848F5"/>
    <w:rsid w:val="00684A5A"/>
    <w:rsid w:val="00685290"/>
    <w:rsid w:val="006861D9"/>
    <w:rsid w:val="00686235"/>
    <w:rsid w:val="006862BD"/>
    <w:rsid w:val="00686352"/>
    <w:rsid w:val="006863B0"/>
    <w:rsid w:val="00687BAC"/>
    <w:rsid w:val="00687CBE"/>
    <w:rsid w:val="00691524"/>
    <w:rsid w:val="00693744"/>
    <w:rsid w:val="00694294"/>
    <w:rsid w:val="00694F7B"/>
    <w:rsid w:val="006961A4"/>
    <w:rsid w:val="00696838"/>
    <w:rsid w:val="00697784"/>
    <w:rsid w:val="00697BE8"/>
    <w:rsid w:val="00697DF0"/>
    <w:rsid w:val="006A0F3B"/>
    <w:rsid w:val="006A23F0"/>
    <w:rsid w:val="006A25EA"/>
    <w:rsid w:val="006A289D"/>
    <w:rsid w:val="006A299A"/>
    <w:rsid w:val="006A348C"/>
    <w:rsid w:val="006A3D10"/>
    <w:rsid w:val="006A4DCF"/>
    <w:rsid w:val="006A55F4"/>
    <w:rsid w:val="006A57FD"/>
    <w:rsid w:val="006A75AA"/>
    <w:rsid w:val="006B036A"/>
    <w:rsid w:val="006B072D"/>
    <w:rsid w:val="006B0AF9"/>
    <w:rsid w:val="006B0CAE"/>
    <w:rsid w:val="006B0DC2"/>
    <w:rsid w:val="006B173C"/>
    <w:rsid w:val="006B18F3"/>
    <w:rsid w:val="006B1C58"/>
    <w:rsid w:val="006B2D38"/>
    <w:rsid w:val="006B3091"/>
    <w:rsid w:val="006B4A70"/>
    <w:rsid w:val="006B51CE"/>
    <w:rsid w:val="006B537A"/>
    <w:rsid w:val="006B5985"/>
    <w:rsid w:val="006B699D"/>
    <w:rsid w:val="006B6DAA"/>
    <w:rsid w:val="006C0209"/>
    <w:rsid w:val="006C06EC"/>
    <w:rsid w:val="006C090B"/>
    <w:rsid w:val="006C0E0E"/>
    <w:rsid w:val="006C17C7"/>
    <w:rsid w:val="006C1B46"/>
    <w:rsid w:val="006C253C"/>
    <w:rsid w:val="006C285F"/>
    <w:rsid w:val="006C2FBC"/>
    <w:rsid w:val="006C3A02"/>
    <w:rsid w:val="006C41A4"/>
    <w:rsid w:val="006C462D"/>
    <w:rsid w:val="006C52C5"/>
    <w:rsid w:val="006C563F"/>
    <w:rsid w:val="006C5843"/>
    <w:rsid w:val="006C5B16"/>
    <w:rsid w:val="006C5CF4"/>
    <w:rsid w:val="006C5F32"/>
    <w:rsid w:val="006C63E4"/>
    <w:rsid w:val="006C63EB"/>
    <w:rsid w:val="006C65AC"/>
    <w:rsid w:val="006C6948"/>
    <w:rsid w:val="006C69FD"/>
    <w:rsid w:val="006C79F5"/>
    <w:rsid w:val="006C7EA7"/>
    <w:rsid w:val="006C7F8A"/>
    <w:rsid w:val="006C7FB9"/>
    <w:rsid w:val="006D01D2"/>
    <w:rsid w:val="006D03CB"/>
    <w:rsid w:val="006D10CF"/>
    <w:rsid w:val="006D2109"/>
    <w:rsid w:val="006D2810"/>
    <w:rsid w:val="006D295E"/>
    <w:rsid w:val="006D351F"/>
    <w:rsid w:val="006D39A5"/>
    <w:rsid w:val="006D39D9"/>
    <w:rsid w:val="006D42DF"/>
    <w:rsid w:val="006D4927"/>
    <w:rsid w:val="006D4A25"/>
    <w:rsid w:val="006D520A"/>
    <w:rsid w:val="006D5786"/>
    <w:rsid w:val="006D756D"/>
    <w:rsid w:val="006D77A5"/>
    <w:rsid w:val="006D77D8"/>
    <w:rsid w:val="006D798F"/>
    <w:rsid w:val="006D7F82"/>
    <w:rsid w:val="006E072F"/>
    <w:rsid w:val="006E1849"/>
    <w:rsid w:val="006E2232"/>
    <w:rsid w:val="006E288E"/>
    <w:rsid w:val="006E3765"/>
    <w:rsid w:val="006E39D0"/>
    <w:rsid w:val="006E4AB3"/>
    <w:rsid w:val="006E5852"/>
    <w:rsid w:val="006E58DC"/>
    <w:rsid w:val="006E5926"/>
    <w:rsid w:val="006E63F9"/>
    <w:rsid w:val="006E68AB"/>
    <w:rsid w:val="006E6BAD"/>
    <w:rsid w:val="006E6CAD"/>
    <w:rsid w:val="006F033E"/>
    <w:rsid w:val="006F0457"/>
    <w:rsid w:val="006F07C2"/>
    <w:rsid w:val="006F161F"/>
    <w:rsid w:val="006F1DCB"/>
    <w:rsid w:val="006F1EE6"/>
    <w:rsid w:val="006F2806"/>
    <w:rsid w:val="006F3E12"/>
    <w:rsid w:val="006F4FE7"/>
    <w:rsid w:val="006F5210"/>
    <w:rsid w:val="006F5B26"/>
    <w:rsid w:val="006F6A73"/>
    <w:rsid w:val="006F6AC9"/>
    <w:rsid w:val="006F76F3"/>
    <w:rsid w:val="007000EE"/>
    <w:rsid w:val="007005A1"/>
    <w:rsid w:val="00700B1B"/>
    <w:rsid w:val="0070283E"/>
    <w:rsid w:val="00702BB9"/>
    <w:rsid w:val="00703622"/>
    <w:rsid w:val="0070394E"/>
    <w:rsid w:val="00704BE0"/>
    <w:rsid w:val="007062EC"/>
    <w:rsid w:val="007072ED"/>
    <w:rsid w:val="00707425"/>
    <w:rsid w:val="007079F9"/>
    <w:rsid w:val="00707E27"/>
    <w:rsid w:val="00707F23"/>
    <w:rsid w:val="007105B3"/>
    <w:rsid w:val="00710E05"/>
    <w:rsid w:val="00711171"/>
    <w:rsid w:val="00711227"/>
    <w:rsid w:val="007116AB"/>
    <w:rsid w:val="007116BC"/>
    <w:rsid w:val="00713BD4"/>
    <w:rsid w:val="00713D1D"/>
    <w:rsid w:val="00713E74"/>
    <w:rsid w:val="00714536"/>
    <w:rsid w:val="00714634"/>
    <w:rsid w:val="00714CBB"/>
    <w:rsid w:val="00714F69"/>
    <w:rsid w:val="00715AF6"/>
    <w:rsid w:val="00716686"/>
    <w:rsid w:val="00716695"/>
    <w:rsid w:val="00716D1C"/>
    <w:rsid w:val="00717178"/>
    <w:rsid w:val="00717690"/>
    <w:rsid w:val="0071774D"/>
    <w:rsid w:val="007203E0"/>
    <w:rsid w:val="00720B52"/>
    <w:rsid w:val="007211ED"/>
    <w:rsid w:val="00721326"/>
    <w:rsid w:val="00721D1A"/>
    <w:rsid w:val="00721F16"/>
    <w:rsid w:val="007228D5"/>
    <w:rsid w:val="00722A11"/>
    <w:rsid w:val="00722CDB"/>
    <w:rsid w:val="00723248"/>
    <w:rsid w:val="00723717"/>
    <w:rsid w:val="0072373B"/>
    <w:rsid w:val="00723D56"/>
    <w:rsid w:val="00724407"/>
    <w:rsid w:val="00724863"/>
    <w:rsid w:val="00725140"/>
    <w:rsid w:val="007252BA"/>
    <w:rsid w:val="0072538F"/>
    <w:rsid w:val="007254B9"/>
    <w:rsid w:val="007258E1"/>
    <w:rsid w:val="00726D8A"/>
    <w:rsid w:val="007271D5"/>
    <w:rsid w:val="007273E7"/>
    <w:rsid w:val="00727814"/>
    <w:rsid w:val="00730086"/>
    <w:rsid w:val="0073027E"/>
    <w:rsid w:val="00730388"/>
    <w:rsid w:val="00730A91"/>
    <w:rsid w:val="00730AB1"/>
    <w:rsid w:val="007318F1"/>
    <w:rsid w:val="007319AE"/>
    <w:rsid w:val="00731FE5"/>
    <w:rsid w:val="00732074"/>
    <w:rsid w:val="00732076"/>
    <w:rsid w:val="00732092"/>
    <w:rsid w:val="007321F5"/>
    <w:rsid w:val="00732BF7"/>
    <w:rsid w:val="00732C29"/>
    <w:rsid w:val="00732D97"/>
    <w:rsid w:val="0073305C"/>
    <w:rsid w:val="00734BA7"/>
    <w:rsid w:val="00735467"/>
    <w:rsid w:val="007358D3"/>
    <w:rsid w:val="00735968"/>
    <w:rsid w:val="00736264"/>
    <w:rsid w:val="007369ED"/>
    <w:rsid w:val="00736AB5"/>
    <w:rsid w:val="0073705B"/>
    <w:rsid w:val="007403C1"/>
    <w:rsid w:val="00740504"/>
    <w:rsid w:val="00740BE4"/>
    <w:rsid w:val="00740DF7"/>
    <w:rsid w:val="00741167"/>
    <w:rsid w:val="0074173F"/>
    <w:rsid w:val="00742958"/>
    <w:rsid w:val="00743281"/>
    <w:rsid w:val="00743674"/>
    <w:rsid w:val="00743B3F"/>
    <w:rsid w:val="007443E6"/>
    <w:rsid w:val="00744A11"/>
    <w:rsid w:val="00744A2D"/>
    <w:rsid w:val="00744C3A"/>
    <w:rsid w:val="0074573D"/>
    <w:rsid w:val="007461BB"/>
    <w:rsid w:val="00746224"/>
    <w:rsid w:val="00746F1B"/>
    <w:rsid w:val="007471B8"/>
    <w:rsid w:val="00747349"/>
    <w:rsid w:val="00747BF8"/>
    <w:rsid w:val="00750658"/>
    <w:rsid w:val="00751430"/>
    <w:rsid w:val="007519F8"/>
    <w:rsid w:val="00751DC9"/>
    <w:rsid w:val="00753108"/>
    <w:rsid w:val="0075331B"/>
    <w:rsid w:val="007533EE"/>
    <w:rsid w:val="00754284"/>
    <w:rsid w:val="0075431E"/>
    <w:rsid w:val="0075516E"/>
    <w:rsid w:val="007553EF"/>
    <w:rsid w:val="00755890"/>
    <w:rsid w:val="0075590B"/>
    <w:rsid w:val="007572E1"/>
    <w:rsid w:val="00757C83"/>
    <w:rsid w:val="007604DB"/>
    <w:rsid w:val="007608FB"/>
    <w:rsid w:val="00760B08"/>
    <w:rsid w:val="00760B18"/>
    <w:rsid w:val="007610FF"/>
    <w:rsid w:val="00761B31"/>
    <w:rsid w:val="00762E0C"/>
    <w:rsid w:val="00763A23"/>
    <w:rsid w:val="00763F22"/>
    <w:rsid w:val="0076463C"/>
    <w:rsid w:val="00764AD7"/>
    <w:rsid w:val="00764C3D"/>
    <w:rsid w:val="00766777"/>
    <w:rsid w:val="007667C5"/>
    <w:rsid w:val="00766B20"/>
    <w:rsid w:val="00766EDC"/>
    <w:rsid w:val="00767630"/>
    <w:rsid w:val="00770205"/>
    <w:rsid w:val="007703DA"/>
    <w:rsid w:val="00771132"/>
    <w:rsid w:val="0077296F"/>
    <w:rsid w:val="0077301C"/>
    <w:rsid w:val="00773236"/>
    <w:rsid w:val="007732FA"/>
    <w:rsid w:val="007747EA"/>
    <w:rsid w:val="00774A56"/>
    <w:rsid w:val="00774A72"/>
    <w:rsid w:val="00775537"/>
    <w:rsid w:val="00775949"/>
    <w:rsid w:val="00775965"/>
    <w:rsid w:val="00775B87"/>
    <w:rsid w:val="00775CDA"/>
    <w:rsid w:val="00775E5F"/>
    <w:rsid w:val="007767BA"/>
    <w:rsid w:val="007770A2"/>
    <w:rsid w:val="00777B83"/>
    <w:rsid w:val="00777F9E"/>
    <w:rsid w:val="007800B0"/>
    <w:rsid w:val="00781DA1"/>
    <w:rsid w:val="007827F2"/>
    <w:rsid w:val="00783462"/>
    <w:rsid w:val="007835C8"/>
    <w:rsid w:val="007838AC"/>
    <w:rsid w:val="00783B5C"/>
    <w:rsid w:val="00783E17"/>
    <w:rsid w:val="0078468F"/>
    <w:rsid w:val="007863AE"/>
    <w:rsid w:val="00786CB9"/>
    <w:rsid w:val="00787FC4"/>
    <w:rsid w:val="00790376"/>
    <w:rsid w:val="00790512"/>
    <w:rsid w:val="007911CD"/>
    <w:rsid w:val="00791336"/>
    <w:rsid w:val="0079149F"/>
    <w:rsid w:val="00791DB9"/>
    <w:rsid w:val="00791E97"/>
    <w:rsid w:val="00791F32"/>
    <w:rsid w:val="0079306D"/>
    <w:rsid w:val="007934E6"/>
    <w:rsid w:val="00794D29"/>
    <w:rsid w:val="00795078"/>
    <w:rsid w:val="007953A5"/>
    <w:rsid w:val="0079541F"/>
    <w:rsid w:val="0079609E"/>
    <w:rsid w:val="00796478"/>
    <w:rsid w:val="007968B1"/>
    <w:rsid w:val="00796A11"/>
    <w:rsid w:val="00796B3A"/>
    <w:rsid w:val="00796BB8"/>
    <w:rsid w:val="007A0636"/>
    <w:rsid w:val="007A0D01"/>
    <w:rsid w:val="007A115C"/>
    <w:rsid w:val="007A162E"/>
    <w:rsid w:val="007A1734"/>
    <w:rsid w:val="007A27A7"/>
    <w:rsid w:val="007A2814"/>
    <w:rsid w:val="007A2EAB"/>
    <w:rsid w:val="007A30A1"/>
    <w:rsid w:val="007A3566"/>
    <w:rsid w:val="007A3954"/>
    <w:rsid w:val="007A3B14"/>
    <w:rsid w:val="007A505B"/>
    <w:rsid w:val="007A5849"/>
    <w:rsid w:val="007A735B"/>
    <w:rsid w:val="007A7E62"/>
    <w:rsid w:val="007B073B"/>
    <w:rsid w:val="007B08AE"/>
    <w:rsid w:val="007B1118"/>
    <w:rsid w:val="007B14FC"/>
    <w:rsid w:val="007B18DE"/>
    <w:rsid w:val="007B1B7F"/>
    <w:rsid w:val="007B1ED9"/>
    <w:rsid w:val="007B2C0C"/>
    <w:rsid w:val="007B2F6D"/>
    <w:rsid w:val="007B4AC7"/>
    <w:rsid w:val="007B4DD8"/>
    <w:rsid w:val="007B5152"/>
    <w:rsid w:val="007B51F3"/>
    <w:rsid w:val="007B6A99"/>
    <w:rsid w:val="007B7318"/>
    <w:rsid w:val="007B742E"/>
    <w:rsid w:val="007C001B"/>
    <w:rsid w:val="007C002A"/>
    <w:rsid w:val="007C08B0"/>
    <w:rsid w:val="007C0B75"/>
    <w:rsid w:val="007C11B0"/>
    <w:rsid w:val="007C1F01"/>
    <w:rsid w:val="007C2107"/>
    <w:rsid w:val="007C37AB"/>
    <w:rsid w:val="007C4447"/>
    <w:rsid w:val="007C483A"/>
    <w:rsid w:val="007C5268"/>
    <w:rsid w:val="007C5B53"/>
    <w:rsid w:val="007C6F96"/>
    <w:rsid w:val="007C7224"/>
    <w:rsid w:val="007C7959"/>
    <w:rsid w:val="007D0948"/>
    <w:rsid w:val="007D0C53"/>
    <w:rsid w:val="007D1A5D"/>
    <w:rsid w:val="007D1D9F"/>
    <w:rsid w:val="007D2529"/>
    <w:rsid w:val="007D332E"/>
    <w:rsid w:val="007D394F"/>
    <w:rsid w:val="007D3C0F"/>
    <w:rsid w:val="007D4C64"/>
    <w:rsid w:val="007D4E16"/>
    <w:rsid w:val="007D5346"/>
    <w:rsid w:val="007D56D1"/>
    <w:rsid w:val="007D5C94"/>
    <w:rsid w:val="007D6751"/>
    <w:rsid w:val="007D6DCF"/>
    <w:rsid w:val="007D72EB"/>
    <w:rsid w:val="007D79FA"/>
    <w:rsid w:val="007D7BDC"/>
    <w:rsid w:val="007D7F51"/>
    <w:rsid w:val="007E0207"/>
    <w:rsid w:val="007E0778"/>
    <w:rsid w:val="007E12BE"/>
    <w:rsid w:val="007E1C04"/>
    <w:rsid w:val="007E22C3"/>
    <w:rsid w:val="007E2C3D"/>
    <w:rsid w:val="007E2EF6"/>
    <w:rsid w:val="007E31BE"/>
    <w:rsid w:val="007E5B4F"/>
    <w:rsid w:val="007E5BB6"/>
    <w:rsid w:val="007E622A"/>
    <w:rsid w:val="007E6C2C"/>
    <w:rsid w:val="007E6D29"/>
    <w:rsid w:val="007E75F4"/>
    <w:rsid w:val="007E7E03"/>
    <w:rsid w:val="007F0181"/>
    <w:rsid w:val="007F03CE"/>
    <w:rsid w:val="007F0E96"/>
    <w:rsid w:val="007F1810"/>
    <w:rsid w:val="007F20EA"/>
    <w:rsid w:val="007F27B3"/>
    <w:rsid w:val="007F29CC"/>
    <w:rsid w:val="007F2CFC"/>
    <w:rsid w:val="007F2DF6"/>
    <w:rsid w:val="007F3257"/>
    <w:rsid w:val="007F37AA"/>
    <w:rsid w:val="007F3A6A"/>
    <w:rsid w:val="007F4411"/>
    <w:rsid w:val="007F482F"/>
    <w:rsid w:val="007F5403"/>
    <w:rsid w:val="007F65CC"/>
    <w:rsid w:val="007F72DC"/>
    <w:rsid w:val="007F7B2C"/>
    <w:rsid w:val="007F7F38"/>
    <w:rsid w:val="0080097B"/>
    <w:rsid w:val="00800D23"/>
    <w:rsid w:val="00800D3C"/>
    <w:rsid w:val="00801427"/>
    <w:rsid w:val="008031B0"/>
    <w:rsid w:val="00803779"/>
    <w:rsid w:val="008042E9"/>
    <w:rsid w:val="00804A24"/>
    <w:rsid w:val="00805482"/>
    <w:rsid w:val="0080574A"/>
    <w:rsid w:val="00805C00"/>
    <w:rsid w:val="00806209"/>
    <w:rsid w:val="0080625C"/>
    <w:rsid w:val="00807833"/>
    <w:rsid w:val="00810807"/>
    <w:rsid w:val="0081220B"/>
    <w:rsid w:val="00812ACD"/>
    <w:rsid w:val="00812BAA"/>
    <w:rsid w:val="00813058"/>
    <w:rsid w:val="00813218"/>
    <w:rsid w:val="00813411"/>
    <w:rsid w:val="0081372C"/>
    <w:rsid w:val="0081396C"/>
    <w:rsid w:val="00813ED9"/>
    <w:rsid w:val="008140CC"/>
    <w:rsid w:val="00814157"/>
    <w:rsid w:val="008143BF"/>
    <w:rsid w:val="008146E4"/>
    <w:rsid w:val="00814E41"/>
    <w:rsid w:val="008151D4"/>
    <w:rsid w:val="00815608"/>
    <w:rsid w:val="00815996"/>
    <w:rsid w:val="008159C4"/>
    <w:rsid w:val="008159F5"/>
    <w:rsid w:val="00815B1E"/>
    <w:rsid w:val="0081667D"/>
    <w:rsid w:val="00816811"/>
    <w:rsid w:val="008169C9"/>
    <w:rsid w:val="008171CB"/>
    <w:rsid w:val="008171EF"/>
    <w:rsid w:val="00817270"/>
    <w:rsid w:val="00817F1E"/>
    <w:rsid w:val="00817F8F"/>
    <w:rsid w:val="0082017C"/>
    <w:rsid w:val="0082032E"/>
    <w:rsid w:val="00822634"/>
    <w:rsid w:val="00823366"/>
    <w:rsid w:val="008234E9"/>
    <w:rsid w:val="00823637"/>
    <w:rsid w:val="00824772"/>
    <w:rsid w:val="00824EBA"/>
    <w:rsid w:val="008255CC"/>
    <w:rsid w:val="00825AE2"/>
    <w:rsid w:val="008262A9"/>
    <w:rsid w:val="008273ED"/>
    <w:rsid w:val="00827C2A"/>
    <w:rsid w:val="00831A64"/>
    <w:rsid w:val="008322E0"/>
    <w:rsid w:val="00832C67"/>
    <w:rsid w:val="0083332B"/>
    <w:rsid w:val="00833BEA"/>
    <w:rsid w:val="008341AA"/>
    <w:rsid w:val="008342AA"/>
    <w:rsid w:val="008350E7"/>
    <w:rsid w:val="00835F70"/>
    <w:rsid w:val="008365EB"/>
    <w:rsid w:val="008375CF"/>
    <w:rsid w:val="00837B08"/>
    <w:rsid w:val="0084057B"/>
    <w:rsid w:val="00840794"/>
    <w:rsid w:val="0084109F"/>
    <w:rsid w:val="008413A2"/>
    <w:rsid w:val="008422D0"/>
    <w:rsid w:val="00843147"/>
    <w:rsid w:val="00843285"/>
    <w:rsid w:val="00843AFA"/>
    <w:rsid w:val="00843B45"/>
    <w:rsid w:val="00844001"/>
    <w:rsid w:val="00844648"/>
    <w:rsid w:val="00844A7D"/>
    <w:rsid w:val="008450F3"/>
    <w:rsid w:val="00845D32"/>
    <w:rsid w:val="00846B25"/>
    <w:rsid w:val="00847A94"/>
    <w:rsid w:val="00850562"/>
    <w:rsid w:val="00850770"/>
    <w:rsid w:val="008507F5"/>
    <w:rsid w:val="00850DAD"/>
    <w:rsid w:val="008510CE"/>
    <w:rsid w:val="00851464"/>
    <w:rsid w:val="0085163D"/>
    <w:rsid w:val="008519E5"/>
    <w:rsid w:val="00851CC6"/>
    <w:rsid w:val="00852507"/>
    <w:rsid w:val="008537C0"/>
    <w:rsid w:val="0085382E"/>
    <w:rsid w:val="00854946"/>
    <w:rsid w:val="00854F7A"/>
    <w:rsid w:val="0085541B"/>
    <w:rsid w:val="0085572C"/>
    <w:rsid w:val="00856E86"/>
    <w:rsid w:val="0085790E"/>
    <w:rsid w:val="00857AA9"/>
    <w:rsid w:val="00857B14"/>
    <w:rsid w:val="008601D7"/>
    <w:rsid w:val="00860CBE"/>
    <w:rsid w:val="00861198"/>
    <w:rsid w:val="0086174E"/>
    <w:rsid w:val="0086285B"/>
    <w:rsid w:val="008631EC"/>
    <w:rsid w:val="00863CA0"/>
    <w:rsid w:val="00864150"/>
    <w:rsid w:val="00864C0B"/>
    <w:rsid w:val="008654C2"/>
    <w:rsid w:val="00865793"/>
    <w:rsid w:val="00865A62"/>
    <w:rsid w:val="00865A92"/>
    <w:rsid w:val="00866D4C"/>
    <w:rsid w:val="00866F08"/>
    <w:rsid w:val="00867D12"/>
    <w:rsid w:val="00867EE2"/>
    <w:rsid w:val="0087051C"/>
    <w:rsid w:val="00870FD9"/>
    <w:rsid w:val="00872F4D"/>
    <w:rsid w:val="00873104"/>
    <w:rsid w:val="008737FB"/>
    <w:rsid w:val="00873807"/>
    <w:rsid w:val="008739F9"/>
    <w:rsid w:val="00873BDC"/>
    <w:rsid w:val="00873DCB"/>
    <w:rsid w:val="00873E3D"/>
    <w:rsid w:val="0087461E"/>
    <w:rsid w:val="00874750"/>
    <w:rsid w:val="00875402"/>
    <w:rsid w:val="00875751"/>
    <w:rsid w:val="0087580D"/>
    <w:rsid w:val="00875B97"/>
    <w:rsid w:val="008769C7"/>
    <w:rsid w:val="00880741"/>
    <w:rsid w:val="00881927"/>
    <w:rsid w:val="00882C54"/>
    <w:rsid w:val="008833FD"/>
    <w:rsid w:val="008838F1"/>
    <w:rsid w:val="0088418B"/>
    <w:rsid w:val="008845BD"/>
    <w:rsid w:val="008849AF"/>
    <w:rsid w:val="00885439"/>
    <w:rsid w:val="00885BC2"/>
    <w:rsid w:val="00885D79"/>
    <w:rsid w:val="00886B19"/>
    <w:rsid w:val="0088756C"/>
    <w:rsid w:val="00887A56"/>
    <w:rsid w:val="00890160"/>
    <w:rsid w:val="008902D1"/>
    <w:rsid w:val="008908DE"/>
    <w:rsid w:val="00890958"/>
    <w:rsid w:val="008911A4"/>
    <w:rsid w:val="00892014"/>
    <w:rsid w:val="00892A19"/>
    <w:rsid w:val="00892BF4"/>
    <w:rsid w:val="00893D51"/>
    <w:rsid w:val="00894128"/>
    <w:rsid w:val="0089479A"/>
    <w:rsid w:val="0089493B"/>
    <w:rsid w:val="00894B29"/>
    <w:rsid w:val="00894C1A"/>
    <w:rsid w:val="00896CCE"/>
    <w:rsid w:val="00896FA3"/>
    <w:rsid w:val="008A0593"/>
    <w:rsid w:val="008A15C9"/>
    <w:rsid w:val="008A18B6"/>
    <w:rsid w:val="008A1A30"/>
    <w:rsid w:val="008A1F6A"/>
    <w:rsid w:val="008A220D"/>
    <w:rsid w:val="008A2D55"/>
    <w:rsid w:val="008A2DEE"/>
    <w:rsid w:val="008A3056"/>
    <w:rsid w:val="008A3779"/>
    <w:rsid w:val="008A504C"/>
    <w:rsid w:val="008A700E"/>
    <w:rsid w:val="008A72BA"/>
    <w:rsid w:val="008A74B9"/>
    <w:rsid w:val="008A7639"/>
    <w:rsid w:val="008A78F2"/>
    <w:rsid w:val="008B0344"/>
    <w:rsid w:val="008B055B"/>
    <w:rsid w:val="008B1D4E"/>
    <w:rsid w:val="008B2DD9"/>
    <w:rsid w:val="008B2E1F"/>
    <w:rsid w:val="008B2FD1"/>
    <w:rsid w:val="008B4393"/>
    <w:rsid w:val="008B4DDE"/>
    <w:rsid w:val="008B7443"/>
    <w:rsid w:val="008B77F4"/>
    <w:rsid w:val="008B7D3D"/>
    <w:rsid w:val="008B7D6A"/>
    <w:rsid w:val="008B7F62"/>
    <w:rsid w:val="008C023E"/>
    <w:rsid w:val="008C12DA"/>
    <w:rsid w:val="008C141F"/>
    <w:rsid w:val="008C1FCD"/>
    <w:rsid w:val="008C3498"/>
    <w:rsid w:val="008C34B2"/>
    <w:rsid w:val="008C567A"/>
    <w:rsid w:val="008C5722"/>
    <w:rsid w:val="008C7B21"/>
    <w:rsid w:val="008D0924"/>
    <w:rsid w:val="008D131C"/>
    <w:rsid w:val="008D1505"/>
    <w:rsid w:val="008D19FD"/>
    <w:rsid w:val="008D3002"/>
    <w:rsid w:val="008D344F"/>
    <w:rsid w:val="008D44AA"/>
    <w:rsid w:val="008D44BC"/>
    <w:rsid w:val="008D44C7"/>
    <w:rsid w:val="008D5237"/>
    <w:rsid w:val="008D5456"/>
    <w:rsid w:val="008D62E1"/>
    <w:rsid w:val="008D635F"/>
    <w:rsid w:val="008D6A1D"/>
    <w:rsid w:val="008D6C83"/>
    <w:rsid w:val="008E0D51"/>
    <w:rsid w:val="008E12FA"/>
    <w:rsid w:val="008E1A44"/>
    <w:rsid w:val="008E1F75"/>
    <w:rsid w:val="008E2342"/>
    <w:rsid w:val="008E2363"/>
    <w:rsid w:val="008E27FC"/>
    <w:rsid w:val="008E29E5"/>
    <w:rsid w:val="008E31F8"/>
    <w:rsid w:val="008E3930"/>
    <w:rsid w:val="008E4697"/>
    <w:rsid w:val="008E4818"/>
    <w:rsid w:val="008E4F87"/>
    <w:rsid w:val="008E5D2F"/>
    <w:rsid w:val="008E69A4"/>
    <w:rsid w:val="008E69A6"/>
    <w:rsid w:val="008E69B3"/>
    <w:rsid w:val="008E7FBB"/>
    <w:rsid w:val="008F0141"/>
    <w:rsid w:val="008F097E"/>
    <w:rsid w:val="008F1C33"/>
    <w:rsid w:val="008F2745"/>
    <w:rsid w:val="008F38C4"/>
    <w:rsid w:val="008F4408"/>
    <w:rsid w:val="008F471B"/>
    <w:rsid w:val="008F4842"/>
    <w:rsid w:val="008F4DBF"/>
    <w:rsid w:val="008F5CD8"/>
    <w:rsid w:val="008F6CCA"/>
    <w:rsid w:val="008F6D7F"/>
    <w:rsid w:val="008F7A67"/>
    <w:rsid w:val="0090078A"/>
    <w:rsid w:val="009007FC"/>
    <w:rsid w:val="009022B8"/>
    <w:rsid w:val="009026CB"/>
    <w:rsid w:val="00903562"/>
    <w:rsid w:val="0090384C"/>
    <w:rsid w:val="009038D9"/>
    <w:rsid w:val="00903CF7"/>
    <w:rsid w:val="0090415C"/>
    <w:rsid w:val="009041E5"/>
    <w:rsid w:val="00904A7F"/>
    <w:rsid w:val="00904E46"/>
    <w:rsid w:val="00905B56"/>
    <w:rsid w:val="00905CC9"/>
    <w:rsid w:val="0090610D"/>
    <w:rsid w:val="009065A3"/>
    <w:rsid w:val="00906BD1"/>
    <w:rsid w:val="00906CD9"/>
    <w:rsid w:val="00907AF0"/>
    <w:rsid w:val="0091006C"/>
    <w:rsid w:val="009105BF"/>
    <w:rsid w:val="00910A96"/>
    <w:rsid w:val="00910B69"/>
    <w:rsid w:val="009111B4"/>
    <w:rsid w:val="009117EE"/>
    <w:rsid w:val="0091344B"/>
    <w:rsid w:val="0091345A"/>
    <w:rsid w:val="0091357B"/>
    <w:rsid w:val="009137D4"/>
    <w:rsid w:val="009148B9"/>
    <w:rsid w:val="0091490E"/>
    <w:rsid w:val="00914BDA"/>
    <w:rsid w:val="00914FDF"/>
    <w:rsid w:val="00914FFC"/>
    <w:rsid w:val="0091606D"/>
    <w:rsid w:val="009166D0"/>
    <w:rsid w:val="009167C7"/>
    <w:rsid w:val="00916854"/>
    <w:rsid w:val="00916D96"/>
    <w:rsid w:val="00917D85"/>
    <w:rsid w:val="00917E56"/>
    <w:rsid w:val="00920091"/>
    <w:rsid w:val="00920BE4"/>
    <w:rsid w:val="00920BEB"/>
    <w:rsid w:val="009217FA"/>
    <w:rsid w:val="00922276"/>
    <w:rsid w:val="009229F9"/>
    <w:rsid w:val="00922AA6"/>
    <w:rsid w:val="009236EB"/>
    <w:rsid w:val="0092401E"/>
    <w:rsid w:val="00924447"/>
    <w:rsid w:val="00924494"/>
    <w:rsid w:val="00924E7C"/>
    <w:rsid w:val="00924EDC"/>
    <w:rsid w:val="00925871"/>
    <w:rsid w:val="00925FBD"/>
    <w:rsid w:val="00926687"/>
    <w:rsid w:val="009272C1"/>
    <w:rsid w:val="009275AB"/>
    <w:rsid w:val="0093039B"/>
    <w:rsid w:val="00930BFF"/>
    <w:rsid w:val="00931541"/>
    <w:rsid w:val="00932704"/>
    <w:rsid w:val="00933854"/>
    <w:rsid w:val="00933AA3"/>
    <w:rsid w:val="00933DBE"/>
    <w:rsid w:val="0093453A"/>
    <w:rsid w:val="00934CF0"/>
    <w:rsid w:val="009352F2"/>
    <w:rsid w:val="00936A65"/>
    <w:rsid w:val="00936DAD"/>
    <w:rsid w:val="009376D1"/>
    <w:rsid w:val="00937D86"/>
    <w:rsid w:val="009404A6"/>
    <w:rsid w:val="00940DE2"/>
    <w:rsid w:val="0094146C"/>
    <w:rsid w:val="009416B2"/>
    <w:rsid w:val="00941E1D"/>
    <w:rsid w:val="009425C3"/>
    <w:rsid w:val="00942877"/>
    <w:rsid w:val="009433F9"/>
    <w:rsid w:val="0094361D"/>
    <w:rsid w:val="0094421B"/>
    <w:rsid w:val="00944270"/>
    <w:rsid w:val="0094574B"/>
    <w:rsid w:val="009457E2"/>
    <w:rsid w:val="00945943"/>
    <w:rsid w:val="00945F17"/>
    <w:rsid w:val="00946258"/>
    <w:rsid w:val="00946C02"/>
    <w:rsid w:val="00946DEC"/>
    <w:rsid w:val="009473EA"/>
    <w:rsid w:val="00947947"/>
    <w:rsid w:val="00947A2E"/>
    <w:rsid w:val="00947B6C"/>
    <w:rsid w:val="00950A7F"/>
    <w:rsid w:val="00950BB3"/>
    <w:rsid w:val="0095128A"/>
    <w:rsid w:val="00951997"/>
    <w:rsid w:val="00952221"/>
    <w:rsid w:val="0095275A"/>
    <w:rsid w:val="00952C1C"/>
    <w:rsid w:val="00953278"/>
    <w:rsid w:val="009532AE"/>
    <w:rsid w:val="00953D95"/>
    <w:rsid w:val="00953F4C"/>
    <w:rsid w:val="009557D8"/>
    <w:rsid w:val="00955963"/>
    <w:rsid w:val="0095628B"/>
    <w:rsid w:val="00956791"/>
    <w:rsid w:val="00960BF3"/>
    <w:rsid w:val="00960CBA"/>
    <w:rsid w:val="00960DC2"/>
    <w:rsid w:val="00961F5E"/>
    <w:rsid w:val="00962A71"/>
    <w:rsid w:val="00962AD1"/>
    <w:rsid w:val="00962E1A"/>
    <w:rsid w:val="009631A1"/>
    <w:rsid w:val="009634AB"/>
    <w:rsid w:val="00963847"/>
    <w:rsid w:val="00963A29"/>
    <w:rsid w:val="00965CAD"/>
    <w:rsid w:val="00967688"/>
    <w:rsid w:val="009703A7"/>
    <w:rsid w:val="009719D3"/>
    <w:rsid w:val="00971C8F"/>
    <w:rsid w:val="00971E7A"/>
    <w:rsid w:val="009722A2"/>
    <w:rsid w:val="009723FD"/>
    <w:rsid w:val="009728B0"/>
    <w:rsid w:val="0097330B"/>
    <w:rsid w:val="00973BD8"/>
    <w:rsid w:val="00974041"/>
    <w:rsid w:val="009747DE"/>
    <w:rsid w:val="00975372"/>
    <w:rsid w:val="00975509"/>
    <w:rsid w:val="00975CC9"/>
    <w:rsid w:val="00976715"/>
    <w:rsid w:val="009769ED"/>
    <w:rsid w:val="00976D8E"/>
    <w:rsid w:val="009775C7"/>
    <w:rsid w:val="009778CB"/>
    <w:rsid w:val="00977925"/>
    <w:rsid w:val="009804BC"/>
    <w:rsid w:val="00980814"/>
    <w:rsid w:val="00981697"/>
    <w:rsid w:val="009816FD"/>
    <w:rsid w:val="009817B3"/>
    <w:rsid w:val="00982441"/>
    <w:rsid w:val="00982C65"/>
    <w:rsid w:val="00983659"/>
    <w:rsid w:val="00983A28"/>
    <w:rsid w:val="00983F4B"/>
    <w:rsid w:val="009840D8"/>
    <w:rsid w:val="0098472A"/>
    <w:rsid w:val="00984F67"/>
    <w:rsid w:val="00985314"/>
    <w:rsid w:val="00985388"/>
    <w:rsid w:val="00986C8E"/>
    <w:rsid w:val="00986DF2"/>
    <w:rsid w:val="00987466"/>
    <w:rsid w:val="009876F6"/>
    <w:rsid w:val="00990073"/>
    <w:rsid w:val="00990216"/>
    <w:rsid w:val="009909D7"/>
    <w:rsid w:val="00990D1B"/>
    <w:rsid w:val="00990FFA"/>
    <w:rsid w:val="00991408"/>
    <w:rsid w:val="009922D5"/>
    <w:rsid w:val="0099322A"/>
    <w:rsid w:val="009939D1"/>
    <w:rsid w:val="00993FE6"/>
    <w:rsid w:val="009943BC"/>
    <w:rsid w:val="00995E67"/>
    <w:rsid w:val="00995FF9"/>
    <w:rsid w:val="0099638D"/>
    <w:rsid w:val="00997AA9"/>
    <w:rsid w:val="009A02B3"/>
    <w:rsid w:val="009A038F"/>
    <w:rsid w:val="009A0721"/>
    <w:rsid w:val="009A0DC9"/>
    <w:rsid w:val="009A0FA6"/>
    <w:rsid w:val="009A1945"/>
    <w:rsid w:val="009A19C4"/>
    <w:rsid w:val="009A1B6A"/>
    <w:rsid w:val="009A22DC"/>
    <w:rsid w:val="009A25D8"/>
    <w:rsid w:val="009A2B4E"/>
    <w:rsid w:val="009A383D"/>
    <w:rsid w:val="009A3FCB"/>
    <w:rsid w:val="009A725A"/>
    <w:rsid w:val="009A769C"/>
    <w:rsid w:val="009B01D0"/>
    <w:rsid w:val="009B0534"/>
    <w:rsid w:val="009B0ABE"/>
    <w:rsid w:val="009B1A83"/>
    <w:rsid w:val="009B1C77"/>
    <w:rsid w:val="009B1F69"/>
    <w:rsid w:val="009B3099"/>
    <w:rsid w:val="009B32A1"/>
    <w:rsid w:val="009B4A5D"/>
    <w:rsid w:val="009B4BED"/>
    <w:rsid w:val="009B5603"/>
    <w:rsid w:val="009B691D"/>
    <w:rsid w:val="009B6BE9"/>
    <w:rsid w:val="009B79E1"/>
    <w:rsid w:val="009B7B80"/>
    <w:rsid w:val="009C05F9"/>
    <w:rsid w:val="009C0C48"/>
    <w:rsid w:val="009C0DF8"/>
    <w:rsid w:val="009C0E0A"/>
    <w:rsid w:val="009C0E66"/>
    <w:rsid w:val="009C138F"/>
    <w:rsid w:val="009C2641"/>
    <w:rsid w:val="009C3462"/>
    <w:rsid w:val="009C3942"/>
    <w:rsid w:val="009C477E"/>
    <w:rsid w:val="009C4D20"/>
    <w:rsid w:val="009C4D33"/>
    <w:rsid w:val="009C5E72"/>
    <w:rsid w:val="009C6792"/>
    <w:rsid w:val="009C6D7C"/>
    <w:rsid w:val="009C6E0B"/>
    <w:rsid w:val="009C751A"/>
    <w:rsid w:val="009C7880"/>
    <w:rsid w:val="009C7CB8"/>
    <w:rsid w:val="009D0D77"/>
    <w:rsid w:val="009D145E"/>
    <w:rsid w:val="009D1AF3"/>
    <w:rsid w:val="009D1BC0"/>
    <w:rsid w:val="009D1D2C"/>
    <w:rsid w:val="009D3265"/>
    <w:rsid w:val="009D32D4"/>
    <w:rsid w:val="009D44B4"/>
    <w:rsid w:val="009D4C92"/>
    <w:rsid w:val="009D63F5"/>
    <w:rsid w:val="009D6A89"/>
    <w:rsid w:val="009D7928"/>
    <w:rsid w:val="009E0A36"/>
    <w:rsid w:val="009E0F46"/>
    <w:rsid w:val="009E17DC"/>
    <w:rsid w:val="009E196B"/>
    <w:rsid w:val="009E2202"/>
    <w:rsid w:val="009E27E7"/>
    <w:rsid w:val="009E281E"/>
    <w:rsid w:val="009E396B"/>
    <w:rsid w:val="009E436A"/>
    <w:rsid w:val="009E4720"/>
    <w:rsid w:val="009E49A7"/>
    <w:rsid w:val="009E50C5"/>
    <w:rsid w:val="009E52DA"/>
    <w:rsid w:val="009E57F6"/>
    <w:rsid w:val="009E5EEC"/>
    <w:rsid w:val="009E63B8"/>
    <w:rsid w:val="009E6D88"/>
    <w:rsid w:val="009E7106"/>
    <w:rsid w:val="009E77C1"/>
    <w:rsid w:val="009E78C1"/>
    <w:rsid w:val="009F1695"/>
    <w:rsid w:val="009F24D8"/>
    <w:rsid w:val="009F2A75"/>
    <w:rsid w:val="009F38BC"/>
    <w:rsid w:val="009F4FC3"/>
    <w:rsid w:val="009F5968"/>
    <w:rsid w:val="009F5A2A"/>
    <w:rsid w:val="009F6055"/>
    <w:rsid w:val="009F711B"/>
    <w:rsid w:val="00A00D58"/>
    <w:rsid w:val="00A00FE9"/>
    <w:rsid w:val="00A010DA"/>
    <w:rsid w:val="00A017A0"/>
    <w:rsid w:val="00A020DA"/>
    <w:rsid w:val="00A02651"/>
    <w:rsid w:val="00A02CBA"/>
    <w:rsid w:val="00A02CDE"/>
    <w:rsid w:val="00A032F8"/>
    <w:rsid w:val="00A0344E"/>
    <w:rsid w:val="00A03745"/>
    <w:rsid w:val="00A03969"/>
    <w:rsid w:val="00A04068"/>
    <w:rsid w:val="00A0426B"/>
    <w:rsid w:val="00A05273"/>
    <w:rsid w:val="00A05B87"/>
    <w:rsid w:val="00A05D7D"/>
    <w:rsid w:val="00A06566"/>
    <w:rsid w:val="00A06C32"/>
    <w:rsid w:val="00A1028E"/>
    <w:rsid w:val="00A10D07"/>
    <w:rsid w:val="00A10EB7"/>
    <w:rsid w:val="00A1102B"/>
    <w:rsid w:val="00A11BE4"/>
    <w:rsid w:val="00A124C5"/>
    <w:rsid w:val="00A126AF"/>
    <w:rsid w:val="00A1292F"/>
    <w:rsid w:val="00A1346B"/>
    <w:rsid w:val="00A13C99"/>
    <w:rsid w:val="00A15182"/>
    <w:rsid w:val="00A158C9"/>
    <w:rsid w:val="00A160BC"/>
    <w:rsid w:val="00A16181"/>
    <w:rsid w:val="00A1619E"/>
    <w:rsid w:val="00A162E8"/>
    <w:rsid w:val="00A176EE"/>
    <w:rsid w:val="00A17DD4"/>
    <w:rsid w:val="00A17E5F"/>
    <w:rsid w:val="00A20070"/>
    <w:rsid w:val="00A217BE"/>
    <w:rsid w:val="00A22483"/>
    <w:rsid w:val="00A225A3"/>
    <w:rsid w:val="00A24097"/>
    <w:rsid w:val="00A25877"/>
    <w:rsid w:val="00A2591E"/>
    <w:rsid w:val="00A264A9"/>
    <w:rsid w:val="00A268F9"/>
    <w:rsid w:val="00A302D8"/>
    <w:rsid w:val="00A30385"/>
    <w:rsid w:val="00A30F42"/>
    <w:rsid w:val="00A31874"/>
    <w:rsid w:val="00A3368F"/>
    <w:rsid w:val="00A338B0"/>
    <w:rsid w:val="00A35785"/>
    <w:rsid w:val="00A357D5"/>
    <w:rsid w:val="00A359A7"/>
    <w:rsid w:val="00A35C38"/>
    <w:rsid w:val="00A36643"/>
    <w:rsid w:val="00A36F06"/>
    <w:rsid w:val="00A36F39"/>
    <w:rsid w:val="00A36FB7"/>
    <w:rsid w:val="00A37618"/>
    <w:rsid w:val="00A377A5"/>
    <w:rsid w:val="00A37B8D"/>
    <w:rsid w:val="00A4056A"/>
    <w:rsid w:val="00A40CBE"/>
    <w:rsid w:val="00A41227"/>
    <w:rsid w:val="00A412A2"/>
    <w:rsid w:val="00A416E0"/>
    <w:rsid w:val="00A42622"/>
    <w:rsid w:val="00A43D63"/>
    <w:rsid w:val="00A4445F"/>
    <w:rsid w:val="00A44D96"/>
    <w:rsid w:val="00A44F4E"/>
    <w:rsid w:val="00A45C16"/>
    <w:rsid w:val="00A45C7B"/>
    <w:rsid w:val="00A45E29"/>
    <w:rsid w:val="00A46776"/>
    <w:rsid w:val="00A46ACA"/>
    <w:rsid w:val="00A475B8"/>
    <w:rsid w:val="00A47DC2"/>
    <w:rsid w:val="00A5126D"/>
    <w:rsid w:val="00A51CC9"/>
    <w:rsid w:val="00A51EDA"/>
    <w:rsid w:val="00A51F1E"/>
    <w:rsid w:val="00A51F87"/>
    <w:rsid w:val="00A52727"/>
    <w:rsid w:val="00A53610"/>
    <w:rsid w:val="00A53BD7"/>
    <w:rsid w:val="00A54C92"/>
    <w:rsid w:val="00A554AA"/>
    <w:rsid w:val="00A557C8"/>
    <w:rsid w:val="00A55F6C"/>
    <w:rsid w:val="00A561B8"/>
    <w:rsid w:val="00A5621A"/>
    <w:rsid w:val="00A570D6"/>
    <w:rsid w:val="00A57329"/>
    <w:rsid w:val="00A60344"/>
    <w:rsid w:val="00A60B7D"/>
    <w:rsid w:val="00A621C3"/>
    <w:rsid w:val="00A6304F"/>
    <w:rsid w:val="00A632BD"/>
    <w:rsid w:val="00A64A1E"/>
    <w:rsid w:val="00A64CC6"/>
    <w:rsid w:val="00A64D04"/>
    <w:rsid w:val="00A64F73"/>
    <w:rsid w:val="00A6535E"/>
    <w:rsid w:val="00A6558D"/>
    <w:rsid w:val="00A65ADE"/>
    <w:rsid w:val="00A65DA5"/>
    <w:rsid w:val="00A67B79"/>
    <w:rsid w:val="00A7041E"/>
    <w:rsid w:val="00A713E5"/>
    <w:rsid w:val="00A71981"/>
    <w:rsid w:val="00A71BFB"/>
    <w:rsid w:val="00A73827"/>
    <w:rsid w:val="00A74949"/>
    <w:rsid w:val="00A75438"/>
    <w:rsid w:val="00A7548B"/>
    <w:rsid w:val="00A761FB"/>
    <w:rsid w:val="00A76739"/>
    <w:rsid w:val="00A76982"/>
    <w:rsid w:val="00A76A92"/>
    <w:rsid w:val="00A770C4"/>
    <w:rsid w:val="00A771D9"/>
    <w:rsid w:val="00A771EE"/>
    <w:rsid w:val="00A77940"/>
    <w:rsid w:val="00A77A20"/>
    <w:rsid w:val="00A80B09"/>
    <w:rsid w:val="00A8168B"/>
    <w:rsid w:val="00A821F9"/>
    <w:rsid w:val="00A825B0"/>
    <w:rsid w:val="00A8263C"/>
    <w:rsid w:val="00A82CEB"/>
    <w:rsid w:val="00A842A9"/>
    <w:rsid w:val="00A85CDA"/>
    <w:rsid w:val="00A86357"/>
    <w:rsid w:val="00A86560"/>
    <w:rsid w:val="00A87612"/>
    <w:rsid w:val="00A87975"/>
    <w:rsid w:val="00A901AF"/>
    <w:rsid w:val="00A903AF"/>
    <w:rsid w:val="00A914AE"/>
    <w:rsid w:val="00A917B4"/>
    <w:rsid w:val="00A91940"/>
    <w:rsid w:val="00A91E86"/>
    <w:rsid w:val="00A92980"/>
    <w:rsid w:val="00A92B0B"/>
    <w:rsid w:val="00A92F72"/>
    <w:rsid w:val="00A93956"/>
    <w:rsid w:val="00A93D45"/>
    <w:rsid w:val="00A9507E"/>
    <w:rsid w:val="00A9530C"/>
    <w:rsid w:val="00A956E0"/>
    <w:rsid w:val="00A95A49"/>
    <w:rsid w:val="00A96C3E"/>
    <w:rsid w:val="00A96F3D"/>
    <w:rsid w:val="00A97525"/>
    <w:rsid w:val="00A979BE"/>
    <w:rsid w:val="00A97D69"/>
    <w:rsid w:val="00AA10CD"/>
    <w:rsid w:val="00AA27F4"/>
    <w:rsid w:val="00AA2828"/>
    <w:rsid w:val="00AA2E8C"/>
    <w:rsid w:val="00AA3B67"/>
    <w:rsid w:val="00AA3FF5"/>
    <w:rsid w:val="00AA40DC"/>
    <w:rsid w:val="00AA474C"/>
    <w:rsid w:val="00AA4E51"/>
    <w:rsid w:val="00AA542C"/>
    <w:rsid w:val="00AA5E23"/>
    <w:rsid w:val="00AA6393"/>
    <w:rsid w:val="00AA7592"/>
    <w:rsid w:val="00AA7C28"/>
    <w:rsid w:val="00AA7F89"/>
    <w:rsid w:val="00AB0083"/>
    <w:rsid w:val="00AB02E9"/>
    <w:rsid w:val="00AB04BF"/>
    <w:rsid w:val="00AB1578"/>
    <w:rsid w:val="00AB21D5"/>
    <w:rsid w:val="00AB39A4"/>
    <w:rsid w:val="00AB3DE5"/>
    <w:rsid w:val="00AB42E6"/>
    <w:rsid w:val="00AB4868"/>
    <w:rsid w:val="00AC058A"/>
    <w:rsid w:val="00AC0C8B"/>
    <w:rsid w:val="00AC132E"/>
    <w:rsid w:val="00AC1ED2"/>
    <w:rsid w:val="00AC2238"/>
    <w:rsid w:val="00AC335E"/>
    <w:rsid w:val="00AC348B"/>
    <w:rsid w:val="00AC588A"/>
    <w:rsid w:val="00AC5A5F"/>
    <w:rsid w:val="00AC5A95"/>
    <w:rsid w:val="00AC6893"/>
    <w:rsid w:val="00AC71C3"/>
    <w:rsid w:val="00AC78E0"/>
    <w:rsid w:val="00AC7B79"/>
    <w:rsid w:val="00AC7D4F"/>
    <w:rsid w:val="00AD029C"/>
    <w:rsid w:val="00AD0DBD"/>
    <w:rsid w:val="00AD166B"/>
    <w:rsid w:val="00AD3096"/>
    <w:rsid w:val="00AD3298"/>
    <w:rsid w:val="00AD3750"/>
    <w:rsid w:val="00AD491E"/>
    <w:rsid w:val="00AD4CC6"/>
    <w:rsid w:val="00AD4E10"/>
    <w:rsid w:val="00AD4E76"/>
    <w:rsid w:val="00AD55D5"/>
    <w:rsid w:val="00AD59DD"/>
    <w:rsid w:val="00AD703F"/>
    <w:rsid w:val="00AD7936"/>
    <w:rsid w:val="00AD7E5E"/>
    <w:rsid w:val="00AE15C6"/>
    <w:rsid w:val="00AE1BF5"/>
    <w:rsid w:val="00AE1F85"/>
    <w:rsid w:val="00AE2972"/>
    <w:rsid w:val="00AE45CD"/>
    <w:rsid w:val="00AE48FD"/>
    <w:rsid w:val="00AE4AD4"/>
    <w:rsid w:val="00AE5E3E"/>
    <w:rsid w:val="00AE5F3B"/>
    <w:rsid w:val="00AE6891"/>
    <w:rsid w:val="00AE6946"/>
    <w:rsid w:val="00AE6983"/>
    <w:rsid w:val="00AE7D4A"/>
    <w:rsid w:val="00AF001B"/>
    <w:rsid w:val="00AF18B5"/>
    <w:rsid w:val="00AF2A63"/>
    <w:rsid w:val="00AF2B79"/>
    <w:rsid w:val="00AF4459"/>
    <w:rsid w:val="00AF45D4"/>
    <w:rsid w:val="00AF63ED"/>
    <w:rsid w:val="00AF71B6"/>
    <w:rsid w:val="00AF7320"/>
    <w:rsid w:val="00AF79EC"/>
    <w:rsid w:val="00B00D7A"/>
    <w:rsid w:val="00B01EE6"/>
    <w:rsid w:val="00B02049"/>
    <w:rsid w:val="00B02891"/>
    <w:rsid w:val="00B02B8B"/>
    <w:rsid w:val="00B036C3"/>
    <w:rsid w:val="00B04338"/>
    <w:rsid w:val="00B04752"/>
    <w:rsid w:val="00B050F6"/>
    <w:rsid w:val="00B05EAA"/>
    <w:rsid w:val="00B06192"/>
    <w:rsid w:val="00B06671"/>
    <w:rsid w:val="00B10D5C"/>
    <w:rsid w:val="00B11324"/>
    <w:rsid w:val="00B1154C"/>
    <w:rsid w:val="00B1181A"/>
    <w:rsid w:val="00B11B6A"/>
    <w:rsid w:val="00B11C75"/>
    <w:rsid w:val="00B1207A"/>
    <w:rsid w:val="00B1285B"/>
    <w:rsid w:val="00B12DFC"/>
    <w:rsid w:val="00B13B45"/>
    <w:rsid w:val="00B13F6B"/>
    <w:rsid w:val="00B143E8"/>
    <w:rsid w:val="00B15AF9"/>
    <w:rsid w:val="00B1649B"/>
    <w:rsid w:val="00B16A5D"/>
    <w:rsid w:val="00B16B0D"/>
    <w:rsid w:val="00B16B63"/>
    <w:rsid w:val="00B16BF0"/>
    <w:rsid w:val="00B16C73"/>
    <w:rsid w:val="00B16C87"/>
    <w:rsid w:val="00B1729A"/>
    <w:rsid w:val="00B178DC"/>
    <w:rsid w:val="00B17C7E"/>
    <w:rsid w:val="00B17DC1"/>
    <w:rsid w:val="00B2009A"/>
    <w:rsid w:val="00B20146"/>
    <w:rsid w:val="00B20341"/>
    <w:rsid w:val="00B210B0"/>
    <w:rsid w:val="00B2367E"/>
    <w:rsid w:val="00B23C4C"/>
    <w:rsid w:val="00B241CC"/>
    <w:rsid w:val="00B24F32"/>
    <w:rsid w:val="00B2516D"/>
    <w:rsid w:val="00B252B9"/>
    <w:rsid w:val="00B25DA7"/>
    <w:rsid w:val="00B26D3F"/>
    <w:rsid w:val="00B26D59"/>
    <w:rsid w:val="00B26DC9"/>
    <w:rsid w:val="00B27D5D"/>
    <w:rsid w:val="00B30000"/>
    <w:rsid w:val="00B30AC0"/>
    <w:rsid w:val="00B312B7"/>
    <w:rsid w:val="00B315AB"/>
    <w:rsid w:val="00B3180B"/>
    <w:rsid w:val="00B3243A"/>
    <w:rsid w:val="00B32C6D"/>
    <w:rsid w:val="00B338CF"/>
    <w:rsid w:val="00B34D7C"/>
    <w:rsid w:val="00B353D8"/>
    <w:rsid w:val="00B35718"/>
    <w:rsid w:val="00B357CF"/>
    <w:rsid w:val="00B361A7"/>
    <w:rsid w:val="00B373DC"/>
    <w:rsid w:val="00B377D3"/>
    <w:rsid w:val="00B40189"/>
    <w:rsid w:val="00B404F1"/>
    <w:rsid w:val="00B41C2F"/>
    <w:rsid w:val="00B41C5E"/>
    <w:rsid w:val="00B423EE"/>
    <w:rsid w:val="00B427DF"/>
    <w:rsid w:val="00B42A2E"/>
    <w:rsid w:val="00B4317A"/>
    <w:rsid w:val="00B4409E"/>
    <w:rsid w:val="00B44AD0"/>
    <w:rsid w:val="00B44E38"/>
    <w:rsid w:val="00B45434"/>
    <w:rsid w:val="00B459FC"/>
    <w:rsid w:val="00B45AA7"/>
    <w:rsid w:val="00B46FB7"/>
    <w:rsid w:val="00B501A5"/>
    <w:rsid w:val="00B517F2"/>
    <w:rsid w:val="00B527EF"/>
    <w:rsid w:val="00B5443E"/>
    <w:rsid w:val="00B54846"/>
    <w:rsid w:val="00B54D0B"/>
    <w:rsid w:val="00B55304"/>
    <w:rsid w:val="00B5666C"/>
    <w:rsid w:val="00B567F8"/>
    <w:rsid w:val="00B57FF3"/>
    <w:rsid w:val="00B608FF"/>
    <w:rsid w:val="00B609D0"/>
    <w:rsid w:val="00B610C4"/>
    <w:rsid w:val="00B62417"/>
    <w:rsid w:val="00B62EE8"/>
    <w:rsid w:val="00B62F8A"/>
    <w:rsid w:val="00B635EF"/>
    <w:rsid w:val="00B6505E"/>
    <w:rsid w:val="00B65780"/>
    <w:rsid w:val="00B659B6"/>
    <w:rsid w:val="00B6713F"/>
    <w:rsid w:val="00B7017E"/>
    <w:rsid w:val="00B70CD7"/>
    <w:rsid w:val="00B71C60"/>
    <w:rsid w:val="00B72B6E"/>
    <w:rsid w:val="00B73CEB"/>
    <w:rsid w:val="00B73EB6"/>
    <w:rsid w:val="00B73EC6"/>
    <w:rsid w:val="00B7482A"/>
    <w:rsid w:val="00B753C2"/>
    <w:rsid w:val="00B757C8"/>
    <w:rsid w:val="00B759ED"/>
    <w:rsid w:val="00B76871"/>
    <w:rsid w:val="00B76F65"/>
    <w:rsid w:val="00B8000B"/>
    <w:rsid w:val="00B80653"/>
    <w:rsid w:val="00B80E21"/>
    <w:rsid w:val="00B81283"/>
    <w:rsid w:val="00B817FB"/>
    <w:rsid w:val="00B81E43"/>
    <w:rsid w:val="00B82070"/>
    <w:rsid w:val="00B823B1"/>
    <w:rsid w:val="00B830BF"/>
    <w:rsid w:val="00B835C0"/>
    <w:rsid w:val="00B836BB"/>
    <w:rsid w:val="00B83B60"/>
    <w:rsid w:val="00B83BBF"/>
    <w:rsid w:val="00B8403C"/>
    <w:rsid w:val="00B844FF"/>
    <w:rsid w:val="00B846FA"/>
    <w:rsid w:val="00B85073"/>
    <w:rsid w:val="00B851E9"/>
    <w:rsid w:val="00B862B5"/>
    <w:rsid w:val="00B86F48"/>
    <w:rsid w:val="00B87691"/>
    <w:rsid w:val="00B87AFB"/>
    <w:rsid w:val="00B87CA1"/>
    <w:rsid w:val="00B87ECB"/>
    <w:rsid w:val="00B90654"/>
    <w:rsid w:val="00B90B7D"/>
    <w:rsid w:val="00B91819"/>
    <w:rsid w:val="00B91F3D"/>
    <w:rsid w:val="00B9288B"/>
    <w:rsid w:val="00B9336D"/>
    <w:rsid w:val="00B934D1"/>
    <w:rsid w:val="00B93956"/>
    <w:rsid w:val="00B94197"/>
    <w:rsid w:val="00B95164"/>
    <w:rsid w:val="00B969DD"/>
    <w:rsid w:val="00B9771E"/>
    <w:rsid w:val="00B97EFF"/>
    <w:rsid w:val="00BA00FB"/>
    <w:rsid w:val="00BA05F7"/>
    <w:rsid w:val="00BA167F"/>
    <w:rsid w:val="00BA246A"/>
    <w:rsid w:val="00BA2791"/>
    <w:rsid w:val="00BA300F"/>
    <w:rsid w:val="00BA452E"/>
    <w:rsid w:val="00BA471F"/>
    <w:rsid w:val="00BA4844"/>
    <w:rsid w:val="00BA4C0E"/>
    <w:rsid w:val="00BA6220"/>
    <w:rsid w:val="00BA6D29"/>
    <w:rsid w:val="00BB0106"/>
    <w:rsid w:val="00BB03ED"/>
    <w:rsid w:val="00BB0B70"/>
    <w:rsid w:val="00BB1074"/>
    <w:rsid w:val="00BB19FF"/>
    <w:rsid w:val="00BB1A92"/>
    <w:rsid w:val="00BB3809"/>
    <w:rsid w:val="00BB3849"/>
    <w:rsid w:val="00BB3B7D"/>
    <w:rsid w:val="00BB4074"/>
    <w:rsid w:val="00BB40C6"/>
    <w:rsid w:val="00BB59A1"/>
    <w:rsid w:val="00BB61FD"/>
    <w:rsid w:val="00BB65C7"/>
    <w:rsid w:val="00BB66B7"/>
    <w:rsid w:val="00BB7167"/>
    <w:rsid w:val="00BB78BC"/>
    <w:rsid w:val="00BC154F"/>
    <w:rsid w:val="00BC195A"/>
    <w:rsid w:val="00BC1F68"/>
    <w:rsid w:val="00BC2045"/>
    <w:rsid w:val="00BC272D"/>
    <w:rsid w:val="00BC28CC"/>
    <w:rsid w:val="00BC2947"/>
    <w:rsid w:val="00BC2ABA"/>
    <w:rsid w:val="00BC302A"/>
    <w:rsid w:val="00BC352E"/>
    <w:rsid w:val="00BC5036"/>
    <w:rsid w:val="00BC5796"/>
    <w:rsid w:val="00BC5886"/>
    <w:rsid w:val="00BC5C9F"/>
    <w:rsid w:val="00BC60B4"/>
    <w:rsid w:val="00BC6CB4"/>
    <w:rsid w:val="00BC750F"/>
    <w:rsid w:val="00BD2104"/>
    <w:rsid w:val="00BD2181"/>
    <w:rsid w:val="00BD2ADF"/>
    <w:rsid w:val="00BD2AF6"/>
    <w:rsid w:val="00BD56CB"/>
    <w:rsid w:val="00BD5860"/>
    <w:rsid w:val="00BD58C7"/>
    <w:rsid w:val="00BD59D2"/>
    <w:rsid w:val="00BD5A8A"/>
    <w:rsid w:val="00BD660D"/>
    <w:rsid w:val="00BD6B8D"/>
    <w:rsid w:val="00BD6D12"/>
    <w:rsid w:val="00BD6FB9"/>
    <w:rsid w:val="00BD7184"/>
    <w:rsid w:val="00BD7430"/>
    <w:rsid w:val="00BD79B7"/>
    <w:rsid w:val="00BD79D5"/>
    <w:rsid w:val="00BE0069"/>
    <w:rsid w:val="00BE0946"/>
    <w:rsid w:val="00BE1451"/>
    <w:rsid w:val="00BE2397"/>
    <w:rsid w:val="00BE3B77"/>
    <w:rsid w:val="00BE3C36"/>
    <w:rsid w:val="00BE3F4F"/>
    <w:rsid w:val="00BE43C8"/>
    <w:rsid w:val="00BE52C1"/>
    <w:rsid w:val="00BE5509"/>
    <w:rsid w:val="00BE5E57"/>
    <w:rsid w:val="00BE6394"/>
    <w:rsid w:val="00BE65DF"/>
    <w:rsid w:val="00BE668B"/>
    <w:rsid w:val="00BE6A27"/>
    <w:rsid w:val="00BE6AAB"/>
    <w:rsid w:val="00BE6EE8"/>
    <w:rsid w:val="00BE74F3"/>
    <w:rsid w:val="00BE777E"/>
    <w:rsid w:val="00BE7E48"/>
    <w:rsid w:val="00BF084F"/>
    <w:rsid w:val="00BF0C02"/>
    <w:rsid w:val="00BF104B"/>
    <w:rsid w:val="00BF1B2E"/>
    <w:rsid w:val="00BF1C64"/>
    <w:rsid w:val="00BF1DB5"/>
    <w:rsid w:val="00BF2AF0"/>
    <w:rsid w:val="00BF2F51"/>
    <w:rsid w:val="00BF3036"/>
    <w:rsid w:val="00BF31EC"/>
    <w:rsid w:val="00BF3967"/>
    <w:rsid w:val="00BF4E8B"/>
    <w:rsid w:val="00BF5082"/>
    <w:rsid w:val="00BF53F1"/>
    <w:rsid w:val="00BF5AC6"/>
    <w:rsid w:val="00BF682F"/>
    <w:rsid w:val="00BF77E4"/>
    <w:rsid w:val="00BF7D6E"/>
    <w:rsid w:val="00C00C28"/>
    <w:rsid w:val="00C01581"/>
    <w:rsid w:val="00C02CEC"/>
    <w:rsid w:val="00C035EB"/>
    <w:rsid w:val="00C048A5"/>
    <w:rsid w:val="00C04C77"/>
    <w:rsid w:val="00C04F0A"/>
    <w:rsid w:val="00C051B5"/>
    <w:rsid w:val="00C055FD"/>
    <w:rsid w:val="00C05CE2"/>
    <w:rsid w:val="00C05EC5"/>
    <w:rsid w:val="00C064FD"/>
    <w:rsid w:val="00C06651"/>
    <w:rsid w:val="00C06768"/>
    <w:rsid w:val="00C07930"/>
    <w:rsid w:val="00C10012"/>
    <w:rsid w:val="00C103D2"/>
    <w:rsid w:val="00C13DCC"/>
    <w:rsid w:val="00C14449"/>
    <w:rsid w:val="00C1499B"/>
    <w:rsid w:val="00C1566C"/>
    <w:rsid w:val="00C15C9D"/>
    <w:rsid w:val="00C15E71"/>
    <w:rsid w:val="00C17346"/>
    <w:rsid w:val="00C176F5"/>
    <w:rsid w:val="00C17FEF"/>
    <w:rsid w:val="00C20802"/>
    <w:rsid w:val="00C209EE"/>
    <w:rsid w:val="00C20DA9"/>
    <w:rsid w:val="00C212B4"/>
    <w:rsid w:val="00C21302"/>
    <w:rsid w:val="00C2163F"/>
    <w:rsid w:val="00C21ABE"/>
    <w:rsid w:val="00C236E6"/>
    <w:rsid w:val="00C239A7"/>
    <w:rsid w:val="00C23C9F"/>
    <w:rsid w:val="00C2403C"/>
    <w:rsid w:val="00C24468"/>
    <w:rsid w:val="00C24C42"/>
    <w:rsid w:val="00C2549D"/>
    <w:rsid w:val="00C254B8"/>
    <w:rsid w:val="00C25755"/>
    <w:rsid w:val="00C25AB2"/>
    <w:rsid w:val="00C25B71"/>
    <w:rsid w:val="00C25F4C"/>
    <w:rsid w:val="00C2650C"/>
    <w:rsid w:val="00C266E6"/>
    <w:rsid w:val="00C267AC"/>
    <w:rsid w:val="00C26BB3"/>
    <w:rsid w:val="00C26C93"/>
    <w:rsid w:val="00C26D8F"/>
    <w:rsid w:val="00C27E65"/>
    <w:rsid w:val="00C307FE"/>
    <w:rsid w:val="00C308D8"/>
    <w:rsid w:val="00C308E3"/>
    <w:rsid w:val="00C30CAB"/>
    <w:rsid w:val="00C30F67"/>
    <w:rsid w:val="00C32411"/>
    <w:rsid w:val="00C32D37"/>
    <w:rsid w:val="00C345EF"/>
    <w:rsid w:val="00C349AB"/>
    <w:rsid w:val="00C364C9"/>
    <w:rsid w:val="00C3785E"/>
    <w:rsid w:val="00C37E68"/>
    <w:rsid w:val="00C4086F"/>
    <w:rsid w:val="00C40964"/>
    <w:rsid w:val="00C40DC6"/>
    <w:rsid w:val="00C412A9"/>
    <w:rsid w:val="00C42F01"/>
    <w:rsid w:val="00C42F2C"/>
    <w:rsid w:val="00C43133"/>
    <w:rsid w:val="00C43ECD"/>
    <w:rsid w:val="00C44959"/>
    <w:rsid w:val="00C4531C"/>
    <w:rsid w:val="00C45441"/>
    <w:rsid w:val="00C45512"/>
    <w:rsid w:val="00C45625"/>
    <w:rsid w:val="00C45AD5"/>
    <w:rsid w:val="00C4700B"/>
    <w:rsid w:val="00C4746E"/>
    <w:rsid w:val="00C4768C"/>
    <w:rsid w:val="00C47ABC"/>
    <w:rsid w:val="00C505DB"/>
    <w:rsid w:val="00C50AC8"/>
    <w:rsid w:val="00C50D1B"/>
    <w:rsid w:val="00C50F1E"/>
    <w:rsid w:val="00C51059"/>
    <w:rsid w:val="00C51414"/>
    <w:rsid w:val="00C51EE6"/>
    <w:rsid w:val="00C52809"/>
    <w:rsid w:val="00C5285E"/>
    <w:rsid w:val="00C528AE"/>
    <w:rsid w:val="00C529BC"/>
    <w:rsid w:val="00C535DD"/>
    <w:rsid w:val="00C53AD3"/>
    <w:rsid w:val="00C547BD"/>
    <w:rsid w:val="00C54D44"/>
    <w:rsid w:val="00C550D4"/>
    <w:rsid w:val="00C563EF"/>
    <w:rsid w:val="00C564E5"/>
    <w:rsid w:val="00C56958"/>
    <w:rsid w:val="00C56B1D"/>
    <w:rsid w:val="00C56BC1"/>
    <w:rsid w:val="00C577DD"/>
    <w:rsid w:val="00C57F07"/>
    <w:rsid w:val="00C6091C"/>
    <w:rsid w:val="00C625BF"/>
    <w:rsid w:val="00C62DA7"/>
    <w:rsid w:val="00C6313C"/>
    <w:rsid w:val="00C6324F"/>
    <w:rsid w:val="00C63B10"/>
    <w:rsid w:val="00C6416F"/>
    <w:rsid w:val="00C649BD"/>
    <w:rsid w:val="00C64D50"/>
    <w:rsid w:val="00C65096"/>
    <w:rsid w:val="00C654E8"/>
    <w:rsid w:val="00C65AE6"/>
    <w:rsid w:val="00C7232C"/>
    <w:rsid w:val="00C73CF0"/>
    <w:rsid w:val="00C73E72"/>
    <w:rsid w:val="00C74574"/>
    <w:rsid w:val="00C7544B"/>
    <w:rsid w:val="00C75B17"/>
    <w:rsid w:val="00C75D1A"/>
    <w:rsid w:val="00C7627A"/>
    <w:rsid w:val="00C765D7"/>
    <w:rsid w:val="00C76A4B"/>
    <w:rsid w:val="00C76C3C"/>
    <w:rsid w:val="00C772ED"/>
    <w:rsid w:val="00C77371"/>
    <w:rsid w:val="00C778D7"/>
    <w:rsid w:val="00C77BE4"/>
    <w:rsid w:val="00C8029F"/>
    <w:rsid w:val="00C80323"/>
    <w:rsid w:val="00C80999"/>
    <w:rsid w:val="00C81412"/>
    <w:rsid w:val="00C81674"/>
    <w:rsid w:val="00C82192"/>
    <w:rsid w:val="00C82750"/>
    <w:rsid w:val="00C847BD"/>
    <w:rsid w:val="00C84896"/>
    <w:rsid w:val="00C8532D"/>
    <w:rsid w:val="00C85EC6"/>
    <w:rsid w:val="00C86308"/>
    <w:rsid w:val="00C86866"/>
    <w:rsid w:val="00C86D87"/>
    <w:rsid w:val="00C901C5"/>
    <w:rsid w:val="00C90218"/>
    <w:rsid w:val="00C907B1"/>
    <w:rsid w:val="00C90A25"/>
    <w:rsid w:val="00C90DB5"/>
    <w:rsid w:val="00C919FA"/>
    <w:rsid w:val="00C91F0F"/>
    <w:rsid w:val="00C92211"/>
    <w:rsid w:val="00C9231E"/>
    <w:rsid w:val="00C94BAE"/>
    <w:rsid w:val="00C94CCF"/>
    <w:rsid w:val="00C94D14"/>
    <w:rsid w:val="00C95DC4"/>
    <w:rsid w:val="00C96F4B"/>
    <w:rsid w:val="00C975E1"/>
    <w:rsid w:val="00C97642"/>
    <w:rsid w:val="00C97E71"/>
    <w:rsid w:val="00CA00A3"/>
    <w:rsid w:val="00CA020B"/>
    <w:rsid w:val="00CA0988"/>
    <w:rsid w:val="00CA0C8A"/>
    <w:rsid w:val="00CA0DB3"/>
    <w:rsid w:val="00CA10AB"/>
    <w:rsid w:val="00CA1181"/>
    <w:rsid w:val="00CA27AC"/>
    <w:rsid w:val="00CA4A83"/>
    <w:rsid w:val="00CA54F7"/>
    <w:rsid w:val="00CA5F71"/>
    <w:rsid w:val="00CA6106"/>
    <w:rsid w:val="00CA6229"/>
    <w:rsid w:val="00CA72AF"/>
    <w:rsid w:val="00CB05B6"/>
    <w:rsid w:val="00CB0CD2"/>
    <w:rsid w:val="00CB22C3"/>
    <w:rsid w:val="00CB2581"/>
    <w:rsid w:val="00CB2C70"/>
    <w:rsid w:val="00CB31AD"/>
    <w:rsid w:val="00CB3841"/>
    <w:rsid w:val="00CB3924"/>
    <w:rsid w:val="00CB3E73"/>
    <w:rsid w:val="00CB3F80"/>
    <w:rsid w:val="00CB408C"/>
    <w:rsid w:val="00CB4411"/>
    <w:rsid w:val="00CB566E"/>
    <w:rsid w:val="00CB59AF"/>
    <w:rsid w:val="00CB5DCB"/>
    <w:rsid w:val="00CB6209"/>
    <w:rsid w:val="00CB65BC"/>
    <w:rsid w:val="00CB66DA"/>
    <w:rsid w:val="00CB6A01"/>
    <w:rsid w:val="00CB6B76"/>
    <w:rsid w:val="00CB74A5"/>
    <w:rsid w:val="00CB7876"/>
    <w:rsid w:val="00CB7ED8"/>
    <w:rsid w:val="00CC04CB"/>
    <w:rsid w:val="00CC0CF1"/>
    <w:rsid w:val="00CC1282"/>
    <w:rsid w:val="00CC12FF"/>
    <w:rsid w:val="00CC1C63"/>
    <w:rsid w:val="00CC1D7D"/>
    <w:rsid w:val="00CC1FC6"/>
    <w:rsid w:val="00CC40F5"/>
    <w:rsid w:val="00CC4A46"/>
    <w:rsid w:val="00CC5CF0"/>
    <w:rsid w:val="00CC7942"/>
    <w:rsid w:val="00CD0541"/>
    <w:rsid w:val="00CD0F53"/>
    <w:rsid w:val="00CD1313"/>
    <w:rsid w:val="00CD1961"/>
    <w:rsid w:val="00CD1AB4"/>
    <w:rsid w:val="00CD1FF2"/>
    <w:rsid w:val="00CD2655"/>
    <w:rsid w:val="00CD33A9"/>
    <w:rsid w:val="00CD576E"/>
    <w:rsid w:val="00CD58B0"/>
    <w:rsid w:val="00CD5FAE"/>
    <w:rsid w:val="00CD6589"/>
    <w:rsid w:val="00CD6C35"/>
    <w:rsid w:val="00CD6F88"/>
    <w:rsid w:val="00CD70C5"/>
    <w:rsid w:val="00CD74DD"/>
    <w:rsid w:val="00CD7EB2"/>
    <w:rsid w:val="00CE0C46"/>
    <w:rsid w:val="00CE112A"/>
    <w:rsid w:val="00CE1581"/>
    <w:rsid w:val="00CE16CB"/>
    <w:rsid w:val="00CE1ED4"/>
    <w:rsid w:val="00CE2CB0"/>
    <w:rsid w:val="00CE2D70"/>
    <w:rsid w:val="00CE341F"/>
    <w:rsid w:val="00CE3EFA"/>
    <w:rsid w:val="00CE46DB"/>
    <w:rsid w:val="00CE47AD"/>
    <w:rsid w:val="00CE4E4E"/>
    <w:rsid w:val="00CE63DE"/>
    <w:rsid w:val="00CE67E4"/>
    <w:rsid w:val="00CE6811"/>
    <w:rsid w:val="00CE72D9"/>
    <w:rsid w:val="00CE7FF3"/>
    <w:rsid w:val="00CF0377"/>
    <w:rsid w:val="00CF06D1"/>
    <w:rsid w:val="00CF10B3"/>
    <w:rsid w:val="00CF1265"/>
    <w:rsid w:val="00CF1402"/>
    <w:rsid w:val="00CF14DA"/>
    <w:rsid w:val="00CF2885"/>
    <w:rsid w:val="00CF2C67"/>
    <w:rsid w:val="00CF2E8A"/>
    <w:rsid w:val="00CF3505"/>
    <w:rsid w:val="00CF3716"/>
    <w:rsid w:val="00CF3F3B"/>
    <w:rsid w:val="00CF415F"/>
    <w:rsid w:val="00CF4284"/>
    <w:rsid w:val="00CF58D3"/>
    <w:rsid w:val="00CF6280"/>
    <w:rsid w:val="00CF63D8"/>
    <w:rsid w:val="00CF6853"/>
    <w:rsid w:val="00CF6D20"/>
    <w:rsid w:val="00CF7C15"/>
    <w:rsid w:val="00D003D1"/>
    <w:rsid w:val="00D006AA"/>
    <w:rsid w:val="00D00AE4"/>
    <w:rsid w:val="00D00FDA"/>
    <w:rsid w:val="00D014E4"/>
    <w:rsid w:val="00D02EDD"/>
    <w:rsid w:val="00D03479"/>
    <w:rsid w:val="00D035F7"/>
    <w:rsid w:val="00D03F06"/>
    <w:rsid w:val="00D03F6B"/>
    <w:rsid w:val="00D03FB1"/>
    <w:rsid w:val="00D0563A"/>
    <w:rsid w:val="00D05664"/>
    <w:rsid w:val="00D05DEF"/>
    <w:rsid w:val="00D05FCB"/>
    <w:rsid w:val="00D07EEE"/>
    <w:rsid w:val="00D1033B"/>
    <w:rsid w:val="00D10678"/>
    <w:rsid w:val="00D123BB"/>
    <w:rsid w:val="00D1247C"/>
    <w:rsid w:val="00D1316F"/>
    <w:rsid w:val="00D1327C"/>
    <w:rsid w:val="00D13BD2"/>
    <w:rsid w:val="00D14514"/>
    <w:rsid w:val="00D1499A"/>
    <w:rsid w:val="00D14BEC"/>
    <w:rsid w:val="00D15150"/>
    <w:rsid w:val="00D15566"/>
    <w:rsid w:val="00D15C15"/>
    <w:rsid w:val="00D16205"/>
    <w:rsid w:val="00D17F70"/>
    <w:rsid w:val="00D20A65"/>
    <w:rsid w:val="00D21142"/>
    <w:rsid w:val="00D229C6"/>
    <w:rsid w:val="00D22FB9"/>
    <w:rsid w:val="00D23E8A"/>
    <w:rsid w:val="00D23ECC"/>
    <w:rsid w:val="00D24001"/>
    <w:rsid w:val="00D242A3"/>
    <w:rsid w:val="00D24BBE"/>
    <w:rsid w:val="00D24E3C"/>
    <w:rsid w:val="00D24EBB"/>
    <w:rsid w:val="00D24EBC"/>
    <w:rsid w:val="00D26013"/>
    <w:rsid w:val="00D264DA"/>
    <w:rsid w:val="00D30FC9"/>
    <w:rsid w:val="00D3228C"/>
    <w:rsid w:val="00D331A5"/>
    <w:rsid w:val="00D334DA"/>
    <w:rsid w:val="00D3452D"/>
    <w:rsid w:val="00D3569C"/>
    <w:rsid w:val="00D365F6"/>
    <w:rsid w:val="00D367CB"/>
    <w:rsid w:val="00D4009C"/>
    <w:rsid w:val="00D40310"/>
    <w:rsid w:val="00D40374"/>
    <w:rsid w:val="00D4076E"/>
    <w:rsid w:val="00D426F8"/>
    <w:rsid w:val="00D428D1"/>
    <w:rsid w:val="00D43614"/>
    <w:rsid w:val="00D4396B"/>
    <w:rsid w:val="00D43AF7"/>
    <w:rsid w:val="00D43EEA"/>
    <w:rsid w:val="00D447DC"/>
    <w:rsid w:val="00D44A72"/>
    <w:rsid w:val="00D44BFE"/>
    <w:rsid w:val="00D44CED"/>
    <w:rsid w:val="00D45427"/>
    <w:rsid w:val="00D45893"/>
    <w:rsid w:val="00D45F94"/>
    <w:rsid w:val="00D4603E"/>
    <w:rsid w:val="00D47644"/>
    <w:rsid w:val="00D47844"/>
    <w:rsid w:val="00D50648"/>
    <w:rsid w:val="00D514BF"/>
    <w:rsid w:val="00D5195E"/>
    <w:rsid w:val="00D52687"/>
    <w:rsid w:val="00D530AB"/>
    <w:rsid w:val="00D54024"/>
    <w:rsid w:val="00D54072"/>
    <w:rsid w:val="00D545D2"/>
    <w:rsid w:val="00D545D7"/>
    <w:rsid w:val="00D547A8"/>
    <w:rsid w:val="00D54FA5"/>
    <w:rsid w:val="00D55247"/>
    <w:rsid w:val="00D5574A"/>
    <w:rsid w:val="00D55E40"/>
    <w:rsid w:val="00D56942"/>
    <w:rsid w:val="00D57026"/>
    <w:rsid w:val="00D57B7B"/>
    <w:rsid w:val="00D60D2F"/>
    <w:rsid w:val="00D610F9"/>
    <w:rsid w:val="00D61224"/>
    <w:rsid w:val="00D6123B"/>
    <w:rsid w:val="00D61EFD"/>
    <w:rsid w:val="00D61F1D"/>
    <w:rsid w:val="00D6296E"/>
    <w:rsid w:val="00D63327"/>
    <w:rsid w:val="00D64D65"/>
    <w:rsid w:val="00D65D40"/>
    <w:rsid w:val="00D6611A"/>
    <w:rsid w:val="00D668A6"/>
    <w:rsid w:val="00D670AE"/>
    <w:rsid w:val="00D6749C"/>
    <w:rsid w:val="00D6759C"/>
    <w:rsid w:val="00D67815"/>
    <w:rsid w:val="00D700B0"/>
    <w:rsid w:val="00D70A9B"/>
    <w:rsid w:val="00D71020"/>
    <w:rsid w:val="00D721C7"/>
    <w:rsid w:val="00D747A0"/>
    <w:rsid w:val="00D7494D"/>
    <w:rsid w:val="00D74EFF"/>
    <w:rsid w:val="00D755DE"/>
    <w:rsid w:val="00D7712A"/>
    <w:rsid w:val="00D774B8"/>
    <w:rsid w:val="00D80221"/>
    <w:rsid w:val="00D804CC"/>
    <w:rsid w:val="00D80A20"/>
    <w:rsid w:val="00D826D1"/>
    <w:rsid w:val="00D82933"/>
    <w:rsid w:val="00D82C3D"/>
    <w:rsid w:val="00D83460"/>
    <w:rsid w:val="00D83836"/>
    <w:rsid w:val="00D84083"/>
    <w:rsid w:val="00D8446D"/>
    <w:rsid w:val="00D84CEB"/>
    <w:rsid w:val="00D84F5F"/>
    <w:rsid w:val="00D85D0E"/>
    <w:rsid w:val="00D85F64"/>
    <w:rsid w:val="00D863E0"/>
    <w:rsid w:val="00D86618"/>
    <w:rsid w:val="00D8663E"/>
    <w:rsid w:val="00D8664C"/>
    <w:rsid w:val="00D867BE"/>
    <w:rsid w:val="00D867E2"/>
    <w:rsid w:val="00D86EE1"/>
    <w:rsid w:val="00D87BF0"/>
    <w:rsid w:val="00D87C75"/>
    <w:rsid w:val="00D906AC"/>
    <w:rsid w:val="00D92E02"/>
    <w:rsid w:val="00D931BD"/>
    <w:rsid w:val="00D93276"/>
    <w:rsid w:val="00D93510"/>
    <w:rsid w:val="00D93ED2"/>
    <w:rsid w:val="00D94E2E"/>
    <w:rsid w:val="00D94E63"/>
    <w:rsid w:val="00D95229"/>
    <w:rsid w:val="00D95D6D"/>
    <w:rsid w:val="00D95DE4"/>
    <w:rsid w:val="00D9685C"/>
    <w:rsid w:val="00D97015"/>
    <w:rsid w:val="00D9712A"/>
    <w:rsid w:val="00D97407"/>
    <w:rsid w:val="00D975A1"/>
    <w:rsid w:val="00D979F9"/>
    <w:rsid w:val="00D97B20"/>
    <w:rsid w:val="00DA0077"/>
    <w:rsid w:val="00DA095D"/>
    <w:rsid w:val="00DA19AE"/>
    <w:rsid w:val="00DA21EB"/>
    <w:rsid w:val="00DA2505"/>
    <w:rsid w:val="00DA255C"/>
    <w:rsid w:val="00DA27D2"/>
    <w:rsid w:val="00DA2AF7"/>
    <w:rsid w:val="00DA58C3"/>
    <w:rsid w:val="00DB092E"/>
    <w:rsid w:val="00DB0E66"/>
    <w:rsid w:val="00DB15F1"/>
    <w:rsid w:val="00DB25A8"/>
    <w:rsid w:val="00DB33CC"/>
    <w:rsid w:val="00DB3ACA"/>
    <w:rsid w:val="00DB43F9"/>
    <w:rsid w:val="00DB442C"/>
    <w:rsid w:val="00DB4478"/>
    <w:rsid w:val="00DB4A29"/>
    <w:rsid w:val="00DB546B"/>
    <w:rsid w:val="00DB6376"/>
    <w:rsid w:val="00DB63DA"/>
    <w:rsid w:val="00DB7A91"/>
    <w:rsid w:val="00DB7DA3"/>
    <w:rsid w:val="00DC0125"/>
    <w:rsid w:val="00DC024D"/>
    <w:rsid w:val="00DC06A0"/>
    <w:rsid w:val="00DC17D7"/>
    <w:rsid w:val="00DC1CEB"/>
    <w:rsid w:val="00DC1DFA"/>
    <w:rsid w:val="00DC2437"/>
    <w:rsid w:val="00DC2873"/>
    <w:rsid w:val="00DC2D7A"/>
    <w:rsid w:val="00DC40E7"/>
    <w:rsid w:val="00DC4A6E"/>
    <w:rsid w:val="00DC61DE"/>
    <w:rsid w:val="00DC6290"/>
    <w:rsid w:val="00DC641A"/>
    <w:rsid w:val="00DC68AC"/>
    <w:rsid w:val="00DC7696"/>
    <w:rsid w:val="00DC7B38"/>
    <w:rsid w:val="00DD076A"/>
    <w:rsid w:val="00DD12AA"/>
    <w:rsid w:val="00DD19D6"/>
    <w:rsid w:val="00DD1C29"/>
    <w:rsid w:val="00DD276C"/>
    <w:rsid w:val="00DD2B31"/>
    <w:rsid w:val="00DD2D8B"/>
    <w:rsid w:val="00DD2FEF"/>
    <w:rsid w:val="00DD31DB"/>
    <w:rsid w:val="00DD34DF"/>
    <w:rsid w:val="00DD3A3B"/>
    <w:rsid w:val="00DD3D86"/>
    <w:rsid w:val="00DD3DCC"/>
    <w:rsid w:val="00DD412D"/>
    <w:rsid w:val="00DD4473"/>
    <w:rsid w:val="00DD4506"/>
    <w:rsid w:val="00DD47F9"/>
    <w:rsid w:val="00DD47FD"/>
    <w:rsid w:val="00DD5352"/>
    <w:rsid w:val="00DD5943"/>
    <w:rsid w:val="00DD61C1"/>
    <w:rsid w:val="00DD67CD"/>
    <w:rsid w:val="00DD6EE0"/>
    <w:rsid w:val="00DD7324"/>
    <w:rsid w:val="00DD74D2"/>
    <w:rsid w:val="00DD783C"/>
    <w:rsid w:val="00DD7A45"/>
    <w:rsid w:val="00DD7F0F"/>
    <w:rsid w:val="00DE0B28"/>
    <w:rsid w:val="00DE10FF"/>
    <w:rsid w:val="00DE1EE5"/>
    <w:rsid w:val="00DE334C"/>
    <w:rsid w:val="00DE3919"/>
    <w:rsid w:val="00DE3B5E"/>
    <w:rsid w:val="00DE3E27"/>
    <w:rsid w:val="00DE444F"/>
    <w:rsid w:val="00DE4DDB"/>
    <w:rsid w:val="00DE4E49"/>
    <w:rsid w:val="00DE5476"/>
    <w:rsid w:val="00DE55E2"/>
    <w:rsid w:val="00DE572E"/>
    <w:rsid w:val="00DE6683"/>
    <w:rsid w:val="00DE6ACB"/>
    <w:rsid w:val="00DE7096"/>
    <w:rsid w:val="00DE7E2E"/>
    <w:rsid w:val="00DE7EF4"/>
    <w:rsid w:val="00DF00E4"/>
    <w:rsid w:val="00DF01C2"/>
    <w:rsid w:val="00DF090C"/>
    <w:rsid w:val="00DF0BAC"/>
    <w:rsid w:val="00DF1E48"/>
    <w:rsid w:val="00DF2106"/>
    <w:rsid w:val="00DF3D83"/>
    <w:rsid w:val="00DF44CA"/>
    <w:rsid w:val="00DF4986"/>
    <w:rsid w:val="00DF4EDE"/>
    <w:rsid w:val="00DF547D"/>
    <w:rsid w:val="00DF5FA0"/>
    <w:rsid w:val="00DF76C3"/>
    <w:rsid w:val="00E006F5"/>
    <w:rsid w:val="00E00F7D"/>
    <w:rsid w:val="00E01E29"/>
    <w:rsid w:val="00E01F0D"/>
    <w:rsid w:val="00E0277F"/>
    <w:rsid w:val="00E02C0F"/>
    <w:rsid w:val="00E0413F"/>
    <w:rsid w:val="00E0421F"/>
    <w:rsid w:val="00E0433F"/>
    <w:rsid w:val="00E05339"/>
    <w:rsid w:val="00E058BF"/>
    <w:rsid w:val="00E061C0"/>
    <w:rsid w:val="00E07B9C"/>
    <w:rsid w:val="00E104EE"/>
    <w:rsid w:val="00E10F4A"/>
    <w:rsid w:val="00E113F7"/>
    <w:rsid w:val="00E113FA"/>
    <w:rsid w:val="00E126D7"/>
    <w:rsid w:val="00E12D1B"/>
    <w:rsid w:val="00E13A8A"/>
    <w:rsid w:val="00E13AB0"/>
    <w:rsid w:val="00E13B10"/>
    <w:rsid w:val="00E14E84"/>
    <w:rsid w:val="00E1589E"/>
    <w:rsid w:val="00E15AB6"/>
    <w:rsid w:val="00E15D68"/>
    <w:rsid w:val="00E1609E"/>
    <w:rsid w:val="00E17389"/>
    <w:rsid w:val="00E17AE3"/>
    <w:rsid w:val="00E17CF0"/>
    <w:rsid w:val="00E201C5"/>
    <w:rsid w:val="00E228AB"/>
    <w:rsid w:val="00E22A4B"/>
    <w:rsid w:val="00E22C94"/>
    <w:rsid w:val="00E234D1"/>
    <w:rsid w:val="00E24379"/>
    <w:rsid w:val="00E253FA"/>
    <w:rsid w:val="00E25828"/>
    <w:rsid w:val="00E25981"/>
    <w:rsid w:val="00E25D6E"/>
    <w:rsid w:val="00E25EF3"/>
    <w:rsid w:val="00E265B1"/>
    <w:rsid w:val="00E305A3"/>
    <w:rsid w:val="00E3084A"/>
    <w:rsid w:val="00E30A98"/>
    <w:rsid w:val="00E31548"/>
    <w:rsid w:val="00E355F7"/>
    <w:rsid w:val="00E356E9"/>
    <w:rsid w:val="00E359E6"/>
    <w:rsid w:val="00E36A86"/>
    <w:rsid w:val="00E37515"/>
    <w:rsid w:val="00E37BD7"/>
    <w:rsid w:val="00E37C13"/>
    <w:rsid w:val="00E4017F"/>
    <w:rsid w:val="00E41270"/>
    <w:rsid w:val="00E4130B"/>
    <w:rsid w:val="00E413EF"/>
    <w:rsid w:val="00E4253D"/>
    <w:rsid w:val="00E4257F"/>
    <w:rsid w:val="00E42A5F"/>
    <w:rsid w:val="00E42B16"/>
    <w:rsid w:val="00E42EBA"/>
    <w:rsid w:val="00E42F6B"/>
    <w:rsid w:val="00E4323B"/>
    <w:rsid w:val="00E4336D"/>
    <w:rsid w:val="00E440EE"/>
    <w:rsid w:val="00E4469C"/>
    <w:rsid w:val="00E45C36"/>
    <w:rsid w:val="00E464CF"/>
    <w:rsid w:val="00E475B4"/>
    <w:rsid w:val="00E5033B"/>
    <w:rsid w:val="00E50742"/>
    <w:rsid w:val="00E511F3"/>
    <w:rsid w:val="00E51EEB"/>
    <w:rsid w:val="00E5217F"/>
    <w:rsid w:val="00E5221D"/>
    <w:rsid w:val="00E52D0A"/>
    <w:rsid w:val="00E52F74"/>
    <w:rsid w:val="00E537FD"/>
    <w:rsid w:val="00E538D5"/>
    <w:rsid w:val="00E53E69"/>
    <w:rsid w:val="00E54031"/>
    <w:rsid w:val="00E54BBC"/>
    <w:rsid w:val="00E5532F"/>
    <w:rsid w:val="00E55330"/>
    <w:rsid w:val="00E55433"/>
    <w:rsid w:val="00E554E1"/>
    <w:rsid w:val="00E56080"/>
    <w:rsid w:val="00E56112"/>
    <w:rsid w:val="00E56121"/>
    <w:rsid w:val="00E60E56"/>
    <w:rsid w:val="00E6140E"/>
    <w:rsid w:val="00E61CF4"/>
    <w:rsid w:val="00E61DF2"/>
    <w:rsid w:val="00E62478"/>
    <w:rsid w:val="00E62E73"/>
    <w:rsid w:val="00E639ED"/>
    <w:rsid w:val="00E647AF"/>
    <w:rsid w:val="00E64CF8"/>
    <w:rsid w:val="00E6546D"/>
    <w:rsid w:val="00E654F6"/>
    <w:rsid w:val="00E657C8"/>
    <w:rsid w:val="00E65DA4"/>
    <w:rsid w:val="00E65EED"/>
    <w:rsid w:val="00E6613E"/>
    <w:rsid w:val="00E6637A"/>
    <w:rsid w:val="00E66766"/>
    <w:rsid w:val="00E667AB"/>
    <w:rsid w:val="00E701D3"/>
    <w:rsid w:val="00E7087C"/>
    <w:rsid w:val="00E715A7"/>
    <w:rsid w:val="00E71981"/>
    <w:rsid w:val="00E72B87"/>
    <w:rsid w:val="00E73B00"/>
    <w:rsid w:val="00E74109"/>
    <w:rsid w:val="00E754C6"/>
    <w:rsid w:val="00E75BAF"/>
    <w:rsid w:val="00E762BD"/>
    <w:rsid w:val="00E7643B"/>
    <w:rsid w:val="00E76853"/>
    <w:rsid w:val="00E76A24"/>
    <w:rsid w:val="00E76C45"/>
    <w:rsid w:val="00E77657"/>
    <w:rsid w:val="00E80930"/>
    <w:rsid w:val="00E818B2"/>
    <w:rsid w:val="00E822A2"/>
    <w:rsid w:val="00E8230E"/>
    <w:rsid w:val="00E828F7"/>
    <w:rsid w:val="00E83DAC"/>
    <w:rsid w:val="00E85938"/>
    <w:rsid w:val="00E85FB1"/>
    <w:rsid w:val="00E866EE"/>
    <w:rsid w:val="00E875A1"/>
    <w:rsid w:val="00E909A4"/>
    <w:rsid w:val="00E90F38"/>
    <w:rsid w:val="00E90F98"/>
    <w:rsid w:val="00E917A5"/>
    <w:rsid w:val="00E917E3"/>
    <w:rsid w:val="00E91B33"/>
    <w:rsid w:val="00E9237E"/>
    <w:rsid w:val="00E92415"/>
    <w:rsid w:val="00E92988"/>
    <w:rsid w:val="00E92E59"/>
    <w:rsid w:val="00E92F25"/>
    <w:rsid w:val="00E93016"/>
    <w:rsid w:val="00E94946"/>
    <w:rsid w:val="00E95757"/>
    <w:rsid w:val="00E95767"/>
    <w:rsid w:val="00E97A54"/>
    <w:rsid w:val="00E97AA4"/>
    <w:rsid w:val="00E97AAC"/>
    <w:rsid w:val="00E97EE9"/>
    <w:rsid w:val="00EA099C"/>
    <w:rsid w:val="00EA0FA9"/>
    <w:rsid w:val="00EA27F5"/>
    <w:rsid w:val="00EA3362"/>
    <w:rsid w:val="00EA3405"/>
    <w:rsid w:val="00EA3D2E"/>
    <w:rsid w:val="00EA4202"/>
    <w:rsid w:val="00EA4597"/>
    <w:rsid w:val="00EA48BA"/>
    <w:rsid w:val="00EA4BA4"/>
    <w:rsid w:val="00EA4FC7"/>
    <w:rsid w:val="00EA5063"/>
    <w:rsid w:val="00EA657D"/>
    <w:rsid w:val="00EA6C23"/>
    <w:rsid w:val="00EA718C"/>
    <w:rsid w:val="00EA728A"/>
    <w:rsid w:val="00EB09CE"/>
    <w:rsid w:val="00EB13B3"/>
    <w:rsid w:val="00EB1755"/>
    <w:rsid w:val="00EB1792"/>
    <w:rsid w:val="00EB1954"/>
    <w:rsid w:val="00EB2C94"/>
    <w:rsid w:val="00EB379B"/>
    <w:rsid w:val="00EB3BA9"/>
    <w:rsid w:val="00EB3E91"/>
    <w:rsid w:val="00EB45F2"/>
    <w:rsid w:val="00EB461A"/>
    <w:rsid w:val="00EB4658"/>
    <w:rsid w:val="00EB5B0D"/>
    <w:rsid w:val="00EB6184"/>
    <w:rsid w:val="00EB64DB"/>
    <w:rsid w:val="00EB72B4"/>
    <w:rsid w:val="00EB7BB1"/>
    <w:rsid w:val="00EB7CAF"/>
    <w:rsid w:val="00EC0AF2"/>
    <w:rsid w:val="00EC213D"/>
    <w:rsid w:val="00EC278B"/>
    <w:rsid w:val="00EC2ABC"/>
    <w:rsid w:val="00EC3B0C"/>
    <w:rsid w:val="00EC45A1"/>
    <w:rsid w:val="00EC628C"/>
    <w:rsid w:val="00EC649A"/>
    <w:rsid w:val="00EC6637"/>
    <w:rsid w:val="00EC68E0"/>
    <w:rsid w:val="00EC73C7"/>
    <w:rsid w:val="00ED0468"/>
    <w:rsid w:val="00ED185B"/>
    <w:rsid w:val="00ED18CC"/>
    <w:rsid w:val="00ED24CE"/>
    <w:rsid w:val="00ED297F"/>
    <w:rsid w:val="00ED2DB4"/>
    <w:rsid w:val="00ED3345"/>
    <w:rsid w:val="00ED42D8"/>
    <w:rsid w:val="00ED4E5B"/>
    <w:rsid w:val="00ED556C"/>
    <w:rsid w:val="00ED6A8F"/>
    <w:rsid w:val="00ED6D38"/>
    <w:rsid w:val="00ED71FE"/>
    <w:rsid w:val="00ED74A0"/>
    <w:rsid w:val="00EE0362"/>
    <w:rsid w:val="00EE071C"/>
    <w:rsid w:val="00EE1DB6"/>
    <w:rsid w:val="00EE2160"/>
    <w:rsid w:val="00EE2771"/>
    <w:rsid w:val="00EE2CE4"/>
    <w:rsid w:val="00EE332D"/>
    <w:rsid w:val="00EE333A"/>
    <w:rsid w:val="00EE3C67"/>
    <w:rsid w:val="00EE41E9"/>
    <w:rsid w:val="00EE4A2C"/>
    <w:rsid w:val="00EE4F6F"/>
    <w:rsid w:val="00EE527B"/>
    <w:rsid w:val="00EE5808"/>
    <w:rsid w:val="00EE5EB7"/>
    <w:rsid w:val="00EE61C7"/>
    <w:rsid w:val="00EE68E9"/>
    <w:rsid w:val="00EE6B9B"/>
    <w:rsid w:val="00EE7EDA"/>
    <w:rsid w:val="00EF0DD7"/>
    <w:rsid w:val="00EF0FF6"/>
    <w:rsid w:val="00EF1056"/>
    <w:rsid w:val="00EF180C"/>
    <w:rsid w:val="00EF1CAB"/>
    <w:rsid w:val="00EF2189"/>
    <w:rsid w:val="00EF2855"/>
    <w:rsid w:val="00EF28D9"/>
    <w:rsid w:val="00EF3364"/>
    <w:rsid w:val="00EF4C97"/>
    <w:rsid w:val="00EF59F9"/>
    <w:rsid w:val="00EF614F"/>
    <w:rsid w:val="00EF627A"/>
    <w:rsid w:val="00EF6B9E"/>
    <w:rsid w:val="00EF74DC"/>
    <w:rsid w:val="00EF7990"/>
    <w:rsid w:val="00F00BE9"/>
    <w:rsid w:val="00F01102"/>
    <w:rsid w:val="00F013A2"/>
    <w:rsid w:val="00F01481"/>
    <w:rsid w:val="00F017E1"/>
    <w:rsid w:val="00F01BE2"/>
    <w:rsid w:val="00F0231A"/>
    <w:rsid w:val="00F03A1E"/>
    <w:rsid w:val="00F040C6"/>
    <w:rsid w:val="00F0436F"/>
    <w:rsid w:val="00F04493"/>
    <w:rsid w:val="00F0527D"/>
    <w:rsid w:val="00F055C7"/>
    <w:rsid w:val="00F05607"/>
    <w:rsid w:val="00F056DD"/>
    <w:rsid w:val="00F0572B"/>
    <w:rsid w:val="00F061EF"/>
    <w:rsid w:val="00F06507"/>
    <w:rsid w:val="00F073F3"/>
    <w:rsid w:val="00F078C6"/>
    <w:rsid w:val="00F07DE3"/>
    <w:rsid w:val="00F101E9"/>
    <w:rsid w:val="00F10FA4"/>
    <w:rsid w:val="00F1147F"/>
    <w:rsid w:val="00F11C1A"/>
    <w:rsid w:val="00F1204B"/>
    <w:rsid w:val="00F1210E"/>
    <w:rsid w:val="00F12978"/>
    <w:rsid w:val="00F14184"/>
    <w:rsid w:val="00F14777"/>
    <w:rsid w:val="00F14A38"/>
    <w:rsid w:val="00F14CCF"/>
    <w:rsid w:val="00F1548E"/>
    <w:rsid w:val="00F15D2E"/>
    <w:rsid w:val="00F172F1"/>
    <w:rsid w:val="00F17DBA"/>
    <w:rsid w:val="00F20300"/>
    <w:rsid w:val="00F2097C"/>
    <w:rsid w:val="00F210C2"/>
    <w:rsid w:val="00F21551"/>
    <w:rsid w:val="00F21580"/>
    <w:rsid w:val="00F21606"/>
    <w:rsid w:val="00F2229A"/>
    <w:rsid w:val="00F228BD"/>
    <w:rsid w:val="00F230F6"/>
    <w:rsid w:val="00F234EF"/>
    <w:rsid w:val="00F23918"/>
    <w:rsid w:val="00F23B5B"/>
    <w:rsid w:val="00F24100"/>
    <w:rsid w:val="00F24AC6"/>
    <w:rsid w:val="00F25294"/>
    <w:rsid w:val="00F252EA"/>
    <w:rsid w:val="00F2617F"/>
    <w:rsid w:val="00F27534"/>
    <w:rsid w:val="00F27A23"/>
    <w:rsid w:val="00F27E00"/>
    <w:rsid w:val="00F27FA3"/>
    <w:rsid w:val="00F30487"/>
    <w:rsid w:val="00F3074E"/>
    <w:rsid w:val="00F31085"/>
    <w:rsid w:val="00F31CB3"/>
    <w:rsid w:val="00F322E8"/>
    <w:rsid w:val="00F331E1"/>
    <w:rsid w:val="00F33D45"/>
    <w:rsid w:val="00F3425A"/>
    <w:rsid w:val="00F358D6"/>
    <w:rsid w:val="00F36EA2"/>
    <w:rsid w:val="00F37189"/>
    <w:rsid w:val="00F3724C"/>
    <w:rsid w:val="00F37667"/>
    <w:rsid w:val="00F377FB"/>
    <w:rsid w:val="00F37FC5"/>
    <w:rsid w:val="00F40A17"/>
    <w:rsid w:val="00F40E9D"/>
    <w:rsid w:val="00F4146E"/>
    <w:rsid w:val="00F41C17"/>
    <w:rsid w:val="00F42E87"/>
    <w:rsid w:val="00F4329F"/>
    <w:rsid w:val="00F439E4"/>
    <w:rsid w:val="00F43F19"/>
    <w:rsid w:val="00F44D5D"/>
    <w:rsid w:val="00F47CD9"/>
    <w:rsid w:val="00F5033D"/>
    <w:rsid w:val="00F50429"/>
    <w:rsid w:val="00F507C3"/>
    <w:rsid w:val="00F517C0"/>
    <w:rsid w:val="00F52CC3"/>
    <w:rsid w:val="00F53173"/>
    <w:rsid w:val="00F53FD8"/>
    <w:rsid w:val="00F54186"/>
    <w:rsid w:val="00F54BB3"/>
    <w:rsid w:val="00F55441"/>
    <w:rsid w:val="00F55B28"/>
    <w:rsid w:val="00F56422"/>
    <w:rsid w:val="00F569FC"/>
    <w:rsid w:val="00F57394"/>
    <w:rsid w:val="00F57462"/>
    <w:rsid w:val="00F57569"/>
    <w:rsid w:val="00F57EEC"/>
    <w:rsid w:val="00F606E9"/>
    <w:rsid w:val="00F6131B"/>
    <w:rsid w:val="00F62D34"/>
    <w:rsid w:val="00F63108"/>
    <w:rsid w:val="00F63426"/>
    <w:rsid w:val="00F63790"/>
    <w:rsid w:val="00F63B9C"/>
    <w:rsid w:val="00F648EB"/>
    <w:rsid w:val="00F64A08"/>
    <w:rsid w:val="00F64BBC"/>
    <w:rsid w:val="00F64EC9"/>
    <w:rsid w:val="00F651F1"/>
    <w:rsid w:val="00F65519"/>
    <w:rsid w:val="00F66288"/>
    <w:rsid w:val="00F6694A"/>
    <w:rsid w:val="00F66C4E"/>
    <w:rsid w:val="00F66F15"/>
    <w:rsid w:val="00F67083"/>
    <w:rsid w:val="00F67DA6"/>
    <w:rsid w:val="00F67DD7"/>
    <w:rsid w:val="00F702BC"/>
    <w:rsid w:val="00F7067A"/>
    <w:rsid w:val="00F70C10"/>
    <w:rsid w:val="00F70D09"/>
    <w:rsid w:val="00F7111F"/>
    <w:rsid w:val="00F718B7"/>
    <w:rsid w:val="00F7264B"/>
    <w:rsid w:val="00F72A7C"/>
    <w:rsid w:val="00F72C61"/>
    <w:rsid w:val="00F7314D"/>
    <w:rsid w:val="00F732C5"/>
    <w:rsid w:val="00F73A89"/>
    <w:rsid w:val="00F75942"/>
    <w:rsid w:val="00F7596B"/>
    <w:rsid w:val="00F763D9"/>
    <w:rsid w:val="00F767B6"/>
    <w:rsid w:val="00F777C5"/>
    <w:rsid w:val="00F808D8"/>
    <w:rsid w:val="00F809A5"/>
    <w:rsid w:val="00F80E65"/>
    <w:rsid w:val="00F81224"/>
    <w:rsid w:val="00F815A4"/>
    <w:rsid w:val="00F81884"/>
    <w:rsid w:val="00F8196D"/>
    <w:rsid w:val="00F825EB"/>
    <w:rsid w:val="00F84432"/>
    <w:rsid w:val="00F84749"/>
    <w:rsid w:val="00F84B53"/>
    <w:rsid w:val="00F84D04"/>
    <w:rsid w:val="00F8546D"/>
    <w:rsid w:val="00F856FE"/>
    <w:rsid w:val="00F862F9"/>
    <w:rsid w:val="00F87CF6"/>
    <w:rsid w:val="00F87E19"/>
    <w:rsid w:val="00F9084E"/>
    <w:rsid w:val="00F912BF"/>
    <w:rsid w:val="00F9141D"/>
    <w:rsid w:val="00F919CE"/>
    <w:rsid w:val="00F92145"/>
    <w:rsid w:val="00F94082"/>
    <w:rsid w:val="00F94E0A"/>
    <w:rsid w:val="00F95D17"/>
    <w:rsid w:val="00F961A3"/>
    <w:rsid w:val="00F96499"/>
    <w:rsid w:val="00F96BB4"/>
    <w:rsid w:val="00FA03D0"/>
    <w:rsid w:val="00FA0432"/>
    <w:rsid w:val="00FA0459"/>
    <w:rsid w:val="00FA0C7C"/>
    <w:rsid w:val="00FA0CC6"/>
    <w:rsid w:val="00FA1B01"/>
    <w:rsid w:val="00FA3064"/>
    <w:rsid w:val="00FA38FE"/>
    <w:rsid w:val="00FA4A67"/>
    <w:rsid w:val="00FA4E19"/>
    <w:rsid w:val="00FA5221"/>
    <w:rsid w:val="00FA59C4"/>
    <w:rsid w:val="00FA5A73"/>
    <w:rsid w:val="00FA6E97"/>
    <w:rsid w:val="00FA745F"/>
    <w:rsid w:val="00FB06E7"/>
    <w:rsid w:val="00FB0C80"/>
    <w:rsid w:val="00FB0DAF"/>
    <w:rsid w:val="00FB0F86"/>
    <w:rsid w:val="00FB16AD"/>
    <w:rsid w:val="00FB19B0"/>
    <w:rsid w:val="00FB3BF6"/>
    <w:rsid w:val="00FB4049"/>
    <w:rsid w:val="00FB425D"/>
    <w:rsid w:val="00FB4A7E"/>
    <w:rsid w:val="00FB5235"/>
    <w:rsid w:val="00FB6106"/>
    <w:rsid w:val="00FB65BC"/>
    <w:rsid w:val="00FB6ABA"/>
    <w:rsid w:val="00FB6FCB"/>
    <w:rsid w:val="00FB774B"/>
    <w:rsid w:val="00FC01BB"/>
    <w:rsid w:val="00FC0559"/>
    <w:rsid w:val="00FC0BA3"/>
    <w:rsid w:val="00FC10A0"/>
    <w:rsid w:val="00FC1251"/>
    <w:rsid w:val="00FC15D1"/>
    <w:rsid w:val="00FC16EC"/>
    <w:rsid w:val="00FC2410"/>
    <w:rsid w:val="00FC2A11"/>
    <w:rsid w:val="00FC2AFD"/>
    <w:rsid w:val="00FC31CB"/>
    <w:rsid w:val="00FC32FE"/>
    <w:rsid w:val="00FC3AB5"/>
    <w:rsid w:val="00FC3DB0"/>
    <w:rsid w:val="00FC4FCA"/>
    <w:rsid w:val="00FC552B"/>
    <w:rsid w:val="00FC569F"/>
    <w:rsid w:val="00FC57F9"/>
    <w:rsid w:val="00FC6459"/>
    <w:rsid w:val="00FC66B2"/>
    <w:rsid w:val="00FC6EB6"/>
    <w:rsid w:val="00FC7117"/>
    <w:rsid w:val="00FC7DA3"/>
    <w:rsid w:val="00FD04DF"/>
    <w:rsid w:val="00FD0D84"/>
    <w:rsid w:val="00FD0E77"/>
    <w:rsid w:val="00FD116F"/>
    <w:rsid w:val="00FD1863"/>
    <w:rsid w:val="00FD2ED4"/>
    <w:rsid w:val="00FD3C83"/>
    <w:rsid w:val="00FD3F36"/>
    <w:rsid w:val="00FD4B40"/>
    <w:rsid w:val="00FD4D9A"/>
    <w:rsid w:val="00FD4FD3"/>
    <w:rsid w:val="00FD5A1E"/>
    <w:rsid w:val="00FD5D35"/>
    <w:rsid w:val="00FD6749"/>
    <w:rsid w:val="00FE0853"/>
    <w:rsid w:val="00FE0BF8"/>
    <w:rsid w:val="00FE0C93"/>
    <w:rsid w:val="00FE0D00"/>
    <w:rsid w:val="00FE1C2C"/>
    <w:rsid w:val="00FE2472"/>
    <w:rsid w:val="00FE3E83"/>
    <w:rsid w:val="00FE4CF1"/>
    <w:rsid w:val="00FE4CF2"/>
    <w:rsid w:val="00FE6C02"/>
    <w:rsid w:val="00FE6F3F"/>
    <w:rsid w:val="00FF015E"/>
    <w:rsid w:val="00FF01E1"/>
    <w:rsid w:val="00FF0E7B"/>
    <w:rsid w:val="00FF1043"/>
    <w:rsid w:val="00FF12E8"/>
    <w:rsid w:val="00FF172A"/>
    <w:rsid w:val="00FF17CE"/>
    <w:rsid w:val="00FF226E"/>
    <w:rsid w:val="00FF256B"/>
    <w:rsid w:val="00FF2756"/>
    <w:rsid w:val="00FF3871"/>
    <w:rsid w:val="00FF3EB1"/>
    <w:rsid w:val="00FF403A"/>
    <w:rsid w:val="00FF49A1"/>
    <w:rsid w:val="00FF5163"/>
    <w:rsid w:val="00FF5297"/>
    <w:rsid w:val="00FF52AB"/>
    <w:rsid w:val="00FF5EA7"/>
    <w:rsid w:val="00FF61F0"/>
    <w:rsid w:val="00FF72FC"/>
    <w:rsid w:val="00FF75F9"/>
    <w:rsid w:val="00FF7A04"/>
    <w:rsid w:val="00FF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471B"/>
    <w:pPr>
      <w:spacing w:after="0" w:line="240" w:lineRule="auto"/>
    </w:pPr>
    <w:rPr>
      <w:sz w:val="20"/>
      <w:szCs w:val="20"/>
    </w:rPr>
  </w:style>
  <w:style w:type="character" w:customStyle="1" w:styleId="FootnoteTextChar">
    <w:name w:val="Footnote Text Char"/>
    <w:basedOn w:val="DefaultParagraphFont"/>
    <w:link w:val="FootnoteText"/>
    <w:uiPriority w:val="99"/>
    <w:rsid w:val="008F471B"/>
    <w:rPr>
      <w:sz w:val="20"/>
      <w:szCs w:val="20"/>
    </w:rPr>
  </w:style>
  <w:style w:type="character" w:styleId="FootnoteReference">
    <w:name w:val="footnote reference"/>
    <w:basedOn w:val="DefaultParagraphFont"/>
    <w:semiHidden/>
    <w:unhideWhenUsed/>
    <w:rsid w:val="008F471B"/>
    <w:rPr>
      <w:vertAlign w:val="superscript"/>
    </w:rPr>
  </w:style>
  <w:style w:type="paragraph" w:styleId="BalloonText">
    <w:name w:val="Balloon Text"/>
    <w:basedOn w:val="Normal"/>
    <w:link w:val="BalloonTextChar"/>
    <w:uiPriority w:val="99"/>
    <w:semiHidden/>
    <w:unhideWhenUsed/>
    <w:rsid w:val="0056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5466">
      <w:bodyDiv w:val="1"/>
      <w:marLeft w:val="0"/>
      <w:marRight w:val="0"/>
      <w:marTop w:val="0"/>
      <w:marBottom w:val="0"/>
      <w:divBdr>
        <w:top w:val="none" w:sz="0" w:space="0" w:color="auto"/>
        <w:left w:val="none" w:sz="0" w:space="0" w:color="auto"/>
        <w:bottom w:val="none" w:sz="0" w:space="0" w:color="auto"/>
        <w:right w:val="none" w:sz="0" w:space="0" w:color="auto"/>
      </w:divBdr>
    </w:div>
    <w:div w:id="260182425">
      <w:bodyDiv w:val="1"/>
      <w:marLeft w:val="0"/>
      <w:marRight w:val="0"/>
      <w:marTop w:val="0"/>
      <w:marBottom w:val="0"/>
      <w:divBdr>
        <w:top w:val="none" w:sz="0" w:space="0" w:color="auto"/>
        <w:left w:val="none" w:sz="0" w:space="0" w:color="auto"/>
        <w:bottom w:val="none" w:sz="0" w:space="0" w:color="auto"/>
        <w:right w:val="none" w:sz="0" w:space="0" w:color="auto"/>
      </w:divBdr>
    </w:div>
    <w:div w:id="443817006">
      <w:bodyDiv w:val="1"/>
      <w:marLeft w:val="0"/>
      <w:marRight w:val="0"/>
      <w:marTop w:val="0"/>
      <w:marBottom w:val="0"/>
      <w:divBdr>
        <w:top w:val="none" w:sz="0" w:space="0" w:color="auto"/>
        <w:left w:val="none" w:sz="0" w:space="0" w:color="auto"/>
        <w:bottom w:val="none" w:sz="0" w:space="0" w:color="auto"/>
        <w:right w:val="none" w:sz="0" w:space="0" w:color="auto"/>
      </w:divBdr>
    </w:div>
    <w:div w:id="16815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20047\Documents\Rcestti\LAC\WRMTG\Flood_C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56451959898459"/>
          <c:y val="6.0659813356663754E-2"/>
          <c:w val="0.72991798975947653"/>
          <c:h val="0.68676691455234751"/>
        </c:manualLayout>
      </c:layout>
      <c:barChart>
        <c:barDir val="col"/>
        <c:grouping val="stacked"/>
        <c:ser>
          <c:idx val="2"/>
          <c:order val="1"/>
          <c:tx>
            <c:strRef>
              <c:f>Graphics!$A$75</c:f>
              <c:strCache>
                <c:ptCount val="1"/>
                <c:pt idx="0">
                  <c:v>Commitment amount</c:v>
                </c:pt>
              </c:strCache>
            </c:strRef>
          </c:tx>
          <c:spPr>
            <a:solidFill>
              <a:schemeClr val="tx2"/>
            </a:solidFill>
          </c:spPr>
          <c:cat>
            <c:strRef>
              <c:f>Graphics!$B$72:$AA$72</c:f>
              <c:strCache>
                <c:ptCount val="26"/>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strCache>
            </c:strRef>
          </c:cat>
          <c:val>
            <c:numRef>
              <c:f>Graphics!$B$75:$AA$75</c:f>
              <c:numCache>
                <c:formatCode>General</c:formatCode>
                <c:ptCount val="26"/>
                <c:pt idx="0">
                  <c:v>34.1</c:v>
                </c:pt>
                <c:pt idx="1">
                  <c:v>46.89</c:v>
                </c:pt>
                <c:pt idx="2">
                  <c:v>15.588000000000001</c:v>
                </c:pt>
                <c:pt idx="3">
                  <c:v>70.584000000000003</c:v>
                </c:pt>
                <c:pt idx="4">
                  <c:v>162.60999999999999</c:v>
                </c:pt>
                <c:pt idx="5">
                  <c:v>129.69</c:v>
                </c:pt>
                <c:pt idx="6">
                  <c:v>285.98999999999927</c:v>
                </c:pt>
                <c:pt idx="7">
                  <c:v>241.68100000000001</c:v>
                </c:pt>
                <c:pt idx="8">
                  <c:v>78.7</c:v>
                </c:pt>
                <c:pt idx="9">
                  <c:v>184.67700000000002</c:v>
                </c:pt>
                <c:pt idx="10">
                  <c:v>193.7</c:v>
                </c:pt>
                <c:pt idx="11">
                  <c:v>61.858000000000004</c:v>
                </c:pt>
                <c:pt idx="12">
                  <c:v>120.94440000000017</c:v>
                </c:pt>
                <c:pt idx="13">
                  <c:v>204.11599999999999</c:v>
                </c:pt>
                <c:pt idx="14">
                  <c:v>56.594100000000012</c:v>
                </c:pt>
                <c:pt idx="15">
                  <c:v>35.467000000000006</c:v>
                </c:pt>
                <c:pt idx="16">
                  <c:v>32.883999999999993</c:v>
                </c:pt>
                <c:pt idx="17">
                  <c:v>107.801</c:v>
                </c:pt>
                <c:pt idx="18">
                  <c:v>365.32299999999969</c:v>
                </c:pt>
                <c:pt idx="19">
                  <c:v>129.58500000000001</c:v>
                </c:pt>
                <c:pt idx="20">
                  <c:v>450.4205999999989</c:v>
                </c:pt>
                <c:pt idx="21">
                  <c:v>201.29240000000001</c:v>
                </c:pt>
                <c:pt idx="22">
                  <c:v>218.96280000000004</c:v>
                </c:pt>
                <c:pt idx="23">
                  <c:v>177.964</c:v>
                </c:pt>
                <c:pt idx="24">
                  <c:v>734.95959999999877</c:v>
                </c:pt>
                <c:pt idx="25">
                  <c:v>55.655000000000001</c:v>
                </c:pt>
              </c:numCache>
            </c:numRef>
          </c:val>
        </c:ser>
        <c:gapWidth val="100"/>
        <c:overlap val="100"/>
        <c:axId val="222887936"/>
        <c:axId val="222891392"/>
      </c:barChart>
      <c:lineChart>
        <c:grouping val="standard"/>
        <c:ser>
          <c:idx val="0"/>
          <c:order val="0"/>
          <c:tx>
            <c:strRef>
              <c:f>Graphics!$A$73</c:f>
              <c:strCache>
                <c:ptCount val="1"/>
                <c:pt idx="0">
                  <c:v>Number of approved projects </c:v>
                </c:pt>
              </c:strCache>
            </c:strRef>
          </c:tx>
          <c:spPr>
            <a:ln>
              <a:solidFill>
                <a:srgbClr val="FF0000"/>
              </a:solidFill>
            </a:ln>
          </c:spPr>
          <c:marker>
            <c:symbol val="none"/>
          </c:marker>
          <c:cat>
            <c:strRef>
              <c:f>Graphics!$B$72:$AA$72</c:f>
              <c:strCache>
                <c:ptCount val="26"/>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strCache>
            </c:strRef>
          </c:cat>
          <c:val>
            <c:numRef>
              <c:f>Graphics!$B$73:$AA$73</c:f>
              <c:numCache>
                <c:formatCode>General</c:formatCode>
                <c:ptCount val="26"/>
                <c:pt idx="0">
                  <c:v>1</c:v>
                </c:pt>
                <c:pt idx="1">
                  <c:v>2</c:v>
                </c:pt>
                <c:pt idx="2">
                  <c:v>1</c:v>
                </c:pt>
                <c:pt idx="3">
                  <c:v>7</c:v>
                </c:pt>
                <c:pt idx="4">
                  <c:v>2</c:v>
                </c:pt>
                <c:pt idx="5">
                  <c:v>4</c:v>
                </c:pt>
                <c:pt idx="6">
                  <c:v>6</c:v>
                </c:pt>
                <c:pt idx="7">
                  <c:v>3</c:v>
                </c:pt>
                <c:pt idx="8">
                  <c:v>2</c:v>
                </c:pt>
                <c:pt idx="9">
                  <c:v>6</c:v>
                </c:pt>
                <c:pt idx="10">
                  <c:v>3</c:v>
                </c:pt>
                <c:pt idx="11">
                  <c:v>5</c:v>
                </c:pt>
                <c:pt idx="12">
                  <c:v>11</c:v>
                </c:pt>
                <c:pt idx="13">
                  <c:v>3</c:v>
                </c:pt>
                <c:pt idx="14">
                  <c:v>7</c:v>
                </c:pt>
                <c:pt idx="15">
                  <c:v>3</c:v>
                </c:pt>
                <c:pt idx="16">
                  <c:v>3</c:v>
                </c:pt>
                <c:pt idx="17">
                  <c:v>7</c:v>
                </c:pt>
                <c:pt idx="18">
                  <c:v>14</c:v>
                </c:pt>
                <c:pt idx="19">
                  <c:v>6</c:v>
                </c:pt>
                <c:pt idx="20">
                  <c:v>21</c:v>
                </c:pt>
                <c:pt idx="21">
                  <c:v>13</c:v>
                </c:pt>
                <c:pt idx="22">
                  <c:v>12</c:v>
                </c:pt>
                <c:pt idx="23">
                  <c:v>14</c:v>
                </c:pt>
                <c:pt idx="24">
                  <c:v>27</c:v>
                </c:pt>
                <c:pt idx="25">
                  <c:v>5</c:v>
                </c:pt>
              </c:numCache>
            </c:numRef>
          </c:val>
        </c:ser>
        <c:marker val="1"/>
        <c:axId val="222936448"/>
        <c:axId val="222934528"/>
      </c:lineChart>
      <c:catAx>
        <c:axId val="222887936"/>
        <c:scaling>
          <c:orientation val="minMax"/>
        </c:scaling>
        <c:axPos val="b"/>
        <c:title>
          <c:tx>
            <c:rich>
              <a:bodyPr/>
              <a:lstStyle/>
              <a:p>
                <a:pPr>
                  <a:defRPr/>
                </a:pPr>
                <a:r>
                  <a:rPr lang="en-US"/>
                  <a:t>Fiscal Year</a:t>
                </a:r>
              </a:p>
            </c:rich>
          </c:tx>
        </c:title>
        <c:numFmt formatCode="@" sourceLinked="1"/>
        <c:majorTickMark val="none"/>
        <c:tickLblPos val="nextTo"/>
        <c:txPr>
          <a:bodyPr rot="-2700000"/>
          <a:lstStyle/>
          <a:p>
            <a:pPr>
              <a:defRPr sz="900"/>
            </a:pPr>
            <a:endParaRPr lang="en-US"/>
          </a:p>
        </c:txPr>
        <c:crossAx val="222891392"/>
        <c:crosses val="autoZero"/>
        <c:auto val="1"/>
        <c:lblAlgn val="ctr"/>
        <c:lblOffset val="100"/>
        <c:tickLblSkip val="1"/>
      </c:catAx>
      <c:valAx>
        <c:axId val="222891392"/>
        <c:scaling>
          <c:orientation val="minMax"/>
        </c:scaling>
        <c:axPos val="l"/>
        <c:majorGridlines>
          <c:spPr>
            <a:ln>
              <a:prstDash val="sysDot"/>
            </a:ln>
          </c:spPr>
        </c:majorGridlines>
        <c:title>
          <c:tx>
            <c:rich>
              <a:bodyPr rot="-5400000" vert="horz"/>
              <a:lstStyle/>
              <a:p>
                <a:pPr>
                  <a:defRPr/>
                </a:pPr>
                <a:r>
                  <a:rPr lang="en-US"/>
                  <a:t>US$ million</a:t>
                </a:r>
              </a:p>
            </c:rich>
          </c:tx>
          <c:layout>
            <c:manualLayout>
              <c:xMode val="edge"/>
              <c:yMode val="edge"/>
              <c:x val="2.5021642786455151E-2"/>
              <c:y val="0.28466827063283873"/>
            </c:manualLayout>
          </c:layout>
        </c:title>
        <c:numFmt formatCode="General" sourceLinked="1"/>
        <c:tickLblPos val="nextTo"/>
        <c:crossAx val="222887936"/>
        <c:crosses val="autoZero"/>
        <c:crossBetween val="between"/>
      </c:valAx>
      <c:valAx>
        <c:axId val="222934528"/>
        <c:scaling>
          <c:orientation val="minMax"/>
          <c:max val="32"/>
        </c:scaling>
        <c:axPos val="r"/>
        <c:title>
          <c:tx>
            <c:rich>
              <a:bodyPr rot="-5400000" vert="horz"/>
              <a:lstStyle/>
              <a:p>
                <a:pPr>
                  <a:defRPr/>
                </a:pPr>
                <a:r>
                  <a:rPr lang="en-US"/>
                  <a:t>Number of projects</a:t>
                </a:r>
              </a:p>
            </c:rich>
          </c:tx>
          <c:layout>
            <c:manualLayout>
              <c:xMode val="edge"/>
              <c:yMode val="edge"/>
              <c:x val="0.94533677552600959"/>
              <c:y val="0.26043197725284573"/>
            </c:manualLayout>
          </c:layout>
        </c:title>
        <c:numFmt formatCode="General" sourceLinked="1"/>
        <c:tickLblPos val="nextTo"/>
        <c:crossAx val="222936448"/>
        <c:crosses val="max"/>
        <c:crossBetween val="between"/>
        <c:majorUnit val="4"/>
      </c:valAx>
      <c:catAx>
        <c:axId val="222936448"/>
        <c:scaling>
          <c:orientation val="minMax"/>
        </c:scaling>
        <c:delete val="1"/>
        <c:axPos val="b"/>
        <c:numFmt formatCode="@" sourceLinked="1"/>
        <c:tickLblPos val="none"/>
        <c:crossAx val="222934528"/>
        <c:crosses val="autoZero"/>
        <c:auto val="1"/>
        <c:lblAlgn val="ctr"/>
        <c:lblOffset val="100"/>
      </c:catAx>
      <c:spPr>
        <a:ln>
          <a:solidFill>
            <a:sysClr val="windowText" lastClr="000000">
              <a:tint val="75000"/>
              <a:shade val="95000"/>
              <a:satMod val="105000"/>
            </a:sysClr>
          </a:solidFill>
        </a:ln>
      </c:spPr>
    </c:plotArea>
    <c:legend>
      <c:legendPos val="r"/>
      <c:layout>
        <c:manualLayout>
          <c:xMode val="edge"/>
          <c:yMode val="edge"/>
          <c:x val="0.15412211178520721"/>
          <c:y val="0.10108413531641879"/>
          <c:w val="0.39994544124607467"/>
          <c:h val="0.18595290172061826"/>
        </c:manualLayout>
      </c:layout>
      <c:spPr>
        <a:solidFill>
          <a:schemeClr val="bg1"/>
        </a:solidFill>
        <a:ln>
          <a:solidFill>
            <a:schemeClr val="bg1">
              <a:lumMod val="85000"/>
            </a:schemeClr>
          </a:solidFill>
        </a:ln>
      </c:spPr>
    </c:legend>
    <c:plotVisOnly val="1"/>
    <c:dispBlanksAs val="gap"/>
  </c:chart>
  <c:spPr>
    <a:ln>
      <a:solidFill>
        <a:sysClr val="windowText" lastClr="000000">
          <a:tint val="75000"/>
          <a:shade val="95000"/>
          <a:satMod val="105000"/>
        </a:sys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chemeClr val="bg2">
                  <a:lumMod val="75000"/>
                </a:schemeClr>
              </a:solidFill>
            </c:spPr>
          </c:dPt>
          <c:dPt>
            <c:idx val="1"/>
            <c:spPr>
              <a:solidFill>
                <a:schemeClr val="accent2"/>
              </a:solidFill>
            </c:spPr>
          </c:dPt>
          <c:dPt>
            <c:idx val="2"/>
            <c:spPr>
              <a:solidFill>
                <a:schemeClr val="accent6">
                  <a:lumMod val="40000"/>
                  <a:lumOff val="60000"/>
                </a:schemeClr>
              </a:solidFill>
            </c:spPr>
          </c:dPt>
          <c:dPt>
            <c:idx val="3"/>
            <c:spPr>
              <a:solidFill>
                <a:schemeClr val="accent4"/>
              </a:solidFill>
            </c:spPr>
          </c:dPt>
          <c:dPt>
            <c:idx val="4"/>
            <c:spPr>
              <a:solidFill>
                <a:srgbClr val="00B050"/>
              </a:solidFill>
            </c:spPr>
          </c:dPt>
          <c:dPt>
            <c:idx val="5"/>
            <c:spPr>
              <a:solidFill>
                <a:schemeClr val="tx2">
                  <a:lumMod val="60000"/>
                  <a:lumOff val="40000"/>
                </a:schemeClr>
              </a:solidFill>
            </c:spPr>
          </c:dPt>
          <c:dLbls>
            <c:dLbl>
              <c:idx val="1"/>
              <c:layout>
                <c:manualLayout>
                  <c:x val="3.6548329731336364E-2"/>
                  <c:y val="-6.9808408780363124E-2"/>
                </c:manualLayout>
              </c:layout>
              <c:dLblPos val="bestFit"/>
              <c:showCatName val="1"/>
              <c:showPercent val="1"/>
              <c:separator>
</c:separator>
            </c:dLbl>
            <c:dLbl>
              <c:idx val="2"/>
              <c:layout>
                <c:manualLayout>
                  <c:x val="5.4963551820897807E-2"/>
                  <c:y val="0"/>
                </c:manualLayout>
              </c:layout>
              <c:dLblPos val="bestFit"/>
              <c:showCatName val="1"/>
              <c:showPercent val="1"/>
              <c:separator>
</c:separator>
            </c:dLbl>
            <c:dLbl>
              <c:idx val="3"/>
              <c:layout>
                <c:manualLayout>
                  <c:x val="5.8333333333333591E-2"/>
                  <c:y val="5.6022163896179674E-3"/>
                </c:manualLayout>
              </c:layout>
              <c:dLblPos val="bestFit"/>
              <c:showCatName val="1"/>
              <c:showPercent val="1"/>
              <c:separator>
</c:separator>
            </c:dLbl>
            <c:dLbl>
              <c:idx val="4"/>
              <c:layout>
                <c:manualLayout>
                  <c:x val="-2.8647110090125556E-2"/>
                  <c:y val="-7.3709831214918434E-2"/>
                </c:manualLayout>
              </c:layout>
              <c:dLblPos val="bestFit"/>
              <c:showCatName val="1"/>
              <c:showPercent val="1"/>
              <c:separator>
</c:separator>
            </c:dLbl>
            <c:txPr>
              <a:bodyPr/>
              <a:lstStyle/>
              <a:p>
                <a:pPr>
                  <a:defRPr sz="1000" b="1">
                    <a:latin typeface="Times New Roman" pitchFamily="18" charset="0"/>
                    <a:cs typeface="Times New Roman" pitchFamily="18" charset="0"/>
                  </a:defRPr>
                </a:pPr>
                <a:endParaRPr lang="en-US"/>
              </a:p>
            </c:txPr>
            <c:dLblPos val="outEnd"/>
            <c:showCatName val="1"/>
            <c:showPercent val="1"/>
            <c:separator>
</c:separator>
          </c:dLbls>
          <c:cat>
            <c:strRef>
              <c:f>Graphics!$A$183:$A$188</c:f>
              <c:strCache>
                <c:ptCount val="6"/>
                <c:pt idx="0">
                  <c:v>Agriculture and Rural Development</c:v>
                </c:pt>
                <c:pt idx="1">
                  <c:v>Financial and Private Sector Development</c:v>
                </c:pt>
                <c:pt idx="2">
                  <c:v>Urban Development</c:v>
                </c:pt>
                <c:pt idx="3">
                  <c:v>Transport</c:v>
                </c:pt>
                <c:pt idx="4">
                  <c:v>Environment</c:v>
                </c:pt>
                <c:pt idx="5">
                  <c:v>Water</c:v>
                </c:pt>
              </c:strCache>
            </c:strRef>
          </c:cat>
          <c:val>
            <c:numRef>
              <c:f>Graphics!$B$183:$B$188</c:f>
              <c:numCache>
                <c:formatCode>General</c:formatCode>
                <c:ptCount val="6"/>
                <c:pt idx="0">
                  <c:v>1080.5364</c:v>
                </c:pt>
                <c:pt idx="1">
                  <c:v>9.7919999999999998</c:v>
                </c:pt>
                <c:pt idx="2">
                  <c:v>435.89440000000002</c:v>
                </c:pt>
                <c:pt idx="3">
                  <c:v>6.9749999999999996</c:v>
                </c:pt>
                <c:pt idx="4">
                  <c:v>64.658999999999978</c:v>
                </c:pt>
                <c:pt idx="5">
                  <c:v>1102.6585</c:v>
                </c:pt>
              </c:numCache>
            </c:numRef>
          </c:val>
        </c:ser>
        <c:dLbls>
          <c:showVal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456451959898459"/>
          <c:y val="6.0659813356663754E-2"/>
          <c:w val="0.72991798975947653"/>
          <c:h val="0.68676691455234751"/>
        </c:manualLayout>
      </c:layout>
      <c:barChart>
        <c:barDir val="col"/>
        <c:grouping val="stacked"/>
        <c:ser>
          <c:idx val="2"/>
          <c:order val="2"/>
          <c:tx>
            <c:strRef>
              <c:f>Graphics!$A$75</c:f>
              <c:strCache>
                <c:ptCount val="1"/>
                <c:pt idx="0">
                  <c:v>Commitment amount</c:v>
                </c:pt>
              </c:strCache>
            </c:strRef>
          </c:tx>
          <c:spPr>
            <a:solidFill>
              <a:schemeClr val="tx2"/>
            </a:solidFill>
          </c:spPr>
          <c:cat>
            <c:strRef>
              <c:f>Graphics!$B$72:$AB$72</c:f>
              <c:strCach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strCache>
            </c:strRef>
          </c:cat>
          <c:val>
            <c:numRef>
              <c:f>Graphics!$B$75:$AB$75</c:f>
              <c:numCache>
                <c:formatCode>General</c:formatCode>
                <c:ptCount val="27"/>
                <c:pt idx="0">
                  <c:v>34.1</c:v>
                </c:pt>
                <c:pt idx="1">
                  <c:v>46.89</c:v>
                </c:pt>
                <c:pt idx="2">
                  <c:v>15.588000000000001</c:v>
                </c:pt>
                <c:pt idx="3">
                  <c:v>70.584000000000003</c:v>
                </c:pt>
                <c:pt idx="4">
                  <c:v>162.60999999999999</c:v>
                </c:pt>
                <c:pt idx="5">
                  <c:v>129.69</c:v>
                </c:pt>
                <c:pt idx="6">
                  <c:v>285.98999999999927</c:v>
                </c:pt>
                <c:pt idx="7">
                  <c:v>241.68100000000001</c:v>
                </c:pt>
                <c:pt idx="8">
                  <c:v>78.7</c:v>
                </c:pt>
                <c:pt idx="9">
                  <c:v>184.67700000000002</c:v>
                </c:pt>
                <c:pt idx="10">
                  <c:v>193.7</c:v>
                </c:pt>
                <c:pt idx="11">
                  <c:v>61.858000000000004</c:v>
                </c:pt>
                <c:pt idx="12">
                  <c:v>120.94440000000017</c:v>
                </c:pt>
                <c:pt idx="13">
                  <c:v>204.11599999999999</c:v>
                </c:pt>
                <c:pt idx="14">
                  <c:v>56.594100000000012</c:v>
                </c:pt>
                <c:pt idx="15">
                  <c:v>35.467000000000006</c:v>
                </c:pt>
                <c:pt idx="16">
                  <c:v>32.883999999999993</c:v>
                </c:pt>
                <c:pt idx="17">
                  <c:v>107.801</c:v>
                </c:pt>
                <c:pt idx="18">
                  <c:v>365.32299999999969</c:v>
                </c:pt>
                <c:pt idx="19">
                  <c:v>129.58500000000001</c:v>
                </c:pt>
                <c:pt idx="20">
                  <c:v>450.4205999999989</c:v>
                </c:pt>
                <c:pt idx="21">
                  <c:v>201.29240000000001</c:v>
                </c:pt>
                <c:pt idx="22">
                  <c:v>218.96280000000004</c:v>
                </c:pt>
                <c:pt idx="23">
                  <c:v>177.964</c:v>
                </c:pt>
                <c:pt idx="24">
                  <c:v>734.95959999999877</c:v>
                </c:pt>
                <c:pt idx="25">
                  <c:v>55.655000000000001</c:v>
                </c:pt>
              </c:numCache>
            </c:numRef>
          </c:val>
        </c:ser>
        <c:ser>
          <c:idx val="3"/>
          <c:order val="3"/>
          <c:tx>
            <c:strRef>
              <c:f>Graphics!$A$76</c:f>
              <c:strCache>
                <c:ptCount val="1"/>
                <c:pt idx="0">
                  <c:v>Amount expected to be committed</c:v>
                </c:pt>
              </c:strCache>
            </c:strRef>
          </c:tx>
          <c:spPr>
            <a:solidFill>
              <a:schemeClr val="accent1">
                <a:lumMod val="20000"/>
                <a:lumOff val="80000"/>
              </a:schemeClr>
            </a:solidFill>
          </c:spPr>
          <c:cat>
            <c:strRef>
              <c:f>Graphics!$B$72:$AB$72</c:f>
              <c:strCach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strCache>
            </c:strRef>
          </c:cat>
          <c:val>
            <c:numRef>
              <c:f>Graphics!$B$76:$AB$76</c:f>
              <c:numCache>
                <c:formatCode>General</c:formatCode>
                <c:ptCount val="27"/>
                <c:pt idx="25">
                  <c:v>438.75199999999921</c:v>
                </c:pt>
                <c:pt idx="26">
                  <c:v>441.13000000000005</c:v>
                </c:pt>
              </c:numCache>
            </c:numRef>
          </c:val>
        </c:ser>
        <c:gapWidth val="100"/>
        <c:overlap val="100"/>
        <c:axId val="230326656"/>
        <c:axId val="230328576"/>
      </c:barChart>
      <c:lineChart>
        <c:grouping val="standard"/>
        <c:ser>
          <c:idx val="0"/>
          <c:order val="0"/>
          <c:tx>
            <c:strRef>
              <c:f>Graphics!$A$73</c:f>
              <c:strCache>
                <c:ptCount val="1"/>
                <c:pt idx="0">
                  <c:v>Number of approved projects </c:v>
                </c:pt>
              </c:strCache>
            </c:strRef>
          </c:tx>
          <c:spPr>
            <a:ln>
              <a:solidFill>
                <a:srgbClr val="FF0000"/>
              </a:solidFill>
            </a:ln>
          </c:spPr>
          <c:marker>
            <c:symbol val="none"/>
          </c:marker>
          <c:cat>
            <c:strRef>
              <c:f>Graphics!$B$72:$AB$72</c:f>
              <c:strCach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strCache>
            </c:strRef>
          </c:cat>
          <c:val>
            <c:numRef>
              <c:f>Graphics!$B$73:$AB$73</c:f>
              <c:numCache>
                <c:formatCode>General</c:formatCode>
                <c:ptCount val="27"/>
                <c:pt idx="0">
                  <c:v>1</c:v>
                </c:pt>
                <c:pt idx="1">
                  <c:v>2</c:v>
                </c:pt>
                <c:pt idx="2">
                  <c:v>1</c:v>
                </c:pt>
                <c:pt idx="3">
                  <c:v>7</c:v>
                </c:pt>
                <c:pt idx="4">
                  <c:v>2</c:v>
                </c:pt>
                <c:pt idx="5">
                  <c:v>4</c:v>
                </c:pt>
                <c:pt idx="6">
                  <c:v>6</c:v>
                </c:pt>
                <c:pt idx="7">
                  <c:v>3</c:v>
                </c:pt>
                <c:pt idx="8">
                  <c:v>2</c:v>
                </c:pt>
                <c:pt idx="9">
                  <c:v>6</c:v>
                </c:pt>
                <c:pt idx="10">
                  <c:v>3</c:v>
                </c:pt>
                <c:pt idx="11">
                  <c:v>5</c:v>
                </c:pt>
                <c:pt idx="12">
                  <c:v>11</c:v>
                </c:pt>
                <c:pt idx="13">
                  <c:v>3</c:v>
                </c:pt>
                <c:pt idx="14">
                  <c:v>7</c:v>
                </c:pt>
                <c:pt idx="15">
                  <c:v>3</c:v>
                </c:pt>
                <c:pt idx="16">
                  <c:v>3</c:v>
                </c:pt>
                <c:pt idx="17">
                  <c:v>7</c:v>
                </c:pt>
                <c:pt idx="18">
                  <c:v>14</c:v>
                </c:pt>
                <c:pt idx="19">
                  <c:v>6</c:v>
                </c:pt>
                <c:pt idx="20">
                  <c:v>21</c:v>
                </c:pt>
                <c:pt idx="21">
                  <c:v>13</c:v>
                </c:pt>
                <c:pt idx="22">
                  <c:v>12</c:v>
                </c:pt>
                <c:pt idx="23">
                  <c:v>14</c:v>
                </c:pt>
                <c:pt idx="24">
                  <c:v>27</c:v>
                </c:pt>
                <c:pt idx="25">
                  <c:v>5</c:v>
                </c:pt>
              </c:numCache>
            </c:numRef>
          </c:val>
        </c:ser>
        <c:ser>
          <c:idx val="1"/>
          <c:order val="1"/>
          <c:tx>
            <c:strRef>
              <c:f>Graphics!$A$74</c:f>
              <c:strCache>
                <c:ptCount val="1"/>
                <c:pt idx="0">
                  <c:v>Number of projects in pipeline</c:v>
                </c:pt>
              </c:strCache>
            </c:strRef>
          </c:tx>
          <c:spPr>
            <a:ln>
              <a:solidFill>
                <a:schemeClr val="accent2">
                  <a:lumMod val="60000"/>
                  <a:lumOff val="40000"/>
                </a:schemeClr>
              </a:solidFill>
            </a:ln>
          </c:spPr>
          <c:marker>
            <c:symbol val="none"/>
          </c:marker>
          <c:cat>
            <c:strRef>
              <c:f>Graphics!$B$72:$AB$72</c:f>
              <c:strCach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strCache>
            </c:strRef>
          </c:cat>
          <c:val>
            <c:numRef>
              <c:f>Graphics!$B$74:$AB$74</c:f>
              <c:numCache>
                <c:formatCode>General</c:formatCode>
                <c:ptCount val="27"/>
                <c:pt idx="24">
                  <c:v>27</c:v>
                </c:pt>
                <c:pt idx="25">
                  <c:v>18</c:v>
                </c:pt>
                <c:pt idx="26">
                  <c:v>20</c:v>
                </c:pt>
              </c:numCache>
            </c:numRef>
          </c:val>
        </c:ser>
        <c:marker val="1"/>
        <c:axId val="230349056"/>
        <c:axId val="230347136"/>
      </c:lineChart>
      <c:catAx>
        <c:axId val="230326656"/>
        <c:scaling>
          <c:orientation val="minMax"/>
        </c:scaling>
        <c:axPos val="b"/>
        <c:title>
          <c:tx>
            <c:rich>
              <a:bodyPr/>
              <a:lstStyle/>
              <a:p>
                <a:pPr>
                  <a:defRPr/>
                </a:pPr>
                <a:r>
                  <a:rPr lang="en-US"/>
                  <a:t>Fiscal Year</a:t>
                </a:r>
              </a:p>
            </c:rich>
          </c:tx>
        </c:title>
        <c:numFmt formatCode="@" sourceLinked="1"/>
        <c:majorTickMark val="none"/>
        <c:tickLblPos val="nextTo"/>
        <c:txPr>
          <a:bodyPr rot="-2700000"/>
          <a:lstStyle/>
          <a:p>
            <a:pPr>
              <a:defRPr sz="900"/>
            </a:pPr>
            <a:endParaRPr lang="en-US"/>
          </a:p>
        </c:txPr>
        <c:crossAx val="230328576"/>
        <c:crosses val="autoZero"/>
        <c:auto val="1"/>
        <c:lblAlgn val="ctr"/>
        <c:lblOffset val="100"/>
        <c:tickLblSkip val="1"/>
      </c:catAx>
      <c:valAx>
        <c:axId val="230328576"/>
        <c:scaling>
          <c:orientation val="minMax"/>
        </c:scaling>
        <c:axPos val="l"/>
        <c:majorGridlines>
          <c:spPr>
            <a:ln>
              <a:prstDash val="sysDot"/>
            </a:ln>
          </c:spPr>
        </c:majorGridlines>
        <c:title>
          <c:tx>
            <c:rich>
              <a:bodyPr rot="-5400000" vert="horz"/>
              <a:lstStyle/>
              <a:p>
                <a:pPr>
                  <a:defRPr/>
                </a:pPr>
                <a:r>
                  <a:rPr lang="en-US"/>
                  <a:t>US$ million</a:t>
                </a:r>
              </a:p>
            </c:rich>
          </c:tx>
          <c:layout>
            <c:manualLayout>
              <c:xMode val="edge"/>
              <c:yMode val="edge"/>
              <c:x val="2.5021642786455169E-2"/>
              <c:y val="0.28466827063283889"/>
            </c:manualLayout>
          </c:layout>
        </c:title>
        <c:numFmt formatCode="General" sourceLinked="1"/>
        <c:tickLblPos val="nextTo"/>
        <c:crossAx val="230326656"/>
        <c:crosses val="autoZero"/>
        <c:crossBetween val="between"/>
      </c:valAx>
      <c:valAx>
        <c:axId val="230347136"/>
        <c:scaling>
          <c:orientation val="minMax"/>
          <c:max val="32"/>
        </c:scaling>
        <c:axPos val="r"/>
        <c:title>
          <c:tx>
            <c:rich>
              <a:bodyPr rot="-5400000" vert="horz"/>
              <a:lstStyle/>
              <a:p>
                <a:pPr>
                  <a:defRPr/>
                </a:pPr>
                <a:r>
                  <a:rPr lang="en-US"/>
                  <a:t>Number of projects</a:t>
                </a:r>
              </a:p>
            </c:rich>
          </c:tx>
          <c:layout>
            <c:manualLayout>
              <c:xMode val="edge"/>
              <c:yMode val="edge"/>
              <c:x val="0.94533677552600959"/>
              <c:y val="0.260431977252846"/>
            </c:manualLayout>
          </c:layout>
        </c:title>
        <c:numFmt formatCode="General" sourceLinked="1"/>
        <c:tickLblPos val="nextTo"/>
        <c:crossAx val="230349056"/>
        <c:crosses val="max"/>
        <c:crossBetween val="between"/>
        <c:majorUnit val="4"/>
      </c:valAx>
      <c:catAx>
        <c:axId val="230349056"/>
        <c:scaling>
          <c:orientation val="minMax"/>
        </c:scaling>
        <c:delete val="1"/>
        <c:axPos val="b"/>
        <c:numFmt formatCode="@" sourceLinked="1"/>
        <c:tickLblPos val="none"/>
        <c:crossAx val="230347136"/>
        <c:crosses val="autoZero"/>
        <c:auto val="1"/>
        <c:lblAlgn val="ctr"/>
        <c:lblOffset val="100"/>
      </c:catAx>
      <c:spPr>
        <a:ln>
          <a:solidFill>
            <a:sysClr val="windowText" lastClr="000000">
              <a:tint val="75000"/>
              <a:shade val="95000"/>
              <a:satMod val="105000"/>
            </a:sysClr>
          </a:solidFill>
        </a:ln>
      </c:spPr>
    </c:plotArea>
    <c:legend>
      <c:legendPos val="r"/>
      <c:layout>
        <c:manualLayout>
          <c:xMode val="edge"/>
          <c:yMode val="edge"/>
          <c:x val="0.1519363194354813"/>
          <c:y val="8.7195246427529946E-2"/>
          <c:w val="0.39994544124607484"/>
          <c:h val="0.27854549431321085"/>
        </c:manualLayout>
      </c:layout>
      <c:spPr>
        <a:solidFill>
          <a:schemeClr val="bg1"/>
        </a:solidFill>
        <a:ln>
          <a:solidFill>
            <a:schemeClr val="bg1">
              <a:lumMod val="85000"/>
            </a:schemeClr>
          </a:solidFill>
        </a:ln>
      </c:spPr>
    </c:legend>
    <c:plotVisOnly val="1"/>
    <c:dispBlanksAs val="gap"/>
  </c:chart>
  <c:spPr>
    <a:ln>
      <a:solidFill>
        <a:sysClr val="windowText" lastClr="000000">
          <a:tint val="75000"/>
          <a:shade val="95000"/>
          <a:satMod val="105000"/>
        </a:sys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825240594925633"/>
          <c:y val="5.1400554097404488E-2"/>
          <c:w val="0.66877296587926449"/>
          <c:h val="0.66859543598716864"/>
        </c:manualLayout>
      </c:layout>
      <c:barChart>
        <c:barDir val="col"/>
        <c:grouping val="clustered"/>
        <c:ser>
          <c:idx val="0"/>
          <c:order val="0"/>
          <c:tx>
            <c:v>Commitment amount</c:v>
          </c:tx>
          <c:cat>
            <c:strRef>
              <c:f>Graphics!$A$110:$A$114</c:f>
              <c:strCache>
                <c:ptCount val="5"/>
                <c:pt idx="0">
                  <c:v>FY87-91</c:v>
                </c:pt>
                <c:pt idx="1">
                  <c:v>FY92-96</c:v>
                </c:pt>
                <c:pt idx="2">
                  <c:v>FY97-01</c:v>
                </c:pt>
                <c:pt idx="3">
                  <c:v>FY02-06</c:v>
                </c:pt>
                <c:pt idx="4">
                  <c:v>FY07-11</c:v>
                </c:pt>
              </c:strCache>
            </c:strRef>
          </c:cat>
          <c:val>
            <c:numRef>
              <c:f>Graphics!$B$110:$B$114</c:f>
              <c:numCache>
                <c:formatCode>_(* #,##0.00_);_(* \(#,##0.00\);_(* "-"??_);_(@_)</c:formatCode>
                <c:ptCount val="5"/>
                <c:pt idx="0">
                  <c:v>329.77200000000005</c:v>
                </c:pt>
                <c:pt idx="1">
                  <c:v>920.73800000000051</c:v>
                </c:pt>
                <c:pt idx="2">
                  <c:v>637.21250000000009</c:v>
                </c:pt>
                <c:pt idx="3">
                  <c:v>671.06</c:v>
                </c:pt>
                <c:pt idx="4">
                  <c:v>1783.5993999999998</c:v>
                </c:pt>
              </c:numCache>
            </c:numRef>
          </c:val>
        </c:ser>
        <c:gapWidth val="100"/>
        <c:axId val="224134272"/>
        <c:axId val="224135808"/>
      </c:barChart>
      <c:lineChart>
        <c:grouping val="standard"/>
        <c:ser>
          <c:idx val="1"/>
          <c:order val="1"/>
          <c:tx>
            <c:v>Number of projects</c:v>
          </c:tx>
          <c:marker>
            <c:symbol val="none"/>
          </c:marker>
          <c:cat>
            <c:strRef>
              <c:f>Graphics!$A$110:$A$114</c:f>
              <c:strCache>
                <c:ptCount val="5"/>
                <c:pt idx="0">
                  <c:v>FY87-91</c:v>
                </c:pt>
                <c:pt idx="1">
                  <c:v>FY92-96</c:v>
                </c:pt>
                <c:pt idx="2">
                  <c:v>FY97-01</c:v>
                </c:pt>
                <c:pt idx="3">
                  <c:v>FY02-06</c:v>
                </c:pt>
                <c:pt idx="4">
                  <c:v>FY07-11</c:v>
                </c:pt>
              </c:strCache>
            </c:strRef>
          </c:cat>
          <c:val>
            <c:numRef>
              <c:f>Graphics!$C$110:$C$114</c:f>
              <c:numCache>
                <c:formatCode>_(* #,##0.00_);_(* \(#,##0.00\);_(* "-"??_);_(@_)</c:formatCode>
                <c:ptCount val="5"/>
                <c:pt idx="0">
                  <c:v>13</c:v>
                </c:pt>
                <c:pt idx="1">
                  <c:v>21</c:v>
                </c:pt>
                <c:pt idx="2">
                  <c:v>29</c:v>
                </c:pt>
                <c:pt idx="3">
                  <c:v>33</c:v>
                </c:pt>
                <c:pt idx="4">
                  <c:v>87</c:v>
                </c:pt>
              </c:numCache>
            </c:numRef>
          </c:val>
        </c:ser>
        <c:marker val="1"/>
        <c:axId val="224237824"/>
        <c:axId val="224206208"/>
      </c:lineChart>
      <c:catAx>
        <c:axId val="224134272"/>
        <c:scaling>
          <c:orientation val="minMax"/>
        </c:scaling>
        <c:axPos val="b"/>
        <c:majorTickMark val="none"/>
        <c:tickLblPos val="nextTo"/>
        <c:txPr>
          <a:bodyPr/>
          <a:lstStyle/>
          <a:p>
            <a:pPr>
              <a:defRPr b="1"/>
            </a:pPr>
            <a:endParaRPr lang="en-US"/>
          </a:p>
        </c:txPr>
        <c:crossAx val="224135808"/>
        <c:crosses val="autoZero"/>
        <c:auto val="1"/>
        <c:lblAlgn val="ctr"/>
        <c:lblOffset val="100"/>
      </c:catAx>
      <c:valAx>
        <c:axId val="224135808"/>
        <c:scaling>
          <c:orientation val="minMax"/>
        </c:scaling>
        <c:axPos val="l"/>
        <c:majorGridlines>
          <c:spPr>
            <a:ln>
              <a:prstDash val="sysDot"/>
            </a:ln>
          </c:spPr>
        </c:majorGridlines>
        <c:title>
          <c:tx>
            <c:rich>
              <a:bodyPr rot="-5400000" vert="horz"/>
              <a:lstStyle/>
              <a:p>
                <a:pPr>
                  <a:defRPr/>
                </a:pPr>
                <a:r>
                  <a:rPr lang="en-US"/>
                  <a:t>US$ millions</a:t>
                </a:r>
              </a:p>
            </c:rich>
          </c:tx>
        </c:title>
        <c:numFmt formatCode="_(* #,##0_);_(* \(#,##0\);_(* &quot;-&quot;_);_(@_)" sourceLinked="0"/>
        <c:tickLblPos val="nextTo"/>
        <c:crossAx val="224134272"/>
        <c:crosses val="autoZero"/>
        <c:crossBetween val="between"/>
      </c:valAx>
      <c:valAx>
        <c:axId val="224206208"/>
        <c:scaling>
          <c:orientation val="minMax"/>
        </c:scaling>
        <c:axPos val="r"/>
        <c:title>
          <c:tx>
            <c:rich>
              <a:bodyPr rot="-5400000" vert="horz"/>
              <a:lstStyle/>
              <a:p>
                <a:pPr>
                  <a:defRPr/>
                </a:pPr>
                <a:r>
                  <a:rPr lang="en-US"/>
                  <a:t>Number of projects</a:t>
                </a:r>
              </a:p>
            </c:rich>
          </c:tx>
        </c:title>
        <c:numFmt formatCode="_(* #,##0_);_(* \(#,##0\);_(* &quot;-&quot;_);_(@_)" sourceLinked="0"/>
        <c:tickLblPos val="nextTo"/>
        <c:crossAx val="224237824"/>
        <c:crosses val="max"/>
        <c:crossBetween val="between"/>
      </c:valAx>
      <c:catAx>
        <c:axId val="224237824"/>
        <c:scaling>
          <c:orientation val="minMax"/>
        </c:scaling>
        <c:delete val="1"/>
        <c:axPos val="b"/>
        <c:tickLblPos val="none"/>
        <c:crossAx val="224206208"/>
        <c:crosses val="autoZero"/>
        <c:auto val="1"/>
        <c:lblAlgn val="ctr"/>
        <c:lblOffset val="100"/>
      </c:catAx>
      <c:spPr>
        <a:ln>
          <a:solidFill>
            <a:sysClr val="windowText" lastClr="000000">
              <a:tint val="75000"/>
              <a:shade val="95000"/>
              <a:satMod val="105000"/>
            </a:sysClr>
          </a:solidFill>
        </a:ln>
      </c:spPr>
    </c:plotArea>
    <c:legend>
      <c:legendPos val="b"/>
    </c:legend>
    <c:plotVisOnly val="1"/>
    <c:dispBlanksAs val="gap"/>
  </c:chart>
  <c:spPr>
    <a:ln>
      <a:solidFill>
        <a:schemeClr val="bg1">
          <a:lumMod val="8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dLbl>
              <c:idx val="0"/>
              <c:tx>
                <c:rich>
                  <a:bodyPr/>
                  <a:lstStyle/>
                  <a:p>
                    <a:r>
                      <a:rPr lang="en-US" b="1"/>
                      <a:t>AFR ($273 M)</a:t>
                    </a:r>
                  </a:p>
                  <a:p>
                    <a:r>
                      <a:rPr lang="en-US" b="1"/>
                      <a:t>6%</a:t>
                    </a:r>
                  </a:p>
                </c:rich>
              </c:tx>
              <c:dLblPos val="outEnd"/>
              <c:showVal val="1"/>
              <c:showCatName val="1"/>
              <c:showPercent val="1"/>
              <c:separator> </c:separator>
            </c:dLbl>
            <c:dLbl>
              <c:idx val="1"/>
              <c:tx>
                <c:rich>
                  <a:bodyPr/>
                  <a:lstStyle/>
                  <a:p>
                    <a:r>
                      <a:rPr lang="en-US" b="1"/>
                      <a:t>EAP ($1,499 M)</a:t>
                    </a:r>
                  </a:p>
                  <a:p>
                    <a:r>
                      <a:rPr lang="en-US" b="1"/>
                      <a:t>34%</a:t>
                    </a:r>
                  </a:p>
                </c:rich>
              </c:tx>
              <c:dLblPos val="outEnd"/>
              <c:showVal val="1"/>
              <c:showCatName val="1"/>
              <c:showPercent val="1"/>
              <c:separator> </c:separator>
            </c:dLbl>
            <c:dLbl>
              <c:idx val="2"/>
              <c:tx>
                <c:rich>
                  <a:bodyPr/>
                  <a:lstStyle/>
                  <a:p>
                    <a:r>
                      <a:rPr lang="en-US" b="1"/>
                      <a:t>ECA ($463 M)</a:t>
                    </a:r>
                  </a:p>
                  <a:p>
                    <a:r>
                      <a:rPr lang="en-US" b="1"/>
                      <a:t>11%</a:t>
                    </a:r>
                  </a:p>
                </c:rich>
              </c:tx>
              <c:dLblPos val="outEnd"/>
              <c:showVal val="1"/>
              <c:showCatName val="1"/>
              <c:showPercent val="1"/>
              <c:separator> </c:separator>
            </c:dLbl>
            <c:dLbl>
              <c:idx val="3"/>
              <c:tx>
                <c:rich>
                  <a:bodyPr/>
                  <a:lstStyle/>
                  <a:p>
                    <a:r>
                      <a:rPr lang="en-US" b="1"/>
                      <a:t>LAC ($832 M)</a:t>
                    </a:r>
                  </a:p>
                  <a:p>
                    <a:r>
                      <a:rPr lang="en-US" b="1"/>
                      <a:t>19%</a:t>
                    </a:r>
                  </a:p>
                </c:rich>
              </c:tx>
              <c:dLblPos val="outEnd"/>
              <c:showVal val="1"/>
              <c:showCatName val="1"/>
              <c:showPercent val="1"/>
              <c:separator> </c:separator>
            </c:dLbl>
            <c:dLbl>
              <c:idx val="4"/>
              <c:tx>
                <c:rich>
                  <a:bodyPr/>
                  <a:lstStyle/>
                  <a:p>
                    <a:r>
                      <a:rPr lang="en-US" b="1"/>
                      <a:t>MNA ($227 M)</a:t>
                    </a:r>
                  </a:p>
                  <a:p>
                    <a:r>
                      <a:rPr lang="en-US" b="1"/>
                      <a:t>5%</a:t>
                    </a:r>
                  </a:p>
                </c:rich>
              </c:tx>
              <c:dLblPos val="outEnd"/>
              <c:showVal val="1"/>
              <c:showCatName val="1"/>
              <c:showPercent val="1"/>
              <c:separator> </c:separator>
            </c:dLbl>
            <c:dLbl>
              <c:idx val="5"/>
              <c:layout>
                <c:manualLayout>
                  <c:x val="-8.3333333333333367E-3"/>
                  <c:y val="1.851851851851857E-2"/>
                </c:manualLayout>
              </c:layout>
              <c:tx>
                <c:rich>
                  <a:bodyPr/>
                  <a:lstStyle/>
                  <a:p>
                    <a:r>
                      <a:rPr lang="en-US" b="1"/>
                      <a:t>SAR ($1,103 M)</a:t>
                    </a:r>
                  </a:p>
                  <a:p>
                    <a:r>
                      <a:rPr lang="en-US" b="1"/>
                      <a:t>25%</a:t>
                    </a:r>
                  </a:p>
                </c:rich>
              </c:tx>
              <c:dLblPos val="bestFit"/>
              <c:showVal val="1"/>
              <c:showCatName val="1"/>
              <c:showPercent val="1"/>
              <c:separator> </c:separator>
            </c:dLbl>
            <c:txPr>
              <a:bodyPr/>
              <a:lstStyle/>
              <a:p>
                <a:pPr>
                  <a:defRPr b="1"/>
                </a:pPr>
                <a:endParaRPr lang="en-US"/>
              </a:p>
            </c:txPr>
            <c:dLblPos val="outEnd"/>
            <c:showVal val="1"/>
            <c:showCatName val="1"/>
            <c:showPercent val="1"/>
            <c:separator> </c:separator>
          </c:dLbls>
          <c:cat>
            <c:strRef>
              <c:f>Graphics!$A$119:$A$124</c:f>
              <c:strCache>
                <c:ptCount val="6"/>
                <c:pt idx="0">
                  <c:v>AFR</c:v>
                </c:pt>
                <c:pt idx="1">
                  <c:v>EAP</c:v>
                </c:pt>
                <c:pt idx="2">
                  <c:v>ECA</c:v>
                </c:pt>
                <c:pt idx="3">
                  <c:v>LAC</c:v>
                </c:pt>
                <c:pt idx="4">
                  <c:v>MNA</c:v>
                </c:pt>
                <c:pt idx="5">
                  <c:v>SAR</c:v>
                </c:pt>
              </c:strCache>
            </c:strRef>
          </c:cat>
          <c:val>
            <c:numRef>
              <c:f>Graphics!$B$119:$B$124</c:f>
              <c:numCache>
                <c:formatCode>_("$"#,##0_);_("$"* \(#,##0\);_("$"* "-"_);_(@_)</c:formatCode>
                <c:ptCount val="6"/>
                <c:pt idx="0">
                  <c:v>273.15259999999995</c:v>
                </c:pt>
                <c:pt idx="1">
                  <c:v>1499.2226000000001</c:v>
                </c:pt>
                <c:pt idx="2">
                  <c:v>463.34069999999986</c:v>
                </c:pt>
                <c:pt idx="3">
                  <c:v>831.99710000000016</c:v>
                </c:pt>
                <c:pt idx="4">
                  <c:v>227.40100000000004</c:v>
                </c:pt>
                <c:pt idx="5">
                  <c:v>1102.9229</c:v>
                </c:pt>
              </c:numCache>
            </c:numRef>
          </c:val>
        </c:ser>
        <c:dLbls>
          <c:showVal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5328975704959971"/>
          <c:y val="4.3158482740677816E-2"/>
          <c:w val="0.82941466451309065"/>
          <c:h val="0.6260570206501983"/>
        </c:manualLayout>
      </c:layout>
      <c:barChart>
        <c:barDir val="col"/>
        <c:grouping val="stacked"/>
        <c:ser>
          <c:idx val="0"/>
          <c:order val="0"/>
          <c:tx>
            <c:strRef>
              <c:f>Graphics!$E$400</c:f>
              <c:strCache>
                <c:ptCount val="1"/>
                <c:pt idx="0">
                  <c:v>1</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Graphics!$E$478:$E$486</c:f>
              <c:numCache>
                <c:formatCode>_(* #,##0.00_);_(* \(#,##0.00\);_(* "-"??_);_(@_)</c:formatCode>
                <c:ptCount val="9"/>
                <c:pt idx="0">
                  <c:v>230</c:v>
                </c:pt>
                <c:pt idx="1">
                  <c:v>324</c:v>
                </c:pt>
                <c:pt idx="2">
                  <c:v>170</c:v>
                </c:pt>
                <c:pt idx="3">
                  <c:v>133.10999999999999</c:v>
                </c:pt>
                <c:pt idx="4">
                  <c:v>19.59</c:v>
                </c:pt>
                <c:pt idx="5">
                  <c:v>160.08000000000001</c:v>
                </c:pt>
                <c:pt idx="6">
                  <c:v>91</c:v>
                </c:pt>
                <c:pt idx="7">
                  <c:v>73.149999999999991</c:v>
                </c:pt>
                <c:pt idx="8">
                  <c:v>75</c:v>
                </c:pt>
              </c:numCache>
            </c:numRef>
          </c:val>
        </c:ser>
        <c:ser>
          <c:idx val="1"/>
          <c:order val="1"/>
          <c:tx>
            <c:strRef>
              <c:f>Graphics!$F$400</c:f>
              <c:strCache>
                <c:ptCount val="1"/>
                <c:pt idx="0">
                  <c:v>2</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Graphics!$F$478:$F$486</c:f>
              <c:numCache>
                <c:formatCode>_(* #,##0.00_);_(* \(#,##0.00\);_(* "-"??_);_(@_)</c:formatCode>
                <c:ptCount val="9"/>
                <c:pt idx="0">
                  <c:v>203.7</c:v>
                </c:pt>
                <c:pt idx="1">
                  <c:v>113.367</c:v>
                </c:pt>
                <c:pt idx="2">
                  <c:v>122.2</c:v>
                </c:pt>
                <c:pt idx="3">
                  <c:v>112</c:v>
                </c:pt>
                <c:pt idx="4">
                  <c:v>60.2</c:v>
                </c:pt>
                <c:pt idx="6">
                  <c:v>45</c:v>
                </c:pt>
                <c:pt idx="7">
                  <c:v>52.44</c:v>
                </c:pt>
                <c:pt idx="8">
                  <c:v>30.291</c:v>
                </c:pt>
              </c:numCache>
            </c:numRef>
          </c:val>
        </c:ser>
        <c:ser>
          <c:idx val="2"/>
          <c:order val="2"/>
          <c:tx>
            <c:strRef>
              <c:f>Graphics!$G$400</c:f>
              <c:strCache>
                <c:ptCount val="1"/>
                <c:pt idx="0">
                  <c:v>3</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Graphics!$G$478:$G$486</c:f>
              <c:numCache>
                <c:formatCode>_(* #,##0.00_);_(* \(#,##0.00\);_(* "-"??_);_(@_)</c:formatCode>
                <c:ptCount val="9"/>
                <c:pt idx="0">
                  <c:v>200</c:v>
                </c:pt>
                <c:pt idx="1">
                  <c:v>75.989999999999995</c:v>
                </c:pt>
                <c:pt idx="2">
                  <c:v>49</c:v>
                </c:pt>
                <c:pt idx="3">
                  <c:v>30.8</c:v>
                </c:pt>
                <c:pt idx="4">
                  <c:v>34.615000000000002</c:v>
                </c:pt>
              </c:numCache>
            </c:numRef>
          </c:val>
        </c:ser>
        <c:ser>
          <c:idx val="3"/>
          <c:order val="3"/>
          <c:tx>
            <c:strRef>
              <c:f>Graphics!$H$400</c:f>
              <c:strCache>
                <c:ptCount val="1"/>
                <c:pt idx="0">
                  <c:v>4</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Graphics!$H$478:$H$486</c:f>
              <c:numCache>
                <c:formatCode>_(* #,##0.00_);_(* \(#,##0.00\);_(* "-"??_);_(@_)</c:formatCode>
                <c:ptCount val="9"/>
                <c:pt idx="0">
                  <c:v>130</c:v>
                </c:pt>
                <c:pt idx="1">
                  <c:v>65.446399999999997</c:v>
                </c:pt>
                <c:pt idx="2">
                  <c:v>36</c:v>
                </c:pt>
                <c:pt idx="3">
                  <c:v>5.68</c:v>
                </c:pt>
                <c:pt idx="4">
                  <c:v>22.445999999999959</c:v>
                </c:pt>
              </c:numCache>
            </c:numRef>
          </c:val>
        </c:ser>
        <c:ser>
          <c:idx val="4"/>
          <c:order val="4"/>
          <c:tx>
            <c:strRef>
              <c:f>Graphics!$I$400</c:f>
              <c:strCache>
                <c:ptCount val="1"/>
                <c:pt idx="0">
                  <c:v>5</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Graphics!$I$478:$I$486</c:f>
              <c:numCache>
                <c:formatCode>_(* #,##0.00_);_(* \(#,##0.00\);_(* "-"??_);_(@_)</c:formatCode>
                <c:ptCount val="9"/>
                <c:pt idx="0">
                  <c:v>77.7</c:v>
                </c:pt>
                <c:pt idx="1">
                  <c:v>45.05</c:v>
                </c:pt>
                <c:pt idx="2">
                  <c:v>32.4</c:v>
                </c:pt>
                <c:pt idx="3">
                  <c:v>1.5</c:v>
                </c:pt>
                <c:pt idx="4">
                  <c:v>21.3416</c:v>
                </c:pt>
              </c:numCache>
            </c:numRef>
          </c:val>
        </c:ser>
        <c:ser>
          <c:idx val="5"/>
          <c:order val="5"/>
          <c:tx>
            <c:strRef>
              <c:f>Graphics!$J$400</c:f>
              <c:strCache>
                <c:ptCount val="1"/>
                <c:pt idx="0">
                  <c:v>6</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Graphics!$J$478:$J$486</c:f>
              <c:numCache>
                <c:formatCode>_(* #,##0.00_);_(* \(#,##0.00\);_(* "-"??_);_(@_)</c:formatCode>
                <c:ptCount val="9"/>
                <c:pt idx="0">
                  <c:v>77.400000000000006</c:v>
                </c:pt>
                <c:pt idx="1">
                  <c:v>42.3</c:v>
                </c:pt>
                <c:pt idx="2">
                  <c:v>16.8</c:v>
                </c:pt>
                <c:pt idx="3">
                  <c:v>0.56000000000000005</c:v>
                </c:pt>
                <c:pt idx="4">
                  <c:v>15.78</c:v>
                </c:pt>
              </c:numCache>
            </c:numRef>
          </c:val>
        </c:ser>
        <c:ser>
          <c:idx val="6"/>
          <c:order val="6"/>
          <c:tx>
            <c:strRef>
              <c:f>Graphics!$K$400</c:f>
              <c:strCache>
                <c:ptCount val="1"/>
                <c:pt idx="0">
                  <c:v>7</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Graphics!$K$478:$K$486</c:f>
              <c:numCache>
                <c:formatCode>_(* #,##0.00_);_(* \(#,##0.00\);_(* "-"??_);_(@_)</c:formatCode>
                <c:ptCount val="9"/>
                <c:pt idx="0">
                  <c:v>60</c:v>
                </c:pt>
                <c:pt idx="1">
                  <c:v>19.62</c:v>
                </c:pt>
                <c:pt idx="2">
                  <c:v>10</c:v>
                </c:pt>
                <c:pt idx="4">
                  <c:v>15.4</c:v>
                </c:pt>
              </c:numCache>
            </c:numRef>
          </c:val>
        </c:ser>
        <c:ser>
          <c:idx val="7"/>
          <c:order val="7"/>
          <c:tx>
            <c:strRef>
              <c:f>Graphics!$L$400</c:f>
              <c:strCache>
                <c:ptCount val="1"/>
                <c:pt idx="0">
                  <c:v>8</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Graphics!$L$478:$L$486</c:f>
              <c:numCache>
                <c:formatCode>_(* #,##0.00_);_(* \(#,##0.00\);_(* "-"??_);_(@_)</c:formatCode>
                <c:ptCount val="9"/>
                <c:pt idx="0">
                  <c:v>50</c:v>
                </c:pt>
                <c:pt idx="1">
                  <c:v>19.404</c:v>
                </c:pt>
                <c:pt idx="2">
                  <c:v>0</c:v>
                </c:pt>
              </c:numCache>
            </c:numRef>
          </c:val>
        </c:ser>
        <c:ser>
          <c:idx val="8"/>
          <c:order val="8"/>
          <c:tx>
            <c:strRef>
              <c:f>Graphics!$M$400</c:f>
              <c:strCache>
                <c:ptCount val="1"/>
                <c:pt idx="0">
                  <c:v>9</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Graphics!$M$478:$M$486</c:f>
              <c:numCache>
                <c:formatCode>_(* #,##0.00_);_(* \(#,##0.00\);_(* "-"??_);_(@_)</c:formatCode>
                <c:ptCount val="9"/>
                <c:pt idx="0">
                  <c:v>37.800000000000004</c:v>
                </c:pt>
                <c:pt idx="1">
                  <c:v>18.690000000000001</c:v>
                </c:pt>
              </c:numCache>
            </c:numRef>
          </c:val>
        </c:ser>
        <c:ser>
          <c:idx val="9"/>
          <c:order val="9"/>
          <c:tx>
            <c:strRef>
              <c:f>Graphics!$N$400</c:f>
              <c:strCache>
                <c:ptCount val="1"/>
                <c:pt idx="0">
                  <c:v>10</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Graphics!$N$478:$N$486</c:f>
              <c:numCache>
                <c:formatCode>_(* #,##0.00_);_(* \(#,##0.00\);_(* "-"??_);_(@_)</c:formatCode>
                <c:ptCount val="9"/>
                <c:pt idx="0">
                  <c:v>29.759999999999987</c:v>
                </c:pt>
                <c:pt idx="1">
                  <c:v>15</c:v>
                </c:pt>
              </c:numCache>
            </c:numRef>
          </c:val>
        </c:ser>
        <c:ser>
          <c:idx val="10"/>
          <c:order val="10"/>
          <c:tx>
            <c:strRef>
              <c:f>Graphics!$O$400</c:f>
              <c:strCache>
                <c:ptCount val="1"/>
                <c:pt idx="0">
                  <c:v>11</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Graphics!$O$478:$O$486</c:f>
              <c:numCache>
                <c:formatCode>_(* #,##0.00_);_(* \(#,##0.00\);_(* "-"??_);_(@_)</c:formatCode>
                <c:ptCount val="9"/>
                <c:pt idx="0">
                  <c:v>25.2</c:v>
                </c:pt>
                <c:pt idx="1">
                  <c:v>9.57</c:v>
                </c:pt>
              </c:numCache>
            </c:numRef>
          </c:val>
        </c:ser>
        <c:ser>
          <c:idx val="11"/>
          <c:order val="11"/>
          <c:tx>
            <c:strRef>
              <c:f>Graphics!$P$400</c:f>
              <c:strCache>
                <c:ptCount val="1"/>
                <c:pt idx="0">
                  <c:v>12</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Graphics!$P$478:$P$486</c:f>
              <c:numCache>
                <c:formatCode>_(* #,##0.00_);_(* \(#,##0.00\);_(* "-"??_);_(@_)</c:formatCode>
                <c:ptCount val="9"/>
                <c:pt idx="0">
                  <c:v>23</c:v>
                </c:pt>
                <c:pt idx="1">
                  <c:v>2.5</c:v>
                </c:pt>
              </c:numCache>
            </c:numRef>
          </c:val>
        </c:ser>
        <c:ser>
          <c:idx val="12"/>
          <c:order val="12"/>
          <c:tx>
            <c:strRef>
              <c:f>Graphics!$Q$400</c:f>
              <c:strCache>
                <c:ptCount val="1"/>
                <c:pt idx="0">
                  <c:v>13</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Graphics!$Q$478:$Q$486</c:f>
              <c:numCache>
                <c:formatCode>_(* #,##0.00_);_(* \(#,##0.00\);_(* "-"??_);_(@_)</c:formatCode>
                <c:ptCount val="9"/>
                <c:pt idx="0">
                  <c:v>20</c:v>
                </c:pt>
                <c:pt idx="1">
                  <c:v>1.7</c:v>
                </c:pt>
              </c:numCache>
            </c:numRef>
          </c:val>
        </c:ser>
        <c:ser>
          <c:idx val="13"/>
          <c:order val="13"/>
          <c:tx>
            <c:strRef>
              <c:f>Graphics!$R$400</c:f>
              <c:strCache>
                <c:ptCount val="1"/>
                <c:pt idx="0">
                  <c:v>14</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Graphics!$R$478:$R$486</c:f>
              <c:numCache>
                <c:formatCode>General</c:formatCode>
                <c:ptCount val="9"/>
                <c:pt idx="0" formatCode="_(* #,##0.00_);_(* \(#,##0.00\);_(* &quot;-&quot;??_);_(@_)">
                  <c:v>15</c:v>
                </c:pt>
              </c:numCache>
            </c:numRef>
          </c:val>
        </c:ser>
        <c:ser>
          <c:idx val="14"/>
          <c:order val="14"/>
          <c:tx>
            <c:strRef>
              <c:f>Graphics!$S$400</c:f>
              <c:strCache>
                <c:ptCount val="1"/>
                <c:pt idx="0">
                  <c:v>15</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Graphics!$S$478:$S$486</c:f>
              <c:numCache>
                <c:formatCode>General</c:formatCode>
                <c:ptCount val="9"/>
                <c:pt idx="0" formatCode="_(* #,##0.00_);_(* \(#,##0.00\);_(* &quot;-&quot;??_);_(@_)">
                  <c:v>15</c:v>
                </c:pt>
              </c:numCache>
            </c:numRef>
          </c:val>
        </c:ser>
        <c:ser>
          <c:idx val="15"/>
          <c:order val="15"/>
          <c:tx>
            <c:strRef>
              <c:f>Graphics!$T$400</c:f>
              <c:strCache>
                <c:ptCount val="1"/>
                <c:pt idx="0">
                  <c:v>16</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Graphics!$T$478:$T$486</c:f>
              <c:numCache>
                <c:formatCode>General</c:formatCode>
                <c:ptCount val="9"/>
                <c:pt idx="0" formatCode="_(* #,##0.00_);_(* \(#,##0.00\);_(* &quot;-&quot;??_);_(@_)">
                  <c:v>11</c:v>
                </c:pt>
              </c:numCache>
            </c:numRef>
          </c:val>
        </c:ser>
        <c:ser>
          <c:idx val="16"/>
          <c:order val="16"/>
          <c:tx>
            <c:strRef>
              <c:f>Graphics!$U$400</c:f>
              <c:strCache>
                <c:ptCount val="1"/>
                <c:pt idx="0">
                  <c:v>17</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Graphics!$U$478:$U$486</c:f>
              <c:numCache>
                <c:formatCode>General</c:formatCode>
                <c:ptCount val="9"/>
                <c:pt idx="0" formatCode="_(* #,##0.00_);_(* \(#,##0.00\);_(* &quot;-&quot;??_);_(@_)">
                  <c:v>10.38</c:v>
                </c:pt>
              </c:numCache>
            </c:numRef>
          </c:val>
        </c:ser>
        <c:ser>
          <c:idx val="17"/>
          <c:order val="17"/>
          <c:tx>
            <c:strRef>
              <c:f>Graphics!$V$400</c:f>
              <c:strCache>
                <c:ptCount val="1"/>
                <c:pt idx="0">
                  <c:v>18</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Graphics!$V$478:$V$486</c:f>
              <c:numCache>
                <c:formatCode>General</c:formatCode>
                <c:ptCount val="9"/>
                <c:pt idx="0" formatCode="_(* #,##0.00_);_(* \(#,##0.00\);_(* &quot;-&quot;??_);_(@_)">
                  <c:v>9</c:v>
                </c:pt>
              </c:numCache>
            </c:numRef>
          </c:val>
        </c:ser>
        <c:ser>
          <c:idx val="18"/>
          <c:order val="18"/>
          <c:tx>
            <c:strRef>
              <c:f>Graphics!$W$400</c:f>
              <c:strCache>
                <c:ptCount val="1"/>
                <c:pt idx="0">
                  <c:v>19</c:v>
                </c:pt>
              </c:strCache>
            </c:strRef>
          </c:tx>
          <c:cat>
            <c:strRef>
              <c:f>Graphics!$D$478:$D$486</c:f>
              <c:strCache>
                <c:ptCount val="9"/>
                <c:pt idx="0">
                  <c:v>China</c:v>
                </c:pt>
                <c:pt idx="1">
                  <c:v>Bangladesh</c:v>
                </c:pt>
                <c:pt idx="2">
                  <c:v>Argentina</c:v>
                </c:pt>
                <c:pt idx="3">
                  <c:v>India</c:v>
                </c:pt>
                <c:pt idx="4">
                  <c:v>Vietnam</c:v>
                </c:pt>
                <c:pt idx="5">
                  <c:v>Poland</c:v>
                </c:pt>
                <c:pt idx="6">
                  <c:v>Colombia</c:v>
                </c:pt>
                <c:pt idx="7">
                  <c:v>Iran, Islamic Republic of</c:v>
                </c:pt>
                <c:pt idx="8">
                  <c:v>Romania</c:v>
                </c:pt>
              </c:strCache>
            </c:strRef>
          </c:cat>
          <c:val>
            <c:numRef>
              <c:f>Graphics!$W$478:$W$486</c:f>
              <c:numCache>
                <c:formatCode>General</c:formatCode>
                <c:ptCount val="9"/>
                <c:pt idx="0" formatCode="_(* #,##0.00_);_(* \(#,##0.00\);_(* &quot;-&quot;??_);_(@_)">
                  <c:v>6.1</c:v>
                </c:pt>
              </c:numCache>
            </c:numRef>
          </c:val>
        </c:ser>
        <c:overlap val="100"/>
        <c:axId val="229227520"/>
        <c:axId val="230426496"/>
      </c:barChart>
      <c:catAx>
        <c:axId val="229227520"/>
        <c:scaling>
          <c:orientation val="minMax"/>
        </c:scaling>
        <c:axPos val="b"/>
        <c:majorTickMark val="none"/>
        <c:tickLblPos val="nextTo"/>
        <c:txPr>
          <a:bodyPr rot="-2700000"/>
          <a:lstStyle/>
          <a:p>
            <a:pPr>
              <a:defRPr/>
            </a:pPr>
            <a:endParaRPr lang="en-US"/>
          </a:p>
        </c:txPr>
        <c:crossAx val="230426496"/>
        <c:crosses val="autoZero"/>
        <c:auto val="1"/>
        <c:lblAlgn val="ctr"/>
        <c:lblOffset val="100"/>
        <c:tickLblSkip val="1"/>
      </c:catAx>
      <c:valAx>
        <c:axId val="230426496"/>
        <c:scaling>
          <c:orientation val="minMax"/>
        </c:scaling>
        <c:axPos val="l"/>
        <c:majorGridlines>
          <c:spPr>
            <a:ln>
              <a:prstDash val="sysDot"/>
            </a:ln>
          </c:spPr>
        </c:majorGridlines>
        <c:title>
          <c:tx>
            <c:rich>
              <a:bodyPr rot="-5400000" vert="horz"/>
              <a:lstStyle/>
              <a:p>
                <a:pPr>
                  <a:defRPr/>
                </a:pPr>
                <a:r>
                  <a:rPr lang="en-US"/>
                  <a:t>Commitment amount (US$ million)</a:t>
                </a:r>
              </a:p>
            </c:rich>
          </c:tx>
          <c:layout>
            <c:manualLayout>
              <c:xMode val="edge"/>
              <c:yMode val="edge"/>
              <c:x val="8.5847818550983251E-3"/>
              <c:y val="5.4820290320852803E-2"/>
            </c:manualLayout>
          </c:layout>
        </c:title>
        <c:numFmt formatCode="_(* #,##0_);_(* \(#,##0\);_(* &quot;-&quot;_);_(@_)" sourceLinked="0"/>
        <c:tickLblPos val="nextTo"/>
        <c:spPr>
          <a:ln>
            <a:prstDash val="sysDot"/>
          </a:ln>
        </c:spPr>
        <c:crossAx val="229227520"/>
        <c:crosses val="autoZero"/>
        <c:crossBetween val="between"/>
      </c:valAx>
      <c:spPr>
        <a:noFill/>
        <a:ln>
          <a:solidFill>
            <a:sysClr val="windowText" lastClr="000000">
              <a:tint val="75000"/>
              <a:shade val="95000"/>
              <a:satMod val="105000"/>
            </a:sysClr>
          </a:solidFill>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246531987391366"/>
          <c:y val="5.1400554097404488E-2"/>
          <c:w val="0.87140383789141462"/>
          <c:h val="0.68977217847769023"/>
        </c:manualLayout>
      </c:layout>
      <c:barChart>
        <c:barDir val="col"/>
        <c:grouping val="stacked"/>
        <c:ser>
          <c:idx val="0"/>
          <c:order val="0"/>
          <c:tx>
            <c:strRef>
              <c:f>Graphics!$A$9</c:f>
              <c:strCache>
                <c:ptCount val="1"/>
                <c:pt idx="0">
                  <c:v>Dedicated</c:v>
                </c:pt>
              </c:strCache>
            </c:strRef>
          </c:tx>
          <c:spPr>
            <a:solidFill>
              <a:schemeClr val="accent1">
                <a:lumMod val="75000"/>
              </a:schemeClr>
            </a:solidFill>
          </c:spPr>
          <c:cat>
            <c:strRef>
              <c:f>Graphics!$B$2:$Z$2</c:f>
              <c:strCache>
                <c:ptCount val="25"/>
                <c:pt idx="0">
                  <c:v>1987</c:v>
                </c:pt>
                <c:pt idx="1">
                  <c:v>1988</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strCache>
            </c:strRef>
          </c:cat>
          <c:val>
            <c:numRef>
              <c:f>Graphics!$B$9:$Z$9</c:f>
              <c:numCache>
                <c:formatCode>General</c:formatCode>
                <c:ptCount val="25"/>
                <c:pt idx="0">
                  <c:v>1</c:v>
                </c:pt>
                <c:pt idx="1">
                  <c:v>1</c:v>
                </c:pt>
                <c:pt idx="2">
                  <c:v>2</c:v>
                </c:pt>
                <c:pt idx="3">
                  <c:v>2</c:v>
                </c:pt>
                <c:pt idx="4">
                  <c:v>2</c:v>
                </c:pt>
                <c:pt idx="5">
                  <c:v>2</c:v>
                </c:pt>
                <c:pt idx="6">
                  <c:v>1</c:v>
                </c:pt>
                <c:pt idx="8">
                  <c:v>3</c:v>
                </c:pt>
                <c:pt idx="9">
                  <c:v>1</c:v>
                </c:pt>
                <c:pt idx="10">
                  <c:v>1</c:v>
                </c:pt>
                <c:pt idx="11">
                  <c:v>7</c:v>
                </c:pt>
                <c:pt idx="12">
                  <c:v>1</c:v>
                </c:pt>
                <c:pt idx="13">
                  <c:v>1</c:v>
                </c:pt>
                <c:pt idx="14">
                  <c:v>1</c:v>
                </c:pt>
                <c:pt idx="16">
                  <c:v>3</c:v>
                </c:pt>
                <c:pt idx="17">
                  <c:v>3</c:v>
                </c:pt>
                <c:pt idx="18">
                  <c:v>3</c:v>
                </c:pt>
                <c:pt idx="19">
                  <c:v>6</c:v>
                </c:pt>
                <c:pt idx="20">
                  <c:v>8</c:v>
                </c:pt>
                <c:pt idx="21">
                  <c:v>8</c:v>
                </c:pt>
                <c:pt idx="22">
                  <c:v>5</c:v>
                </c:pt>
                <c:pt idx="23">
                  <c:v>12</c:v>
                </c:pt>
                <c:pt idx="24">
                  <c:v>3</c:v>
                </c:pt>
              </c:numCache>
            </c:numRef>
          </c:val>
        </c:ser>
        <c:ser>
          <c:idx val="2"/>
          <c:order val="1"/>
          <c:tx>
            <c:strRef>
              <c:f>Graphics!$A$18</c:f>
              <c:strCache>
                <c:ptCount val="1"/>
                <c:pt idx="0">
                  <c:v>Non-Dedicated</c:v>
                </c:pt>
              </c:strCache>
            </c:strRef>
          </c:tx>
          <c:spPr>
            <a:solidFill>
              <a:srgbClr val="FFC000"/>
            </a:solidFill>
          </c:spPr>
          <c:cat>
            <c:strRef>
              <c:f>Graphics!$B$2:$Z$2</c:f>
              <c:strCache>
                <c:ptCount val="25"/>
                <c:pt idx="0">
                  <c:v>1987</c:v>
                </c:pt>
                <c:pt idx="1">
                  <c:v>1988</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strCache>
            </c:strRef>
          </c:cat>
          <c:val>
            <c:numRef>
              <c:f>Graphics!$B$18:$Z$18</c:f>
              <c:numCache>
                <c:formatCode>General</c:formatCode>
                <c:ptCount val="25"/>
                <c:pt idx="1">
                  <c:v>1</c:v>
                </c:pt>
                <c:pt idx="2">
                  <c:v>1</c:v>
                </c:pt>
                <c:pt idx="3">
                  <c:v>5</c:v>
                </c:pt>
                <c:pt idx="4">
                  <c:v>2</c:v>
                </c:pt>
                <c:pt idx="5">
                  <c:v>4</c:v>
                </c:pt>
                <c:pt idx="6">
                  <c:v>2</c:v>
                </c:pt>
                <c:pt idx="7">
                  <c:v>2</c:v>
                </c:pt>
                <c:pt idx="8">
                  <c:v>3</c:v>
                </c:pt>
                <c:pt idx="9">
                  <c:v>2</c:v>
                </c:pt>
                <c:pt idx="10">
                  <c:v>4</c:v>
                </c:pt>
                <c:pt idx="11">
                  <c:v>4</c:v>
                </c:pt>
                <c:pt idx="12">
                  <c:v>2</c:v>
                </c:pt>
                <c:pt idx="13">
                  <c:v>6</c:v>
                </c:pt>
                <c:pt idx="14">
                  <c:v>2</c:v>
                </c:pt>
                <c:pt idx="15">
                  <c:v>3</c:v>
                </c:pt>
                <c:pt idx="16">
                  <c:v>4</c:v>
                </c:pt>
                <c:pt idx="17">
                  <c:v>11</c:v>
                </c:pt>
                <c:pt idx="18">
                  <c:v>3</c:v>
                </c:pt>
                <c:pt idx="19">
                  <c:v>15</c:v>
                </c:pt>
                <c:pt idx="20">
                  <c:v>5</c:v>
                </c:pt>
                <c:pt idx="21">
                  <c:v>4</c:v>
                </c:pt>
                <c:pt idx="22">
                  <c:v>9</c:v>
                </c:pt>
                <c:pt idx="23">
                  <c:v>15</c:v>
                </c:pt>
                <c:pt idx="24">
                  <c:v>2</c:v>
                </c:pt>
              </c:numCache>
            </c:numRef>
          </c:val>
        </c:ser>
        <c:gapWidth val="100"/>
        <c:overlap val="100"/>
        <c:axId val="235562880"/>
        <c:axId val="235564416"/>
      </c:barChart>
      <c:catAx>
        <c:axId val="235562880"/>
        <c:scaling>
          <c:orientation val="minMax"/>
        </c:scaling>
        <c:axPos val="b"/>
        <c:numFmt formatCode="@" sourceLinked="1"/>
        <c:majorTickMark val="none"/>
        <c:tickLblPos val="nextTo"/>
        <c:txPr>
          <a:bodyPr rot="-2700000"/>
          <a:lstStyle/>
          <a:p>
            <a:pPr>
              <a:defRPr sz="900" b="0"/>
            </a:pPr>
            <a:endParaRPr lang="en-US"/>
          </a:p>
        </c:txPr>
        <c:crossAx val="235564416"/>
        <c:crosses val="autoZero"/>
        <c:auto val="1"/>
        <c:lblAlgn val="ctr"/>
        <c:lblOffset val="100"/>
        <c:tickLblSkip val="1"/>
      </c:catAx>
      <c:valAx>
        <c:axId val="235564416"/>
        <c:scaling>
          <c:orientation val="minMax"/>
        </c:scaling>
        <c:axPos val="l"/>
        <c:majorGridlines>
          <c:spPr>
            <a:ln w="9525">
              <a:solidFill>
                <a:prstClr val="white">
                  <a:lumMod val="85000"/>
                </a:prstClr>
              </a:solidFill>
              <a:prstDash val="sysDot"/>
            </a:ln>
          </c:spPr>
        </c:majorGridlines>
        <c:title>
          <c:tx>
            <c:rich>
              <a:bodyPr rot="-5400000" vert="horz"/>
              <a:lstStyle/>
              <a:p>
                <a:pPr>
                  <a:defRPr/>
                </a:pPr>
                <a:r>
                  <a:rPr lang="en-US"/>
                  <a:t>Number of projects</a:t>
                </a:r>
              </a:p>
            </c:rich>
          </c:tx>
        </c:title>
        <c:numFmt formatCode="General" sourceLinked="1"/>
        <c:tickLblPos val="nextTo"/>
        <c:txPr>
          <a:bodyPr/>
          <a:lstStyle/>
          <a:p>
            <a:pPr>
              <a:defRPr b="0"/>
            </a:pPr>
            <a:endParaRPr lang="en-US"/>
          </a:p>
        </c:txPr>
        <c:crossAx val="235562880"/>
        <c:crosses val="autoZero"/>
        <c:crossBetween val="between"/>
      </c:valAx>
      <c:spPr>
        <a:ln>
          <a:solidFill>
            <a:schemeClr val="bg1">
              <a:lumMod val="85000"/>
            </a:schemeClr>
          </a:solidFill>
        </a:ln>
      </c:spPr>
    </c:plotArea>
    <c:legend>
      <c:legendPos val="r"/>
      <c:layout>
        <c:manualLayout>
          <c:xMode val="edge"/>
          <c:yMode val="edge"/>
          <c:x val="0.24782381942937845"/>
          <c:y val="0.11304591555685169"/>
          <c:w val="0.16894172209056393"/>
          <c:h val="0.14883056284631091"/>
        </c:manualLayout>
      </c:layout>
      <c:spPr>
        <a:solidFill>
          <a:schemeClr val="bg1"/>
        </a:solidFill>
        <a:ln>
          <a:solidFill>
            <a:schemeClr val="bg1">
              <a:lumMod val="85000"/>
            </a:schemeClr>
          </a:solidFill>
        </a:ln>
      </c:spPr>
    </c:legend>
    <c:plotVisOnly val="1"/>
  </c:chart>
  <c:spPr>
    <a:ln>
      <a:solidFill>
        <a:schemeClr val="bg1">
          <a:lumMod val="85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58573928258966"/>
          <c:y val="5.1400554097404488E-2"/>
          <c:w val="0.72799518810148933"/>
          <c:h val="0.5824284813560302"/>
        </c:manualLayout>
      </c:layout>
      <c:barChart>
        <c:barDir val="col"/>
        <c:grouping val="clustered"/>
        <c:ser>
          <c:idx val="0"/>
          <c:order val="0"/>
          <c:tx>
            <c:v>Commitment amount</c:v>
          </c:tx>
          <c:cat>
            <c:strRef>
              <c:f>Sheet3!$A$132:$A$137</c:f>
              <c:strCache>
                <c:ptCount val="6"/>
                <c:pt idx="0">
                  <c:v>EAP</c:v>
                </c:pt>
                <c:pt idx="1">
                  <c:v>SAR</c:v>
                </c:pt>
                <c:pt idx="2">
                  <c:v>LAC</c:v>
                </c:pt>
                <c:pt idx="3">
                  <c:v>ECA</c:v>
                </c:pt>
                <c:pt idx="4">
                  <c:v>MNA</c:v>
                </c:pt>
                <c:pt idx="5">
                  <c:v>AFR</c:v>
                </c:pt>
              </c:strCache>
            </c:strRef>
          </c:cat>
          <c:val>
            <c:numRef>
              <c:f>Sheet3!$B$132:$B$137</c:f>
              <c:numCache>
                <c:formatCode>_(* #,##0.0_);_(* \(#,##0.0\);_(* "-"??_);_(@_)</c:formatCode>
                <c:ptCount val="6"/>
                <c:pt idx="0">
                  <c:v>1090.239</c:v>
                </c:pt>
                <c:pt idx="1">
                  <c:v>486.89340000000004</c:v>
                </c:pt>
                <c:pt idx="2">
                  <c:v>470.12109999999927</c:v>
                </c:pt>
                <c:pt idx="3">
                  <c:v>370.23179999999866</c:v>
                </c:pt>
                <c:pt idx="4">
                  <c:v>176.68800000000007</c:v>
                </c:pt>
                <c:pt idx="5">
                  <c:v>106.342</c:v>
                </c:pt>
              </c:numCache>
            </c:numRef>
          </c:val>
        </c:ser>
        <c:axId val="229625856"/>
        <c:axId val="229627392"/>
      </c:barChart>
      <c:lineChart>
        <c:grouping val="standard"/>
        <c:ser>
          <c:idx val="1"/>
          <c:order val="1"/>
          <c:tx>
            <c:v>As percent of total commitment</c:v>
          </c:tx>
          <c:marker>
            <c:symbol val="none"/>
          </c:marker>
          <c:cat>
            <c:strRef>
              <c:f>Sheet3!$A$132:$A$137</c:f>
              <c:strCache>
                <c:ptCount val="6"/>
                <c:pt idx="0">
                  <c:v>EAP</c:v>
                </c:pt>
                <c:pt idx="1">
                  <c:v>SAR</c:v>
                </c:pt>
                <c:pt idx="2">
                  <c:v>LAC</c:v>
                </c:pt>
                <c:pt idx="3">
                  <c:v>ECA</c:v>
                </c:pt>
                <c:pt idx="4">
                  <c:v>MNA</c:v>
                </c:pt>
                <c:pt idx="5">
                  <c:v>AFR</c:v>
                </c:pt>
              </c:strCache>
            </c:strRef>
          </c:cat>
          <c:val>
            <c:numRef>
              <c:f>Sheet3!$C$132:$C$137</c:f>
              <c:numCache>
                <c:formatCode>0%</c:formatCode>
                <c:ptCount val="6"/>
                <c:pt idx="0">
                  <c:v>0.64953172475424459</c:v>
                </c:pt>
                <c:pt idx="1">
                  <c:v>0.75755134428678161</c:v>
                </c:pt>
                <c:pt idx="2">
                  <c:v>0.74438073975552599</c:v>
                </c:pt>
                <c:pt idx="3">
                  <c:v>0.72721376519809078</c:v>
                </c:pt>
                <c:pt idx="4">
                  <c:v>0.81385536619069565</c:v>
                </c:pt>
                <c:pt idx="5">
                  <c:v>0.61165305418152716</c:v>
                </c:pt>
              </c:numCache>
            </c:numRef>
          </c:val>
        </c:ser>
        <c:marker val="1"/>
        <c:axId val="229647488"/>
        <c:axId val="229629312"/>
      </c:lineChart>
      <c:catAx>
        <c:axId val="229625856"/>
        <c:scaling>
          <c:orientation val="minMax"/>
        </c:scaling>
        <c:axPos val="b"/>
        <c:majorTickMark val="none"/>
        <c:tickLblPos val="nextTo"/>
        <c:crossAx val="229627392"/>
        <c:crosses val="autoZero"/>
        <c:auto val="1"/>
        <c:lblAlgn val="ctr"/>
        <c:lblOffset val="100"/>
      </c:catAx>
      <c:valAx>
        <c:axId val="229627392"/>
        <c:scaling>
          <c:orientation val="minMax"/>
        </c:scaling>
        <c:axPos val="l"/>
        <c:majorGridlines>
          <c:spPr>
            <a:ln>
              <a:prstDash val="sysDot"/>
            </a:ln>
          </c:spPr>
        </c:majorGridlines>
        <c:title>
          <c:tx>
            <c:rich>
              <a:bodyPr rot="-5400000" vert="horz"/>
              <a:lstStyle/>
              <a:p>
                <a:pPr>
                  <a:defRPr/>
                </a:pPr>
                <a:r>
                  <a:rPr lang="en-US"/>
                  <a:t>US$ million</a:t>
                </a:r>
              </a:p>
            </c:rich>
          </c:tx>
        </c:title>
        <c:numFmt formatCode="#,##0" sourceLinked="0"/>
        <c:tickLblPos val="nextTo"/>
        <c:crossAx val="229625856"/>
        <c:crosses val="autoZero"/>
        <c:crossBetween val="between"/>
      </c:valAx>
      <c:valAx>
        <c:axId val="229629312"/>
        <c:scaling>
          <c:orientation val="minMax"/>
          <c:max val="0.9"/>
        </c:scaling>
        <c:axPos val="r"/>
        <c:numFmt formatCode="0%" sourceLinked="1"/>
        <c:tickLblPos val="nextTo"/>
        <c:crossAx val="229647488"/>
        <c:crosses val="max"/>
        <c:crossBetween val="between"/>
        <c:majorUnit val="0.15000000000000024"/>
      </c:valAx>
      <c:catAx>
        <c:axId val="229647488"/>
        <c:scaling>
          <c:orientation val="minMax"/>
        </c:scaling>
        <c:delete val="1"/>
        <c:axPos val="b"/>
        <c:tickLblPos val="none"/>
        <c:crossAx val="229629312"/>
        <c:crosses val="autoZero"/>
        <c:auto val="1"/>
        <c:lblAlgn val="ctr"/>
        <c:lblOffset val="100"/>
      </c:catAx>
      <c:spPr>
        <a:ln>
          <a:solidFill>
            <a:sysClr val="windowText" lastClr="000000">
              <a:tint val="75000"/>
              <a:shade val="95000"/>
              <a:satMod val="105000"/>
            </a:sysClr>
          </a:solidFill>
        </a:ln>
      </c:spPr>
    </c:plotArea>
    <c:legend>
      <c:legendPos val="r"/>
      <c:layout>
        <c:manualLayout>
          <c:xMode val="edge"/>
          <c:yMode val="edge"/>
          <c:x val="2.6027172135397982E-2"/>
          <c:y val="0.79730551181102349"/>
          <c:w val="0.90898658944227551"/>
          <c:h val="0.16463254593175816"/>
        </c:manualLayout>
      </c:layout>
    </c:legend>
    <c:plotVisOnly val="1"/>
    <c:dispBlanksAs val="gap"/>
  </c:chart>
  <c:spPr>
    <a:ln>
      <a:solidFill>
        <a:sysClr val="windowText" lastClr="000000">
          <a:tint val="75000"/>
          <a:shade val="95000"/>
          <a:satMod val="105000"/>
        </a:sys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207219999139474"/>
          <c:y val="5.1400554097404488E-2"/>
          <c:w val="0.75859627382642769"/>
          <c:h val="0.76400623835064163"/>
        </c:manualLayout>
      </c:layout>
      <c:barChart>
        <c:barDir val="col"/>
        <c:grouping val="clustered"/>
        <c:ser>
          <c:idx val="0"/>
          <c:order val="0"/>
          <c:dLbls>
            <c:txPr>
              <a:bodyPr/>
              <a:lstStyle/>
              <a:p>
                <a:pPr>
                  <a:defRPr b="1"/>
                </a:pPr>
                <a:endParaRPr lang="en-US"/>
              </a:p>
            </c:txPr>
            <c:showVal val="1"/>
          </c:dLbls>
          <c:cat>
            <c:strRef>
              <c:f>Graphics!$O$132:$O$137</c:f>
              <c:strCache>
                <c:ptCount val="6"/>
                <c:pt idx="0">
                  <c:v>EAP</c:v>
                </c:pt>
                <c:pt idx="1">
                  <c:v>SAR</c:v>
                </c:pt>
                <c:pt idx="2">
                  <c:v>ECA</c:v>
                </c:pt>
                <c:pt idx="3">
                  <c:v>MNA</c:v>
                </c:pt>
                <c:pt idx="4">
                  <c:v>LAC</c:v>
                </c:pt>
                <c:pt idx="5">
                  <c:v>AFR</c:v>
                </c:pt>
              </c:strCache>
            </c:strRef>
          </c:cat>
          <c:val>
            <c:numRef>
              <c:f>Graphics!$R$132:$R$137</c:f>
              <c:numCache>
                <c:formatCode>_(* #,##0.0_);_(* \(#,##0.0\);_(* "-"??_);_(@_)</c:formatCode>
                <c:ptCount val="6"/>
                <c:pt idx="0">
                  <c:v>72.682600000000008</c:v>
                </c:pt>
                <c:pt idx="1">
                  <c:v>54.099266666666537</c:v>
                </c:pt>
                <c:pt idx="2">
                  <c:v>33.657436363636208</c:v>
                </c:pt>
                <c:pt idx="3">
                  <c:v>25.241142857142787</c:v>
                </c:pt>
                <c:pt idx="4">
                  <c:v>22.386719047619007</c:v>
                </c:pt>
                <c:pt idx="5">
                  <c:v>7.5958571428571418</c:v>
                </c:pt>
              </c:numCache>
            </c:numRef>
          </c:val>
        </c:ser>
        <c:dLbls>
          <c:showVal val="1"/>
        </c:dLbls>
        <c:axId val="229656448"/>
        <c:axId val="229657984"/>
      </c:barChart>
      <c:catAx>
        <c:axId val="229656448"/>
        <c:scaling>
          <c:orientation val="minMax"/>
        </c:scaling>
        <c:axPos val="b"/>
        <c:majorTickMark val="none"/>
        <c:tickLblPos val="nextTo"/>
        <c:crossAx val="229657984"/>
        <c:crosses val="autoZero"/>
        <c:auto val="1"/>
        <c:lblAlgn val="ctr"/>
        <c:lblOffset val="100"/>
      </c:catAx>
      <c:valAx>
        <c:axId val="229657984"/>
        <c:scaling>
          <c:orientation val="minMax"/>
        </c:scaling>
        <c:axPos val="l"/>
        <c:majorGridlines>
          <c:spPr>
            <a:ln>
              <a:prstDash val="sysDot"/>
            </a:ln>
          </c:spPr>
        </c:majorGridlines>
        <c:title>
          <c:tx>
            <c:rich>
              <a:bodyPr rot="-5400000" vert="horz"/>
              <a:lstStyle/>
              <a:p>
                <a:pPr>
                  <a:defRPr/>
                </a:pPr>
                <a:r>
                  <a:rPr lang="en-US"/>
                  <a:t>US$ million per project</a:t>
                </a:r>
              </a:p>
            </c:rich>
          </c:tx>
        </c:title>
        <c:numFmt formatCode="#,##0" sourceLinked="0"/>
        <c:tickLblPos val="nextTo"/>
        <c:crossAx val="229656448"/>
        <c:crosses val="autoZero"/>
        <c:crossBetween val="between"/>
      </c:valAx>
      <c:spPr>
        <a:ln>
          <a:solidFill>
            <a:sysClr val="windowText" lastClr="000000">
              <a:tint val="75000"/>
              <a:shade val="95000"/>
              <a:satMod val="105000"/>
            </a:sysClr>
          </a:solidFill>
        </a:ln>
      </c:spPr>
    </c:plotArea>
    <c:plotVisOnly val="1"/>
    <c:dispBlanksAs val="gap"/>
  </c:chart>
  <c:spPr>
    <a:ln>
      <a:solidFill>
        <a:sysClr val="windowText" lastClr="000000">
          <a:tint val="75000"/>
          <a:shade val="95000"/>
          <a:satMod val="105000"/>
        </a:sys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dLbl>
              <c:idx val="0"/>
              <c:tx>
                <c:rich>
                  <a:bodyPr/>
                  <a:lstStyle/>
                  <a:p>
                    <a:r>
                      <a:rPr lang="en-US" b="1"/>
                      <a:t>EAP (15)</a:t>
                    </a:r>
                  </a:p>
                  <a:p>
                    <a:r>
                      <a:rPr lang="en-US" b="1"/>
                      <a:t>20%</a:t>
                    </a:r>
                  </a:p>
                </c:rich>
              </c:tx>
              <c:dLblPos val="outEnd"/>
              <c:showVal val="1"/>
              <c:showCatName val="1"/>
              <c:showPercent val="1"/>
              <c:separator> </c:separator>
            </c:dLbl>
            <c:dLbl>
              <c:idx val="1"/>
              <c:tx>
                <c:rich>
                  <a:bodyPr/>
                  <a:lstStyle/>
                  <a:p>
                    <a:r>
                      <a:rPr lang="en-US" b="1"/>
                      <a:t>SAR (9)</a:t>
                    </a:r>
                  </a:p>
                  <a:p>
                    <a:r>
                      <a:rPr lang="en-US" b="1"/>
                      <a:t>12%</a:t>
                    </a:r>
                  </a:p>
                </c:rich>
              </c:tx>
              <c:dLblPos val="outEnd"/>
              <c:showVal val="1"/>
              <c:showCatName val="1"/>
              <c:showPercent val="1"/>
              <c:separator> </c:separator>
            </c:dLbl>
            <c:dLbl>
              <c:idx val="2"/>
              <c:tx>
                <c:rich>
                  <a:bodyPr/>
                  <a:lstStyle/>
                  <a:p>
                    <a:r>
                      <a:rPr lang="en-US" b="1"/>
                      <a:t>ECA (11)</a:t>
                    </a:r>
                  </a:p>
                  <a:p>
                    <a:r>
                      <a:rPr lang="en-US" b="1"/>
                      <a:t>14%</a:t>
                    </a:r>
                  </a:p>
                </c:rich>
              </c:tx>
              <c:dLblPos val="outEnd"/>
              <c:showVal val="1"/>
              <c:showCatName val="1"/>
              <c:showPercent val="1"/>
              <c:separator> </c:separator>
            </c:dLbl>
            <c:dLbl>
              <c:idx val="3"/>
              <c:tx>
                <c:rich>
                  <a:bodyPr/>
                  <a:lstStyle/>
                  <a:p>
                    <a:r>
                      <a:rPr lang="en-US" b="1"/>
                      <a:t>MNA (7)</a:t>
                    </a:r>
                  </a:p>
                  <a:p>
                    <a:r>
                      <a:rPr lang="en-US" b="1"/>
                      <a:t> 9%</a:t>
                    </a:r>
                  </a:p>
                </c:rich>
              </c:tx>
              <c:dLblPos val="outEnd"/>
              <c:showVal val="1"/>
              <c:showCatName val="1"/>
              <c:showPercent val="1"/>
              <c:separator> </c:separator>
            </c:dLbl>
            <c:dLbl>
              <c:idx val="4"/>
              <c:tx>
                <c:rich>
                  <a:bodyPr/>
                  <a:lstStyle/>
                  <a:p>
                    <a:r>
                      <a:rPr lang="en-US" b="1"/>
                      <a:t>LAC (21)</a:t>
                    </a:r>
                  </a:p>
                  <a:p>
                    <a:r>
                      <a:rPr lang="en-US" b="1"/>
                      <a:t>27%</a:t>
                    </a:r>
                  </a:p>
                </c:rich>
              </c:tx>
              <c:dLblPos val="outEnd"/>
              <c:showVal val="1"/>
              <c:showCatName val="1"/>
              <c:showPercent val="1"/>
              <c:separator> </c:separator>
            </c:dLbl>
            <c:dLbl>
              <c:idx val="5"/>
              <c:tx>
                <c:rich>
                  <a:bodyPr/>
                  <a:lstStyle/>
                  <a:p>
                    <a:r>
                      <a:rPr lang="en-US" b="1"/>
                      <a:t>AFR (14)</a:t>
                    </a:r>
                  </a:p>
                  <a:p>
                    <a:r>
                      <a:rPr lang="en-US" b="1"/>
                      <a:t>18%</a:t>
                    </a:r>
                  </a:p>
                </c:rich>
              </c:tx>
              <c:dLblPos val="outEnd"/>
              <c:showVal val="1"/>
              <c:showCatName val="1"/>
              <c:showPercent val="1"/>
              <c:separator> </c:separator>
            </c:dLbl>
            <c:txPr>
              <a:bodyPr/>
              <a:lstStyle/>
              <a:p>
                <a:pPr>
                  <a:defRPr b="1"/>
                </a:pPr>
                <a:endParaRPr lang="en-US"/>
              </a:p>
            </c:txPr>
            <c:dLblPos val="outEnd"/>
            <c:showVal val="1"/>
            <c:showCatName val="1"/>
            <c:showPercent val="1"/>
            <c:separator> </c:separator>
          </c:dLbls>
          <c:cat>
            <c:strRef>
              <c:f>Graphics!$O$132:$O$137</c:f>
              <c:strCache>
                <c:ptCount val="6"/>
                <c:pt idx="0">
                  <c:v>EAP</c:v>
                </c:pt>
                <c:pt idx="1">
                  <c:v>SAR</c:v>
                </c:pt>
                <c:pt idx="2">
                  <c:v>ECA</c:v>
                </c:pt>
                <c:pt idx="3">
                  <c:v>MNA</c:v>
                </c:pt>
                <c:pt idx="4">
                  <c:v>LAC</c:v>
                </c:pt>
                <c:pt idx="5">
                  <c:v>AFR</c:v>
                </c:pt>
              </c:strCache>
            </c:strRef>
          </c:cat>
          <c:val>
            <c:numRef>
              <c:f>Graphics!$Q$132:$Q$137</c:f>
              <c:numCache>
                <c:formatCode>General</c:formatCode>
                <c:ptCount val="6"/>
                <c:pt idx="0">
                  <c:v>15</c:v>
                </c:pt>
                <c:pt idx="1">
                  <c:v>9</c:v>
                </c:pt>
                <c:pt idx="2">
                  <c:v>11</c:v>
                </c:pt>
                <c:pt idx="3">
                  <c:v>7</c:v>
                </c:pt>
                <c:pt idx="4">
                  <c:v>21</c:v>
                </c:pt>
                <c:pt idx="5">
                  <c:v>14</c:v>
                </c:pt>
              </c:numCache>
            </c:numRef>
          </c:val>
        </c:ser>
        <c:dLbls>
          <c:showVal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chemeClr val="bg2">
                  <a:lumMod val="75000"/>
                </a:schemeClr>
              </a:solidFill>
            </c:spPr>
          </c:dPt>
          <c:dPt>
            <c:idx val="1"/>
            <c:spPr>
              <a:solidFill>
                <a:schemeClr val="accent2"/>
              </a:solidFill>
            </c:spPr>
          </c:dPt>
          <c:dPt>
            <c:idx val="2"/>
            <c:spPr>
              <a:solidFill>
                <a:schemeClr val="accent6">
                  <a:lumMod val="40000"/>
                  <a:lumOff val="60000"/>
                </a:schemeClr>
              </a:solidFill>
            </c:spPr>
          </c:dPt>
          <c:dPt>
            <c:idx val="3"/>
            <c:spPr>
              <a:solidFill>
                <a:schemeClr val="accent4"/>
              </a:solidFill>
            </c:spPr>
          </c:dPt>
          <c:dPt>
            <c:idx val="4"/>
            <c:spPr>
              <a:solidFill>
                <a:srgbClr val="00B050"/>
              </a:solidFill>
            </c:spPr>
          </c:dPt>
          <c:dPt>
            <c:idx val="5"/>
            <c:spPr>
              <a:solidFill>
                <a:schemeClr val="tx2">
                  <a:lumMod val="60000"/>
                  <a:lumOff val="40000"/>
                </a:schemeClr>
              </a:solidFill>
            </c:spPr>
          </c:dPt>
          <c:dLbls>
            <c:dLbl>
              <c:idx val="1"/>
              <c:layout>
                <c:manualLayout>
                  <c:x val="8.3333333333334546E-3"/>
                  <c:y val="-3.7037037037037056E-2"/>
                </c:manualLayout>
              </c:layout>
              <c:dLblPos val="bestFit"/>
              <c:showCatName val="1"/>
              <c:showPercent val="1"/>
              <c:separator>
</c:separator>
            </c:dLbl>
            <c:dLbl>
              <c:idx val="2"/>
              <c:layout>
                <c:manualLayout>
                  <c:x val="9.7222003499562573E-2"/>
                  <c:y val="-6.0185185185185147E-2"/>
                </c:manualLayout>
              </c:layout>
              <c:dLblPos val="bestFit"/>
              <c:showCatName val="1"/>
              <c:showPercent val="1"/>
              <c:separator>
</c:separator>
            </c:dLbl>
            <c:dLbl>
              <c:idx val="3"/>
              <c:layout>
                <c:manualLayout>
                  <c:x val="-4.1666666666666664E-2"/>
                  <c:y val="2.0886555847185847E-2"/>
                </c:manualLayout>
              </c:layout>
              <c:dLblPos val="bestFit"/>
              <c:showCatName val="1"/>
              <c:showPercent val="1"/>
              <c:separator>
</c:separator>
            </c:dLbl>
            <c:dLbl>
              <c:idx val="4"/>
              <c:layout>
                <c:manualLayout>
                  <c:x val="-3.6111111111111205E-2"/>
                  <c:y val="-9.2592592592593101E-2"/>
                </c:manualLayout>
              </c:layout>
              <c:dLblPos val="bestFit"/>
              <c:showCatName val="1"/>
              <c:showPercent val="1"/>
              <c:separator>
</c:separator>
            </c:dLbl>
            <c:txPr>
              <a:bodyPr/>
              <a:lstStyle/>
              <a:p>
                <a:pPr>
                  <a:defRPr sz="1000" b="1">
                    <a:latin typeface="Times New Roman" pitchFamily="18" charset="0"/>
                    <a:cs typeface="Times New Roman" pitchFamily="18" charset="0"/>
                  </a:defRPr>
                </a:pPr>
                <a:endParaRPr lang="en-US"/>
              </a:p>
            </c:txPr>
            <c:dLblPos val="outEnd"/>
            <c:showCatName val="1"/>
            <c:showPercent val="1"/>
            <c:separator>
</c:separator>
          </c:dLbls>
          <c:cat>
            <c:strRef>
              <c:f>Graphics!$A$173:$A$178</c:f>
              <c:strCache>
                <c:ptCount val="6"/>
                <c:pt idx="0">
                  <c:v>Agriculture and Rural Development</c:v>
                </c:pt>
                <c:pt idx="1">
                  <c:v>Financial and Private Sector Development</c:v>
                </c:pt>
                <c:pt idx="2">
                  <c:v>Urban Development</c:v>
                </c:pt>
                <c:pt idx="3">
                  <c:v>Transport</c:v>
                </c:pt>
                <c:pt idx="4">
                  <c:v>Environment</c:v>
                </c:pt>
                <c:pt idx="5">
                  <c:v>Water</c:v>
                </c:pt>
              </c:strCache>
            </c:strRef>
          </c:cat>
          <c:val>
            <c:numRef>
              <c:f>Graphics!$B$173:$B$178</c:f>
              <c:numCache>
                <c:formatCode>General</c:formatCode>
                <c:ptCount val="6"/>
                <c:pt idx="0">
                  <c:v>19</c:v>
                </c:pt>
                <c:pt idx="1">
                  <c:v>2</c:v>
                </c:pt>
                <c:pt idx="2">
                  <c:v>29</c:v>
                </c:pt>
                <c:pt idx="3">
                  <c:v>2</c:v>
                </c:pt>
                <c:pt idx="4">
                  <c:v>9</c:v>
                </c:pt>
                <c:pt idx="5">
                  <c:v>16</c:v>
                </c:pt>
              </c:numCache>
            </c:numRef>
          </c:val>
        </c:ser>
        <c:dLbls>
          <c:showVal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6C74-FBEB-46F0-94C8-777B7468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3</cp:revision>
  <dcterms:created xsi:type="dcterms:W3CDTF">2012-02-27T18:54:00Z</dcterms:created>
  <dcterms:modified xsi:type="dcterms:W3CDTF">2012-02-27T19:02:00Z</dcterms:modified>
</cp:coreProperties>
</file>