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80464" w14:textId="7064632D" w:rsidR="00E47B22" w:rsidRPr="001520DB" w:rsidRDefault="00E47B22" w:rsidP="00E47B22">
      <w:pPr>
        <w:spacing w:after="240" w:line="240" w:lineRule="auto"/>
        <w:rPr>
          <w:rFonts w:cstheme="minorHAnsi"/>
          <w:sz w:val="24"/>
          <w:szCs w:val="24"/>
        </w:rPr>
      </w:pPr>
      <w:bookmarkStart w:id="0" w:name="_Hlk508293845"/>
      <w:bookmarkStart w:id="1" w:name="_Hlk516840502"/>
      <w:bookmarkStart w:id="2" w:name="_Hlk516835888"/>
      <w:bookmarkStart w:id="3" w:name="_GoBack"/>
      <w:bookmarkEnd w:id="0"/>
      <w:bookmarkEnd w:id="3"/>
    </w:p>
    <w:p w14:paraId="49AD2F31" w14:textId="77777777" w:rsidR="00E47B22" w:rsidRDefault="00E47B22" w:rsidP="00E47B22">
      <w:pPr>
        <w:spacing w:after="240" w:line="240" w:lineRule="auto"/>
        <w:rPr>
          <w:rFonts w:cstheme="minorHAnsi"/>
          <w:sz w:val="48"/>
          <w:szCs w:val="48"/>
        </w:rPr>
      </w:pPr>
    </w:p>
    <w:p w14:paraId="13F853DA" w14:textId="77777777" w:rsidR="00E47B22" w:rsidRPr="009B5ADB" w:rsidRDefault="00E47B22" w:rsidP="00E47B22">
      <w:pPr>
        <w:spacing w:after="240" w:line="240" w:lineRule="auto"/>
        <w:rPr>
          <w:rFonts w:cstheme="minorHAnsi"/>
          <w:sz w:val="48"/>
          <w:szCs w:val="48"/>
        </w:rPr>
      </w:pPr>
      <w:r w:rsidRPr="009B5ADB">
        <w:rPr>
          <w:rFonts w:cstheme="minorHAnsi"/>
          <w:sz w:val="48"/>
          <w:szCs w:val="48"/>
        </w:rPr>
        <w:t>Romania</w:t>
      </w:r>
    </w:p>
    <w:p w14:paraId="2AA17D72" w14:textId="77777777" w:rsidR="00E47B22" w:rsidRPr="001520DB" w:rsidRDefault="00E47B22" w:rsidP="00E47B22">
      <w:pPr>
        <w:rPr>
          <w:rFonts w:cstheme="minorHAnsi"/>
          <w:sz w:val="48"/>
          <w:szCs w:val="48"/>
        </w:rPr>
      </w:pPr>
      <w:r w:rsidRPr="001520DB">
        <w:rPr>
          <w:rFonts w:cstheme="minorHAnsi"/>
          <w:sz w:val="48"/>
          <w:szCs w:val="48"/>
        </w:rPr>
        <w:t xml:space="preserve">Systematic Country Diagnostic </w:t>
      </w:r>
    </w:p>
    <w:p w14:paraId="10564BF8" w14:textId="61BE5C73" w:rsidR="00E47B22" w:rsidRPr="0011686D" w:rsidRDefault="0011686D" w:rsidP="00E47B22">
      <w:pPr>
        <w:spacing w:after="240" w:line="240" w:lineRule="auto"/>
        <w:rPr>
          <w:rFonts w:cstheme="minorHAnsi"/>
          <w:smallCaps/>
          <w:sz w:val="36"/>
          <w:szCs w:val="36"/>
        </w:rPr>
      </w:pPr>
      <w:r w:rsidRPr="0011686D">
        <w:rPr>
          <w:rFonts w:cstheme="minorHAnsi"/>
          <w:smallCaps/>
          <w:sz w:val="36"/>
          <w:szCs w:val="36"/>
        </w:rPr>
        <w:t>Background Note</w:t>
      </w:r>
    </w:p>
    <w:bookmarkEnd w:id="1"/>
    <w:p w14:paraId="59AD1C7E" w14:textId="0417EA90" w:rsidR="00E47B22" w:rsidRPr="001520DB" w:rsidRDefault="00175507" w:rsidP="00E47B22">
      <w:pPr>
        <w:spacing w:after="240" w:line="240" w:lineRule="auto"/>
        <w:rPr>
          <w:rFonts w:cstheme="minorHAnsi"/>
          <w:sz w:val="36"/>
          <w:szCs w:val="36"/>
        </w:rPr>
      </w:pPr>
      <w:r>
        <w:rPr>
          <w:rFonts w:cstheme="minorHAnsi"/>
          <w:sz w:val="36"/>
          <w:szCs w:val="36"/>
        </w:rPr>
        <w:t>Education</w:t>
      </w:r>
    </w:p>
    <w:p w14:paraId="612AFED7" w14:textId="77777777" w:rsidR="00E47B22" w:rsidRPr="009B5ADB" w:rsidRDefault="00E47B22" w:rsidP="00E47B22">
      <w:pPr>
        <w:rPr>
          <w:rFonts w:cstheme="minorHAnsi"/>
          <w:b/>
          <w:smallCaps/>
          <w:sz w:val="32"/>
        </w:rPr>
      </w:pPr>
    </w:p>
    <w:p w14:paraId="497F5B9E" w14:textId="77777777" w:rsidR="00E47B22" w:rsidRPr="009B5ADB" w:rsidRDefault="00E47B22" w:rsidP="00E47B22">
      <w:pPr>
        <w:rPr>
          <w:rFonts w:cstheme="minorHAnsi"/>
          <w:b/>
          <w:smallCaps/>
          <w:sz w:val="32"/>
        </w:rPr>
      </w:pPr>
    </w:p>
    <w:p w14:paraId="35EA8A40" w14:textId="7EC43F4F" w:rsidR="00E47B22" w:rsidRPr="001520DB" w:rsidRDefault="0011686D" w:rsidP="00E47B22">
      <w:pPr>
        <w:spacing w:after="240"/>
        <w:rPr>
          <w:rFonts w:cstheme="minorHAnsi"/>
          <w:sz w:val="24"/>
          <w:szCs w:val="24"/>
        </w:rPr>
      </w:pPr>
      <w:r>
        <w:rPr>
          <w:rFonts w:cstheme="minorHAnsi"/>
          <w:sz w:val="24"/>
          <w:szCs w:val="24"/>
        </w:rPr>
        <w:t>June</w:t>
      </w:r>
      <w:r w:rsidRPr="001520DB">
        <w:rPr>
          <w:rFonts w:cstheme="minorHAnsi"/>
          <w:sz w:val="24"/>
          <w:szCs w:val="24"/>
        </w:rPr>
        <w:t xml:space="preserve"> </w:t>
      </w:r>
      <w:r w:rsidR="00E47B22" w:rsidRPr="001520DB">
        <w:rPr>
          <w:rFonts w:cstheme="minorHAnsi"/>
          <w:sz w:val="24"/>
          <w:szCs w:val="24"/>
        </w:rPr>
        <w:t>201</w:t>
      </w:r>
      <w:r w:rsidR="002809E5">
        <w:rPr>
          <w:rFonts w:cstheme="minorHAnsi"/>
          <w:sz w:val="24"/>
          <w:szCs w:val="24"/>
        </w:rPr>
        <w:t>8</w:t>
      </w:r>
    </w:p>
    <w:p w14:paraId="01C68887" w14:textId="77777777" w:rsidR="00E47B22" w:rsidRPr="001520DB" w:rsidRDefault="00E47B22" w:rsidP="00E47B22">
      <w:pPr>
        <w:rPr>
          <w:rFonts w:cstheme="minorHAnsi"/>
          <w:b/>
          <w:smallCaps/>
          <w:sz w:val="24"/>
          <w:szCs w:val="24"/>
        </w:rPr>
      </w:pPr>
    </w:p>
    <w:p w14:paraId="00E4FD77" w14:textId="77777777" w:rsidR="00E47B22" w:rsidRPr="001D7572" w:rsidRDefault="00E47B22" w:rsidP="00E47B22">
      <w:pPr>
        <w:rPr>
          <w:b/>
          <w:smallCaps/>
          <w:sz w:val="32"/>
        </w:rPr>
      </w:pPr>
    </w:p>
    <w:p w14:paraId="6BDC7EBE" w14:textId="77777777" w:rsidR="00E47B22" w:rsidRDefault="00E47B22" w:rsidP="00E47B22">
      <w:pPr>
        <w:rPr>
          <w:b/>
          <w:smallCaps/>
          <w:sz w:val="24"/>
        </w:rPr>
      </w:pPr>
    </w:p>
    <w:p w14:paraId="04F727EE" w14:textId="77777777" w:rsidR="00E47B22" w:rsidRDefault="00E47B22" w:rsidP="00E47B22">
      <w:pPr>
        <w:jc w:val="center"/>
        <w:rPr>
          <w:b/>
          <w:smallCaps/>
          <w:sz w:val="24"/>
        </w:rPr>
      </w:pPr>
    </w:p>
    <w:p w14:paraId="18C37981" w14:textId="77777777" w:rsidR="00E47B22" w:rsidRDefault="00E47B22" w:rsidP="00E47B22">
      <w:pPr>
        <w:jc w:val="center"/>
        <w:rPr>
          <w:b/>
          <w:smallCaps/>
          <w:sz w:val="24"/>
        </w:rPr>
      </w:pPr>
    </w:p>
    <w:p w14:paraId="1E190B81" w14:textId="77777777" w:rsidR="00E47B22" w:rsidRDefault="00E47B22" w:rsidP="00E47B22">
      <w:pPr>
        <w:rPr>
          <w:b/>
          <w:smallCaps/>
          <w:sz w:val="24"/>
        </w:rPr>
      </w:pPr>
    </w:p>
    <w:p w14:paraId="41DB0BD6" w14:textId="7007FD9E" w:rsidR="00E47B22" w:rsidRDefault="00E47B22" w:rsidP="00E47B22">
      <w:pPr>
        <w:rPr>
          <w:b/>
          <w:smallCaps/>
          <w:sz w:val="24"/>
        </w:rPr>
      </w:pPr>
    </w:p>
    <w:p w14:paraId="7D999686" w14:textId="4B81217C" w:rsidR="00714131" w:rsidRDefault="00714131" w:rsidP="00E47B22">
      <w:pPr>
        <w:rPr>
          <w:b/>
          <w:smallCaps/>
          <w:sz w:val="24"/>
        </w:rPr>
      </w:pPr>
    </w:p>
    <w:p w14:paraId="33EE7E2B" w14:textId="170FE51D" w:rsidR="00714131" w:rsidRDefault="00714131" w:rsidP="00E47B22">
      <w:pPr>
        <w:rPr>
          <w:b/>
          <w:smallCaps/>
          <w:sz w:val="24"/>
        </w:rPr>
      </w:pPr>
    </w:p>
    <w:p w14:paraId="57D54627" w14:textId="77777777" w:rsidR="00714131" w:rsidRDefault="00714131" w:rsidP="00E47B22">
      <w:pPr>
        <w:rPr>
          <w:b/>
          <w:smallCaps/>
          <w:sz w:val="24"/>
        </w:rPr>
      </w:pPr>
    </w:p>
    <w:p w14:paraId="0B61DE85" w14:textId="77777777" w:rsidR="00E47B22" w:rsidRDefault="00E47B22" w:rsidP="00E47B22">
      <w:pPr>
        <w:rPr>
          <w:b/>
          <w:smallCaps/>
          <w:sz w:val="24"/>
        </w:rPr>
      </w:pPr>
    </w:p>
    <w:p w14:paraId="23E6C976" w14:textId="06B0D853" w:rsidR="00A53E98" w:rsidRDefault="00E47B22">
      <w:pPr>
        <w:rPr>
          <w:b/>
          <w:smallCaps/>
          <w:sz w:val="24"/>
        </w:rPr>
      </w:pPr>
      <w:r>
        <w:rPr>
          <w:noProof/>
        </w:rPr>
        <w:drawing>
          <wp:inline distT="0" distB="0" distL="0" distR="0" wp14:anchorId="23C82478" wp14:editId="502BC7DD">
            <wp:extent cx="3426780" cy="685800"/>
            <wp:effectExtent l="0" t="0" r="2540" b="0"/>
            <wp:docPr id="3" name="Picture 3" descr="http://intresources.worldbank.org/INTGSDGRAPHICSMAPDESIGN/Resources/285524-1397514004752/9538203-1397514280071/9538213-1397568210656/9538691-1403014988123/WB-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5887" cy="687623"/>
                    </a:xfrm>
                    <a:prstGeom prst="rect">
                      <a:avLst/>
                    </a:prstGeom>
                    <a:noFill/>
                    <a:ln>
                      <a:noFill/>
                    </a:ln>
                  </pic:spPr>
                </pic:pic>
              </a:graphicData>
            </a:graphic>
          </wp:inline>
        </w:drawing>
      </w:r>
    </w:p>
    <w:bookmarkEnd w:id="2"/>
    <w:p w14:paraId="7B906D60" w14:textId="77777777" w:rsidR="0011686D" w:rsidRDefault="0011686D">
      <w:pPr>
        <w:rPr>
          <w:sz w:val="24"/>
        </w:rPr>
      </w:pPr>
    </w:p>
    <w:p w14:paraId="5A50867E" w14:textId="4DC1E325" w:rsidR="00714131" w:rsidRDefault="00714131" w:rsidP="00714131">
      <w:pPr>
        <w:rPr>
          <w:b/>
          <w:smallCaps/>
          <w:sz w:val="24"/>
        </w:rPr>
        <w:sectPr w:rsidR="00714131">
          <w:footerReference w:type="default" r:id="rId12"/>
          <w:pgSz w:w="12240" w:h="15840"/>
          <w:pgMar w:top="1440" w:right="1440" w:bottom="1440" w:left="1440" w:header="720" w:footer="720" w:gutter="0"/>
          <w:cols w:space="720"/>
          <w:docGrid w:linePitch="360"/>
        </w:sectPr>
      </w:pPr>
    </w:p>
    <w:p w14:paraId="5E44699C" w14:textId="77777777" w:rsidR="00714131" w:rsidRDefault="00714131" w:rsidP="00714131">
      <w:pPr>
        <w:pStyle w:val="Heading1"/>
      </w:pPr>
      <w:r>
        <w:lastRenderedPageBreak/>
        <w:t>Acknowledgments</w:t>
      </w:r>
    </w:p>
    <w:p w14:paraId="086CF3AC" w14:textId="5433BA83" w:rsidR="00714131" w:rsidRDefault="00714131" w:rsidP="00714131">
      <w:pPr>
        <w:rPr>
          <w:sz w:val="24"/>
        </w:rPr>
      </w:pPr>
      <w:r>
        <w:rPr>
          <w:sz w:val="24"/>
        </w:rPr>
        <w:t>This note was prepared by</w:t>
      </w:r>
      <w:r w:rsidRPr="0011686D">
        <w:rPr>
          <w:sz w:val="24"/>
        </w:rPr>
        <w:t xml:space="preserve"> Mariana Doina Moarcas, Alina Sava, </w:t>
      </w:r>
      <w:r>
        <w:rPr>
          <w:sz w:val="24"/>
        </w:rPr>
        <w:t xml:space="preserve">Roberta Malee Bassett, and Janssen Edelweiss </w:t>
      </w:r>
      <w:r w:rsidRPr="0011686D">
        <w:rPr>
          <w:sz w:val="24"/>
        </w:rPr>
        <w:t>Teixeira</w:t>
      </w:r>
      <w:r>
        <w:rPr>
          <w:sz w:val="24"/>
        </w:rPr>
        <w:t>.</w:t>
      </w:r>
    </w:p>
    <w:p w14:paraId="5F872122" w14:textId="77777777" w:rsidR="00714131" w:rsidRDefault="00714131" w:rsidP="00714131">
      <w:pPr>
        <w:rPr>
          <w:b/>
          <w:smallCaps/>
          <w:sz w:val="24"/>
        </w:rPr>
      </w:pPr>
    </w:p>
    <w:p w14:paraId="67CB81F1" w14:textId="19408E87" w:rsidR="000A290F" w:rsidRDefault="000A290F">
      <w:pPr>
        <w:rPr>
          <w:b/>
          <w:smallCaps/>
          <w:sz w:val="24"/>
        </w:rPr>
        <w:sectPr w:rsidR="000A290F">
          <w:footerReference w:type="default" r:id="rId13"/>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color w:val="auto"/>
          <w:sz w:val="22"/>
          <w:szCs w:val="22"/>
        </w:rPr>
        <w:id w:val="-766005755"/>
        <w:docPartObj>
          <w:docPartGallery w:val="Table of Contents"/>
          <w:docPartUnique/>
        </w:docPartObj>
      </w:sdtPr>
      <w:sdtEndPr>
        <w:rPr>
          <w:bCs/>
          <w:noProof/>
        </w:rPr>
      </w:sdtEndPr>
      <w:sdtContent>
        <w:p w14:paraId="60B22AF7" w14:textId="6FDEC0C3" w:rsidR="00B54316" w:rsidRDefault="00B54316">
          <w:pPr>
            <w:pStyle w:val="TOCHeading"/>
          </w:pPr>
          <w:r>
            <w:t>Contents</w:t>
          </w:r>
        </w:p>
        <w:p w14:paraId="5EBCB3D7" w14:textId="2F9CAC0F" w:rsidR="00B54316" w:rsidRDefault="00B54316" w:rsidP="00F2263B">
          <w:pPr>
            <w:pStyle w:val="TOC2"/>
            <w:tabs>
              <w:tab w:val="right" w:leader="dot" w:pos="9350"/>
            </w:tabs>
            <w:spacing w:after="120"/>
            <w:rPr>
              <w:rFonts w:eastAsiaTheme="minorEastAsia"/>
              <w:noProof/>
            </w:rPr>
          </w:pPr>
          <w:r>
            <w:fldChar w:fldCharType="begin"/>
          </w:r>
          <w:r>
            <w:instrText xml:space="preserve"> TOC \o "1-3" \h \z \u </w:instrText>
          </w:r>
          <w:r>
            <w:fldChar w:fldCharType="separate"/>
          </w:r>
          <w:hyperlink w:anchor="_Toc508294583" w:history="1">
            <w:r w:rsidRPr="007C5183">
              <w:rPr>
                <w:rStyle w:val="Hyperlink"/>
                <w:noProof/>
              </w:rPr>
              <w:t>Introduction</w:t>
            </w:r>
            <w:r>
              <w:rPr>
                <w:noProof/>
                <w:webHidden/>
              </w:rPr>
              <w:tab/>
            </w:r>
            <w:r>
              <w:rPr>
                <w:noProof/>
                <w:webHidden/>
              </w:rPr>
              <w:fldChar w:fldCharType="begin"/>
            </w:r>
            <w:r>
              <w:rPr>
                <w:noProof/>
                <w:webHidden/>
              </w:rPr>
              <w:instrText xml:space="preserve"> PAGEREF _Toc508294583 \h </w:instrText>
            </w:r>
            <w:r>
              <w:rPr>
                <w:noProof/>
                <w:webHidden/>
              </w:rPr>
            </w:r>
            <w:r>
              <w:rPr>
                <w:noProof/>
                <w:webHidden/>
              </w:rPr>
              <w:fldChar w:fldCharType="separate"/>
            </w:r>
            <w:r w:rsidR="005D08EB">
              <w:rPr>
                <w:noProof/>
                <w:webHidden/>
              </w:rPr>
              <w:t>2</w:t>
            </w:r>
            <w:r>
              <w:rPr>
                <w:noProof/>
                <w:webHidden/>
              </w:rPr>
              <w:fldChar w:fldCharType="end"/>
            </w:r>
          </w:hyperlink>
        </w:p>
        <w:p w14:paraId="084C30B3" w14:textId="059F3D46" w:rsidR="00B54316" w:rsidRDefault="00AD1EA7" w:rsidP="00F2263B">
          <w:pPr>
            <w:pStyle w:val="TOC2"/>
            <w:tabs>
              <w:tab w:val="right" w:leader="dot" w:pos="9350"/>
            </w:tabs>
            <w:spacing w:after="120"/>
            <w:rPr>
              <w:rFonts w:eastAsiaTheme="minorEastAsia"/>
              <w:noProof/>
            </w:rPr>
          </w:pPr>
          <w:hyperlink w:anchor="_Toc508294584" w:history="1">
            <w:r w:rsidR="00B54316" w:rsidRPr="007C5183">
              <w:rPr>
                <w:rStyle w:val="Hyperlink"/>
                <w:noProof/>
              </w:rPr>
              <w:t>Addressing Equity Issues and Promoting Inclusion</w:t>
            </w:r>
            <w:r w:rsidR="00B54316">
              <w:rPr>
                <w:noProof/>
                <w:webHidden/>
              </w:rPr>
              <w:tab/>
            </w:r>
            <w:r w:rsidR="00B54316">
              <w:rPr>
                <w:noProof/>
                <w:webHidden/>
              </w:rPr>
              <w:fldChar w:fldCharType="begin"/>
            </w:r>
            <w:r w:rsidR="00B54316">
              <w:rPr>
                <w:noProof/>
                <w:webHidden/>
              </w:rPr>
              <w:instrText xml:space="preserve"> PAGEREF _Toc508294584 \h </w:instrText>
            </w:r>
            <w:r w:rsidR="00B54316">
              <w:rPr>
                <w:noProof/>
                <w:webHidden/>
              </w:rPr>
            </w:r>
            <w:r w:rsidR="00B54316">
              <w:rPr>
                <w:noProof/>
                <w:webHidden/>
              </w:rPr>
              <w:fldChar w:fldCharType="separate"/>
            </w:r>
            <w:r w:rsidR="005D08EB">
              <w:rPr>
                <w:noProof/>
                <w:webHidden/>
              </w:rPr>
              <w:t>2</w:t>
            </w:r>
            <w:r w:rsidR="00B54316">
              <w:rPr>
                <w:noProof/>
                <w:webHidden/>
              </w:rPr>
              <w:fldChar w:fldCharType="end"/>
            </w:r>
          </w:hyperlink>
        </w:p>
        <w:p w14:paraId="6DF50496" w14:textId="3F4D4B77" w:rsidR="00B54316" w:rsidRDefault="00AD1EA7" w:rsidP="00F2263B">
          <w:pPr>
            <w:pStyle w:val="TOC2"/>
            <w:tabs>
              <w:tab w:val="right" w:leader="dot" w:pos="9350"/>
            </w:tabs>
            <w:spacing w:after="120"/>
            <w:rPr>
              <w:rFonts w:eastAsiaTheme="minorEastAsia"/>
              <w:noProof/>
            </w:rPr>
          </w:pPr>
          <w:hyperlink w:anchor="_Toc508294585" w:history="1">
            <w:r w:rsidR="00B54316" w:rsidRPr="007C5183">
              <w:rPr>
                <w:rStyle w:val="Hyperlink"/>
                <w:noProof/>
              </w:rPr>
              <w:t>Delivering Quality Education for All and Relevant Skills for the Labor Market</w:t>
            </w:r>
            <w:r w:rsidR="00B54316">
              <w:rPr>
                <w:noProof/>
                <w:webHidden/>
              </w:rPr>
              <w:tab/>
            </w:r>
            <w:r w:rsidR="00B54316">
              <w:rPr>
                <w:noProof/>
                <w:webHidden/>
              </w:rPr>
              <w:fldChar w:fldCharType="begin"/>
            </w:r>
            <w:r w:rsidR="00B54316">
              <w:rPr>
                <w:noProof/>
                <w:webHidden/>
              </w:rPr>
              <w:instrText xml:space="preserve"> PAGEREF _Toc508294585 \h </w:instrText>
            </w:r>
            <w:r w:rsidR="00B54316">
              <w:rPr>
                <w:noProof/>
                <w:webHidden/>
              </w:rPr>
            </w:r>
            <w:r w:rsidR="00B54316">
              <w:rPr>
                <w:noProof/>
                <w:webHidden/>
              </w:rPr>
              <w:fldChar w:fldCharType="separate"/>
            </w:r>
            <w:r w:rsidR="005D08EB">
              <w:rPr>
                <w:noProof/>
                <w:webHidden/>
              </w:rPr>
              <w:t>5</w:t>
            </w:r>
            <w:r w:rsidR="00B54316">
              <w:rPr>
                <w:noProof/>
                <w:webHidden/>
              </w:rPr>
              <w:fldChar w:fldCharType="end"/>
            </w:r>
          </w:hyperlink>
        </w:p>
        <w:p w14:paraId="6BBDEC38" w14:textId="0361CB27" w:rsidR="00B54316" w:rsidRDefault="00AD1EA7" w:rsidP="00F2263B">
          <w:pPr>
            <w:pStyle w:val="TOC2"/>
            <w:tabs>
              <w:tab w:val="right" w:leader="dot" w:pos="9350"/>
            </w:tabs>
            <w:spacing w:after="120"/>
            <w:rPr>
              <w:rFonts w:eastAsiaTheme="minorEastAsia"/>
              <w:noProof/>
            </w:rPr>
          </w:pPr>
          <w:hyperlink w:anchor="_Toc508294586" w:history="1">
            <w:r w:rsidR="00B54316" w:rsidRPr="007C5183">
              <w:rPr>
                <w:rStyle w:val="Hyperlink"/>
                <w:noProof/>
              </w:rPr>
              <w:t>Addressing financing and governance of the education sector</w:t>
            </w:r>
            <w:r w:rsidR="00B54316">
              <w:rPr>
                <w:noProof/>
                <w:webHidden/>
              </w:rPr>
              <w:tab/>
            </w:r>
            <w:r w:rsidR="00B54316">
              <w:rPr>
                <w:noProof/>
                <w:webHidden/>
              </w:rPr>
              <w:fldChar w:fldCharType="begin"/>
            </w:r>
            <w:r w:rsidR="00B54316">
              <w:rPr>
                <w:noProof/>
                <w:webHidden/>
              </w:rPr>
              <w:instrText xml:space="preserve"> PAGEREF _Toc508294586 \h </w:instrText>
            </w:r>
            <w:r w:rsidR="00B54316">
              <w:rPr>
                <w:noProof/>
                <w:webHidden/>
              </w:rPr>
            </w:r>
            <w:r w:rsidR="00B54316">
              <w:rPr>
                <w:noProof/>
                <w:webHidden/>
              </w:rPr>
              <w:fldChar w:fldCharType="separate"/>
            </w:r>
            <w:r w:rsidR="005D08EB">
              <w:rPr>
                <w:noProof/>
                <w:webHidden/>
              </w:rPr>
              <w:t>8</w:t>
            </w:r>
            <w:r w:rsidR="00B54316">
              <w:rPr>
                <w:noProof/>
                <w:webHidden/>
              </w:rPr>
              <w:fldChar w:fldCharType="end"/>
            </w:r>
          </w:hyperlink>
        </w:p>
        <w:p w14:paraId="2E271DB3" w14:textId="32378E2D" w:rsidR="00B54316" w:rsidRDefault="00B54316" w:rsidP="00F2263B">
          <w:pPr>
            <w:spacing w:after="120"/>
          </w:pPr>
          <w:r>
            <w:rPr>
              <w:b/>
              <w:bCs/>
              <w:noProof/>
            </w:rPr>
            <w:fldChar w:fldCharType="end"/>
          </w:r>
        </w:p>
      </w:sdtContent>
    </w:sdt>
    <w:p w14:paraId="743FC046" w14:textId="69D65B19" w:rsidR="00496B86" w:rsidRPr="00C05C49" w:rsidRDefault="00496B86" w:rsidP="00C05C49">
      <w:pPr>
        <w:rPr>
          <w:b/>
          <w:i/>
          <w:color w:val="2F5496" w:themeColor="accent1" w:themeShade="BF"/>
          <w:sz w:val="24"/>
          <w:szCs w:val="32"/>
        </w:rPr>
      </w:pPr>
      <w:r w:rsidRPr="00C05C49">
        <w:rPr>
          <w:b/>
          <w:i/>
          <w:color w:val="2F5496" w:themeColor="accent1" w:themeShade="BF"/>
          <w:sz w:val="24"/>
          <w:szCs w:val="32"/>
        </w:rPr>
        <w:t xml:space="preserve">List of </w:t>
      </w:r>
      <w:r w:rsidR="003D07B6" w:rsidRPr="00C05C49">
        <w:rPr>
          <w:b/>
          <w:i/>
          <w:color w:val="2F5496" w:themeColor="accent1" w:themeShade="BF"/>
          <w:sz w:val="24"/>
          <w:szCs w:val="32"/>
        </w:rPr>
        <w:t>f</w:t>
      </w:r>
      <w:r w:rsidR="00530F99" w:rsidRPr="00C05C49">
        <w:rPr>
          <w:b/>
          <w:i/>
          <w:color w:val="2F5496" w:themeColor="accent1" w:themeShade="BF"/>
          <w:sz w:val="24"/>
          <w:szCs w:val="32"/>
        </w:rPr>
        <w:t>igures</w:t>
      </w:r>
    </w:p>
    <w:p w14:paraId="53E1B4F5" w14:textId="6ADABBFA" w:rsidR="00B54316" w:rsidRDefault="00B54316" w:rsidP="00F2263B">
      <w:pPr>
        <w:pStyle w:val="TableofFigures"/>
        <w:tabs>
          <w:tab w:val="right" w:leader="dot" w:pos="9350"/>
        </w:tabs>
        <w:spacing w:after="120"/>
        <w:rPr>
          <w:rFonts w:eastAsiaTheme="minorEastAsia"/>
          <w:noProof/>
        </w:rPr>
      </w:pPr>
      <w:r>
        <w:rPr>
          <w:b/>
          <w:smallCaps/>
          <w:sz w:val="24"/>
        </w:rPr>
        <w:fldChar w:fldCharType="begin"/>
      </w:r>
      <w:r>
        <w:rPr>
          <w:b/>
          <w:smallCaps/>
          <w:sz w:val="24"/>
        </w:rPr>
        <w:instrText xml:space="preserve"> TOC \h \z \c "Figure" </w:instrText>
      </w:r>
      <w:r>
        <w:rPr>
          <w:b/>
          <w:smallCaps/>
          <w:sz w:val="24"/>
        </w:rPr>
        <w:fldChar w:fldCharType="separate"/>
      </w:r>
      <w:hyperlink w:anchor="_Toc508294598" w:history="1">
        <w:r w:rsidRPr="007F0C77">
          <w:rPr>
            <w:rStyle w:val="Hyperlink"/>
            <w:noProof/>
          </w:rPr>
          <w:t>Figure 1</w:t>
        </w:r>
        <w:r w:rsidRPr="007F0C77">
          <w:rPr>
            <w:rStyle w:val="Hyperlink"/>
            <w:rFonts w:ascii="Times New Roman" w:hAnsi="Times New Roman" w:cs="Times New Roman"/>
            <w:noProof/>
          </w:rPr>
          <w:t xml:space="preserve">. </w:t>
        </w:r>
        <w:r w:rsidRPr="007F0C77">
          <w:rPr>
            <w:rStyle w:val="Hyperlink"/>
            <w:rFonts w:cstheme="minorHAnsi"/>
            <w:noProof/>
          </w:rPr>
          <w:t>PISA Scores in Romania, 2000</w:t>
        </w:r>
        <w:r w:rsidR="00F20913">
          <w:rPr>
            <w:rStyle w:val="Hyperlink"/>
            <w:rFonts w:cstheme="minorHAnsi"/>
            <w:noProof/>
          </w:rPr>
          <w:t>–</w:t>
        </w:r>
        <w:r w:rsidRPr="007F0C77">
          <w:rPr>
            <w:rStyle w:val="Hyperlink"/>
            <w:rFonts w:cstheme="minorHAnsi"/>
            <w:noProof/>
          </w:rPr>
          <w:t>2015</w:t>
        </w:r>
        <w:r>
          <w:rPr>
            <w:noProof/>
            <w:webHidden/>
          </w:rPr>
          <w:tab/>
        </w:r>
        <w:r>
          <w:rPr>
            <w:noProof/>
            <w:webHidden/>
          </w:rPr>
          <w:fldChar w:fldCharType="begin"/>
        </w:r>
        <w:r>
          <w:rPr>
            <w:noProof/>
            <w:webHidden/>
          </w:rPr>
          <w:instrText xml:space="preserve"> PAGEREF _Toc508294598 \h </w:instrText>
        </w:r>
        <w:r>
          <w:rPr>
            <w:noProof/>
            <w:webHidden/>
          </w:rPr>
        </w:r>
        <w:r>
          <w:rPr>
            <w:noProof/>
            <w:webHidden/>
          </w:rPr>
          <w:fldChar w:fldCharType="separate"/>
        </w:r>
        <w:r w:rsidR="005D08EB">
          <w:rPr>
            <w:noProof/>
            <w:webHidden/>
          </w:rPr>
          <w:t>3</w:t>
        </w:r>
        <w:r>
          <w:rPr>
            <w:noProof/>
            <w:webHidden/>
          </w:rPr>
          <w:fldChar w:fldCharType="end"/>
        </w:r>
      </w:hyperlink>
    </w:p>
    <w:p w14:paraId="14E7EC87" w14:textId="227AEC25" w:rsidR="00B54316" w:rsidRDefault="00AD1EA7" w:rsidP="00F2263B">
      <w:pPr>
        <w:pStyle w:val="TableofFigures"/>
        <w:tabs>
          <w:tab w:val="right" w:leader="dot" w:pos="9350"/>
        </w:tabs>
        <w:spacing w:after="120"/>
        <w:rPr>
          <w:rFonts w:eastAsiaTheme="minorEastAsia"/>
          <w:noProof/>
        </w:rPr>
      </w:pPr>
      <w:hyperlink w:anchor="_Toc508294599" w:history="1">
        <w:r w:rsidR="00B54316" w:rsidRPr="007F0C77">
          <w:rPr>
            <w:rStyle w:val="Hyperlink"/>
            <w:noProof/>
          </w:rPr>
          <w:t xml:space="preserve">Figure 2. </w:t>
        </w:r>
        <w:r w:rsidR="00B54316" w:rsidRPr="007F0C77">
          <w:rPr>
            <w:rStyle w:val="Hyperlink"/>
            <w:rFonts w:cs="Times New Roman"/>
            <w:noProof/>
          </w:rPr>
          <w:t>Difference in PISA math performance between top and bottom socioeconomic quintile, 2015</w:t>
        </w:r>
        <w:r w:rsidR="00B54316">
          <w:rPr>
            <w:noProof/>
            <w:webHidden/>
          </w:rPr>
          <w:tab/>
        </w:r>
        <w:r w:rsidR="00B54316">
          <w:rPr>
            <w:noProof/>
            <w:webHidden/>
          </w:rPr>
          <w:fldChar w:fldCharType="begin"/>
        </w:r>
        <w:r w:rsidR="00B54316">
          <w:rPr>
            <w:noProof/>
            <w:webHidden/>
          </w:rPr>
          <w:instrText xml:space="preserve"> PAGEREF _Toc508294599 \h </w:instrText>
        </w:r>
        <w:r w:rsidR="00B54316">
          <w:rPr>
            <w:noProof/>
            <w:webHidden/>
          </w:rPr>
        </w:r>
        <w:r w:rsidR="00B54316">
          <w:rPr>
            <w:noProof/>
            <w:webHidden/>
          </w:rPr>
          <w:fldChar w:fldCharType="separate"/>
        </w:r>
        <w:r w:rsidR="005D08EB">
          <w:rPr>
            <w:noProof/>
            <w:webHidden/>
          </w:rPr>
          <w:t>3</w:t>
        </w:r>
        <w:r w:rsidR="00B54316">
          <w:rPr>
            <w:noProof/>
            <w:webHidden/>
          </w:rPr>
          <w:fldChar w:fldCharType="end"/>
        </w:r>
      </w:hyperlink>
    </w:p>
    <w:p w14:paraId="2069C27F" w14:textId="4048CACE" w:rsidR="00B54316" w:rsidRDefault="00AD1EA7" w:rsidP="00F2263B">
      <w:pPr>
        <w:pStyle w:val="TableofFigures"/>
        <w:tabs>
          <w:tab w:val="right" w:leader="dot" w:pos="9350"/>
        </w:tabs>
        <w:spacing w:after="120"/>
        <w:rPr>
          <w:rFonts w:eastAsiaTheme="minorEastAsia"/>
          <w:noProof/>
        </w:rPr>
      </w:pPr>
      <w:hyperlink w:anchor="_Toc508294600" w:history="1">
        <w:r w:rsidR="00B54316" w:rsidRPr="007F0C77">
          <w:rPr>
            <w:rStyle w:val="Hyperlink"/>
            <w:noProof/>
          </w:rPr>
          <w:t xml:space="preserve">Figure 3. </w:t>
        </w:r>
        <w:r w:rsidR="00B54316" w:rsidRPr="007F0C77">
          <w:rPr>
            <w:rStyle w:val="Hyperlink"/>
            <w:rFonts w:cs="Times New Roman"/>
            <w:noProof/>
          </w:rPr>
          <w:t>Dropout Rates in Lower Secondary Education by County</w:t>
        </w:r>
        <w:r w:rsidR="00B54316">
          <w:rPr>
            <w:noProof/>
            <w:webHidden/>
          </w:rPr>
          <w:tab/>
        </w:r>
        <w:r w:rsidR="00B54316">
          <w:rPr>
            <w:noProof/>
            <w:webHidden/>
          </w:rPr>
          <w:fldChar w:fldCharType="begin"/>
        </w:r>
        <w:r w:rsidR="00B54316">
          <w:rPr>
            <w:noProof/>
            <w:webHidden/>
          </w:rPr>
          <w:instrText xml:space="preserve"> PAGEREF _Toc508294600 \h </w:instrText>
        </w:r>
        <w:r w:rsidR="00B54316">
          <w:rPr>
            <w:noProof/>
            <w:webHidden/>
          </w:rPr>
        </w:r>
        <w:r w:rsidR="00B54316">
          <w:rPr>
            <w:noProof/>
            <w:webHidden/>
          </w:rPr>
          <w:fldChar w:fldCharType="separate"/>
        </w:r>
        <w:r w:rsidR="005D08EB">
          <w:rPr>
            <w:noProof/>
            <w:webHidden/>
          </w:rPr>
          <w:t>4</w:t>
        </w:r>
        <w:r w:rsidR="00B54316">
          <w:rPr>
            <w:noProof/>
            <w:webHidden/>
          </w:rPr>
          <w:fldChar w:fldCharType="end"/>
        </w:r>
      </w:hyperlink>
    </w:p>
    <w:p w14:paraId="1457589B" w14:textId="7C8A70B1" w:rsidR="00B54316" w:rsidRDefault="00AD1EA7" w:rsidP="00F2263B">
      <w:pPr>
        <w:pStyle w:val="TableofFigures"/>
        <w:tabs>
          <w:tab w:val="right" w:leader="dot" w:pos="9350"/>
        </w:tabs>
        <w:spacing w:after="120"/>
        <w:rPr>
          <w:rFonts w:eastAsiaTheme="minorEastAsia"/>
          <w:noProof/>
        </w:rPr>
      </w:pPr>
      <w:hyperlink w:anchor="_Toc508294601" w:history="1">
        <w:r w:rsidR="00B54316" w:rsidRPr="007F0C77">
          <w:rPr>
            <w:rStyle w:val="Hyperlink"/>
            <w:noProof/>
          </w:rPr>
          <w:t xml:space="preserve">Figure 4. </w:t>
        </w:r>
        <w:r w:rsidR="00B54316" w:rsidRPr="007F0C77">
          <w:rPr>
            <w:rStyle w:val="Hyperlink"/>
            <w:rFonts w:cs="Times New Roman"/>
            <w:noProof/>
          </w:rPr>
          <w:t>TOWES Scores and Proficiency Levels</w:t>
        </w:r>
        <w:r w:rsidR="00B54316">
          <w:rPr>
            <w:noProof/>
            <w:webHidden/>
          </w:rPr>
          <w:tab/>
        </w:r>
        <w:r w:rsidR="00B54316">
          <w:rPr>
            <w:noProof/>
            <w:webHidden/>
          </w:rPr>
          <w:fldChar w:fldCharType="begin"/>
        </w:r>
        <w:r w:rsidR="00B54316">
          <w:rPr>
            <w:noProof/>
            <w:webHidden/>
          </w:rPr>
          <w:instrText xml:space="preserve"> PAGEREF _Toc508294601 \h </w:instrText>
        </w:r>
        <w:r w:rsidR="00B54316">
          <w:rPr>
            <w:noProof/>
            <w:webHidden/>
          </w:rPr>
        </w:r>
        <w:r w:rsidR="00B54316">
          <w:rPr>
            <w:noProof/>
            <w:webHidden/>
          </w:rPr>
          <w:fldChar w:fldCharType="separate"/>
        </w:r>
        <w:r w:rsidR="005D08EB">
          <w:rPr>
            <w:noProof/>
            <w:webHidden/>
          </w:rPr>
          <w:t>6</w:t>
        </w:r>
        <w:r w:rsidR="00B54316">
          <w:rPr>
            <w:noProof/>
            <w:webHidden/>
          </w:rPr>
          <w:fldChar w:fldCharType="end"/>
        </w:r>
      </w:hyperlink>
    </w:p>
    <w:p w14:paraId="75EEFD4F" w14:textId="17D2ACE8" w:rsidR="00B54316" w:rsidRDefault="00AD1EA7" w:rsidP="00F2263B">
      <w:pPr>
        <w:pStyle w:val="TableofFigures"/>
        <w:tabs>
          <w:tab w:val="right" w:leader="dot" w:pos="9350"/>
        </w:tabs>
        <w:spacing w:after="120"/>
        <w:rPr>
          <w:rFonts w:eastAsiaTheme="minorEastAsia"/>
          <w:noProof/>
        </w:rPr>
      </w:pPr>
      <w:hyperlink w:anchor="_Toc508294602" w:history="1">
        <w:r w:rsidR="00B54316" w:rsidRPr="007F0C77">
          <w:rPr>
            <w:rStyle w:val="Hyperlink"/>
            <w:noProof/>
          </w:rPr>
          <w:t xml:space="preserve">Figure 5. </w:t>
        </w:r>
        <w:r w:rsidR="00B54316" w:rsidRPr="007F0C77">
          <w:rPr>
            <w:rStyle w:val="Hyperlink"/>
            <w:rFonts w:cs="Times New Roman"/>
            <w:noProof/>
          </w:rPr>
          <w:t>Average Document Literacy Scores per VET School</w:t>
        </w:r>
        <w:r w:rsidR="00B54316">
          <w:rPr>
            <w:noProof/>
            <w:webHidden/>
          </w:rPr>
          <w:tab/>
        </w:r>
        <w:r w:rsidR="00B54316">
          <w:rPr>
            <w:noProof/>
            <w:webHidden/>
          </w:rPr>
          <w:fldChar w:fldCharType="begin"/>
        </w:r>
        <w:r w:rsidR="00B54316">
          <w:rPr>
            <w:noProof/>
            <w:webHidden/>
          </w:rPr>
          <w:instrText xml:space="preserve"> PAGEREF _Toc508294602 \h </w:instrText>
        </w:r>
        <w:r w:rsidR="00B54316">
          <w:rPr>
            <w:noProof/>
            <w:webHidden/>
          </w:rPr>
        </w:r>
        <w:r w:rsidR="00B54316">
          <w:rPr>
            <w:noProof/>
            <w:webHidden/>
          </w:rPr>
          <w:fldChar w:fldCharType="separate"/>
        </w:r>
        <w:r w:rsidR="005D08EB">
          <w:rPr>
            <w:noProof/>
            <w:webHidden/>
          </w:rPr>
          <w:t>7</w:t>
        </w:r>
        <w:r w:rsidR="00B54316">
          <w:rPr>
            <w:noProof/>
            <w:webHidden/>
          </w:rPr>
          <w:fldChar w:fldCharType="end"/>
        </w:r>
      </w:hyperlink>
    </w:p>
    <w:p w14:paraId="6C78B915" w14:textId="32CB2C89" w:rsidR="00B54316" w:rsidRDefault="00AD1EA7" w:rsidP="00F2263B">
      <w:pPr>
        <w:pStyle w:val="TableofFigures"/>
        <w:tabs>
          <w:tab w:val="right" w:leader="dot" w:pos="9350"/>
        </w:tabs>
        <w:spacing w:after="120"/>
        <w:rPr>
          <w:rFonts w:eastAsiaTheme="minorEastAsia"/>
          <w:noProof/>
        </w:rPr>
      </w:pPr>
      <w:hyperlink w:anchor="_Toc508294603" w:history="1">
        <w:r w:rsidR="00B54316" w:rsidRPr="007F0C77">
          <w:rPr>
            <w:rStyle w:val="Hyperlink"/>
            <w:noProof/>
          </w:rPr>
          <w:t xml:space="preserve">Figure 6. </w:t>
        </w:r>
        <w:r w:rsidR="00B54316" w:rsidRPr="007F0C77">
          <w:rPr>
            <w:rStyle w:val="Hyperlink"/>
            <w:rFonts w:cs="Times New Roman"/>
            <w:noProof/>
          </w:rPr>
          <w:t>Employer Perceptions of Romania’s Education System</w:t>
        </w:r>
        <w:r w:rsidR="00B54316">
          <w:rPr>
            <w:noProof/>
            <w:webHidden/>
          </w:rPr>
          <w:tab/>
        </w:r>
        <w:r w:rsidR="00B54316">
          <w:rPr>
            <w:noProof/>
            <w:webHidden/>
          </w:rPr>
          <w:fldChar w:fldCharType="begin"/>
        </w:r>
        <w:r w:rsidR="00B54316">
          <w:rPr>
            <w:noProof/>
            <w:webHidden/>
          </w:rPr>
          <w:instrText xml:space="preserve"> PAGEREF _Toc508294603 \h </w:instrText>
        </w:r>
        <w:r w:rsidR="00B54316">
          <w:rPr>
            <w:noProof/>
            <w:webHidden/>
          </w:rPr>
        </w:r>
        <w:r w:rsidR="00B54316">
          <w:rPr>
            <w:noProof/>
            <w:webHidden/>
          </w:rPr>
          <w:fldChar w:fldCharType="separate"/>
        </w:r>
        <w:r w:rsidR="005D08EB">
          <w:rPr>
            <w:noProof/>
            <w:webHidden/>
          </w:rPr>
          <w:t>7</w:t>
        </w:r>
        <w:r w:rsidR="00B54316">
          <w:rPr>
            <w:noProof/>
            <w:webHidden/>
          </w:rPr>
          <w:fldChar w:fldCharType="end"/>
        </w:r>
      </w:hyperlink>
    </w:p>
    <w:p w14:paraId="6E613E5B" w14:textId="0043EF09" w:rsidR="00B54316" w:rsidRDefault="00AD1EA7" w:rsidP="00F2263B">
      <w:pPr>
        <w:pStyle w:val="TableofFigures"/>
        <w:tabs>
          <w:tab w:val="right" w:leader="dot" w:pos="9350"/>
        </w:tabs>
        <w:spacing w:after="120"/>
        <w:rPr>
          <w:rFonts w:eastAsiaTheme="minorEastAsia"/>
          <w:noProof/>
        </w:rPr>
      </w:pPr>
      <w:hyperlink w:anchor="_Toc508294604" w:history="1">
        <w:r w:rsidR="00B54316" w:rsidRPr="007F0C77">
          <w:rPr>
            <w:rStyle w:val="Hyperlink"/>
            <w:rFonts w:cstheme="minorHAnsi"/>
            <w:noProof/>
          </w:rPr>
          <w:t xml:space="preserve">Figure 7. </w:t>
        </w:r>
        <w:r w:rsidR="00B54316" w:rsidRPr="007F0C77">
          <w:rPr>
            <w:rStyle w:val="Hyperlink"/>
            <w:rFonts w:cstheme="minorHAnsi"/>
            <w:bCs/>
            <w:noProof/>
          </w:rPr>
          <w:t xml:space="preserve">Expenditure on education as </w:t>
        </w:r>
        <w:r w:rsidR="00F20913">
          <w:rPr>
            <w:rStyle w:val="Hyperlink"/>
            <w:rFonts w:cstheme="minorHAnsi"/>
            <w:bCs/>
            <w:noProof/>
          </w:rPr>
          <w:t>percent</w:t>
        </w:r>
        <w:r w:rsidR="00F20913" w:rsidRPr="007F0C77">
          <w:rPr>
            <w:rStyle w:val="Hyperlink"/>
            <w:rFonts w:cstheme="minorHAnsi"/>
            <w:bCs/>
            <w:noProof/>
          </w:rPr>
          <w:t xml:space="preserve"> </w:t>
        </w:r>
        <w:r w:rsidR="00B54316" w:rsidRPr="007F0C77">
          <w:rPr>
            <w:rStyle w:val="Hyperlink"/>
            <w:rFonts w:cstheme="minorHAnsi"/>
            <w:bCs/>
            <w:noProof/>
          </w:rPr>
          <w:t>of GDP</w:t>
        </w:r>
        <w:r w:rsidR="00B54316">
          <w:rPr>
            <w:noProof/>
            <w:webHidden/>
          </w:rPr>
          <w:tab/>
        </w:r>
        <w:r w:rsidR="00B54316">
          <w:rPr>
            <w:noProof/>
            <w:webHidden/>
          </w:rPr>
          <w:fldChar w:fldCharType="begin"/>
        </w:r>
        <w:r w:rsidR="00B54316">
          <w:rPr>
            <w:noProof/>
            <w:webHidden/>
          </w:rPr>
          <w:instrText xml:space="preserve"> PAGEREF _Toc508294604 \h </w:instrText>
        </w:r>
        <w:r w:rsidR="00B54316">
          <w:rPr>
            <w:noProof/>
            <w:webHidden/>
          </w:rPr>
        </w:r>
        <w:r w:rsidR="00B54316">
          <w:rPr>
            <w:noProof/>
            <w:webHidden/>
          </w:rPr>
          <w:fldChar w:fldCharType="separate"/>
        </w:r>
        <w:r w:rsidR="005D08EB">
          <w:rPr>
            <w:noProof/>
            <w:webHidden/>
          </w:rPr>
          <w:t>8</w:t>
        </w:r>
        <w:r w:rsidR="00B54316">
          <w:rPr>
            <w:noProof/>
            <w:webHidden/>
          </w:rPr>
          <w:fldChar w:fldCharType="end"/>
        </w:r>
      </w:hyperlink>
    </w:p>
    <w:p w14:paraId="354ABBC6" w14:textId="5238D87F" w:rsidR="00133EB0" w:rsidRPr="00B54316" w:rsidRDefault="00B54316" w:rsidP="00F2263B">
      <w:pPr>
        <w:spacing w:after="120"/>
        <w:rPr>
          <w:b/>
          <w:smallCaps/>
          <w:sz w:val="24"/>
        </w:rPr>
      </w:pPr>
      <w:r>
        <w:rPr>
          <w:b/>
          <w:smallCaps/>
          <w:sz w:val="24"/>
        </w:rPr>
        <w:fldChar w:fldCharType="end"/>
      </w:r>
    </w:p>
    <w:p w14:paraId="32F92752" w14:textId="733130DD" w:rsidR="003D0CC0" w:rsidRDefault="003D0CC0">
      <w:pPr>
        <w:rPr>
          <w:b/>
          <w:smallCaps/>
          <w:sz w:val="24"/>
        </w:rPr>
      </w:pPr>
    </w:p>
    <w:p w14:paraId="1B663A8D" w14:textId="77777777" w:rsidR="003D0CC0" w:rsidRDefault="003D0CC0"/>
    <w:p w14:paraId="3BE0EAD2" w14:textId="77777777" w:rsidR="00FF31AB" w:rsidRDefault="00FF31AB">
      <w:r>
        <w:br w:type="page"/>
      </w:r>
    </w:p>
    <w:p w14:paraId="3E9D4B96" w14:textId="6FB77523" w:rsidR="0005576B" w:rsidRDefault="00D9470F" w:rsidP="001A0850">
      <w:pPr>
        <w:pStyle w:val="Heading2"/>
      </w:pPr>
      <w:bookmarkStart w:id="4" w:name="_Toc508294583"/>
      <w:r>
        <w:lastRenderedPageBreak/>
        <w:t>Introduction</w:t>
      </w:r>
      <w:bookmarkEnd w:id="4"/>
    </w:p>
    <w:p w14:paraId="18E3A976" w14:textId="3340863E" w:rsidR="00D9470F" w:rsidRDefault="00D9470F" w:rsidP="00D9470F">
      <w:pPr>
        <w:pStyle w:val="ListParagraph"/>
        <w:numPr>
          <w:ilvl w:val="0"/>
          <w:numId w:val="14"/>
        </w:numPr>
        <w:autoSpaceDE w:val="0"/>
        <w:autoSpaceDN w:val="0"/>
        <w:adjustRightInd w:val="0"/>
        <w:spacing w:after="240"/>
        <w:jc w:val="both"/>
      </w:pPr>
      <w:r w:rsidRPr="00332996">
        <w:rPr>
          <w:b/>
        </w:rPr>
        <w:t>Key education strategies are in place, but their implementation has been slow.</w:t>
      </w:r>
      <w:r>
        <w:t xml:space="preserve"> Since 2015</w:t>
      </w:r>
      <w:r w:rsidR="00F20913">
        <w:t>–</w:t>
      </w:r>
      <w:r>
        <w:t xml:space="preserve">2016, the Romanian </w:t>
      </w:r>
      <w:r w:rsidR="00F20913">
        <w:t xml:space="preserve">government </w:t>
      </w:r>
      <w:r>
        <w:t xml:space="preserve">has been making progress in adopting a set of education strategies to reduce early school leaving, improve quality and efficiencies </w:t>
      </w:r>
      <w:r w:rsidR="00F20913">
        <w:t xml:space="preserve">in </w:t>
      </w:r>
      <w:r>
        <w:t>tertiary education, vocational education</w:t>
      </w:r>
      <w:r w:rsidR="00F20913">
        <w:t>,</w:t>
      </w:r>
      <w:r>
        <w:t xml:space="preserve"> and lifelong learning, and expand measures for </w:t>
      </w:r>
      <w:r w:rsidR="00F20913">
        <w:t xml:space="preserve">the </w:t>
      </w:r>
      <w:r>
        <w:t>inclusion of disadvantaged groups, especially Roma</w:t>
      </w:r>
      <w:r w:rsidR="00F20913">
        <w:t xml:space="preserve"> persons</w:t>
      </w:r>
      <w:r>
        <w:t>. More recently, a strategy for modernizing education infrastru</w:t>
      </w:r>
      <w:r w:rsidR="00520D1B">
        <w:t xml:space="preserve">cture has also been finalized. </w:t>
      </w:r>
      <w:r w:rsidR="00F20913">
        <w:t>However, t</w:t>
      </w:r>
      <w:r>
        <w:t>he slow implementation pace of these strategies and the constant underfinancing of the education sector will have long term implications for the country’s human capital and economic development</w:t>
      </w:r>
      <w:r w:rsidR="00F20913">
        <w:t>.</w:t>
      </w:r>
      <w:r>
        <w:t xml:space="preserve"> </w:t>
      </w:r>
    </w:p>
    <w:p w14:paraId="53611347" w14:textId="08F966C1" w:rsidR="00D9470F" w:rsidRDefault="00D9470F" w:rsidP="00D9470F">
      <w:pPr>
        <w:pStyle w:val="ListParagraph"/>
        <w:numPr>
          <w:ilvl w:val="0"/>
          <w:numId w:val="14"/>
        </w:numPr>
        <w:autoSpaceDE w:val="0"/>
        <w:autoSpaceDN w:val="0"/>
        <w:adjustRightInd w:val="0"/>
        <w:spacing w:after="240"/>
        <w:jc w:val="both"/>
      </w:pPr>
      <w:r w:rsidRPr="00332996">
        <w:rPr>
          <w:b/>
        </w:rPr>
        <w:t>The OECD Programme for International Student Assessment (PISA) survey has found that underachievement among disadvantaged students is almost three times higher than the top socioeconomic quintiles</w:t>
      </w:r>
      <w:r>
        <w:t xml:space="preserve">. Persistent disparities are evidenced by the high difference between early school leaving rates in rural </w:t>
      </w:r>
      <w:r w:rsidR="00F20913">
        <w:t xml:space="preserve">areas </w:t>
      </w:r>
      <w:r>
        <w:t>(26.6</w:t>
      </w:r>
      <w:r w:rsidR="00F20913">
        <w:t xml:space="preserve"> percent) </w:t>
      </w:r>
      <w:r>
        <w:t xml:space="preserve">and urban areas (6.2 </w:t>
      </w:r>
      <w:r w:rsidR="00F20913">
        <w:t xml:space="preserve">percent </w:t>
      </w:r>
      <w:r>
        <w:t xml:space="preserve">in cities and 17.4 </w:t>
      </w:r>
      <w:r w:rsidR="00F20913">
        <w:t xml:space="preserve">percent </w:t>
      </w:r>
      <w:r>
        <w:t>in towns and suburbs). In addition to regional, urban-rural</w:t>
      </w:r>
      <w:r w:rsidR="00F20913">
        <w:t xml:space="preserve">, </w:t>
      </w:r>
      <w:r>
        <w:t xml:space="preserve">and socioeconomic inequalities, Romania is confronted with a rapidly declining and aging population.  </w:t>
      </w:r>
    </w:p>
    <w:p w14:paraId="410F075F" w14:textId="73C786EA" w:rsidR="00D9470F" w:rsidRDefault="00D9470F" w:rsidP="00D9470F">
      <w:pPr>
        <w:pStyle w:val="ListParagraph"/>
        <w:numPr>
          <w:ilvl w:val="0"/>
          <w:numId w:val="14"/>
        </w:numPr>
        <w:autoSpaceDE w:val="0"/>
        <w:autoSpaceDN w:val="0"/>
        <w:adjustRightInd w:val="0"/>
        <w:spacing w:after="240"/>
        <w:jc w:val="both"/>
      </w:pPr>
      <w:r w:rsidRPr="00332996">
        <w:rPr>
          <w:b/>
        </w:rPr>
        <w:t xml:space="preserve">Indeed, Romania’s population declined to around 21.3 million, out of which the school population </w:t>
      </w:r>
      <w:r w:rsidR="00F20913" w:rsidRPr="00332996">
        <w:rPr>
          <w:b/>
        </w:rPr>
        <w:t>total</w:t>
      </w:r>
      <w:r w:rsidR="00F20913">
        <w:rPr>
          <w:b/>
        </w:rPr>
        <w:t>ed</w:t>
      </w:r>
      <w:r w:rsidR="00F20913" w:rsidRPr="00332996">
        <w:rPr>
          <w:b/>
        </w:rPr>
        <w:t xml:space="preserve"> </w:t>
      </w:r>
      <w:r w:rsidRPr="00332996">
        <w:rPr>
          <w:b/>
        </w:rPr>
        <w:t>about 3.5 million students in 2017</w:t>
      </w:r>
      <w:r>
        <w:t xml:space="preserve">. Complicating matters, </w:t>
      </w:r>
      <w:r w:rsidR="00F20913">
        <w:t xml:space="preserve">more than </w:t>
      </w:r>
      <w:r>
        <w:t xml:space="preserve">2 million people of working age (25 </w:t>
      </w:r>
      <w:r w:rsidR="00F20913">
        <w:t xml:space="preserve">percent </w:t>
      </w:r>
      <w:r>
        <w:t>of the labor force) are estimated to have emigrated in search of better job opportunities in Europe and elsewhere. Action is needed to compensate for this demographic change with a more skilled, active, and healthy labor force</w:t>
      </w:r>
      <w:r w:rsidR="008C2232">
        <w:t>,</w:t>
      </w:r>
      <w:r>
        <w:t xml:space="preserve"> and to integrate those segments of the population that remain excluded. Concerning inequalities in education and labor, a profile of the Romanian working poor indicates that 92</w:t>
      </w:r>
      <w:r w:rsidR="008C2232">
        <w:t xml:space="preserve"> percent </w:t>
      </w:r>
      <w:r>
        <w:t xml:space="preserve">of them are in rural areas, and that 95 </w:t>
      </w:r>
      <w:r w:rsidR="008C2232">
        <w:t xml:space="preserve">percent </w:t>
      </w:r>
      <w:r>
        <w:t xml:space="preserve">have at most a secondary education. </w:t>
      </w:r>
    </w:p>
    <w:p w14:paraId="2D41BA31" w14:textId="1BAB17F2" w:rsidR="00D9470F" w:rsidRPr="00B54316" w:rsidRDefault="00D9470F" w:rsidP="00D9470F">
      <w:pPr>
        <w:pStyle w:val="ListParagraph"/>
        <w:numPr>
          <w:ilvl w:val="0"/>
          <w:numId w:val="14"/>
        </w:numPr>
        <w:autoSpaceDE w:val="0"/>
        <w:autoSpaceDN w:val="0"/>
        <w:adjustRightInd w:val="0"/>
        <w:spacing w:after="240"/>
        <w:jc w:val="both"/>
      </w:pPr>
      <w:r w:rsidRPr="00332996">
        <w:rPr>
          <w:b/>
        </w:rPr>
        <w:t>In this context, the most critical challenges in the education sector in Romania pertain to</w:t>
      </w:r>
      <w:r w:rsidRPr="00B54316">
        <w:t xml:space="preserve">: (i) addressing equity challenges and promoting </w:t>
      </w:r>
      <w:r w:rsidR="008C2232">
        <w:t xml:space="preserve">the </w:t>
      </w:r>
      <w:r w:rsidRPr="00B54316">
        <w:t>inclusion of students from rural areas, Roma communities, low socio-economic backgrounds</w:t>
      </w:r>
      <w:r w:rsidR="008C2232">
        <w:t>,</w:t>
      </w:r>
      <w:r w:rsidRPr="00B54316">
        <w:t xml:space="preserve"> and lagging regions; (ii) delivering quality education for all</w:t>
      </w:r>
      <w:r w:rsidR="008C2232">
        <w:t>,</w:t>
      </w:r>
      <w:r w:rsidRPr="00B54316">
        <w:t xml:space="preserve"> and relevant skills for the labor market; and (iii) addressing financing and governance of the education sector as key enabling conditions for improving education</w:t>
      </w:r>
      <w:r w:rsidR="008C2232">
        <w:t>al</w:t>
      </w:r>
      <w:r w:rsidRPr="00B54316">
        <w:t xml:space="preserve"> outcomes in Romania. </w:t>
      </w:r>
    </w:p>
    <w:p w14:paraId="4D90C42A" w14:textId="77777777" w:rsidR="00D9470F" w:rsidRDefault="00D9470F" w:rsidP="001A0850">
      <w:pPr>
        <w:pStyle w:val="Heading2"/>
      </w:pPr>
      <w:bookmarkStart w:id="5" w:name="_Toc508294584"/>
      <w:r>
        <w:t>Addressing Equity Issues and Promoting Inclusion</w:t>
      </w:r>
      <w:bookmarkEnd w:id="5"/>
    </w:p>
    <w:p w14:paraId="70D5DA12" w14:textId="36597583" w:rsidR="00332996" w:rsidRDefault="00D9470F" w:rsidP="00D9470F">
      <w:pPr>
        <w:pStyle w:val="ListParagraph"/>
        <w:numPr>
          <w:ilvl w:val="0"/>
          <w:numId w:val="14"/>
        </w:numPr>
        <w:autoSpaceDE w:val="0"/>
        <w:autoSpaceDN w:val="0"/>
        <w:adjustRightInd w:val="0"/>
        <w:spacing w:after="240"/>
        <w:jc w:val="both"/>
      </w:pPr>
      <w:r w:rsidRPr="00332996">
        <w:rPr>
          <w:b/>
        </w:rPr>
        <w:t xml:space="preserve">The quality of education in Romania lags behind EU and OECD countries, while underachievement in basic skills is </w:t>
      </w:r>
      <w:r w:rsidR="008C2232">
        <w:rPr>
          <w:b/>
        </w:rPr>
        <w:t>the result of</w:t>
      </w:r>
      <w:r w:rsidRPr="00332996">
        <w:rPr>
          <w:b/>
        </w:rPr>
        <w:t xml:space="preserve"> educational factors coupled with equity challenges.</w:t>
      </w:r>
      <w:r>
        <w:t xml:space="preserve"> Romania’s scores on PISA improved significantly across all subjects between 2009 and 2012</w:t>
      </w:r>
      <w:r w:rsidR="008C2232">
        <w:t>,</w:t>
      </w:r>
      <w:r>
        <w:t xml:space="preserve"> and remained stagnant in 2015 (Figure 1). Romania’s PISA scores are substantially lower than other EU countries. About 40 </w:t>
      </w:r>
      <w:r w:rsidR="008C2232">
        <w:t xml:space="preserve">percent </w:t>
      </w:r>
      <w:r>
        <w:t xml:space="preserve">of Romanian students are functionally innumerate and illiterate, in contrast to roughly 23 </w:t>
      </w:r>
      <w:r w:rsidR="008C2232">
        <w:t xml:space="preserve">percent </w:t>
      </w:r>
      <w:r>
        <w:t>of students in the EU. Romanian students are broadly one-and-a-half years of schooling behind students in EU countries.</w:t>
      </w:r>
      <w:r w:rsidR="00332996">
        <w:rPr>
          <w:rStyle w:val="EndnoteReference"/>
        </w:rPr>
        <w:endnoteReference w:id="2"/>
      </w:r>
      <w:r w:rsidR="00332996">
        <w:t xml:space="preserve"> Students in rural areas, from disadvantaged socioeconomic backgrounds</w:t>
      </w:r>
      <w:r w:rsidR="008C2232">
        <w:t>,</w:t>
      </w:r>
      <w:r w:rsidR="00332996">
        <w:t xml:space="preserve"> and </w:t>
      </w:r>
      <w:r w:rsidR="008C2232">
        <w:t xml:space="preserve">those with </w:t>
      </w:r>
      <w:r w:rsidR="00332996">
        <w:t>foreign languages</w:t>
      </w:r>
      <w:r w:rsidR="008C2232">
        <w:t xml:space="preserve"> spoken</w:t>
      </w:r>
      <w:r w:rsidR="00332996">
        <w:t xml:space="preserve"> at home are more likely to underperform. </w:t>
      </w:r>
    </w:p>
    <w:p w14:paraId="2D7086E1" w14:textId="268949D1" w:rsidR="00332996" w:rsidRPr="0011686D" w:rsidRDefault="00332996" w:rsidP="00332996">
      <w:pPr>
        <w:pStyle w:val="Caption"/>
        <w:keepNext/>
        <w:jc w:val="center"/>
        <w:rPr>
          <w:rFonts w:ascii="Times New Roman" w:hAnsi="Times New Roman" w:cs="Times New Roman"/>
          <w:i w:val="0"/>
          <w:lang w:val="it-IT"/>
        </w:rPr>
      </w:pPr>
      <w:bookmarkStart w:id="6" w:name="_Toc508294598"/>
      <w:r w:rsidRPr="0011686D">
        <w:rPr>
          <w:i w:val="0"/>
          <w:lang w:val="it-IT"/>
        </w:rPr>
        <w:lastRenderedPageBreak/>
        <w:t xml:space="preserve">Figure </w:t>
      </w:r>
      <w:r w:rsidR="00CB5750" w:rsidRPr="00471024">
        <w:rPr>
          <w:i w:val="0"/>
        </w:rPr>
        <w:fldChar w:fldCharType="begin"/>
      </w:r>
      <w:r w:rsidR="00CB5750" w:rsidRPr="0011686D">
        <w:rPr>
          <w:i w:val="0"/>
          <w:lang w:val="it-IT"/>
        </w:rPr>
        <w:instrText xml:space="preserve"> SEQ Figure \* ARABIC </w:instrText>
      </w:r>
      <w:r w:rsidR="00CB5750" w:rsidRPr="00471024">
        <w:rPr>
          <w:i w:val="0"/>
        </w:rPr>
        <w:fldChar w:fldCharType="separate"/>
      </w:r>
      <w:r w:rsidR="00426231">
        <w:rPr>
          <w:i w:val="0"/>
          <w:noProof/>
          <w:lang w:val="it-IT"/>
        </w:rPr>
        <w:t>1</w:t>
      </w:r>
      <w:r w:rsidR="00CB5750" w:rsidRPr="00471024">
        <w:rPr>
          <w:i w:val="0"/>
          <w:noProof/>
        </w:rPr>
        <w:fldChar w:fldCharType="end"/>
      </w:r>
      <w:r w:rsidRPr="0011686D">
        <w:rPr>
          <w:rFonts w:ascii="Times New Roman" w:hAnsi="Times New Roman" w:cs="Times New Roman"/>
          <w:i w:val="0"/>
          <w:lang w:val="it-IT"/>
        </w:rPr>
        <w:t xml:space="preserve">. </w:t>
      </w:r>
      <w:r w:rsidRPr="0011686D">
        <w:rPr>
          <w:rFonts w:cstheme="minorHAnsi"/>
          <w:i w:val="0"/>
          <w:lang w:val="it-IT"/>
        </w:rPr>
        <w:t>PISA Scores in Romania, 2000-2015</w:t>
      </w:r>
      <w:bookmarkEnd w:id="6"/>
    </w:p>
    <w:p w14:paraId="50F340DA" w14:textId="77777777" w:rsidR="00332996" w:rsidRDefault="00332996" w:rsidP="00D9470F">
      <w:pPr>
        <w:spacing w:after="0" w:line="240" w:lineRule="auto"/>
        <w:jc w:val="both"/>
        <w:rPr>
          <w:rFonts w:ascii="Times New Roman" w:hAnsi="Times New Roman" w:cs="Times New Roman"/>
        </w:rPr>
      </w:pPr>
      <w:r w:rsidRPr="00083D42">
        <w:rPr>
          <w:rFonts w:cs="Times New Roman"/>
          <w:noProof/>
        </w:rPr>
        <w:drawing>
          <wp:inline distT="0" distB="0" distL="0" distR="0" wp14:anchorId="20DAC438" wp14:editId="03A66CF1">
            <wp:extent cx="5265420" cy="1334530"/>
            <wp:effectExtent l="0" t="0" r="0" b="0"/>
            <wp:docPr id="2" name="Gráfico 12">
              <a:extLst xmlns:a="http://schemas.openxmlformats.org/drawingml/2006/main">
                <a:ext uri="{FF2B5EF4-FFF2-40B4-BE49-F238E27FC236}">
                  <a16:creationId xmlns:a16="http://schemas.microsoft.com/office/drawing/2014/main" id="{E8761E53-044F-446D-9DA8-7932EBA303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CC7D20" w14:textId="2859B259" w:rsidR="00332996" w:rsidRPr="00471024" w:rsidRDefault="00332996" w:rsidP="000964BA">
      <w:pPr>
        <w:spacing w:after="0" w:line="240" w:lineRule="auto"/>
        <w:jc w:val="center"/>
        <w:rPr>
          <w:rFonts w:ascii="Times New Roman" w:hAnsi="Times New Roman" w:cs="Times New Roman"/>
        </w:rPr>
      </w:pPr>
      <w:r w:rsidRPr="00E959D5">
        <w:rPr>
          <w:iCs/>
        </w:rPr>
        <w:t>Source</w:t>
      </w:r>
      <w:r w:rsidRPr="00D9470F">
        <w:rPr>
          <w:i/>
        </w:rPr>
        <w:t xml:space="preserve">: </w:t>
      </w:r>
      <w:r w:rsidRPr="00471024">
        <w:t>World Bank staff calculation using harmonized PISA data, 2000</w:t>
      </w:r>
      <w:r w:rsidR="008C2232" w:rsidRPr="00471024">
        <w:rPr>
          <w:rFonts w:cstheme="minorHAnsi"/>
        </w:rPr>
        <w:t>–</w:t>
      </w:r>
      <w:r w:rsidRPr="00471024">
        <w:t>2015</w:t>
      </w:r>
    </w:p>
    <w:p w14:paraId="7D95F4B6" w14:textId="77777777" w:rsidR="00332996" w:rsidRPr="00D9470F" w:rsidRDefault="00332996" w:rsidP="00D9470F">
      <w:pPr>
        <w:spacing w:after="0" w:line="240" w:lineRule="auto"/>
        <w:jc w:val="both"/>
        <w:rPr>
          <w:rFonts w:ascii="Times New Roman" w:hAnsi="Times New Roman" w:cs="Times New Roman"/>
        </w:rPr>
      </w:pPr>
    </w:p>
    <w:p w14:paraId="45C25B58" w14:textId="3552A603" w:rsidR="00332996" w:rsidRDefault="00332996" w:rsidP="00D9470F">
      <w:pPr>
        <w:pStyle w:val="ListParagraph"/>
        <w:numPr>
          <w:ilvl w:val="0"/>
          <w:numId w:val="14"/>
        </w:numPr>
        <w:autoSpaceDE w:val="0"/>
        <w:autoSpaceDN w:val="0"/>
        <w:adjustRightInd w:val="0"/>
        <w:spacing w:after="240"/>
        <w:jc w:val="both"/>
      </w:pPr>
      <w:r w:rsidRPr="00332996">
        <w:rPr>
          <w:b/>
        </w:rPr>
        <w:t>Significant differences in performance are found among students from the top and bottom socioeconomic quintiles, equivalent to three years of schooling on PISA 2015</w:t>
      </w:r>
      <w:r>
        <w:t xml:space="preserve"> (Figure 2). This gap is quite like those found in the EU, although it is one of the highest among the Europe and Central Asia (ECA) countries. A draft Romania Public Expenditure Review shows that the correlation between student socioeconomic status and the school average was 59 </w:t>
      </w:r>
      <w:r w:rsidR="005B3BFF">
        <w:t xml:space="preserve">percent </w:t>
      </w:r>
      <w:r>
        <w:t xml:space="preserve">in 2015, the second highest in </w:t>
      </w:r>
      <w:r w:rsidR="005B3BFF">
        <w:t xml:space="preserve">the </w:t>
      </w:r>
      <w:r>
        <w:t>ECA region. This is challenging</w:t>
      </w:r>
      <w:r w:rsidR="005B3BFF">
        <w:t>,</w:t>
      </w:r>
      <w:r>
        <w:t xml:space="preserve"> because it suggests that most of the learning is associated with individual background. </w:t>
      </w:r>
    </w:p>
    <w:tbl>
      <w:tblPr>
        <w:tblStyle w:val="TableGrid"/>
        <w:tblW w:w="97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5"/>
      </w:tblGrid>
      <w:tr w:rsidR="00332996" w:rsidRPr="008C2232" w14:paraId="2262427E" w14:textId="77777777" w:rsidTr="00D9470F">
        <w:trPr>
          <w:trHeight w:val="306"/>
        </w:trPr>
        <w:tc>
          <w:tcPr>
            <w:tcW w:w="9725" w:type="dxa"/>
          </w:tcPr>
          <w:p w14:paraId="20958028" w14:textId="66990A02" w:rsidR="00332996" w:rsidRPr="00471024" w:rsidRDefault="00332996" w:rsidP="000964BA">
            <w:pPr>
              <w:pStyle w:val="Caption"/>
              <w:jc w:val="center"/>
              <w:rPr>
                <w:i w:val="0"/>
              </w:rPr>
            </w:pPr>
            <w:bookmarkStart w:id="7" w:name="_Toc508294599"/>
            <w:r w:rsidRPr="00471024">
              <w:rPr>
                <w:i w:val="0"/>
              </w:rPr>
              <w:t xml:space="preserve">Figure </w:t>
            </w:r>
            <w:r w:rsidR="00CB5750" w:rsidRPr="00471024">
              <w:rPr>
                <w:i w:val="0"/>
              </w:rPr>
              <w:fldChar w:fldCharType="begin"/>
            </w:r>
            <w:r w:rsidR="00CB5750" w:rsidRPr="00471024">
              <w:rPr>
                <w:i w:val="0"/>
              </w:rPr>
              <w:instrText xml:space="preserve"> SEQ Figure \* ARABIC </w:instrText>
            </w:r>
            <w:r w:rsidR="00CB5750" w:rsidRPr="00471024">
              <w:rPr>
                <w:i w:val="0"/>
              </w:rPr>
              <w:fldChar w:fldCharType="separate"/>
            </w:r>
            <w:r w:rsidR="00426231">
              <w:rPr>
                <w:i w:val="0"/>
                <w:noProof/>
              </w:rPr>
              <w:t>2</w:t>
            </w:r>
            <w:r w:rsidR="00CB5750" w:rsidRPr="00471024">
              <w:rPr>
                <w:i w:val="0"/>
                <w:noProof/>
              </w:rPr>
              <w:fldChar w:fldCharType="end"/>
            </w:r>
            <w:r w:rsidRPr="00471024">
              <w:rPr>
                <w:i w:val="0"/>
              </w:rPr>
              <w:t xml:space="preserve">. </w:t>
            </w:r>
            <w:r w:rsidRPr="00471024">
              <w:rPr>
                <w:rFonts w:cs="Times New Roman"/>
                <w:i w:val="0"/>
                <w:szCs w:val="22"/>
              </w:rPr>
              <w:t>Difference in PISA math performance between top and bottom socioeconomic quintile, 2015</w:t>
            </w:r>
            <w:bookmarkEnd w:id="7"/>
          </w:p>
        </w:tc>
      </w:tr>
      <w:tr w:rsidR="00332996" w:rsidRPr="000C1E76" w14:paraId="71DA4A63" w14:textId="77777777" w:rsidTr="00D9470F">
        <w:tc>
          <w:tcPr>
            <w:tcW w:w="9725" w:type="dxa"/>
          </w:tcPr>
          <w:p w14:paraId="2E9DABF3" w14:textId="0EC786CC" w:rsidR="00332996" w:rsidRPr="000C1E76" w:rsidRDefault="00332996" w:rsidP="000964BA">
            <w:pPr>
              <w:pStyle w:val="Caption"/>
              <w:keepNext/>
              <w:jc w:val="center"/>
              <w:rPr>
                <w:rFonts w:eastAsia="Times New Roman" w:cs="Times New Roman"/>
                <w:b w:val="0"/>
                <w:bCs/>
                <w:color w:val="000000"/>
                <w:szCs w:val="22"/>
              </w:rPr>
            </w:pPr>
            <w:bookmarkStart w:id="8" w:name="_Hlk516839724"/>
            <w:r w:rsidRPr="00E959D5">
              <w:rPr>
                <w:rFonts w:eastAsia="Times New Roman" w:cs="Times New Roman"/>
                <w:b w:val="0"/>
                <w:i w:val="0"/>
                <w:color w:val="auto"/>
                <w:szCs w:val="22"/>
              </w:rPr>
              <w:t>Source:</w:t>
            </w:r>
            <w:r w:rsidRPr="003C0C34">
              <w:rPr>
                <w:rFonts w:eastAsia="Times New Roman" w:cs="Times New Roman"/>
                <w:b w:val="0"/>
                <w:color w:val="auto"/>
                <w:szCs w:val="22"/>
              </w:rPr>
              <w:t xml:space="preserve"> </w:t>
            </w:r>
            <w:bookmarkEnd w:id="8"/>
            <w:r w:rsidRPr="00471024">
              <w:rPr>
                <w:rFonts w:eastAsia="Times New Roman" w:cs="Times New Roman"/>
                <w:b w:val="0"/>
                <w:i w:val="0"/>
                <w:color w:val="auto"/>
                <w:szCs w:val="22"/>
              </w:rPr>
              <w:t>World Bank staff calculation u</w:t>
            </w:r>
            <w:r w:rsidR="005D08EB">
              <w:rPr>
                <w:rFonts w:eastAsia="Times New Roman" w:cs="Times New Roman"/>
                <w:b w:val="0"/>
                <w:i w:val="0"/>
                <w:color w:val="auto"/>
                <w:szCs w:val="22"/>
              </w:rPr>
              <w:t>sing harmonized PISA data, 2015</w:t>
            </w:r>
            <w:r w:rsidRPr="000C1E76">
              <w:rPr>
                <w:rFonts w:eastAsia="Times New Roman" w:cs="Times New Roman"/>
                <w:b w:val="0"/>
                <w:bCs/>
                <w:noProof/>
                <w:color w:val="000000"/>
                <w:szCs w:val="22"/>
              </w:rPr>
              <w:drawing>
                <wp:anchor distT="0" distB="0" distL="114300" distR="114300" simplePos="0" relativeHeight="251661312" behindDoc="1" locked="0" layoutInCell="1" allowOverlap="1" wp14:anchorId="5E64B23F" wp14:editId="58170582">
                  <wp:simplePos x="0" y="0"/>
                  <wp:positionH relativeFrom="column">
                    <wp:posOffset>-42545</wp:posOffset>
                  </wp:positionH>
                  <wp:positionV relativeFrom="paragraph">
                    <wp:posOffset>11430</wp:posOffset>
                  </wp:positionV>
                  <wp:extent cx="5768340" cy="1760220"/>
                  <wp:effectExtent l="0" t="0" r="3810" b="0"/>
                  <wp:wrapTopAndBottom/>
                  <wp:docPr id="22" name="Gráfico 4">
                    <a:extLst xmlns:a="http://schemas.openxmlformats.org/drawingml/2006/main">
                      <a:ext uri="{FF2B5EF4-FFF2-40B4-BE49-F238E27FC236}">
                        <a16:creationId xmlns:a16="http://schemas.microsoft.com/office/drawing/2014/main" id="{B2F57D57-93A0-4784-A3E5-2CABD03F06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tc>
      </w:tr>
    </w:tbl>
    <w:p w14:paraId="314781D2" w14:textId="5FDAD1D0" w:rsidR="00332996" w:rsidRDefault="00332996" w:rsidP="00332996">
      <w:pPr>
        <w:pStyle w:val="ListParagraph"/>
        <w:numPr>
          <w:ilvl w:val="0"/>
          <w:numId w:val="14"/>
        </w:numPr>
        <w:autoSpaceDE w:val="0"/>
        <w:autoSpaceDN w:val="0"/>
        <w:adjustRightInd w:val="0"/>
        <w:spacing w:after="120"/>
        <w:jc w:val="both"/>
      </w:pPr>
      <w:r w:rsidRPr="00332996">
        <w:rPr>
          <w:b/>
        </w:rPr>
        <w:t xml:space="preserve">The integration of Roma </w:t>
      </w:r>
      <w:r w:rsidR="005B3BFF">
        <w:rPr>
          <w:b/>
        </w:rPr>
        <w:t xml:space="preserve">persons </w:t>
      </w:r>
      <w:r w:rsidRPr="00332996">
        <w:rPr>
          <w:b/>
        </w:rPr>
        <w:t xml:space="preserve">in education remains an important challenge while it is closely associated with </w:t>
      </w:r>
      <w:r w:rsidR="005B3BFF">
        <w:rPr>
          <w:b/>
        </w:rPr>
        <w:t xml:space="preserve">low </w:t>
      </w:r>
      <w:r w:rsidRPr="00332996">
        <w:rPr>
          <w:b/>
        </w:rPr>
        <w:t>social inclusion and employment</w:t>
      </w:r>
      <w:r>
        <w:t>. Data cited by the E</w:t>
      </w:r>
      <w:r w:rsidR="005B3BFF">
        <w:t xml:space="preserve">uropean </w:t>
      </w:r>
      <w:r>
        <w:t>C</w:t>
      </w:r>
      <w:r w:rsidR="005B3BFF">
        <w:t>ommission</w:t>
      </w:r>
      <w:r>
        <w:t xml:space="preserve"> </w:t>
      </w:r>
      <w:r w:rsidR="005B3BFF">
        <w:t xml:space="preserve">(EC) </w:t>
      </w:r>
      <w:r>
        <w:t>Education and Training (E&amp;T) Monitor 2017 shows that the Roma children</w:t>
      </w:r>
      <w:r w:rsidR="005B3BFF">
        <w:t>’s</w:t>
      </w:r>
      <w:r>
        <w:t xml:space="preserve"> participation in early childhood education and care decreased form 45</w:t>
      </w:r>
      <w:r w:rsidR="005B3BFF">
        <w:t xml:space="preserve"> percent </w:t>
      </w:r>
      <w:r>
        <w:t>in 2011 to 38</w:t>
      </w:r>
      <w:r w:rsidR="005B3BFF">
        <w:t xml:space="preserve"> percent </w:t>
      </w:r>
      <w:r>
        <w:t>in 2016. At the same time, the proportion of early school leavers among Roma decreased from 90</w:t>
      </w:r>
      <w:r w:rsidR="005B3BFF">
        <w:t xml:space="preserve"> percent </w:t>
      </w:r>
      <w:r>
        <w:t>in 2011 to 77</w:t>
      </w:r>
      <w:r w:rsidR="005B3BFF">
        <w:t xml:space="preserve"> percent, </w:t>
      </w:r>
      <w:r>
        <w:t xml:space="preserve">but </w:t>
      </w:r>
      <w:r w:rsidR="005B3BFF">
        <w:t xml:space="preserve">is </w:t>
      </w:r>
      <w:r>
        <w:t>remaining high. At the same time, 64</w:t>
      </w:r>
      <w:r w:rsidR="005B3BFF">
        <w:t xml:space="preserve"> percent </w:t>
      </w:r>
      <w:r>
        <w:t xml:space="preserve">of Roma </w:t>
      </w:r>
      <w:r w:rsidR="005B3BFF">
        <w:t xml:space="preserve">youth ages </w:t>
      </w:r>
      <w:r>
        <w:t>16</w:t>
      </w:r>
      <w:r w:rsidR="005B3BFF">
        <w:t>–</w:t>
      </w:r>
      <w:r>
        <w:t>24 are out of employment, education</w:t>
      </w:r>
      <w:r w:rsidR="005B3BFF">
        <w:t>,</w:t>
      </w:r>
      <w:r>
        <w:t xml:space="preserve"> and training. </w:t>
      </w:r>
      <w:r w:rsidR="005B3BFF">
        <w:t xml:space="preserve">Twenty-nine percent </w:t>
      </w:r>
      <w:r>
        <w:t>of Roma children are educated in segregated schools</w:t>
      </w:r>
      <w:r w:rsidR="005B3BFF">
        <w:t>,</w:t>
      </w:r>
      <w:r>
        <w:t xml:space="preserve"> where all or most </w:t>
      </w:r>
      <w:r w:rsidR="005B3BFF">
        <w:t xml:space="preserve">of the </w:t>
      </w:r>
      <w:r>
        <w:t xml:space="preserve">students are Roma. While this proportion is the lowest among peer countries, more efforts are needed for desegregation and its monitoring through standard methodologies. </w:t>
      </w:r>
    </w:p>
    <w:p w14:paraId="31332377" w14:textId="6718A46B" w:rsidR="00332996" w:rsidRDefault="00332996" w:rsidP="00332996">
      <w:pPr>
        <w:pStyle w:val="ListParagraph"/>
        <w:numPr>
          <w:ilvl w:val="0"/>
          <w:numId w:val="14"/>
        </w:numPr>
        <w:autoSpaceDE w:val="0"/>
        <w:autoSpaceDN w:val="0"/>
        <w:adjustRightInd w:val="0"/>
        <w:spacing w:after="120"/>
        <w:jc w:val="both"/>
      </w:pPr>
      <w:r w:rsidRPr="00332996">
        <w:rPr>
          <w:b/>
        </w:rPr>
        <w:t>The E&amp;T Monitor 2017 recently issued by the European Commission (EC) also focuses on the overlap between rural</w:t>
      </w:r>
      <w:r w:rsidR="005605A9">
        <w:rPr>
          <w:b/>
        </w:rPr>
        <w:t>–</w:t>
      </w:r>
      <w:r w:rsidRPr="00332996">
        <w:rPr>
          <w:b/>
        </w:rPr>
        <w:t>urban disparities and inequality in education</w:t>
      </w:r>
      <w:r>
        <w:t>. More specifically, access to quality mainstream education</w:t>
      </w:r>
      <w:r w:rsidR="005605A9">
        <w:t>—</w:t>
      </w:r>
      <w:r>
        <w:t>in particular for Roma and children in rural areas</w:t>
      </w:r>
      <w:r w:rsidR="005605A9">
        <w:t>—</w:t>
      </w:r>
      <w:r>
        <w:t xml:space="preserve">is highlighted as a major challenge. The gap in educational outcomes is also evidenced by national examination results. In 2016, </w:t>
      </w:r>
      <w:r>
        <w:lastRenderedPageBreak/>
        <w:t>37.5</w:t>
      </w:r>
      <w:r w:rsidR="005605A9">
        <w:t xml:space="preserve"> percent </w:t>
      </w:r>
      <w:r>
        <w:t xml:space="preserve">of 8th grade students in rural schools had poor results (under </w:t>
      </w:r>
      <w:r w:rsidR="005605A9">
        <w:t xml:space="preserve">the </w:t>
      </w:r>
      <w:r>
        <w:t xml:space="preserve">5-mark level) at the national evaluation, compared </w:t>
      </w:r>
      <w:r w:rsidR="005605A9">
        <w:t xml:space="preserve">with </w:t>
      </w:r>
      <w:r>
        <w:t>15</w:t>
      </w:r>
      <w:r w:rsidR="005605A9">
        <w:t xml:space="preserve"> percent </w:t>
      </w:r>
      <w:r>
        <w:t xml:space="preserve">in urban schools. </w:t>
      </w:r>
    </w:p>
    <w:p w14:paraId="47F55F74" w14:textId="6F948A3E" w:rsidR="00332996" w:rsidRDefault="00332996" w:rsidP="00332996">
      <w:pPr>
        <w:pStyle w:val="ListParagraph"/>
        <w:numPr>
          <w:ilvl w:val="0"/>
          <w:numId w:val="14"/>
        </w:numPr>
        <w:autoSpaceDE w:val="0"/>
        <w:autoSpaceDN w:val="0"/>
        <w:adjustRightInd w:val="0"/>
        <w:spacing w:after="120"/>
        <w:jc w:val="both"/>
      </w:pPr>
      <w:r w:rsidRPr="00332996">
        <w:rPr>
          <w:b/>
        </w:rPr>
        <w:t xml:space="preserve">While 45 </w:t>
      </w:r>
      <w:r w:rsidR="005605A9">
        <w:rPr>
          <w:b/>
        </w:rPr>
        <w:t>percent</w:t>
      </w:r>
      <w:r w:rsidR="005605A9" w:rsidRPr="00332996">
        <w:rPr>
          <w:b/>
        </w:rPr>
        <w:t xml:space="preserve"> </w:t>
      </w:r>
      <w:r w:rsidRPr="00332996">
        <w:rPr>
          <w:b/>
        </w:rPr>
        <w:t xml:space="preserve">of all Romanian school children live in rural areas, only 24 </w:t>
      </w:r>
      <w:r w:rsidR="005605A9">
        <w:rPr>
          <w:b/>
        </w:rPr>
        <w:t>percent</w:t>
      </w:r>
      <w:r w:rsidR="005605A9" w:rsidRPr="00332996">
        <w:rPr>
          <w:b/>
        </w:rPr>
        <w:t xml:space="preserve"> </w:t>
      </w:r>
      <w:r w:rsidRPr="00332996">
        <w:rPr>
          <w:b/>
        </w:rPr>
        <w:t>of students enrolled in higher education come from rural areas</w:t>
      </w:r>
      <w:r>
        <w:t xml:space="preserve">. One in five of </w:t>
      </w:r>
      <w:r w:rsidR="005605A9">
        <w:t xml:space="preserve">those who are </w:t>
      </w:r>
      <w:r>
        <w:t>18</w:t>
      </w:r>
      <w:r w:rsidR="005605A9">
        <w:t>–</w:t>
      </w:r>
      <w:r>
        <w:t>24</w:t>
      </w:r>
      <w:r w:rsidR="005605A9">
        <w:t xml:space="preserve"> </w:t>
      </w:r>
      <w:r>
        <w:t>year</w:t>
      </w:r>
      <w:r w:rsidR="005605A9">
        <w:t xml:space="preserve">s </w:t>
      </w:r>
      <w:r>
        <w:t xml:space="preserve">old leave the system before completing lower secondary education, with </w:t>
      </w:r>
      <w:r w:rsidR="005605A9">
        <w:t xml:space="preserve">the </w:t>
      </w:r>
      <w:r>
        <w:t xml:space="preserve">highest early school leaving rates </w:t>
      </w:r>
      <w:r w:rsidR="005605A9">
        <w:t xml:space="preserve">among those </w:t>
      </w:r>
      <w:r w:rsidR="00520D1B">
        <w:t>in rural areas (26.6</w:t>
      </w:r>
      <w:r w:rsidR="005605A9">
        <w:t xml:space="preserve"> percent). </w:t>
      </w:r>
      <w:r>
        <w:t xml:space="preserve">Early warning systems to prevent early school leaving need to be put in place and rigorously monitored. These challenges require more efforts to promote school </w:t>
      </w:r>
      <w:r w:rsidR="005605A9">
        <w:t xml:space="preserve">and </w:t>
      </w:r>
      <w:r>
        <w:t>after</w:t>
      </w:r>
      <w:r w:rsidR="005605A9">
        <w:t>-</w:t>
      </w:r>
      <w:r>
        <w:t>school programs to support disadvantaged students and prevent early school leaving. At the same time, flexible second</w:t>
      </w:r>
      <w:r w:rsidR="005605A9">
        <w:t>-</w:t>
      </w:r>
      <w:r>
        <w:t xml:space="preserve">chance programs are needed for those who have already left school, including programs for those who are </w:t>
      </w:r>
      <w:r w:rsidR="005605A9">
        <w:t xml:space="preserve">not </w:t>
      </w:r>
      <w:r>
        <w:t xml:space="preserve">in </w:t>
      </w:r>
      <w:r w:rsidR="005605A9">
        <w:t xml:space="preserve">the </w:t>
      </w:r>
      <w:r>
        <w:t>education</w:t>
      </w:r>
      <w:r w:rsidR="005605A9">
        <w:t>al system</w:t>
      </w:r>
      <w:r>
        <w:t>, employed</w:t>
      </w:r>
      <w:r w:rsidR="005605A9">
        <w:t>,</w:t>
      </w:r>
      <w:r>
        <w:t xml:space="preserve"> or in training (NEET).</w:t>
      </w:r>
    </w:p>
    <w:p w14:paraId="7B69A174" w14:textId="3E9C5194" w:rsidR="00332996" w:rsidRDefault="00332996" w:rsidP="00332996">
      <w:pPr>
        <w:pStyle w:val="ListParagraph"/>
        <w:numPr>
          <w:ilvl w:val="0"/>
          <w:numId w:val="14"/>
        </w:numPr>
        <w:autoSpaceDE w:val="0"/>
        <w:autoSpaceDN w:val="0"/>
        <w:adjustRightInd w:val="0"/>
        <w:spacing w:after="120"/>
        <w:jc w:val="both"/>
      </w:pPr>
      <w:r w:rsidRPr="00332996">
        <w:rPr>
          <w:b/>
        </w:rPr>
        <w:t>Dropouts are an important predictor of early school leaving</w:t>
      </w:r>
      <w:r>
        <w:t xml:space="preserve">. The geographic analysis of this phenomenon in Romania demonstrates that the issue is very uneven across the country. Analysis of dropout rates carried out by the World Bank in 2017 </w:t>
      </w:r>
      <w:r w:rsidR="005605A9">
        <w:t xml:space="preserve">revealed </w:t>
      </w:r>
      <w:r>
        <w:t xml:space="preserve">a pattern in which counties that record top quintile dropout rates do so for multiple levels of the education system, while counties with the lowest dropout rates (bottom quintile) maintain low dropout rates throughout the system. At the extremes, Galati County has a dropout rate of 6.8 </w:t>
      </w:r>
      <w:r w:rsidR="005605A9">
        <w:t xml:space="preserve">percent, </w:t>
      </w:r>
      <w:r>
        <w:t xml:space="preserve">while Harghita County’s dropout rate is 3.1 </w:t>
      </w:r>
      <w:r w:rsidR="005605A9">
        <w:t xml:space="preserve">percent </w:t>
      </w:r>
      <w:r>
        <w:t>on average</w:t>
      </w:r>
      <w:r w:rsidR="00354243">
        <w:t xml:space="preserve"> (Figure 3)</w:t>
      </w:r>
      <w:r>
        <w:t xml:space="preserve">. </w:t>
      </w:r>
    </w:p>
    <w:p w14:paraId="56CD7E8E" w14:textId="5844EB8B" w:rsidR="00332996" w:rsidRPr="00597F2F" w:rsidRDefault="00332996" w:rsidP="00332996">
      <w:pPr>
        <w:pStyle w:val="Caption"/>
        <w:spacing w:after="0"/>
        <w:jc w:val="center"/>
        <w:rPr>
          <w:rFonts w:cs="Times New Roman"/>
          <w:i w:val="0"/>
          <w:szCs w:val="22"/>
        </w:rPr>
      </w:pPr>
      <w:bookmarkStart w:id="9" w:name="_Toc508294600"/>
      <w:r w:rsidRPr="00471024">
        <w:rPr>
          <w:i w:val="0"/>
        </w:rPr>
        <w:t xml:space="preserve">Figure </w:t>
      </w:r>
      <w:r w:rsidR="00CB5750" w:rsidRPr="00471024">
        <w:rPr>
          <w:i w:val="0"/>
        </w:rPr>
        <w:fldChar w:fldCharType="begin"/>
      </w:r>
      <w:r w:rsidR="00CB5750" w:rsidRPr="00471024">
        <w:rPr>
          <w:i w:val="0"/>
        </w:rPr>
        <w:instrText xml:space="preserve"> SEQ Figure \* ARABIC </w:instrText>
      </w:r>
      <w:r w:rsidR="00CB5750" w:rsidRPr="00471024">
        <w:rPr>
          <w:i w:val="0"/>
        </w:rPr>
        <w:fldChar w:fldCharType="separate"/>
      </w:r>
      <w:r w:rsidR="00426231">
        <w:rPr>
          <w:i w:val="0"/>
          <w:noProof/>
        </w:rPr>
        <w:t>3</w:t>
      </w:r>
      <w:r w:rsidR="00CB5750" w:rsidRPr="00471024">
        <w:rPr>
          <w:i w:val="0"/>
          <w:noProof/>
        </w:rPr>
        <w:fldChar w:fldCharType="end"/>
      </w:r>
      <w:r w:rsidRPr="00471024">
        <w:rPr>
          <w:i w:val="0"/>
        </w:rPr>
        <w:t xml:space="preserve">. </w:t>
      </w:r>
      <w:r w:rsidRPr="00471024">
        <w:rPr>
          <w:rFonts w:cs="Times New Roman"/>
          <w:i w:val="0"/>
          <w:szCs w:val="22"/>
        </w:rPr>
        <w:t>Dropout Rates in Lower Secondary Education by County</w:t>
      </w:r>
      <w:bookmarkEnd w:id="9"/>
    </w:p>
    <w:p w14:paraId="701F28BC" w14:textId="0917668F" w:rsidR="00332996" w:rsidRDefault="00332996" w:rsidP="001A0850">
      <w:pPr>
        <w:pStyle w:val="source"/>
        <w:rPr>
          <w:i/>
          <w:sz w:val="22"/>
          <w:szCs w:val="22"/>
        </w:rPr>
      </w:pPr>
      <w:r w:rsidRPr="00083D42">
        <w:rPr>
          <w:noProof/>
          <w:sz w:val="22"/>
          <w:szCs w:val="22"/>
        </w:rPr>
        <w:drawing>
          <wp:inline distT="0" distB="0" distL="0" distR="0" wp14:anchorId="68FD58CA" wp14:editId="4A0479EC">
            <wp:extent cx="4458335" cy="27908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opOutRates_Gym_s3.png"/>
                    <pic:cNvPicPr/>
                  </pic:nvPicPr>
                  <pic:blipFill rotWithShape="1">
                    <a:blip r:embed="rId16" cstate="print">
                      <a:extLst>
                        <a:ext uri="{28A0092B-C50C-407E-A947-70E740481C1C}">
                          <a14:useLocalDpi xmlns:a14="http://schemas.microsoft.com/office/drawing/2010/main" val="0"/>
                        </a:ext>
                      </a:extLst>
                    </a:blip>
                    <a:srcRect l="2884" t="4684" r="2564" b="4503"/>
                    <a:stretch/>
                  </pic:blipFill>
                  <pic:spPr bwMode="auto">
                    <a:xfrm>
                      <a:off x="0" y="0"/>
                      <a:ext cx="4466334" cy="2795832"/>
                    </a:xfrm>
                    <a:prstGeom prst="rect">
                      <a:avLst/>
                    </a:prstGeom>
                    <a:ln>
                      <a:noFill/>
                    </a:ln>
                    <a:extLst>
                      <a:ext uri="{53640926-AAD7-44D8-BBD7-CCE9431645EC}">
                        <a14:shadowObscured xmlns:a14="http://schemas.microsoft.com/office/drawing/2010/main"/>
                      </a:ext>
                    </a:extLst>
                  </pic:spPr>
                </pic:pic>
              </a:graphicData>
            </a:graphic>
          </wp:inline>
        </w:drawing>
      </w:r>
    </w:p>
    <w:p w14:paraId="4FD2B135" w14:textId="414D3757" w:rsidR="00F42653" w:rsidRDefault="00F42653" w:rsidP="00895A35">
      <w:pPr>
        <w:pStyle w:val="source"/>
        <w:ind w:left="1440"/>
        <w:jc w:val="left"/>
        <w:rPr>
          <w:rFonts w:ascii="Calibri" w:hAnsi="Calibri" w:cs="Calibri"/>
          <w:sz w:val="22"/>
          <w:szCs w:val="22"/>
        </w:rPr>
      </w:pPr>
      <w:r w:rsidRPr="00E959D5">
        <w:rPr>
          <w:rFonts w:ascii="Calibri" w:hAnsi="Calibri" w:cs="Calibri"/>
          <w:sz w:val="22"/>
          <w:szCs w:val="22"/>
        </w:rPr>
        <w:t>Source</w:t>
      </w:r>
      <w:r w:rsidRPr="009046A5">
        <w:rPr>
          <w:rFonts w:ascii="Calibri" w:hAnsi="Calibri" w:cs="Calibri"/>
          <w:i/>
          <w:sz w:val="22"/>
          <w:szCs w:val="22"/>
        </w:rPr>
        <w:t>:</w:t>
      </w:r>
      <w:r w:rsidRPr="0011686D">
        <w:rPr>
          <w:rFonts w:ascii="Calibri" w:hAnsi="Calibri" w:cs="Calibri"/>
          <w:sz w:val="22"/>
          <w:szCs w:val="22"/>
        </w:rPr>
        <w:t xml:space="preserve"> </w:t>
      </w:r>
      <w:r w:rsidR="00895A35" w:rsidRPr="0011686D">
        <w:rPr>
          <w:rFonts w:ascii="Calibri" w:hAnsi="Calibri" w:cs="Calibri"/>
          <w:sz w:val="22"/>
          <w:szCs w:val="22"/>
        </w:rPr>
        <w:t xml:space="preserve">World Bank staff calculation based on </w:t>
      </w:r>
      <w:r w:rsidR="000A714F" w:rsidRPr="0011686D">
        <w:rPr>
          <w:rFonts w:ascii="Calibri" w:hAnsi="Calibri" w:cs="Calibri"/>
          <w:sz w:val="22"/>
          <w:szCs w:val="22"/>
        </w:rPr>
        <w:t>SIIIR</w:t>
      </w:r>
      <w:r w:rsidR="00895A35" w:rsidRPr="0011686D">
        <w:rPr>
          <w:rStyle w:val="FootnoteReference"/>
          <w:rFonts w:ascii="Calibri" w:hAnsi="Calibri" w:cs="Calibri"/>
          <w:sz w:val="22"/>
          <w:szCs w:val="22"/>
        </w:rPr>
        <w:footnoteReference w:id="2"/>
      </w:r>
      <w:r w:rsidR="000A714F" w:rsidRPr="0011686D">
        <w:rPr>
          <w:rFonts w:ascii="Calibri" w:hAnsi="Calibri" w:cs="Calibri"/>
          <w:sz w:val="22"/>
          <w:szCs w:val="22"/>
        </w:rPr>
        <w:t xml:space="preserve"> </w:t>
      </w:r>
      <w:r w:rsidR="00895A35" w:rsidRPr="0011686D">
        <w:rPr>
          <w:rFonts w:ascii="Calibri" w:hAnsi="Calibri" w:cs="Calibri"/>
          <w:sz w:val="22"/>
          <w:szCs w:val="22"/>
        </w:rPr>
        <w:t>data for school year 2014/15</w:t>
      </w:r>
      <w:r w:rsidR="000A714F">
        <w:rPr>
          <w:rFonts w:ascii="Calibri" w:hAnsi="Calibri" w:cs="Calibri"/>
          <w:sz w:val="22"/>
          <w:szCs w:val="22"/>
        </w:rPr>
        <w:t xml:space="preserve">  </w:t>
      </w:r>
    </w:p>
    <w:p w14:paraId="6A85B405" w14:textId="77777777" w:rsidR="00F42653" w:rsidRPr="00471024" w:rsidRDefault="00F42653" w:rsidP="00471024">
      <w:pPr>
        <w:pStyle w:val="source"/>
        <w:ind w:left="1440" w:firstLine="720"/>
        <w:jc w:val="left"/>
        <w:rPr>
          <w:rFonts w:ascii="Calibri" w:hAnsi="Calibri" w:cs="Calibri"/>
          <w:sz w:val="22"/>
          <w:szCs w:val="22"/>
        </w:rPr>
      </w:pPr>
    </w:p>
    <w:p w14:paraId="4557B562" w14:textId="1CFA2A87" w:rsidR="00332996" w:rsidRDefault="00332996" w:rsidP="00332996">
      <w:pPr>
        <w:pStyle w:val="ListParagraph"/>
        <w:numPr>
          <w:ilvl w:val="0"/>
          <w:numId w:val="14"/>
        </w:numPr>
        <w:autoSpaceDE w:val="0"/>
        <w:autoSpaceDN w:val="0"/>
        <w:adjustRightInd w:val="0"/>
        <w:spacing w:after="120"/>
        <w:jc w:val="both"/>
      </w:pPr>
      <w:r w:rsidRPr="00332996">
        <w:rPr>
          <w:b/>
        </w:rPr>
        <w:t>The urban</w:t>
      </w:r>
      <w:r w:rsidR="005605A9">
        <w:rPr>
          <w:b/>
        </w:rPr>
        <w:t>–</w:t>
      </w:r>
      <w:r w:rsidRPr="00332996">
        <w:rPr>
          <w:b/>
        </w:rPr>
        <w:t>rural divide in Romania’s education system can be considered through the lens of grade repetition, which contributes to inefficiencies in the system</w:t>
      </w:r>
      <w:r>
        <w:t>. Data show that repetition is more common in rural areas at all levels of education and in low-income areas. In Romania, students in rural areas</w:t>
      </w:r>
      <w:r w:rsidR="005605A9">
        <w:t>—</w:t>
      </w:r>
      <w:r>
        <w:t>regardless of education cycle or county of residence</w:t>
      </w:r>
      <w:r w:rsidR="005605A9">
        <w:t>—</w:t>
      </w:r>
      <w:r>
        <w:t xml:space="preserve">are more likely to repeat a grade than students in urban areas. For primary education, the repetition rate in rural areas is 3.3 </w:t>
      </w:r>
      <w:r w:rsidR="005605A9">
        <w:t xml:space="preserve">percent, </w:t>
      </w:r>
      <w:r>
        <w:t xml:space="preserve">compared with 1.7 </w:t>
      </w:r>
      <w:r w:rsidR="005605A9">
        <w:t xml:space="preserve">percent </w:t>
      </w:r>
      <w:r>
        <w:t xml:space="preserve">in urban areas, </w:t>
      </w:r>
      <w:r w:rsidR="00597F2F">
        <w:t xml:space="preserve">and </w:t>
      </w:r>
      <w:r>
        <w:t xml:space="preserve">grows at the </w:t>
      </w:r>
      <w:r w:rsidRPr="00597F2F">
        <w:t>gymnasium level</w:t>
      </w:r>
      <w:r w:rsidR="00597F2F">
        <w:t xml:space="preserve"> to </w:t>
      </w:r>
      <w:r>
        <w:t xml:space="preserve">6.1 </w:t>
      </w:r>
      <w:r w:rsidR="00597F2F">
        <w:t xml:space="preserve">percent </w:t>
      </w:r>
      <w:r>
        <w:t xml:space="preserve">versus 3.8 </w:t>
      </w:r>
      <w:r w:rsidR="00520D1B">
        <w:t>percent.</w:t>
      </w:r>
      <w:r w:rsidR="00597F2F">
        <w:t xml:space="preserve"> </w:t>
      </w:r>
      <w:r>
        <w:t xml:space="preserve">A </w:t>
      </w:r>
      <w:r w:rsidR="00597F2F">
        <w:t xml:space="preserve">statistically significant </w:t>
      </w:r>
      <w:r>
        <w:t xml:space="preserve">positive correlation of 0.32 also exists between average repetition and </w:t>
      </w:r>
      <w:r w:rsidR="00597F2F">
        <w:t xml:space="preserve">the </w:t>
      </w:r>
      <w:r>
        <w:t xml:space="preserve">degree of area marginalization, meaning that localities with high degrees of area marginalization, where there </w:t>
      </w:r>
      <w:r>
        <w:lastRenderedPageBreak/>
        <w:t>are high shares of population</w:t>
      </w:r>
      <w:r w:rsidR="00597F2F">
        <w:t>s</w:t>
      </w:r>
      <w:r>
        <w:t xml:space="preserve"> with disadvantaged socioeconomic background</w:t>
      </w:r>
      <w:r w:rsidR="00597F2F">
        <w:t>s</w:t>
      </w:r>
      <w:r>
        <w:t>, also have high repetition rates. This is consistent with the urban</w:t>
      </w:r>
      <w:r w:rsidR="00597F2F">
        <w:t>–</w:t>
      </w:r>
      <w:r>
        <w:t>rural divide, as high degrees of area marginalization are more common in rural areas.</w:t>
      </w:r>
    </w:p>
    <w:p w14:paraId="7B923143" w14:textId="796CDDC5" w:rsidR="00332996" w:rsidRDefault="00332996" w:rsidP="00332996">
      <w:pPr>
        <w:pStyle w:val="ListParagraph"/>
        <w:numPr>
          <w:ilvl w:val="0"/>
          <w:numId w:val="14"/>
        </w:numPr>
        <w:autoSpaceDE w:val="0"/>
        <w:autoSpaceDN w:val="0"/>
        <w:adjustRightInd w:val="0"/>
        <w:spacing w:after="120"/>
        <w:jc w:val="both"/>
      </w:pPr>
      <w:r w:rsidRPr="00332996">
        <w:rPr>
          <w:b/>
        </w:rPr>
        <w:t>Data also show that differences in education</w:t>
      </w:r>
      <w:r w:rsidR="00597F2F">
        <w:rPr>
          <w:b/>
        </w:rPr>
        <w:t>al</w:t>
      </w:r>
      <w:r w:rsidRPr="00332996">
        <w:rPr>
          <w:b/>
        </w:rPr>
        <w:t xml:space="preserve"> infrastructure can lead to gaps in education quality between urban and rural schools</w:t>
      </w:r>
      <w:r>
        <w:t>. More than 348,000 students enrolled in rural schools are currently affected by the lack of libraries</w:t>
      </w:r>
      <w:r w:rsidR="00597F2F">
        <w:t>,</w:t>
      </w:r>
      <w:r>
        <w:t xml:space="preserve"> versus approximately 152,000 urban students, absence of laboratories</w:t>
      </w:r>
      <w:r w:rsidR="00597F2F">
        <w:t xml:space="preserve"> in</w:t>
      </w:r>
      <w:r>
        <w:t xml:space="preserve"> 72 </w:t>
      </w:r>
      <w:r w:rsidR="00597F2F">
        <w:t xml:space="preserve">percent </w:t>
      </w:r>
      <w:r>
        <w:t xml:space="preserve">of rural and 30 </w:t>
      </w:r>
      <w:r w:rsidR="00597F2F">
        <w:t xml:space="preserve">percent </w:t>
      </w:r>
      <w:r>
        <w:t>of urban schools, lack of gyms</w:t>
      </w:r>
      <w:r w:rsidR="00597F2F">
        <w:t xml:space="preserve"> in</w:t>
      </w:r>
      <w:r>
        <w:t xml:space="preserve"> 32</w:t>
      </w:r>
      <w:r w:rsidR="00597F2F">
        <w:t xml:space="preserve"> percent </w:t>
      </w:r>
      <w:r>
        <w:t>of rural and 71</w:t>
      </w:r>
      <w:r w:rsidR="00597F2F">
        <w:t xml:space="preserve"> percent </w:t>
      </w:r>
      <w:r>
        <w:t>of urban areas. Much more needs to be done to secure safe and modern education</w:t>
      </w:r>
      <w:r w:rsidR="00597F2F">
        <w:t>al</w:t>
      </w:r>
      <w:r>
        <w:t xml:space="preserve"> learning environments, including new spaces</w:t>
      </w:r>
      <w:r w:rsidR="00597F2F">
        <w:t>,</w:t>
      </w:r>
      <w:r>
        <w:t xml:space="preserve"> to address shortages</w:t>
      </w:r>
      <w:r w:rsidR="00597F2F">
        <w:t>—</w:t>
      </w:r>
      <w:r>
        <w:t>especially for early childhood education and care.</w:t>
      </w:r>
    </w:p>
    <w:p w14:paraId="61873A84" w14:textId="544EE9A8" w:rsidR="00332996" w:rsidRDefault="00332996" w:rsidP="001A0850">
      <w:pPr>
        <w:pStyle w:val="Heading2"/>
      </w:pPr>
      <w:bookmarkStart w:id="10" w:name="_Toc508294585"/>
      <w:r>
        <w:t>Delivering Quality Education for All and Relevant Skills for the Labor Market</w:t>
      </w:r>
      <w:bookmarkEnd w:id="10"/>
    </w:p>
    <w:p w14:paraId="674F2B44" w14:textId="2015260C" w:rsidR="00332996" w:rsidRDefault="00332996" w:rsidP="00D9470F">
      <w:pPr>
        <w:pStyle w:val="ListParagraph"/>
        <w:numPr>
          <w:ilvl w:val="0"/>
          <w:numId w:val="14"/>
        </w:numPr>
        <w:autoSpaceDE w:val="0"/>
        <w:autoSpaceDN w:val="0"/>
        <w:adjustRightInd w:val="0"/>
        <w:spacing w:after="240"/>
        <w:jc w:val="both"/>
      </w:pPr>
      <w:r w:rsidRPr="00332996">
        <w:rPr>
          <w:b/>
        </w:rPr>
        <w:t>The proportion of top</w:t>
      </w:r>
      <w:r w:rsidR="00597F2F">
        <w:rPr>
          <w:b/>
        </w:rPr>
        <w:t>-</w:t>
      </w:r>
      <w:r w:rsidRPr="00332996">
        <w:rPr>
          <w:b/>
        </w:rPr>
        <w:t>performing students is the lowest in the EU</w:t>
      </w:r>
      <w:r>
        <w:t xml:space="preserve">. The EC’s E&amp;T Monitor 2017 points out </w:t>
      </w:r>
      <w:r w:rsidR="00597F2F">
        <w:t>th</w:t>
      </w:r>
      <w:r>
        <w:t>at the proportion of top performing students in Romania</w:t>
      </w:r>
      <w:r w:rsidR="00597F2F">
        <w:t>—</w:t>
      </w:r>
      <w:r>
        <w:t>those capable of solving complex problems</w:t>
      </w:r>
      <w:r w:rsidR="00597F2F">
        <w:t>—</w:t>
      </w:r>
      <w:r>
        <w:t>is the lowest in the EU (</w:t>
      </w:r>
      <w:r w:rsidR="00597F2F">
        <w:t xml:space="preserve">at </w:t>
      </w:r>
      <w:r>
        <w:t>2</w:t>
      </w:r>
      <w:r w:rsidR="00597F2F">
        <w:t xml:space="preserve"> percent </w:t>
      </w:r>
      <w:r>
        <w:t xml:space="preserve">in </w:t>
      </w:r>
      <w:r w:rsidR="00597F2F">
        <w:t>reading</w:t>
      </w:r>
      <w:r>
        <w:t xml:space="preserve">, 3.3 </w:t>
      </w:r>
      <w:r w:rsidR="00597F2F">
        <w:t xml:space="preserve">percent </w:t>
      </w:r>
      <w:r>
        <w:t xml:space="preserve">in </w:t>
      </w:r>
      <w:r w:rsidR="00597F2F">
        <w:t>mathematics</w:t>
      </w:r>
      <w:r>
        <w:t>, and 0.7</w:t>
      </w:r>
      <w:r w:rsidR="00597F2F">
        <w:t xml:space="preserve"> percent </w:t>
      </w:r>
      <w:r>
        <w:t xml:space="preserve">in </w:t>
      </w:r>
      <w:r w:rsidR="00597F2F">
        <w:t>science</w:t>
      </w:r>
      <w:r>
        <w:t xml:space="preserve">). In this context, the OECD 2017 Reviews of Evaluation and Assessment in Education suggests that current teaching approaches do not foster complex, higher-order skills. Given the ongoing phased implementation of </w:t>
      </w:r>
      <w:r w:rsidR="00AD5BB6">
        <w:t xml:space="preserve">a </w:t>
      </w:r>
      <w:r>
        <w:t xml:space="preserve">competence-based school curriculum, there is a need to strengthen learning standards to encourage changes in teaching and ensure a continuous professional development to train teachers to teach the new competence-based curriculum. </w:t>
      </w:r>
    </w:p>
    <w:p w14:paraId="1BDCCA33" w14:textId="66616283" w:rsidR="00332996" w:rsidRDefault="00332996" w:rsidP="00D9470F">
      <w:pPr>
        <w:pStyle w:val="ListParagraph"/>
        <w:numPr>
          <w:ilvl w:val="0"/>
          <w:numId w:val="14"/>
        </w:numPr>
        <w:autoSpaceDE w:val="0"/>
        <w:autoSpaceDN w:val="0"/>
        <w:adjustRightInd w:val="0"/>
        <w:spacing w:after="240"/>
        <w:jc w:val="both"/>
      </w:pPr>
      <w:r w:rsidRPr="00332996">
        <w:rPr>
          <w:b/>
        </w:rPr>
        <w:t>Challenges also remain related to pre-service teacher training as well to attracting and retaining best graduates in the system, especially in most disadvantaged schools</w:t>
      </w:r>
      <w:r>
        <w:t>. The OECD 2017 report highlights the need for more pre-service teacher preparation in practical domains as well as the importance of following a two-year master’s programme in education</w:t>
      </w:r>
      <w:r w:rsidR="00AD5BB6">
        <w:t>—</w:t>
      </w:r>
      <w:r>
        <w:t>an existing requirement in the current Education Law of 2011 that has not yet been implemented. At the same time, while teacher salaries have been slightly increasing</w:t>
      </w:r>
      <w:r w:rsidR="00AD5BB6">
        <w:t>,</w:t>
      </w:r>
      <w:r>
        <w:t xml:space="preserve"> and some incentives exist, high-performing teachers are not attracted to disadvantaged schools. </w:t>
      </w:r>
    </w:p>
    <w:p w14:paraId="0E8D4392" w14:textId="13257EF9" w:rsidR="00332996" w:rsidRDefault="00332996" w:rsidP="00D9470F">
      <w:pPr>
        <w:pStyle w:val="ListParagraph"/>
        <w:numPr>
          <w:ilvl w:val="0"/>
          <w:numId w:val="14"/>
        </w:numPr>
        <w:autoSpaceDE w:val="0"/>
        <w:autoSpaceDN w:val="0"/>
        <w:adjustRightInd w:val="0"/>
        <w:spacing w:after="240"/>
        <w:jc w:val="both"/>
      </w:pPr>
      <w:r w:rsidRPr="00332996">
        <w:rPr>
          <w:b/>
        </w:rPr>
        <w:t>The delivery of relevant skills for the labor market is a hot topic on the public agenda</w:t>
      </w:r>
      <w:r>
        <w:t xml:space="preserve">. In 2016, </w:t>
      </w:r>
      <w:r w:rsidR="00AD5BB6">
        <w:t xml:space="preserve">the </w:t>
      </w:r>
      <w:r>
        <w:t>employment rate of graduates aged 20</w:t>
      </w:r>
      <w:r w:rsidR="00AD5BB6">
        <w:t>–</w:t>
      </w:r>
      <w:r>
        <w:t>34 who left education 1</w:t>
      </w:r>
      <w:r w:rsidR="00AD5BB6">
        <w:t>–</w:t>
      </w:r>
      <w:r>
        <w:t xml:space="preserve">3 years </w:t>
      </w:r>
      <w:r w:rsidR="00AD5BB6">
        <w:t>before</w:t>
      </w:r>
      <w:r>
        <w:t xml:space="preserve"> </w:t>
      </w:r>
      <w:r w:rsidR="00AD5BB6">
        <w:t xml:space="preserve">was </w:t>
      </w:r>
      <w:r>
        <w:t>69.3</w:t>
      </w:r>
      <w:r w:rsidR="00AD5BB6">
        <w:t xml:space="preserve"> percent, </w:t>
      </w:r>
      <w:r>
        <w:t xml:space="preserve">compared </w:t>
      </w:r>
      <w:r w:rsidR="00AD5BB6">
        <w:t xml:space="preserve">with </w:t>
      </w:r>
      <w:r>
        <w:t xml:space="preserve">the EU average of 78.2 </w:t>
      </w:r>
      <w:r w:rsidR="00520D1B">
        <w:t xml:space="preserve">percent. </w:t>
      </w:r>
      <w:r>
        <w:t xml:space="preserve">At the same time, </w:t>
      </w:r>
      <w:r w:rsidR="00AD5BB6">
        <w:t xml:space="preserve">the </w:t>
      </w:r>
      <w:r>
        <w:t xml:space="preserve">tertiary education attainment </w:t>
      </w:r>
      <w:r w:rsidR="00AD5BB6">
        <w:t xml:space="preserve">of </w:t>
      </w:r>
      <w:r>
        <w:t>30</w:t>
      </w:r>
      <w:r w:rsidR="00AD5BB6">
        <w:t>–</w:t>
      </w:r>
      <w:r>
        <w:t>34</w:t>
      </w:r>
      <w:r w:rsidR="00AD5BB6">
        <w:t xml:space="preserve"> </w:t>
      </w:r>
      <w:r>
        <w:t>year</w:t>
      </w:r>
      <w:r w:rsidR="00AD5BB6">
        <w:t xml:space="preserve"> </w:t>
      </w:r>
      <w:r>
        <w:t>old</w:t>
      </w:r>
      <w:r w:rsidR="00AD5BB6">
        <w:t xml:space="preserve"> persons</w:t>
      </w:r>
      <w:r>
        <w:t xml:space="preserve"> </w:t>
      </w:r>
      <w:r w:rsidR="00AD5BB6">
        <w:t xml:space="preserve">had </w:t>
      </w:r>
      <w:r>
        <w:t>not increased since 2015</w:t>
      </w:r>
      <w:r w:rsidR="00AD5BB6">
        <w:t>,</w:t>
      </w:r>
      <w:r>
        <w:t xml:space="preserve"> and remained </w:t>
      </w:r>
      <w:r w:rsidR="00AD5BB6">
        <w:t xml:space="preserve">at </w:t>
      </w:r>
      <w:r>
        <w:t xml:space="preserve">25.6 </w:t>
      </w:r>
      <w:r w:rsidR="00AD5BB6">
        <w:t xml:space="preserve">percent </w:t>
      </w:r>
      <w:r>
        <w:t>in 2016</w:t>
      </w:r>
      <w:r w:rsidR="00AD5BB6">
        <w:t>—</w:t>
      </w:r>
      <w:r>
        <w:t>the lowest in the EU. While Romania’s target of 26.7</w:t>
      </w:r>
      <w:r w:rsidR="00AD5BB6">
        <w:t xml:space="preserve"> percent </w:t>
      </w:r>
      <w:r>
        <w:t xml:space="preserve">by 2020 is achievable, this remains a low percentage compared </w:t>
      </w:r>
      <w:r w:rsidR="00AD5BB6">
        <w:t xml:space="preserve">with </w:t>
      </w:r>
      <w:r>
        <w:t>the EU</w:t>
      </w:r>
      <w:r w:rsidR="00AD5BB6">
        <w:t xml:space="preserve"> </w:t>
      </w:r>
      <w:r>
        <w:t xml:space="preserve">average of 39.1 </w:t>
      </w:r>
      <w:r w:rsidR="00AD5BB6">
        <w:t xml:space="preserve">percent </w:t>
      </w:r>
      <w:r>
        <w:t>in 2016. This is coupled with insufficient quality and labor market-relevant study programs</w:t>
      </w:r>
      <w:r w:rsidR="00AD5BB6">
        <w:t>,</w:t>
      </w:r>
      <w:r>
        <w:t xml:space="preserve"> </w:t>
      </w:r>
      <w:r w:rsidR="00AD5BB6">
        <w:t>and</w:t>
      </w:r>
      <w:r>
        <w:t xml:space="preserve"> with the emigration of highly skilled workers. Skills shortages are already identified in key professions, especially</w:t>
      </w:r>
      <w:r w:rsidR="00AD5BB6">
        <w:t xml:space="preserve"> in</w:t>
      </w:r>
      <w:r>
        <w:t xml:space="preserve"> ICT, health</w:t>
      </w:r>
      <w:r w:rsidR="00AD5BB6">
        <w:t>,</w:t>
      </w:r>
      <w:r>
        <w:t xml:space="preserve"> and education, as reported by the </w:t>
      </w:r>
      <w:r w:rsidR="006064DB">
        <w:t>European Centre for the Development of Vocational Training (</w:t>
      </w:r>
      <w:r>
        <w:t>CEDEFOP</w:t>
      </w:r>
      <w:r w:rsidR="006064DB">
        <w:t>)</w:t>
      </w:r>
      <w:r>
        <w:t xml:space="preserve"> 2017 Report. To address such challenges, there is a need to implement measures both for quality and participation in higher education as already promoted by the 2015</w:t>
      </w:r>
      <w:r w:rsidR="006064DB">
        <w:t>–</w:t>
      </w:r>
      <w:r>
        <w:t>2020 Strategy for Tertiary Education. At the same time, excellence in higher education and research highly depends on quality assurance in universities and in doctoral schools.</w:t>
      </w:r>
    </w:p>
    <w:p w14:paraId="50955E20" w14:textId="02A91769" w:rsidR="00332996" w:rsidRDefault="00332996" w:rsidP="00D9470F">
      <w:pPr>
        <w:pStyle w:val="ListParagraph"/>
        <w:numPr>
          <w:ilvl w:val="0"/>
          <w:numId w:val="14"/>
        </w:numPr>
        <w:autoSpaceDE w:val="0"/>
        <w:autoSpaceDN w:val="0"/>
        <w:adjustRightInd w:val="0"/>
        <w:spacing w:after="240"/>
        <w:jc w:val="both"/>
      </w:pPr>
      <w:r w:rsidRPr="00332996">
        <w:rPr>
          <w:b/>
        </w:rPr>
        <w:t>There is little information about skills supply and demand in Romania,</w:t>
      </w:r>
      <w:r>
        <w:t xml:space="preserve"> but a recent analysis carried out by the World Bank to inform strategic decisions in education</w:t>
      </w:r>
      <w:r w:rsidR="006064DB">
        <w:t xml:space="preserve">al </w:t>
      </w:r>
      <w:r>
        <w:t xml:space="preserve">infrastructure shows relevant challenges on both fronts. On the demand side, Romanian employers strongly believe that current employees as well as students and graduates entering the labor market lack key socioemotional skills. Skills that are in high </w:t>
      </w:r>
      <w:r w:rsidR="006064DB">
        <w:t xml:space="preserve">demand </w:t>
      </w:r>
      <w:r>
        <w:t>include motivation, empathy, tolerance, self-management, problem-</w:t>
      </w:r>
      <w:r>
        <w:lastRenderedPageBreak/>
        <w:t xml:space="preserve">solving, teamwork, communication, learning to learn, accountability, planning, engagement, and commitment. Importantly, many employers identify socioemotional skills as among the most important skills for the following categories of occupations: professional, </w:t>
      </w:r>
      <w:r w:rsidR="001E6FE1">
        <w:t xml:space="preserve">services, </w:t>
      </w:r>
      <w:r>
        <w:t>and manufacturing.</w:t>
      </w:r>
    </w:p>
    <w:p w14:paraId="3D677DC1" w14:textId="6FF32FDF" w:rsidR="00332996" w:rsidRDefault="00332996" w:rsidP="00D9470F">
      <w:pPr>
        <w:pStyle w:val="ListParagraph"/>
        <w:numPr>
          <w:ilvl w:val="0"/>
          <w:numId w:val="14"/>
        </w:numPr>
        <w:autoSpaceDE w:val="0"/>
        <w:autoSpaceDN w:val="0"/>
        <w:adjustRightInd w:val="0"/>
        <w:spacing w:after="240"/>
        <w:jc w:val="both"/>
      </w:pPr>
      <w:r w:rsidRPr="00332996">
        <w:rPr>
          <w:b/>
        </w:rPr>
        <w:t>Regarding cognitive and job-related skills, university graduates were generally perceived by Romanian employers to possess sufficient</w:t>
      </w:r>
      <w:r w:rsidR="005816F2">
        <w:rPr>
          <w:b/>
        </w:rPr>
        <w:t>,</w:t>
      </w:r>
      <w:r w:rsidRPr="00332996">
        <w:rPr>
          <w:b/>
        </w:rPr>
        <w:t xml:space="preserve"> though overly theoretical</w:t>
      </w:r>
      <w:r w:rsidR="005816F2">
        <w:rPr>
          <w:b/>
        </w:rPr>
        <w:t>,</w:t>
      </w:r>
      <w:r w:rsidRPr="00332996">
        <w:rPr>
          <w:b/>
        </w:rPr>
        <w:t xml:space="preserve"> academic skills</w:t>
      </w:r>
      <w:r>
        <w:t xml:space="preserve">, while </w:t>
      </w:r>
      <w:r w:rsidR="005816F2">
        <w:t>Vocational Education and Training (</w:t>
      </w:r>
      <w:r>
        <w:t>VET</w:t>
      </w:r>
      <w:r w:rsidR="005816F2">
        <w:t>)</w:t>
      </w:r>
      <w:r>
        <w:t xml:space="preserve"> students</w:t>
      </w:r>
      <w:r w:rsidR="005816F2">
        <w:t xml:space="preserve"> and </w:t>
      </w:r>
      <w:r>
        <w:t>graduates have outdated skills. In the IT industry, employers described university graduates as lacking basic knowledge of business operation and insufficient business analysis skills. The employer perception of a lack of technical or job-related skills among VET graduate employees stems in part from outdated equipment in school workshops as well as outdated teaching methods and teaching experiences. To compensate for graduates’ lack of “job-ready” skills, employers described the need to heavily complement these skills by using different strategies</w:t>
      </w:r>
      <w:r w:rsidR="005816F2">
        <w:t xml:space="preserve"> and </w:t>
      </w:r>
      <w:r>
        <w:t xml:space="preserve">methods of skills upgrading, </w:t>
      </w:r>
      <w:r w:rsidR="005816F2">
        <w:t>for example</w:t>
      </w:r>
      <w:r>
        <w:t xml:space="preserve"> internships, practical training in firms’ premises, and in-firm targeted training and courses.</w:t>
      </w:r>
    </w:p>
    <w:p w14:paraId="0E6AE9B4" w14:textId="75A618A4" w:rsidR="00D9470F" w:rsidRDefault="00332996" w:rsidP="00D9470F">
      <w:pPr>
        <w:pStyle w:val="ListParagraph"/>
        <w:numPr>
          <w:ilvl w:val="0"/>
          <w:numId w:val="14"/>
        </w:numPr>
        <w:autoSpaceDE w:val="0"/>
        <w:autoSpaceDN w:val="0"/>
        <w:adjustRightInd w:val="0"/>
        <w:spacing w:after="240"/>
        <w:jc w:val="both"/>
      </w:pPr>
      <w:r w:rsidRPr="00332996">
        <w:rPr>
          <w:b/>
        </w:rPr>
        <w:t>In many countries, including Romania, the automation of production processes is driving the demand for higher levels of cognitive skills</w:t>
      </w:r>
      <w:r>
        <w:t>. This change will displace large numbers of workers whose jobs involve the routine application of procedural knowledge.</w:t>
      </w:r>
      <w:r>
        <w:rPr>
          <w:rStyle w:val="EndnoteReference"/>
        </w:rPr>
        <w:endnoteReference w:id="3"/>
      </w:r>
      <w:r>
        <w:t xml:space="preserve"> </w:t>
      </w:r>
      <w:r w:rsidR="00D9470F">
        <w:t>The Romanian economy is particularly vulnerable to this trend</w:t>
      </w:r>
      <w:r w:rsidR="005816F2">
        <w:t>,</w:t>
      </w:r>
      <w:r w:rsidR="00D9470F">
        <w:t xml:space="preserve"> as it currently has a disproportionate share of </w:t>
      </w:r>
      <w:r w:rsidR="005816F2">
        <w:t xml:space="preserve">these </w:t>
      </w:r>
      <w:r w:rsidR="00D9470F">
        <w:t>type</w:t>
      </w:r>
      <w:r w:rsidR="005816F2">
        <w:t>s</w:t>
      </w:r>
      <w:r w:rsidR="00D9470F">
        <w:t xml:space="preserve"> of jobs in the manufacturing, IT, and </w:t>
      </w:r>
      <w:r w:rsidR="005816F2">
        <w:t xml:space="preserve">agricultural </w:t>
      </w:r>
      <w:r w:rsidR="00D9470F">
        <w:t>sectors. The evidence show</w:t>
      </w:r>
      <w:r w:rsidR="001A0850">
        <w:t>s</w:t>
      </w:r>
      <w:r w:rsidR="00D9470F">
        <w:t xml:space="preserve"> that students with high level</w:t>
      </w:r>
      <w:r w:rsidR="005816F2">
        <w:t>s</w:t>
      </w:r>
      <w:r w:rsidR="00D9470F">
        <w:t xml:space="preserve"> of literacy skills are more likely to persist to the point of graduation</w:t>
      </w:r>
      <w:r w:rsidR="005816F2">
        <w:t>,</w:t>
      </w:r>
      <w:r w:rsidR="001A0850">
        <w:t xml:space="preserve"> </w:t>
      </w:r>
      <w:r w:rsidR="00D9470F">
        <w:t>and are more productive when they enter the labor market. When these students enter the labor market, it is expected that they will possess at least level 3 literacy skills</w:t>
      </w:r>
      <w:r w:rsidR="005816F2">
        <w:t>—</w:t>
      </w:r>
      <w:r w:rsidR="00D9470F">
        <w:t>or 275 on the 500-point international proficiency scale</w:t>
      </w:r>
      <w:r w:rsidR="005816F2">
        <w:t>—</w:t>
      </w:r>
      <w:r w:rsidR="00D9470F">
        <w:t>to meet the demands of a globally competitive market.</w:t>
      </w:r>
    </w:p>
    <w:p w14:paraId="72382D47" w14:textId="581795C7" w:rsidR="00D9470F" w:rsidRDefault="00D9470F" w:rsidP="00D9470F">
      <w:pPr>
        <w:pStyle w:val="ListParagraph"/>
        <w:numPr>
          <w:ilvl w:val="0"/>
          <w:numId w:val="14"/>
        </w:numPr>
        <w:autoSpaceDE w:val="0"/>
        <w:autoSpaceDN w:val="0"/>
        <w:adjustRightInd w:val="0"/>
        <w:spacing w:after="240"/>
        <w:jc w:val="both"/>
      </w:pPr>
      <w:r w:rsidRPr="00332996">
        <w:rPr>
          <w:b/>
        </w:rPr>
        <w:t>The literacy skills of Romanian VET and university students are also low by international standards</w:t>
      </w:r>
      <w:r>
        <w:t>, as evidenced by an assessment carried out by the World Bank in 2017. Participating students had their document literacy skills assessed using the Test of Workplace Essential Skills (TOWES)</w:t>
      </w:r>
      <w:r w:rsidR="00E56914">
        <w:rPr>
          <w:rStyle w:val="FootnoteReference"/>
        </w:rPr>
        <w:footnoteReference w:id="3"/>
      </w:r>
      <w:r>
        <w:t>, which is an adaptive, computer-based instrument broadly used worldwide whose results are reported on a 500-point proficiency scale that is divided into five proficiency levels (</w:t>
      </w:r>
      <w:r w:rsidR="005816F2">
        <w:t xml:space="preserve">Figure </w:t>
      </w:r>
      <w:r>
        <w:t>4). Even small differences in both dimensions have been shown to have a significant impact on outcomes. Students with literacy skills below level 3 are four times less likely to persist to the point of post-secondary graduation.</w:t>
      </w:r>
    </w:p>
    <w:p w14:paraId="4C34FB9F" w14:textId="596D7239" w:rsidR="001A0850" w:rsidRPr="00817026" w:rsidRDefault="001A0850" w:rsidP="001A0850">
      <w:pPr>
        <w:pStyle w:val="Caption"/>
        <w:jc w:val="center"/>
        <w:rPr>
          <w:rFonts w:ascii="Times New Roman" w:hAnsi="Times New Roman" w:cs="Times New Roman"/>
          <w:i w:val="0"/>
          <w:szCs w:val="22"/>
        </w:rPr>
      </w:pPr>
      <w:bookmarkStart w:id="11" w:name="_Toc508294601"/>
      <w:r w:rsidRPr="00471024">
        <w:rPr>
          <w:i w:val="0"/>
        </w:rPr>
        <w:t xml:space="preserve">Figure </w:t>
      </w:r>
      <w:r w:rsidR="00CB5750" w:rsidRPr="00471024">
        <w:rPr>
          <w:i w:val="0"/>
        </w:rPr>
        <w:fldChar w:fldCharType="begin"/>
      </w:r>
      <w:r w:rsidR="00CB5750" w:rsidRPr="00471024">
        <w:rPr>
          <w:i w:val="0"/>
        </w:rPr>
        <w:instrText xml:space="preserve"> SEQ Figure \* ARABIC </w:instrText>
      </w:r>
      <w:r w:rsidR="00CB5750" w:rsidRPr="00471024">
        <w:rPr>
          <w:i w:val="0"/>
        </w:rPr>
        <w:fldChar w:fldCharType="separate"/>
      </w:r>
      <w:r w:rsidR="00426231">
        <w:rPr>
          <w:i w:val="0"/>
          <w:noProof/>
        </w:rPr>
        <w:t>4</w:t>
      </w:r>
      <w:r w:rsidR="00CB5750" w:rsidRPr="00471024">
        <w:rPr>
          <w:i w:val="0"/>
          <w:noProof/>
        </w:rPr>
        <w:fldChar w:fldCharType="end"/>
      </w:r>
      <w:r w:rsidRPr="00471024">
        <w:rPr>
          <w:i w:val="0"/>
        </w:rPr>
        <w:t xml:space="preserve">. </w:t>
      </w:r>
      <w:r w:rsidRPr="00471024">
        <w:rPr>
          <w:rFonts w:cs="Times New Roman"/>
          <w:i w:val="0"/>
          <w:szCs w:val="22"/>
        </w:rPr>
        <w:t>TOWES Scores and Proficiency Levels</w:t>
      </w:r>
      <w:bookmarkEnd w:id="11"/>
    </w:p>
    <w:p w14:paraId="27A5E6B8" w14:textId="77777777" w:rsidR="001A0850" w:rsidRDefault="001A0850" w:rsidP="001A0850">
      <w:pPr>
        <w:pStyle w:val="ListParagraph"/>
        <w:ind w:left="0"/>
        <w:jc w:val="center"/>
        <w:rPr>
          <w:rFonts w:ascii="Times New Roman" w:hAnsi="Times New Roman" w:cs="Times New Roman"/>
        </w:rPr>
      </w:pPr>
      <w:r w:rsidRPr="00083D42">
        <w:rPr>
          <w:rFonts w:ascii="Times New Roman" w:hAnsi="Times New Roman" w:cs="Times New Roman"/>
          <w:noProof/>
        </w:rPr>
        <w:drawing>
          <wp:inline distT="0" distB="0" distL="0" distR="0" wp14:anchorId="2290E029" wp14:editId="2AF44B07">
            <wp:extent cx="4361180" cy="586740"/>
            <wp:effectExtent l="0" t="0" r="1270" b="3810"/>
            <wp:docPr id="6" name="Picture 6" descr="cid:image001.png@01D2DC5F.22486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DC5F.224867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441531" cy="597550"/>
                    </a:xfrm>
                    <a:prstGeom prst="rect">
                      <a:avLst/>
                    </a:prstGeom>
                    <a:noFill/>
                    <a:ln>
                      <a:noFill/>
                    </a:ln>
                  </pic:spPr>
                </pic:pic>
              </a:graphicData>
            </a:graphic>
          </wp:inline>
        </w:drawing>
      </w:r>
    </w:p>
    <w:p w14:paraId="6CDF8C67" w14:textId="28D1BD3A" w:rsidR="00817026" w:rsidRPr="00471024" w:rsidRDefault="00817026" w:rsidP="00471024">
      <w:pPr>
        <w:pStyle w:val="ListParagraph"/>
        <w:ind w:firstLine="720"/>
      </w:pPr>
      <w:r w:rsidRPr="00E959D5">
        <w:t>Source</w:t>
      </w:r>
      <w:r w:rsidRPr="009046A5">
        <w:rPr>
          <w:i/>
        </w:rPr>
        <w:t>:</w:t>
      </w:r>
      <w:r w:rsidR="00E56914" w:rsidRPr="0011686D">
        <w:t xml:space="preserve"> Measurement framework used in </w:t>
      </w:r>
      <w:hyperlink r:id="rId19" w:tgtFrame="_blank" w:history="1">
        <w:r w:rsidR="00E56914" w:rsidRPr="0011686D">
          <w:t>IALS</w:t>
        </w:r>
      </w:hyperlink>
      <w:r w:rsidR="00E56914" w:rsidRPr="0011686D">
        <w:t xml:space="preserve"> (International Adult Literacy Survey)</w:t>
      </w:r>
    </w:p>
    <w:p w14:paraId="702DE098" w14:textId="77777777" w:rsidR="00D9470F" w:rsidRDefault="00D9470F" w:rsidP="001A0850">
      <w:pPr>
        <w:pStyle w:val="ListParagraph"/>
        <w:autoSpaceDE w:val="0"/>
        <w:autoSpaceDN w:val="0"/>
        <w:adjustRightInd w:val="0"/>
        <w:spacing w:after="240"/>
        <w:ind w:left="0"/>
        <w:jc w:val="both"/>
      </w:pPr>
    </w:p>
    <w:p w14:paraId="0CEF879B" w14:textId="35246653" w:rsidR="00D9470F" w:rsidRDefault="00D9470F" w:rsidP="00D9470F">
      <w:pPr>
        <w:pStyle w:val="ListParagraph"/>
        <w:numPr>
          <w:ilvl w:val="0"/>
          <w:numId w:val="14"/>
        </w:numPr>
        <w:autoSpaceDE w:val="0"/>
        <w:autoSpaceDN w:val="0"/>
        <w:adjustRightInd w:val="0"/>
        <w:spacing w:after="240"/>
        <w:jc w:val="both"/>
      </w:pPr>
      <w:r w:rsidRPr="00332996">
        <w:rPr>
          <w:b/>
        </w:rPr>
        <w:t xml:space="preserve">The assessment of document literacy skills carried out by the World Bank in 2017 shows that an estimated 90 </w:t>
      </w:r>
      <w:r w:rsidR="005816F2">
        <w:rPr>
          <w:b/>
        </w:rPr>
        <w:t xml:space="preserve">percent </w:t>
      </w:r>
      <w:r w:rsidRPr="00332996">
        <w:rPr>
          <w:b/>
        </w:rPr>
        <w:t>of VET students fail to reach the level needed to get full value from study at the tertiary level</w:t>
      </w:r>
      <w:r>
        <w:t xml:space="preserve"> and to satisfy the demands of the jobs that are being created. When students’ results were considered at the level of their respective institutions, 97.5 </w:t>
      </w:r>
      <w:r w:rsidR="005816F2">
        <w:t xml:space="preserve">percent </w:t>
      </w:r>
      <w:r>
        <w:t xml:space="preserve">of these schools fell into the lowest </w:t>
      </w:r>
      <w:r>
        <w:lastRenderedPageBreak/>
        <w:t>possible literacy level, obtaining average scores below 226. In fact, the total mean score of tested schools was 168, significantly below the level 2 threshold. Figure 5 presents the average score of students at the sampled VET schools. It reveals VET schools’ consistently low literacy scores, where students do not obtain proficiency beyond the most basic level. This has an impact on the efficiency of learning, and on post-graduation productivity.</w:t>
      </w:r>
    </w:p>
    <w:p w14:paraId="052A139A" w14:textId="3975D518" w:rsidR="001A0850" w:rsidRPr="00817026" w:rsidRDefault="001A0850" w:rsidP="001A0850">
      <w:pPr>
        <w:pStyle w:val="Caption"/>
        <w:keepNext/>
        <w:jc w:val="center"/>
        <w:rPr>
          <w:rFonts w:cs="Times New Roman"/>
          <w:i w:val="0"/>
          <w:szCs w:val="22"/>
        </w:rPr>
      </w:pPr>
      <w:bookmarkStart w:id="12" w:name="_Toc486501776"/>
      <w:bookmarkStart w:id="13" w:name="_Toc508294602"/>
      <w:r w:rsidRPr="00471024">
        <w:rPr>
          <w:i w:val="0"/>
        </w:rPr>
        <w:t xml:space="preserve">Figure </w:t>
      </w:r>
      <w:r w:rsidR="00CB5750" w:rsidRPr="00471024">
        <w:rPr>
          <w:i w:val="0"/>
        </w:rPr>
        <w:fldChar w:fldCharType="begin"/>
      </w:r>
      <w:r w:rsidR="00CB5750" w:rsidRPr="00471024">
        <w:rPr>
          <w:i w:val="0"/>
        </w:rPr>
        <w:instrText xml:space="preserve"> SEQ Figure \* ARABIC </w:instrText>
      </w:r>
      <w:r w:rsidR="00CB5750" w:rsidRPr="00471024">
        <w:rPr>
          <w:i w:val="0"/>
        </w:rPr>
        <w:fldChar w:fldCharType="separate"/>
      </w:r>
      <w:r w:rsidR="00426231">
        <w:rPr>
          <w:i w:val="0"/>
          <w:noProof/>
        </w:rPr>
        <w:t>5</w:t>
      </w:r>
      <w:r w:rsidR="00CB5750" w:rsidRPr="00471024">
        <w:rPr>
          <w:i w:val="0"/>
          <w:noProof/>
        </w:rPr>
        <w:fldChar w:fldCharType="end"/>
      </w:r>
      <w:r w:rsidRPr="00471024">
        <w:rPr>
          <w:i w:val="0"/>
        </w:rPr>
        <w:t xml:space="preserve">. </w:t>
      </w:r>
      <w:r w:rsidRPr="00471024">
        <w:rPr>
          <w:rFonts w:cs="Times New Roman"/>
          <w:i w:val="0"/>
          <w:szCs w:val="22"/>
        </w:rPr>
        <w:t>Average Document Literacy Scores per VET School</w:t>
      </w:r>
      <w:bookmarkEnd w:id="12"/>
      <w:bookmarkEnd w:id="13"/>
    </w:p>
    <w:p w14:paraId="3A3EBED5" w14:textId="77777777" w:rsidR="001A0850" w:rsidRDefault="001A0850" w:rsidP="001A0850">
      <w:pPr>
        <w:pStyle w:val="ListParagraph"/>
        <w:ind w:left="0"/>
        <w:jc w:val="center"/>
        <w:rPr>
          <w:rFonts w:ascii="Times New Roman" w:hAnsi="Times New Roman" w:cs="Times New Roman"/>
        </w:rPr>
      </w:pPr>
      <w:r w:rsidRPr="00083D42">
        <w:rPr>
          <w:noProof/>
        </w:rPr>
        <w:drawing>
          <wp:inline distT="0" distB="0" distL="0" distR="0" wp14:anchorId="142BC83E" wp14:editId="17DF6DBF">
            <wp:extent cx="5135880" cy="1500187"/>
            <wp:effectExtent l="0" t="0" r="7620" b="508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CD0AD9" w14:textId="70A1EA1D" w:rsidR="00895A35" w:rsidRPr="00895A35" w:rsidRDefault="00817026" w:rsidP="00895A35">
      <w:pPr>
        <w:pStyle w:val="Default"/>
        <w:rPr>
          <w:sz w:val="22"/>
          <w:szCs w:val="22"/>
        </w:rPr>
      </w:pPr>
      <w:r w:rsidRPr="00E959D5">
        <w:t>Source</w:t>
      </w:r>
      <w:r w:rsidRPr="009046A5">
        <w:rPr>
          <w:i/>
        </w:rPr>
        <w:t>:</w:t>
      </w:r>
      <w:r w:rsidR="009D3249" w:rsidRPr="0011686D">
        <w:t xml:space="preserve"> </w:t>
      </w:r>
      <w:r w:rsidR="009D3249" w:rsidRPr="0011686D">
        <w:rPr>
          <w:sz w:val="22"/>
          <w:szCs w:val="22"/>
        </w:rPr>
        <w:t>TOWES test scores</w:t>
      </w:r>
      <w:r w:rsidR="00895A35" w:rsidRPr="0011686D">
        <w:rPr>
          <w:sz w:val="22"/>
          <w:szCs w:val="22"/>
        </w:rPr>
        <w:t xml:space="preserve"> applied to a random sample of VET students enrolled in their last year of</w:t>
      </w:r>
      <w:r w:rsidR="00895A35" w:rsidRPr="00895A35">
        <w:rPr>
          <w:sz w:val="22"/>
          <w:szCs w:val="22"/>
        </w:rPr>
        <w:t xml:space="preserve"> professional education, in the school year 2016/2017 </w:t>
      </w:r>
    </w:p>
    <w:p w14:paraId="02C1797A" w14:textId="46E1EBF4" w:rsidR="009D3249" w:rsidRPr="006E2C32" w:rsidRDefault="009D3249" w:rsidP="009D3249">
      <w:pPr>
        <w:pStyle w:val="source"/>
        <w:rPr>
          <w:i/>
        </w:rPr>
      </w:pPr>
      <w:r>
        <w:t>.</w:t>
      </w:r>
    </w:p>
    <w:p w14:paraId="4E6E90BA" w14:textId="507660FB" w:rsidR="001A0850" w:rsidRPr="001A0850" w:rsidRDefault="00D9470F" w:rsidP="00B54316">
      <w:pPr>
        <w:pStyle w:val="ListParagraph"/>
        <w:numPr>
          <w:ilvl w:val="0"/>
          <w:numId w:val="14"/>
        </w:numPr>
        <w:autoSpaceDE w:val="0"/>
        <w:autoSpaceDN w:val="0"/>
        <w:adjustRightInd w:val="0"/>
        <w:spacing w:before="240" w:after="240"/>
        <w:jc w:val="both"/>
      </w:pPr>
      <w:r w:rsidRPr="00332996">
        <w:rPr>
          <w:b/>
        </w:rPr>
        <w:t>The World Bank’s analysis to inform decisions about education infrastructure shows that Romanian employers are generally critical about the relevance of the education system</w:t>
      </w:r>
      <w:r w:rsidR="00817026">
        <w:rPr>
          <w:b/>
        </w:rPr>
        <w:t>,</w:t>
      </w:r>
      <w:r w:rsidRPr="00332996">
        <w:rPr>
          <w:b/>
        </w:rPr>
        <w:t xml:space="preserve"> for several reasons</w:t>
      </w:r>
      <w:r>
        <w:t xml:space="preserve">. First, the curriculum for both secondary and tertiary education was reported by many different types of employers to be overly theoretical, with a focus on abstract concepts and the accumulation of information rather than </w:t>
      </w:r>
      <w:r w:rsidR="00817026">
        <w:t xml:space="preserve">on </w:t>
      </w:r>
      <w:r>
        <w:t xml:space="preserve">practical applications. Second, in line with the overly theoretical curriculum, teaching methods were also described as being outdated and highly traditional, with a focus on memorization rather than application. Finally, employers noted that the education system is highly resistant to change, both at the pre-university and university levels. The perceptions of Romanian employers about the relevance of the education system in the country </w:t>
      </w:r>
      <w:r w:rsidR="00817026">
        <w:t xml:space="preserve">are </w:t>
      </w:r>
      <w:r>
        <w:t xml:space="preserve">illustrated in Figure 6. </w:t>
      </w:r>
    </w:p>
    <w:p w14:paraId="02B31DCB" w14:textId="564C03E0" w:rsidR="001A0850" w:rsidRPr="00817026" w:rsidRDefault="001A0850" w:rsidP="001A0850">
      <w:pPr>
        <w:pStyle w:val="Caption"/>
        <w:jc w:val="center"/>
        <w:rPr>
          <w:rFonts w:cs="Times New Roman"/>
          <w:i w:val="0"/>
          <w:szCs w:val="22"/>
        </w:rPr>
      </w:pPr>
      <w:bookmarkStart w:id="14" w:name="_Toc486501773"/>
      <w:bookmarkStart w:id="15" w:name="_Toc508294603"/>
      <w:r w:rsidRPr="00471024">
        <w:rPr>
          <w:i w:val="0"/>
        </w:rPr>
        <w:t xml:space="preserve">Figure </w:t>
      </w:r>
      <w:r w:rsidR="00CB5750" w:rsidRPr="00471024">
        <w:rPr>
          <w:i w:val="0"/>
        </w:rPr>
        <w:fldChar w:fldCharType="begin"/>
      </w:r>
      <w:r w:rsidR="00CB5750" w:rsidRPr="00471024">
        <w:rPr>
          <w:i w:val="0"/>
        </w:rPr>
        <w:instrText xml:space="preserve"> SEQ Figure \* ARABIC </w:instrText>
      </w:r>
      <w:r w:rsidR="00CB5750" w:rsidRPr="00471024">
        <w:rPr>
          <w:i w:val="0"/>
        </w:rPr>
        <w:fldChar w:fldCharType="separate"/>
      </w:r>
      <w:r w:rsidR="00426231">
        <w:rPr>
          <w:i w:val="0"/>
          <w:noProof/>
        </w:rPr>
        <w:t>6</w:t>
      </w:r>
      <w:r w:rsidR="00CB5750" w:rsidRPr="00471024">
        <w:rPr>
          <w:i w:val="0"/>
          <w:noProof/>
        </w:rPr>
        <w:fldChar w:fldCharType="end"/>
      </w:r>
      <w:r w:rsidRPr="00471024">
        <w:rPr>
          <w:i w:val="0"/>
        </w:rPr>
        <w:t xml:space="preserve">. </w:t>
      </w:r>
      <w:r w:rsidRPr="00471024">
        <w:rPr>
          <w:rFonts w:cs="Times New Roman"/>
          <w:i w:val="0"/>
          <w:szCs w:val="22"/>
        </w:rPr>
        <w:t>Employer Perceptions of Romania’s Education System</w:t>
      </w:r>
      <w:bookmarkEnd w:id="14"/>
      <w:bookmarkEnd w:id="15"/>
    </w:p>
    <w:p w14:paraId="5F80F794" w14:textId="024C7DB7" w:rsidR="001A0850" w:rsidRPr="00471024" w:rsidRDefault="001A0850" w:rsidP="000964BA">
      <w:pPr>
        <w:pStyle w:val="source"/>
        <w:rPr>
          <w:rFonts w:asciiTheme="minorHAnsi" w:hAnsiTheme="minorHAnsi" w:cstheme="minorHAnsi"/>
          <w:sz w:val="22"/>
          <w:szCs w:val="22"/>
        </w:rPr>
      </w:pPr>
      <w:r w:rsidRPr="00083D42">
        <w:rPr>
          <w:noProof/>
          <w:sz w:val="22"/>
          <w:szCs w:val="22"/>
        </w:rPr>
        <w:drawing>
          <wp:inline distT="0" distB="0" distL="0" distR="0" wp14:anchorId="71A6C0CE" wp14:editId="253F8916">
            <wp:extent cx="6073140" cy="2057400"/>
            <wp:effectExtent l="0" t="0" r="3810" b="0"/>
            <wp:docPr id="28" name="Chart 2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Start w:id="16" w:name="_Hlk506543517"/>
      <w:r w:rsidR="00520D1B" w:rsidRPr="00E959D5">
        <w:rPr>
          <w:rFonts w:asciiTheme="minorHAnsi" w:hAnsiTheme="minorHAnsi" w:cstheme="minorHAnsi"/>
          <w:sz w:val="22"/>
          <w:szCs w:val="22"/>
        </w:rPr>
        <w:t>Source</w:t>
      </w:r>
      <w:r w:rsidR="00520D1B" w:rsidRPr="009046A5">
        <w:rPr>
          <w:rFonts w:asciiTheme="minorHAnsi" w:hAnsiTheme="minorHAnsi" w:cstheme="minorHAnsi"/>
          <w:i/>
          <w:sz w:val="22"/>
          <w:szCs w:val="22"/>
        </w:rPr>
        <w:t>:</w:t>
      </w:r>
      <w:r w:rsidR="00520D1B">
        <w:rPr>
          <w:rFonts w:asciiTheme="minorHAnsi" w:hAnsiTheme="minorHAnsi" w:cstheme="minorHAnsi"/>
          <w:sz w:val="22"/>
          <w:szCs w:val="22"/>
        </w:rPr>
        <w:t xml:space="preserve"> </w:t>
      </w:r>
      <w:r w:rsidRPr="00471024">
        <w:rPr>
          <w:rFonts w:asciiTheme="minorHAnsi" w:hAnsiTheme="minorHAnsi" w:cstheme="minorHAnsi"/>
          <w:sz w:val="22"/>
          <w:szCs w:val="22"/>
        </w:rPr>
        <w:t>World Bank’s Online Employer Survey (2017)</w:t>
      </w:r>
      <w:bookmarkEnd w:id="16"/>
      <w:r w:rsidR="00817026">
        <w:rPr>
          <w:rFonts w:asciiTheme="minorHAnsi" w:hAnsiTheme="minorHAnsi" w:cstheme="minorHAnsi"/>
          <w:sz w:val="22"/>
          <w:szCs w:val="22"/>
        </w:rPr>
        <w:t>.</w:t>
      </w:r>
    </w:p>
    <w:p w14:paraId="115D31AF" w14:textId="2528B8E1" w:rsidR="001A0850" w:rsidRPr="00817026" w:rsidRDefault="001A0850" w:rsidP="001A0850">
      <w:pPr>
        <w:autoSpaceDE w:val="0"/>
        <w:autoSpaceDN w:val="0"/>
        <w:adjustRightInd w:val="0"/>
        <w:spacing w:after="240"/>
        <w:jc w:val="both"/>
      </w:pPr>
    </w:p>
    <w:p w14:paraId="474BD374" w14:textId="70D9CC0B" w:rsidR="00D9470F" w:rsidRDefault="00D9470F" w:rsidP="00D9470F">
      <w:pPr>
        <w:pStyle w:val="ListParagraph"/>
        <w:numPr>
          <w:ilvl w:val="0"/>
          <w:numId w:val="14"/>
        </w:numPr>
        <w:autoSpaceDE w:val="0"/>
        <w:autoSpaceDN w:val="0"/>
        <w:adjustRightInd w:val="0"/>
        <w:spacing w:after="240"/>
        <w:jc w:val="both"/>
      </w:pPr>
      <w:r w:rsidRPr="0011686D">
        <w:rPr>
          <w:b/>
        </w:rPr>
        <w:lastRenderedPageBreak/>
        <w:t>At the same time, the World Bank</w:t>
      </w:r>
      <w:r w:rsidR="00C100A1" w:rsidRPr="0011686D">
        <w:rPr>
          <w:b/>
        </w:rPr>
        <w:t>’s</w:t>
      </w:r>
      <w:r w:rsidRPr="0011686D">
        <w:rPr>
          <w:b/>
        </w:rPr>
        <w:t xml:space="preserve"> </w:t>
      </w:r>
      <w:r w:rsidR="00C100A1" w:rsidRPr="0011686D">
        <w:rPr>
          <w:b/>
        </w:rPr>
        <w:t>System Approach for Better Education Results</w:t>
      </w:r>
      <w:r w:rsidR="00817026" w:rsidRPr="0011686D">
        <w:rPr>
          <w:b/>
        </w:rPr>
        <w:t xml:space="preserve"> (</w:t>
      </w:r>
      <w:r w:rsidRPr="0011686D">
        <w:rPr>
          <w:b/>
        </w:rPr>
        <w:t>SABER</w:t>
      </w:r>
      <w:r w:rsidR="00817026" w:rsidRPr="0011686D">
        <w:rPr>
          <w:b/>
        </w:rPr>
        <w:t>)</w:t>
      </w:r>
      <w:r w:rsidRPr="0011686D">
        <w:rPr>
          <w:b/>
        </w:rPr>
        <w:t xml:space="preserve"> </w:t>
      </w:r>
      <w:r w:rsidR="00C100A1" w:rsidRPr="0011686D">
        <w:rPr>
          <w:b/>
        </w:rPr>
        <w:t>-</w:t>
      </w:r>
      <w:r w:rsidR="00C100A1">
        <w:rPr>
          <w:b/>
        </w:rPr>
        <w:t xml:space="preserve"> </w:t>
      </w:r>
      <w:r w:rsidRPr="00332996">
        <w:rPr>
          <w:b/>
        </w:rPr>
        <w:t>Workforce Development (WfD) Report for Romania (2017) shows that despite significant efforts to identify skills needs in priority economic sectors, employer engagement in setting WfD priorities</w:t>
      </w:r>
      <w:r w:rsidR="00817026">
        <w:rPr>
          <w:b/>
        </w:rPr>
        <w:t>,</w:t>
      </w:r>
      <w:r w:rsidRPr="00332996">
        <w:rPr>
          <w:b/>
        </w:rPr>
        <w:t xml:space="preserve"> and upskilling the existing workforce is rather weak</w:t>
      </w:r>
      <w:r>
        <w:t>. The mandates of WfD stakeholders are well defined, but coordination challenges persist. Importantly, a lot of effort needs to be made to address some important policy goals currently evaluated at an emerging level in Romania</w:t>
      </w:r>
      <w:r w:rsidR="00817026">
        <w:t>,</w:t>
      </w:r>
      <w:r>
        <w:t xml:space="preserve"> related to: fostering a demand-led approach to WfD</w:t>
      </w:r>
      <w:r w:rsidR="00817026">
        <w:t xml:space="preserve">; </w:t>
      </w:r>
      <w:r>
        <w:t>ensuring efficiency and equity in funding</w:t>
      </w:r>
      <w:r w:rsidR="00817026">
        <w:t xml:space="preserve">; </w:t>
      </w:r>
      <w:r>
        <w:t>enabling diversity and excellence in training provision</w:t>
      </w:r>
      <w:r w:rsidR="00817026">
        <w:t xml:space="preserve">; </w:t>
      </w:r>
      <w:r>
        <w:t>fostering relevance in public training programs</w:t>
      </w:r>
      <w:r w:rsidR="00817026">
        <w:t xml:space="preserve">; </w:t>
      </w:r>
      <w:r>
        <w:t xml:space="preserve">and enhancing evidence-based accountability for results. In this context, it is important to continue improvements in the VET area, with focus on the recently promoted dual VET system, also aiming at increasing the attractiveness of VET as a career choice, and its relevance for the labor market. </w:t>
      </w:r>
    </w:p>
    <w:p w14:paraId="18CA805B" w14:textId="580DC9C1" w:rsidR="00D9470F" w:rsidRDefault="00D9470F" w:rsidP="000964BA">
      <w:pPr>
        <w:pStyle w:val="ListParagraph"/>
        <w:numPr>
          <w:ilvl w:val="0"/>
          <w:numId w:val="14"/>
        </w:numPr>
        <w:autoSpaceDE w:val="0"/>
        <w:autoSpaceDN w:val="0"/>
        <w:adjustRightInd w:val="0"/>
        <w:spacing w:after="240"/>
        <w:jc w:val="both"/>
      </w:pPr>
      <w:r w:rsidRPr="00332996">
        <w:rPr>
          <w:b/>
        </w:rPr>
        <w:t>Finally, adult participation in learning also remains very low in Romania</w:t>
      </w:r>
      <w:r w:rsidR="00817026">
        <w:rPr>
          <w:b/>
        </w:rPr>
        <w:t>,</w:t>
      </w:r>
      <w:r w:rsidRPr="00332996">
        <w:rPr>
          <w:b/>
        </w:rPr>
        <w:t xml:space="preserve"> at 1.2 </w:t>
      </w:r>
      <w:r w:rsidR="00817026">
        <w:rPr>
          <w:b/>
        </w:rPr>
        <w:t>percent</w:t>
      </w:r>
      <w:r w:rsidR="00817026" w:rsidRPr="00332996">
        <w:rPr>
          <w:b/>
        </w:rPr>
        <w:t xml:space="preserve"> </w:t>
      </w:r>
      <w:r w:rsidRPr="00332996">
        <w:rPr>
          <w:b/>
        </w:rPr>
        <w:t xml:space="preserve">compared </w:t>
      </w:r>
      <w:r w:rsidR="00817026">
        <w:rPr>
          <w:b/>
        </w:rPr>
        <w:t>with</w:t>
      </w:r>
      <w:r w:rsidR="00817026" w:rsidRPr="00332996">
        <w:rPr>
          <w:b/>
        </w:rPr>
        <w:t xml:space="preserve"> </w:t>
      </w:r>
      <w:r w:rsidRPr="00332996">
        <w:rPr>
          <w:b/>
        </w:rPr>
        <w:t>the EU average of 10.8</w:t>
      </w:r>
      <w:r w:rsidR="00817026">
        <w:rPr>
          <w:b/>
        </w:rPr>
        <w:t xml:space="preserve"> percent,</w:t>
      </w:r>
      <w:r w:rsidR="00817026" w:rsidRPr="00332996">
        <w:rPr>
          <w:b/>
        </w:rPr>
        <w:t xml:space="preserve"> </w:t>
      </w:r>
      <w:r w:rsidRPr="00332996">
        <w:rPr>
          <w:b/>
        </w:rPr>
        <w:t>while there is an important need for upskilling</w:t>
      </w:r>
      <w:r>
        <w:t>. The lifelong learning system remains fragmented</w:t>
      </w:r>
      <w:r w:rsidR="00817026">
        <w:t>,</w:t>
      </w:r>
      <w:r>
        <w:t xml:space="preserve"> and there is a limited culture of participation </w:t>
      </w:r>
      <w:r w:rsidR="00817026">
        <w:t xml:space="preserve">in </w:t>
      </w:r>
      <w:r>
        <w:t>adult learning, especially among the population in rural area</w:t>
      </w:r>
      <w:r w:rsidR="00817026">
        <w:t>s</w:t>
      </w:r>
      <w:r>
        <w:t xml:space="preserve"> where learning opportunities are very limited. Therefore, the implementation of the measures promoted by the </w:t>
      </w:r>
      <w:r w:rsidR="00817026">
        <w:t xml:space="preserve">Strategy </w:t>
      </w:r>
      <w:r>
        <w:t xml:space="preserve">for </w:t>
      </w:r>
      <w:r w:rsidR="00817026">
        <w:t>Lifelong L</w:t>
      </w:r>
      <w:r>
        <w:t>earning 2015</w:t>
      </w:r>
      <w:r w:rsidR="00817026">
        <w:t>–</w:t>
      </w:r>
      <w:r>
        <w:t xml:space="preserve">2020 should be speeded up, especially </w:t>
      </w:r>
      <w:r w:rsidR="00817026">
        <w:t xml:space="preserve">in </w:t>
      </w:r>
      <w:r>
        <w:t xml:space="preserve">the operationalization of the community centers for lifelong learning.  </w:t>
      </w:r>
    </w:p>
    <w:p w14:paraId="2BAAD111" w14:textId="3166EC77" w:rsidR="00D9470F" w:rsidRDefault="00D9470F" w:rsidP="000964BA">
      <w:pPr>
        <w:pStyle w:val="Heading2"/>
      </w:pPr>
      <w:bookmarkStart w:id="17" w:name="_Toc508294586"/>
      <w:r>
        <w:t xml:space="preserve">Addressing </w:t>
      </w:r>
      <w:r w:rsidR="00817026">
        <w:t xml:space="preserve">Financing </w:t>
      </w:r>
      <w:r>
        <w:t xml:space="preserve">and </w:t>
      </w:r>
      <w:r w:rsidR="00817026">
        <w:t xml:space="preserve">Governance </w:t>
      </w:r>
      <w:r>
        <w:t xml:space="preserve">of the </w:t>
      </w:r>
      <w:r w:rsidR="00817026">
        <w:t xml:space="preserve">Education </w:t>
      </w:r>
      <w:bookmarkEnd w:id="17"/>
      <w:r w:rsidR="00817026">
        <w:t xml:space="preserve">Sector </w:t>
      </w:r>
    </w:p>
    <w:p w14:paraId="0A7CF16D" w14:textId="320FAD86" w:rsidR="00D9470F" w:rsidRDefault="00D9470F">
      <w:pPr>
        <w:pStyle w:val="ListParagraph"/>
        <w:numPr>
          <w:ilvl w:val="0"/>
          <w:numId w:val="14"/>
        </w:numPr>
        <w:autoSpaceDE w:val="0"/>
        <w:autoSpaceDN w:val="0"/>
        <w:adjustRightInd w:val="0"/>
        <w:spacing w:after="240"/>
        <w:jc w:val="both"/>
      </w:pPr>
      <w:r w:rsidRPr="00332996">
        <w:rPr>
          <w:b/>
        </w:rPr>
        <w:t>Financing levels for education in Romania are among the lowest in Europe.</w:t>
      </w:r>
      <w:r>
        <w:t xml:space="preserve"> Romania’s public expenditure for education as a percentage of GDP was 3.1</w:t>
      </w:r>
      <w:r w:rsidR="006C6C66">
        <w:t xml:space="preserve"> percent </w:t>
      </w:r>
      <w:r>
        <w:t>in 2015</w:t>
      </w:r>
      <w:r w:rsidR="006C6C66">
        <w:t>,</w:t>
      </w:r>
      <w:r>
        <w:t xml:space="preserve"> far below the EU average of 4.9</w:t>
      </w:r>
      <w:r w:rsidR="006C6C66">
        <w:t xml:space="preserve"> percent, </w:t>
      </w:r>
      <w:r>
        <w:t>and the lowest in the EU. The financing level slightly increased in 2016, but reverted to 3.1</w:t>
      </w:r>
      <w:r w:rsidR="006C6C66">
        <w:t xml:space="preserve"> percent </w:t>
      </w:r>
      <w:r>
        <w:t>in 2017. From 2008 to 2015, spending on pre-primary and primary education decreased by almost half, from 1.1 to 0.6</w:t>
      </w:r>
      <w:r w:rsidR="006C6C66">
        <w:t xml:space="preserve"> percent </w:t>
      </w:r>
      <w:r>
        <w:t xml:space="preserve">of GDP; spending on secondary education was the least reduced from 1.5 to 1.2 </w:t>
      </w:r>
      <w:r w:rsidR="006C6C66">
        <w:t xml:space="preserve">percent </w:t>
      </w:r>
      <w:r>
        <w:t xml:space="preserve">of GDP; and spending on university </w:t>
      </w:r>
      <w:r w:rsidR="006C6C66">
        <w:t xml:space="preserve">education </w:t>
      </w:r>
      <w:r>
        <w:t xml:space="preserve">declined from 1.3 to 0.8 percent of GDP. Moreover, </w:t>
      </w:r>
      <w:r w:rsidR="006C6C66">
        <w:t xml:space="preserve">the </w:t>
      </w:r>
      <w:r>
        <w:t xml:space="preserve">total public expenditure on education per student is only 15 percent of the EU average </w:t>
      </w:r>
      <w:r w:rsidR="006C6C66">
        <w:t xml:space="preserve">of </w:t>
      </w:r>
      <w:r>
        <w:t>6,540 EUR, which highlights the underfinancing of the sector. In the absence of adequate funding, it will be difficult to address challenges as equity, quality</w:t>
      </w:r>
      <w:r w:rsidR="006C6C66">
        <w:t>,</w:t>
      </w:r>
      <w:r>
        <w:t xml:space="preserve"> and relevance faced in the education sector. </w:t>
      </w:r>
      <w:r w:rsidR="006C6C66">
        <w:t>The key drivers for better education outcomes are t</w:t>
      </w:r>
      <w:r>
        <w:t xml:space="preserve">he increase </w:t>
      </w:r>
      <w:r w:rsidR="006C6C66">
        <w:t xml:space="preserve">in </w:t>
      </w:r>
      <w:r>
        <w:t>the public funding of education</w:t>
      </w:r>
      <w:r w:rsidR="006C6C66">
        <w:t>—</w:t>
      </w:r>
      <w:r>
        <w:t>prioritizing the most in need</w:t>
      </w:r>
      <w:r w:rsidR="006C6C66">
        <w:t>, and</w:t>
      </w:r>
      <w:r>
        <w:t xml:space="preserve"> joined by provision of transparent and equitable spending</w:t>
      </w:r>
      <w:r w:rsidR="006C6C66">
        <w:t>—</w:t>
      </w:r>
      <w:r>
        <w:t>in a context of reduced politicization and more accountability of key players</w:t>
      </w:r>
      <w:r w:rsidR="006C6C66">
        <w:t>.</w:t>
      </w:r>
      <w:r>
        <w:t xml:space="preserve"> </w:t>
      </w:r>
    </w:p>
    <w:p w14:paraId="45781C0E" w14:textId="46B8410E" w:rsidR="000964BA" w:rsidRPr="006C6C66" w:rsidRDefault="000964BA" w:rsidP="000964BA">
      <w:pPr>
        <w:pStyle w:val="Caption"/>
        <w:jc w:val="center"/>
        <w:rPr>
          <w:rFonts w:cstheme="minorHAnsi"/>
          <w:bCs/>
          <w:i w:val="0"/>
        </w:rPr>
      </w:pPr>
      <w:bookmarkStart w:id="18" w:name="_Toc508294604"/>
      <w:r w:rsidRPr="00471024">
        <w:rPr>
          <w:rFonts w:cstheme="minorHAnsi"/>
          <w:i w:val="0"/>
        </w:rPr>
        <w:t xml:space="preserve">Figure </w:t>
      </w:r>
      <w:r w:rsidRPr="00471024">
        <w:rPr>
          <w:rFonts w:cstheme="minorHAnsi"/>
          <w:i w:val="0"/>
        </w:rPr>
        <w:fldChar w:fldCharType="begin"/>
      </w:r>
      <w:r w:rsidRPr="00471024">
        <w:rPr>
          <w:rFonts w:cstheme="minorHAnsi"/>
          <w:i w:val="0"/>
        </w:rPr>
        <w:instrText xml:space="preserve"> SEQ Figure \* ARABIC </w:instrText>
      </w:r>
      <w:r w:rsidRPr="00471024">
        <w:rPr>
          <w:rFonts w:cstheme="minorHAnsi"/>
          <w:i w:val="0"/>
        </w:rPr>
        <w:fldChar w:fldCharType="separate"/>
      </w:r>
      <w:r w:rsidR="00426231">
        <w:rPr>
          <w:rFonts w:cstheme="minorHAnsi"/>
          <w:i w:val="0"/>
          <w:noProof/>
        </w:rPr>
        <w:t>7</w:t>
      </w:r>
      <w:r w:rsidRPr="00471024">
        <w:rPr>
          <w:rFonts w:cstheme="minorHAnsi"/>
          <w:i w:val="0"/>
        </w:rPr>
        <w:fldChar w:fldCharType="end"/>
      </w:r>
      <w:r w:rsidRPr="00471024">
        <w:rPr>
          <w:rFonts w:cstheme="minorHAnsi"/>
          <w:i w:val="0"/>
        </w:rPr>
        <w:t xml:space="preserve">. </w:t>
      </w:r>
      <w:r w:rsidRPr="00471024">
        <w:rPr>
          <w:rFonts w:cstheme="minorHAnsi"/>
          <w:bCs/>
          <w:i w:val="0"/>
        </w:rPr>
        <w:t xml:space="preserve">Expenditure on education as </w:t>
      </w:r>
      <w:r w:rsidR="006C6C66">
        <w:rPr>
          <w:rFonts w:cstheme="minorHAnsi"/>
          <w:bCs/>
          <w:i w:val="0"/>
        </w:rPr>
        <w:t>percent</w:t>
      </w:r>
      <w:r w:rsidR="006C6C66" w:rsidRPr="00471024">
        <w:rPr>
          <w:rFonts w:cstheme="minorHAnsi"/>
          <w:bCs/>
          <w:i w:val="0"/>
        </w:rPr>
        <w:t xml:space="preserve"> </w:t>
      </w:r>
      <w:r w:rsidRPr="00471024">
        <w:rPr>
          <w:rFonts w:cstheme="minorHAnsi"/>
          <w:bCs/>
          <w:i w:val="0"/>
        </w:rPr>
        <w:t>of GDP</w:t>
      </w:r>
      <w:bookmarkEnd w:id="18"/>
    </w:p>
    <w:p w14:paraId="430E6112" w14:textId="77777777" w:rsidR="000964BA" w:rsidRDefault="000964BA" w:rsidP="000964BA">
      <w:pPr>
        <w:pStyle w:val="ListParagraph"/>
        <w:tabs>
          <w:tab w:val="left" w:pos="270"/>
        </w:tabs>
        <w:ind w:left="0" w:right="302"/>
        <w:jc w:val="center"/>
        <w:rPr>
          <w:rFonts w:ascii="Times New Roman" w:hAnsi="Times New Roman" w:cs="Times New Roman"/>
        </w:rPr>
      </w:pPr>
      <w:r>
        <w:rPr>
          <w:noProof/>
        </w:rPr>
        <w:drawing>
          <wp:inline distT="0" distB="0" distL="0" distR="0" wp14:anchorId="63B225EA" wp14:editId="44656B0F">
            <wp:extent cx="4511040" cy="1554480"/>
            <wp:effectExtent l="0" t="0" r="3810" b="7620"/>
            <wp:docPr id="24" name="Chart 2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2A093B" w14:textId="3F919613" w:rsidR="000964BA" w:rsidRPr="000964BA" w:rsidRDefault="000964BA" w:rsidP="00882B2E">
      <w:pPr>
        <w:pStyle w:val="ListParagraph"/>
        <w:ind w:left="0"/>
        <w:jc w:val="center"/>
        <w:rPr>
          <w:rFonts w:asciiTheme="minorHAnsi" w:hAnsiTheme="minorHAnsi" w:cstheme="minorHAnsi"/>
          <w:i/>
        </w:rPr>
      </w:pPr>
      <w:r w:rsidRPr="00E959D5">
        <w:rPr>
          <w:rFonts w:asciiTheme="minorHAnsi" w:hAnsiTheme="minorHAnsi" w:cstheme="minorHAnsi"/>
        </w:rPr>
        <w:t>Source</w:t>
      </w:r>
      <w:r w:rsidRPr="009046A5">
        <w:rPr>
          <w:rFonts w:asciiTheme="minorHAnsi" w:hAnsiTheme="minorHAnsi" w:cstheme="minorHAnsi"/>
          <w:i/>
        </w:rPr>
        <w:t>:</w:t>
      </w:r>
      <w:r w:rsidRPr="00471024">
        <w:rPr>
          <w:rFonts w:asciiTheme="minorHAnsi" w:hAnsiTheme="minorHAnsi" w:cstheme="minorHAnsi"/>
        </w:rPr>
        <w:t xml:space="preserve"> World Bank staff calculation using EUROSTAT data for 2009-2015 and Bud</w:t>
      </w:r>
      <w:r w:rsidR="00882B2E">
        <w:rPr>
          <w:rFonts w:asciiTheme="minorHAnsi" w:hAnsiTheme="minorHAnsi" w:cstheme="minorHAnsi"/>
        </w:rPr>
        <w:t>get Law estimates for 2016-2017</w:t>
      </w:r>
    </w:p>
    <w:p w14:paraId="4A3B61C0" w14:textId="66A72FBD" w:rsidR="00D9470F" w:rsidRDefault="00D9470F" w:rsidP="00D9470F">
      <w:pPr>
        <w:pStyle w:val="ListParagraph"/>
        <w:numPr>
          <w:ilvl w:val="0"/>
          <w:numId w:val="14"/>
        </w:numPr>
        <w:autoSpaceDE w:val="0"/>
        <w:autoSpaceDN w:val="0"/>
        <w:adjustRightInd w:val="0"/>
        <w:spacing w:after="240"/>
        <w:jc w:val="both"/>
      </w:pPr>
      <w:r w:rsidRPr="00332996">
        <w:rPr>
          <w:b/>
        </w:rPr>
        <w:lastRenderedPageBreak/>
        <w:t xml:space="preserve">The per capita formula should be upheld, but the allocation of total funds should not be guided by </w:t>
      </w:r>
      <w:r w:rsidR="006C6C66">
        <w:rPr>
          <w:b/>
        </w:rPr>
        <w:t xml:space="preserve">a </w:t>
      </w:r>
      <w:r w:rsidRPr="00332996">
        <w:rPr>
          <w:b/>
        </w:rPr>
        <w:t>per capita formula only.</w:t>
      </w:r>
      <w:r>
        <w:t xml:space="preserve"> In 2016, the state budget financed 78</w:t>
      </w:r>
      <w:r w:rsidR="006C6C66">
        <w:t xml:space="preserve"> percent </w:t>
      </w:r>
      <w:r>
        <w:t xml:space="preserve">of the total education expenditure, of which 67 </w:t>
      </w:r>
      <w:r w:rsidR="006C6C66">
        <w:t xml:space="preserve">percent </w:t>
      </w:r>
      <w:r>
        <w:t>was allocated by local governments. Although a cumbersome process, decentralization seeks to increase education</w:t>
      </w:r>
      <w:r w:rsidR="006C6C66">
        <w:t>al</w:t>
      </w:r>
      <w:r>
        <w:t xml:space="preserve"> performance and transparency to promote equity and efficiency. However, the principle of the per</w:t>
      </w:r>
      <w:r w:rsidR="006C6C66">
        <w:t>-</w:t>
      </w:r>
      <w:r>
        <w:t xml:space="preserve">student formula seems not to uphold as much in practice, </w:t>
      </w:r>
      <w:r w:rsidR="006C6C66">
        <w:t>because of</w:t>
      </w:r>
      <w:r>
        <w:t xml:space="preserve"> the financing mechanisms, and thus expenditures per student correlates positively with the number of teachers. In this context, attention needs to be paid to the needs of vulnerable groups, schools, </w:t>
      </w:r>
      <w:r w:rsidR="002726F8">
        <w:t xml:space="preserve">and </w:t>
      </w:r>
      <w:r>
        <w:t>localities. Revising and refining the per</w:t>
      </w:r>
      <w:r w:rsidR="002726F8">
        <w:t>-</w:t>
      </w:r>
      <w:r>
        <w:t>capita financing is needed</w:t>
      </w:r>
      <w:r w:rsidR="002726F8">
        <w:t>,</w:t>
      </w:r>
      <w:r>
        <w:t xml:space="preserve"> </w:t>
      </w:r>
      <w:r w:rsidR="002726F8">
        <w:t>and</w:t>
      </w:r>
      <w:r>
        <w:t xml:space="preserve"> </w:t>
      </w:r>
      <w:r w:rsidR="002726F8">
        <w:t xml:space="preserve">also to </w:t>
      </w:r>
      <w:r>
        <w:t>reinforce its application</w:t>
      </w:r>
      <w:r w:rsidR="002726F8">
        <w:t>,</w:t>
      </w:r>
      <w:r>
        <w:t xml:space="preserve"> with close monitoring provided by the Ministry of </w:t>
      </w:r>
      <w:r w:rsidR="004E6DE8">
        <w:t xml:space="preserve">National </w:t>
      </w:r>
      <w:r>
        <w:t>Education</w:t>
      </w:r>
      <w:r w:rsidR="002726F8">
        <w:t xml:space="preserve"> as the </w:t>
      </w:r>
      <w:r>
        <w:t xml:space="preserve">key governmental player accountable for educational results. The revised financing mechanism will reflect </w:t>
      </w:r>
      <w:r w:rsidR="002726F8">
        <w:t xml:space="preserve">the </w:t>
      </w:r>
      <w:r>
        <w:t>kind of support should be best provided</w:t>
      </w:r>
      <w:r w:rsidR="002726F8">
        <w:t xml:space="preserve">, and </w:t>
      </w:r>
      <w:r>
        <w:t xml:space="preserve">through which channels and modalities </w:t>
      </w:r>
      <w:r w:rsidR="002726F8">
        <w:t>it should be delivered</w:t>
      </w:r>
      <w:r>
        <w:t>.</w:t>
      </w:r>
    </w:p>
    <w:p w14:paraId="22D97865" w14:textId="3C5377F3" w:rsidR="00D9470F" w:rsidRDefault="00D9470F" w:rsidP="00D9470F">
      <w:pPr>
        <w:pStyle w:val="ListParagraph"/>
        <w:numPr>
          <w:ilvl w:val="0"/>
          <w:numId w:val="14"/>
        </w:numPr>
        <w:autoSpaceDE w:val="0"/>
        <w:autoSpaceDN w:val="0"/>
        <w:adjustRightInd w:val="0"/>
        <w:spacing w:after="240"/>
        <w:jc w:val="both"/>
      </w:pPr>
      <w:r w:rsidRPr="00332996">
        <w:rPr>
          <w:b/>
        </w:rPr>
        <w:t xml:space="preserve">Integrated and complementary investment in education is the result of good cooperation </w:t>
      </w:r>
      <w:r w:rsidR="002726F8">
        <w:rPr>
          <w:b/>
        </w:rPr>
        <w:t>among</w:t>
      </w:r>
      <w:r w:rsidR="002726F8" w:rsidRPr="00332996">
        <w:rPr>
          <w:b/>
        </w:rPr>
        <w:t xml:space="preserve"> </w:t>
      </w:r>
      <w:r w:rsidRPr="00332996">
        <w:rPr>
          <w:b/>
        </w:rPr>
        <w:t>government</w:t>
      </w:r>
      <w:r w:rsidR="002726F8">
        <w:rPr>
          <w:b/>
        </w:rPr>
        <w:t>s</w:t>
      </w:r>
      <w:r w:rsidRPr="00332996">
        <w:rPr>
          <w:b/>
        </w:rPr>
        <w:t xml:space="preserve">, </w:t>
      </w:r>
      <w:r w:rsidR="002726F8">
        <w:rPr>
          <w:b/>
        </w:rPr>
        <w:t>International Financial Institutions (</w:t>
      </w:r>
      <w:r w:rsidRPr="002726F8">
        <w:rPr>
          <w:b/>
        </w:rPr>
        <w:t>IFIs</w:t>
      </w:r>
      <w:r w:rsidR="002726F8">
        <w:rPr>
          <w:b/>
        </w:rPr>
        <w:t>)</w:t>
      </w:r>
      <w:r w:rsidR="002726F8" w:rsidRPr="002726F8">
        <w:rPr>
          <w:b/>
        </w:rPr>
        <w:t>,</w:t>
      </w:r>
      <w:r w:rsidRPr="00332996">
        <w:rPr>
          <w:b/>
        </w:rPr>
        <w:t xml:space="preserve"> and private investors</w:t>
      </w:r>
      <w:r>
        <w:t>. Full realization of the Education 2030 agenda requires sustained, innovative</w:t>
      </w:r>
      <w:r w:rsidR="002726F8">
        <w:t>,</w:t>
      </w:r>
      <w:r>
        <w:t xml:space="preserve"> and well-targeted financing</w:t>
      </w:r>
      <w:r w:rsidR="002726F8">
        <w:t>,</w:t>
      </w:r>
      <w:r>
        <w:t xml:space="preserve"> and efficient implementation arrangements</w:t>
      </w:r>
      <w:r w:rsidR="002726F8">
        <w:t xml:space="preserve"> for</w:t>
      </w:r>
      <w:r>
        <w:t xml:space="preserve"> achieving quality education for all</w:t>
      </w:r>
      <w:r w:rsidR="002726F8">
        <w:t>,</w:t>
      </w:r>
      <w:r>
        <w:t xml:space="preserve"> at all levels. Efforts to close the funding gap must start with domestic funding, allocating at least 4</w:t>
      </w:r>
      <w:r w:rsidR="002726F8">
        <w:t xml:space="preserve"> percent </w:t>
      </w:r>
      <w:r>
        <w:t>to 6</w:t>
      </w:r>
      <w:r w:rsidR="002726F8">
        <w:t xml:space="preserve"> percent </w:t>
      </w:r>
      <w:r>
        <w:t xml:space="preserve">of the GDP to education. At the same time, EU funds play an important role in complementing the efforts of Romania to mobilize public resources to the poorest and most vulnerable groups. Clear commitment of the government is </w:t>
      </w:r>
      <w:r w:rsidR="002726F8">
        <w:t xml:space="preserve">required, </w:t>
      </w:r>
      <w:r>
        <w:t xml:space="preserve">to provide equitable financing commensurate with national educational priorities established by recent adopted education strategies, with needs and capacities to advance </w:t>
      </w:r>
      <w:r w:rsidR="002726F8">
        <w:t xml:space="preserve">the </w:t>
      </w:r>
      <w:r>
        <w:t xml:space="preserve">EU education agenda. </w:t>
      </w:r>
      <w:r w:rsidR="002726F8">
        <w:t>IFIs</w:t>
      </w:r>
      <w:r>
        <w:t xml:space="preserve"> should better coordinate, seeking to leverage external finance and </w:t>
      </w:r>
      <w:r w:rsidR="002726F8">
        <w:t xml:space="preserve">to </w:t>
      </w:r>
      <w:r>
        <w:t>complement the funding gaps with access to resources, instruments</w:t>
      </w:r>
      <w:r w:rsidR="002726F8">
        <w:t>,</w:t>
      </w:r>
      <w:r>
        <w:t xml:space="preserve"> and knowledge</w:t>
      </w:r>
      <w:r w:rsidR="002726F8">
        <w:t>,</w:t>
      </w:r>
      <w:r>
        <w:t xml:space="preserve"> aiming to provide a more effective integrated investment environment.</w:t>
      </w:r>
    </w:p>
    <w:p w14:paraId="0B02DA00" w14:textId="692D6C88" w:rsidR="00D9470F" w:rsidRDefault="00D9470F" w:rsidP="00D9470F">
      <w:pPr>
        <w:pStyle w:val="ListParagraph"/>
        <w:numPr>
          <w:ilvl w:val="0"/>
          <w:numId w:val="14"/>
        </w:numPr>
        <w:autoSpaceDE w:val="0"/>
        <w:autoSpaceDN w:val="0"/>
        <w:adjustRightInd w:val="0"/>
        <w:spacing w:after="240"/>
        <w:jc w:val="both"/>
      </w:pPr>
      <w:r w:rsidRPr="00332996">
        <w:rPr>
          <w:b/>
        </w:rPr>
        <w:t>Special measures and increased finance are needed to address the needs of adult learners and of the millions of children, youth</w:t>
      </w:r>
      <w:r w:rsidR="002726F8">
        <w:rPr>
          <w:b/>
        </w:rPr>
        <w:t>,</w:t>
      </w:r>
      <w:r w:rsidRPr="00332996">
        <w:rPr>
          <w:b/>
        </w:rPr>
        <w:t xml:space="preserve"> and adults who remain illiterate.</w:t>
      </w:r>
      <w:r>
        <w:t xml:space="preserve"> Moreover, all youth and adults should be provided with </w:t>
      </w:r>
      <w:r w:rsidR="002726F8">
        <w:t xml:space="preserve">the </w:t>
      </w:r>
      <w:r>
        <w:t>opportunities to achieve relevant and recognized functional literacy and numeracy proficiency levels</w:t>
      </w:r>
      <w:r w:rsidR="002726F8">
        <w:t>,</w:t>
      </w:r>
      <w:r>
        <w:t xml:space="preserve"> and acquire skills for life and decent work. It is equally necessary and urgent to boost financing for youth and adult literacy programs, as well as </w:t>
      </w:r>
      <w:r w:rsidR="002726F8">
        <w:t xml:space="preserve">for </w:t>
      </w:r>
      <w:r>
        <w:t>adult learning, education</w:t>
      </w:r>
      <w:r w:rsidR="002726F8">
        <w:t>,</w:t>
      </w:r>
      <w:r>
        <w:t xml:space="preserve"> and training opportunities, in a lifelong learning perspective.</w:t>
      </w:r>
    </w:p>
    <w:p w14:paraId="3771CB83" w14:textId="33A4B8A2" w:rsidR="00D9470F" w:rsidRDefault="00D9470F" w:rsidP="00D9470F">
      <w:pPr>
        <w:pStyle w:val="ListParagraph"/>
        <w:numPr>
          <w:ilvl w:val="0"/>
          <w:numId w:val="14"/>
        </w:numPr>
        <w:autoSpaceDE w:val="0"/>
        <w:autoSpaceDN w:val="0"/>
        <w:adjustRightInd w:val="0"/>
        <w:spacing w:after="240"/>
        <w:jc w:val="both"/>
      </w:pPr>
      <w:r w:rsidRPr="00332996">
        <w:rPr>
          <w:b/>
        </w:rPr>
        <w:t>Improved governance and partnerships are essential to focus investments on equity inclusion and quality</w:t>
      </w:r>
      <w:r w:rsidR="002726F8">
        <w:rPr>
          <w:b/>
        </w:rPr>
        <w:t>,</w:t>
      </w:r>
      <w:r w:rsidRPr="00332996">
        <w:rPr>
          <w:b/>
        </w:rPr>
        <w:t xml:space="preserve"> as this remains an innovation in most systems</w:t>
      </w:r>
      <w:r>
        <w:t>. Education investments should be provided to all</w:t>
      </w:r>
      <w:r w:rsidR="00F42653">
        <w:t>.</w:t>
      </w:r>
      <w:r>
        <w:t xml:space="preserve"> </w:t>
      </w:r>
      <w:r w:rsidR="00F42653">
        <w:t>Children</w:t>
      </w:r>
      <w:r>
        <w:t>, youth</w:t>
      </w:r>
      <w:r w:rsidR="002726F8">
        <w:t>,</w:t>
      </w:r>
      <w:r>
        <w:t xml:space="preserve"> and adults, including the most marginalized and vulnerable, should acquire the knowledge, attitudes</w:t>
      </w:r>
      <w:r w:rsidR="00F42653">
        <w:t>,</w:t>
      </w:r>
      <w:r>
        <w:t xml:space="preserve"> and skills they need for their lives and livelihoods. The education </w:t>
      </w:r>
      <w:r w:rsidR="00F42653">
        <w:t xml:space="preserve">of </w:t>
      </w:r>
      <w:r>
        <w:t>key players at central and regional levels needs support and partnership</w:t>
      </w:r>
      <w:r w:rsidR="00F42653">
        <w:t>s</w:t>
      </w:r>
      <w:r>
        <w:t xml:space="preserve"> to improve their capacity, </w:t>
      </w:r>
      <w:r w:rsidR="00F42653">
        <w:t xml:space="preserve">and </w:t>
      </w:r>
      <w:r>
        <w:t>to modernize in order to invest smartly and boost results. The spending on education from the private sector</w:t>
      </w:r>
      <w:r w:rsidR="00F42653">
        <w:t>,</w:t>
      </w:r>
      <w:r>
        <w:t xml:space="preserve"> especially investing in </w:t>
      </w:r>
      <w:r w:rsidR="00F42653">
        <w:t xml:space="preserve">the </w:t>
      </w:r>
      <w:r>
        <w:t>VET area</w:t>
      </w:r>
      <w:r w:rsidR="00F42653">
        <w:t>,</w:t>
      </w:r>
      <w:r>
        <w:t xml:space="preserve"> should be oriented toward </w:t>
      </w:r>
      <w:r w:rsidR="00F42653">
        <w:t xml:space="preserve">serving </w:t>
      </w:r>
      <w:r>
        <w:t xml:space="preserve">the children and youth most in need, and </w:t>
      </w:r>
      <w:r w:rsidR="00F42653">
        <w:t xml:space="preserve">on reinforcing </w:t>
      </w:r>
      <w:r>
        <w:t>education as a public good. More support and partnership is needed</w:t>
      </w:r>
      <w:r w:rsidR="00F42653">
        <w:t>,</w:t>
      </w:r>
      <w:r>
        <w:t xml:space="preserve"> as in 2016 the state spent only 1</w:t>
      </w:r>
      <w:r w:rsidR="00F42653">
        <w:t xml:space="preserve"> percent </w:t>
      </w:r>
      <w:r>
        <w:t xml:space="preserve">of </w:t>
      </w:r>
      <w:r w:rsidR="00F42653">
        <w:t xml:space="preserve">total </w:t>
      </w:r>
      <w:r>
        <w:t xml:space="preserve">education expenses </w:t>
      </w:r>
      <w:r w:rsidR="00F42653">
        <w:t xml:space="preserve">on </w:t>
      </w:r>
      <w:r>
        <w:t xml:space="preserve">VET education. Successful partnerships in </w:t>
      </w:r>
      <w:r w:rsidR="00F42653">
        <w:t xml:space="preserve">dual </w:t>
      </w:r>
      <w:r>
        <w:t>educational system</w:t>
      </w:r>
      <w:r w:rsidR="00F42653">
        <w:t>s</w:t>
      </w:r>
      <w:r>
        <w:t xml:space="preserve"> with the private sector will require effective coordination and regulatory mechanisms to ensure transparency and accountability.</w:t>
      </w:r>
    </w:p>
    <w:p w14:paraId="22D3F069" w14:textId="30A89EE9" w:rsidR="000964BA" w:rsidRDefault="00D9470F" w:rsidP="00D9470F">
      <w:pPr>
        <w:pStyle w:val="ListParagraph"/>
        <w:numPr>
          <w:ilvl w:val="0"/>
          <w:numId w:val="14"/>
        </w:numPr>
        <w:autoSpaceDE w:val="0"/>
        <w:autoSpaceDN w:val="0"/>
        <w:adjustRightInd w:val="0"/>
        <w:spacing w:after="240"/>
        <w:jc w:val="both"/>
      </w:pPr>
      <w:r w:rsidRPr="00332996">
        <w:rPr>
          <w:b/>
        </w:rPr>
        <w:t xml:space="preserve">Limited funds received for </w:t>
      </w:r>
      <w:r w:rsidR="00F42653">
        <w:rPr>
          <w:b/>
        </w:rPr>
        <w:t xml:space="preserve">the </w:t>
      </w:r>
      <w:r w:rsidRPr="00332996">
        <w:rPr>
          <w:b/>
        </w:rPr>
        <w:t>education sector require more efficient and transparent planning, monitoring</w:t>
      </w:r>
      <w:r w:rsidR="00F42653">
        <w:rPr>
          <w:b/>
        </w:rPr>
        <w:t>,</w:t>
      </w:r>
      <w:r w:rsidRPr="00332996">
        <w:rPr>
          <w:b/>
        </w:rPr>
        <w:t xml:space="preserve"> and evaluation</w:t>
      </w:r>
      <w:r>
        <w:t>. Strengthen the planning capacity within the sector</w:t>
      </w:r>
      <w:r w:rsidR="00F42653">
        <w:t>,</w:t>
      </w:r>
      <w:r>
        <w:t xml:space="preserve"> through regular institutional strategic planning exercises </w:t>
      </w:r>
      <w:r w:rsidR="00F42653">
        <w:t xml:space="preserve">that associate </w:t>
      </w:r>
      <w:r>
        <w:t>policy measures and actions with the needed funds</w:t>
      </w:r>
      <w:r w:rsidR="00F42653">
        <w:t>,</w:t>
      </w:r>
      <w:r>
        <w:t xml:space="preserve"> both from the EU resources </w:t>
      </w:r>
      <w:r w:rsidR="00F42653">
        <w:t>and</w:t>
      </w:r>
      <w:r>
        <w:t xml:space="preserve"> from the national budget. Given the limited funds available </w:t>
      </w:r>
      <w:r>
        <w:lastRenderedPageBreak/>
        <w:t xml:space="preserve">for education, an adequate monitoring and tracking </w:t>
      </w:r>
      <w:r w:rsidR="00F42653">
        <w:t xml:space="preserve">of </w:t>
      </w:r>
      <w:r>
        <w:t>spending may significantly decrease the inefficiency of funds that schools actually receive through local and central authorities. Direct commitment to a coordinated approach and mutual accountability system, including transparent monitoring and reporting on education financing</w:t>
      </w:r>
      <w:r w:rsidR="00F42653">
        <w:t>,</w:t>
      </w:r>
      <w:r>
        <w:t xml:space="preserve"> is required. This would include attention to </w:t>
      </w:r>
      <w:r w:rsidR="00F42653">
        <w:t xml:space="preserve">identify </w:t>
      </w:r>
      <w:r>
        <w:t xml:space="preserve">whether financial resources are reaching the most vulnerable students. </w:t>
      </w:r>
    </w:p>
    <w:p w14:paraId="450AC62C" w14:textId="6A254AF4" w:rsidR="00D9470F" w:rsidRDefault="00D9470F" w:rsidP="00D9470F">
      <w:pPr>
        <w:pStyle w:val="ListParagraph"/>
        <w:numPr>
          <w:ilvl w:val="0"/>
          <w:numId w:val="14"/>
        </w:numPr>
        <w:autoSpaceDE w:val="0"/>
        <w:autoSpaceDN w:val="0"/>
        <w:adjustRightInd w:val="0"/>
        <w:spacing w:after="240"/>
        <w:jc w:val="both"/>
      </w:pPr>
      <w:r w:rsidRPr="00332996">
        <w:rPr>
          <w:b/>
        </w:rPr>
        <w:t>The first important step towards transparency has been taken by the Ministry of Finance trough the National System of Reporting “Forexebug”</w:t>
      </w:r>
      <w:r w:rsidRPr="00332996">
        <w:t xml:space="preserve"> where all schools report regularly their budget allocations and expenses</w:t>
      </w:r>
      <w:r>
        <w:t>. Such reports must be associated annually with numbers on enrollments, dropouts, teachers</w:t>
      </w:r>
      <w:r w:rsidR="00F42653">
        <w:t>,</w:t>
      </w:r>
      <w:r w:rsidR="00520D1B">
        <w:t xml:space="preserve"> and results. </w:t>
      </w:r>
      <w:r>
        <w:t>The Ministry of Education will be able to monitor and evaluate the statistics as well as translate them into policies and actions if properly staffed and capacitated.</w:t>
      </w:r>
    </w:p>
    <w:sectPr w:rsidR="00D9470F" w:rsidSect="004233F1">
      <w:footerReference w:type="default" r:id="rId23"/>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30231" w14:textId="77777777" w:rsidR="00E84BD7" w:rsidRDefault="00E84BD7" w:rsidP="007659A5">
      <w:pPr>
        <w:spacing w:after="0" w:line="240" w:lineRule="auto"/>
      </w:pPr>
      <w:r>
        <w:separator/>
      </w:r>
    </w:p>
  </w:endnote>
  <w:endnote w:type="continuationSeparator" w:id="0">
    <w:p w14:paraId="72493522" w14:textId="77777777" w:rsidR="00E84BD7" w:rsidRDefault="00E84BD7" w:rsidP="007659A5">
      <w:pPr>
        <w:spacing w:after="0" w:line="240" w:lineRule="auto"/>
      </w:pPr>
      <w:r>
        <w:continuationSeparator/>
      </w:r>
    </w:p>
  </w:endnote>
  <w:endnote w:type="continuationNotice" w:id="1">
    <w:p w14:paraId="708A893B" w14:textId="77777777" w:rsidR="00E84BD7" w:rsidRDefault="00E84BD7">
      <w:pPr>
        <w:spacing w:after="0" w:line="240" w:lineRule="auto"/>
      </w:pPr>
    </w:p>
  </w:endnote>
  <w:endnote w:id="2">
    <w:p w14:paraId="210AABBB" w14:textId="0113861C" w:rsidR="006C6C66" w:rsidRDefault="006C6C66">
      <w:pPr>
        <w:pStyle w:val="EndnoteText"/>
      </w:pPr>
      <w:r>
        <w:rPr>
          <w:rStyle w:val="EndnoteReference"/>
        </w:rPr>
        <w:endnoteRef/>
      </w:r>
      <w:r>
        <w:t xml:space="preserve"> </w:t>
      </w:r>
      <w:r w:rsidRPr="001A0850">
        <w:t>According to the OECD, a 30-point score difference in PISA 2015 is equivalent to one year of schooling.</w:t>
      </w:r>
    </w:p>
  </w:endnote>
  <w:endnote w:id="3">
    <w:p w14:paraId="4C50C43B" w14:textId="13EA7118" w:rsidR="006C6C66" w:rsidRDefault="006C6C66">
      <w:pPr>
        <w:pStyle w:val="EndnoteText"/>
      </w:pPr>
      <w:r>
        <w:rPr>
          <w:rStyle w:val="EndnoteReference"/>
        </w:rPr>
        <w:endnoteRef/>
      </w:r>
      <w:r>
        <w:t xml:space="preserve"> </w:t>
      </w:r>
      <w:r w:rsidRPr="001A0850">
        <w:t xml:space="preserve">The literature suggests that upwards of </w:t>
      </w:r>
      <w:r w:rsidR="0011686D" w:rsidRPr="001A0850">
        <w:t xml:space="preserve">60 </w:t>
      </w:r>
      <w:r w:rsidR="0011686D">
        <w:t>percent</w:t>
      </w:r>
      <w:r w:rsidR="00F42653">
        <w:t xml:space="preserve"> </w:t>
      </w:r>
      <w:r w:rsidRPr="001A0850">
        <w:t xml:space="preserve">of all jobs will be replaced by machines over the coming two decades. See: Acemoglu, D., and P. Restrepo. 2016. “The Race </w:t>
      </w:r>
      <w:r w:rsidR="00F42653">
        <w:t>b</w:t>
      </w:r>
      <w:r w:rsidR="00F42653" w:rsidRPr="001A0850">
        <w:t xml:space="preserve">etween </w:t>
      </w:r>
      <w:r w:rsidRPr="001A0850">
        <w:t>Machine and Man: Implications of Technology for Growth, Factor Shares</w:t>
      </w:r>
      <w:r w:rsidR="00F42653">
        <w:t>,</w:t>
      </w:r>
      <w:r w:rsidRPr="001A0850">
        <w:t xml:space="preserve"> and Employment.” National Bureau of Economic Research (NBER) Working Paper No. 22252. Cambridge, MA.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BE56" w14:textId="77777777" w:rsidR="00714131" w:rsidRDefault="00714131">
    <w:pPr>
      <w:pStyle w:val="Footer"/>
      <w:jc w:val="center"/>
    </w:pPr>
  </w:p>
  <w:p w14:paraId="07AED392" w14:textId="77777777" w:rsidR="00714131" w:rsidRDefault="00714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38E8" w14:textId="77777777" w:rsidR="006C6C66" w:rsidRDefault="006C6C66">
    <w:pPr>
      <w:pStyle w:val="Footer"/>
      <w:jc w:val="center"/>
    </w:pPr>
  </w:p>
  <w:p w14:paraId="620AD9DF" w14:textId="77777777" w:rsidR="006C6C66" w:rsidRDefault="006C6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098746"/>
      <w:docPartObj>
        <w:docPartGallery w:val="Page Numbers (Bottom of Page)"/>
        <w:docPartUnique/>
      </w:docPartObj>
    </w:sdtPr>
    <w:sdtEndPr>
      <w:rPr>
        <w:noProof/>
      </w:rPr>
    </w:sdtEndPr>
    <w:sdtContent>
      <w:p w14:paraId="2C3E3A3A" w14:textId="4DCD6B42" w:rsidR="006C6C66" w:rsidRDefault="006C6C66">
        <w:pPr>
          <w:pStyle w:val="Footer"/>
          <w:jc w:val="right"/>
        </w:pPr>
        <w:r>
          <w:fldChar w:fldCharType="begin"/>
        </w:r>
        <w:r>
          <w:instrText xml:space="preserve"> PAGE   \* MERGEFORMAT </w:instrText>
        </w:r>
        <w:r>
          <w:fldChar w:fldCharType="separate"/>
        </w:r>
        <w:r w:rsidR="00AD1EA7">
          <w:rPr>
            <w:noProof/>
          </w:rPr>
          <w:t>10</w:t>
        </w:r>
        <w:r>
          <w:rPr>
            <w:noProof/>
          </w:rPr>
          <w:fldChar w:fldCharType="end"/>
        </w:r>
      </w:p>
    </w:sdtContent>
  </w:sdt>
  <w:p w14:paraId="6A4C8D52" w14:textId="77777777" w:rsidR="006C6C66" w:rsidRDefault="006C6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9266" w14:textId="77777777" w:rsidR="00E84BD7" w:rsidRDefault="00E84BD7" w:rsidP="007659A5">
      <w:pPr>
        <w:spacing w:after="0" w:line="240" w:lineRule="auto"/>
      </w:pPr>
      <w:r>
        <w:separator/>
      </w:r>
    </w:p>
  </w:footnote>
  <w:footnote w:type="continuationSeparator" w:id="0">
    <w:p w14:paraId="447C5E16" w14:textId="77777777" w:rsidR="00E84BD7" w:rsidRDefault="00E84BD7" w:rsidP="007659A5">
      <w:pPr>
        <w:spacing w:after="0" w:line="240" w:lineRule="auto"/>
      </w:pPr>
      <w:r>
        <w:continuationSeparator/>
      </w:r>
    </w:p>
  </w:footnote>
  <w:footnote w:type="continuationNotice" w:id="1">
    <w:p w14:paraId="108DE54B" w14:textId="77777777" w:rsidR="00E84BD7" w:rsidRDefault="00E84BD7">
      <w:pPr>
        <w:spacing w:after="0" w:line="240" w:lineRule="auto"/>
      </w:pPr>
    </w:p>
  </w:footnote>
  <w:footnote w:id="2">
    <w:p w14:paraId="4A50E616" w14:textId="5BE65D2B" w:rsidR="00895A35" w:rsidRDefault="00895A35">
      <w:pPr>
        <w:pStyle w:val="FootnoteText"/>
      </w:pPr>
      <w:r>
        <w:rPr>
          <w:rStyle w:val="FootnoteReference"/>
        </w:rPr>
        <w:footnoteRef/>
      </w:r>
      <w:r>
        <w:t xml:space="preserve"> SIIIR - </w:t>
      </w:r>
      <w:r w:rsidRPr="003950F4">
        <w:t>Integrated Education Information System</w:t>
      </w:r>
      <w:r>
        <w:t xml:space="preserve">, </w:t>
      </w:r>
      <w:r w:rsidRPr="003950F4">
        <w:t>Sistemul Informatic Integrat al Învăţământului</w:t>
      </w:r>
    </w:p>
  </w:footnote>
  <w:footnote w:id="3">
    <w:p w14:paraId="1BD9C6FE" w14:textId="4FBF943F" w:rsidR="00E56914" w:rsidRDefault="00E56914">
      <w:pPr>
        <w:pStyle w:val="FootnoteText"/>
      </w:pPr>
      <w:r>
        <w:rPr>
          <w:rStyle w:val="FootnoteReference"/>
        </w:rPr>
        <w:footnoteRef/>
      </w:r>
      <w:r>
        <w:t xml:space="preserve"> TOWES Canada's Essential Credential is a literacy&amp; essential skills measurement tool, the sole property of Bow Valley College, Canada.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0AA"/>
    <w:multiLevelType w:val="hybridMultilevel"/>
    <w:tmpl w:val="42F07C84"/>
    <w:lvl w:ilvl="0" w:tplc="7D00107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717A9F"/>
    <w:multiLevelType w:val="hybridMultilevel"/>
    <w:tmpl w:val="DFDE0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53B46"/>
    <w:multiLevelType w:val="hybridMultilevel"/>
    <w:tmpl w:val="CDAE3F5E"/>
    <w:lvl w:ilvl="0" w:tplc="F28EC2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73521"/>
    <w:multiLevelType w:val="hybridMultilevel"/>
    <w:tmpl w:val="ED60FFE6"/>
    <w:lvl w:ilvl="0" w:tplc="D9064EBC">
      <w:start w:val="1"/>
      <w:numFmt w:val="bullet"/>
      <w:lvlText w:val="•"/>
      <w:lvlJc w:val="left"/>
      <w:pPr>
        <w:tabs>
          <w:tab w:val="num" w:pos="720"/>
        </w:tabs>
        <w:ind w:left="720" w:hanging="360"/>
      </w:pPr>
      <w:rPr>
        <w:rFonts w:ascii="Arial" w:hAnsi="Arial" w:hint="default"/>
      </w:rPr>
    </w:lvl>
    <w:lvl w:ilvl="1" w:tplc="DFB82210" w:tentative="1">
      <w:start w:val="1"/>
      <w:numFmt w:val="bullet"/>
      <w:lvlText w:val="•"/>
      <w:lvlJc w:val="left"/>
      <w:pPr>
        <w:tabs>
          <w:tab w:val="num" w:pos="1440"/>
        </w:tabs>
        <w:ind w:left="1440" w:hanging="360"/>
      </w:pPr>
      <w:rPr>
        <w:rFonts w:ascii="Arial" w:hAnsi="Arial" w:hint="default"/>
      </w:rPr>
    </w:lvl>
    <w:lvl w:ilvl="2" w:tplc="41F26DC8" w:tentative="1">
      <w:start w:val="1"/>
      <w:numFmt w:val="bullet"/>
      <w:lvlText w:val="•"/>
      <w:lvlJc w:val="left"/>
      <w:pPr>
        <w:tabs>
          <w:tab w:val="num" w:pos="2160"/>
        </w:tabs>
        <w:ind w:left="2160" w:hanging="360"/>
      </w:pPr>
      <w:rPr>
        <w:rFonts w:ascii="Arial" w:hAnsi="Arial" w:hint="default"/>
      </w:rPr>
    </w:lvl>
    <w:lvl w:ilvl="3" w:tplc="2988D386" w:tentative="1">
      <w:start w:val="1"/>
      <w:numFmt w:val="bullet"/>
      <w:lvlText w:val="•"/>
      <w:lvlJc w:val="left"/>
      <w:pPr>
        <w:tabs>
          <w:tab w:val="num" w:pos="2880"/>
        </w:tabs>
        <w:ind w:left="2880" w:hanging="360"/>
      </w:pPr>
      <w:rPr>
        <w:rFonts w:ascii="Arial" w:hAnsi="Arial" w:hint="default"/>
      </w:rPr>
    </w:lvl>
    <w:lvl w:ilvl="4" w:tplc="6A8623EA" w:tentative="1">
      <w:start w:val="1"/>
      <w:numFmt w:val="bullet"/>
      <w:lvlText w:val="•"/>
      <w:lvlJc w:val="left"/>
      <w:pPr>
        <w:tabs>
          <w:tab w:val="num" w:pos="3600"/>
        </w:tabs>
        <w:ind w:left="3600" w:hanging="360"/>
      </w:pPr>
      <w:rPr>
        <w:rFonts w:ascii="Arial" w:hAnsi="Arial" w:hint="default"/>
      </w:rPr>
    </w:lvl>
    <w:lvl w:ilvl="5" w:tplc="42C63596" w:tentative="1">
      <w:start w:val="1"/>
      <w:numFmt w:val="bullet"/>
      <w:lvlText w:val="•"/>
      <w:lvlJc w:val="left"/>
      <w:pPr>
        <w:tabs>
          <w:tab w:val="num" w:pos="4320"/>
        </w:tabs>
        <w:ind w:left="4320" w:hanging="360"/>
      </w:pPr>
      <w:rPr>
        <w:rFonts w:ascii="Arial" w:hAnsi="Arial" w:hint="default"/>
      </w:rPr>
    </w:lvl>
    <w:lvl w:ilvl="6" w:tplc="4418ACD4" w:tentative="1">
      <w:start w:val="1"/>
      <w:numFmt w:val="bullet"/>
      <w:lvlText w:val="•"/>
      <w:lvlJc w:val="left"/>
      <w:pPr>
        <w:tabs>
          <w:tab w:val="num" w:pos="5040"/>
        </w:tabs>
        <w:ind w:left="5040" w:hanging="360"/>
      </w:pPr>
      <w:rPr>
        <w:rFonts w:ascii="Arial" w:hAnsi="Arial" w:hint="default"/>
      </w:rPr>
    </w:lvl>
    <w:lvl w:ilvl="7" w:tplc="CFE40BEA" w:tentative="1">
      <w:start w:val="1"/>
      <w:numFmt w:val="bullet"/>
      <w:lvlText w:val="•"/>
      <w:lvlJc w:val="left"/>
      <w:pPr>
        <w:tabs>
          <w:tab w:val="num" w:pos="5760"/>
        </w:tabs>
        <w:ind w:left="5760" w:hanging="360"/>
      </w:pPr>
      <w:rPr>
        <w:rFonts w:ascii="Arial" w:hAnsi="Arial" w:hint="default"/>
      </w:rPr>
    </w:lvl>
    <w:lvl w:ilvl="8" w:tplc="53D6AF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6B64C0"/>
    <w:multiLevelType w:val="hybridMultilevel"/>
    <w:tmpl w:val="23F01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E3F61"/>
    <w:multiLevelType w:val="hybridMultilevel"/>
    <w:tmpl w:val="717C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36253"/>
    <w:multiLevelType w:val="hybridMultilevel"/>
    <w:tmpl w:val="8E0E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1E4F10"/>
    <w:multiLevelType w:val="hybridMultilevel"/>
    <w:tmpl w:val="C47AF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5109FF"/>
    <w:multiLevelType w:val="hybridMultilevel"/>
    <w:tmpl w:val="6E3C7864"/>
    <w:lvl w:ilvl="0" w:tplc="0680C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F33BC"/>
    <w:multiLevelType w:val="hybridMultilevel"/>
    <w:tmpl w:val="BD3A0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20A32"/>
    <w:multiLevelType w:val="hybridMultilevel"/>
    <w:tmpl w:val="9818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A77CB"/>
    <w:multiLevelType w:val="hybridMultilevel"/>
    <w:tmpl w:val="B530A220"/>
    <w:lvl w:ilvl="0" w:tplc="9036D752">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221D0"/>
    <w:multiLevelType w:val="hybridMultilevel"/>
    <w:tmpl w:val="C9A8C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867BA8"/>
    <w:multiLevelType w:val="hybridMultilevel"/>
    <w:tmpl w:val="3AD0B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496A7A"/>
    <w:multiLevelType w:val="hybridMultilevel"/>
    <w:tmpl w:val="B1EA1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D5F32"/>
    <w:multiLevelType w:val="hybridMultilevel"/>
    <w:tmpl w:val="ADB0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B38D7"/>
    <w:multiLevelType w:val="hybridMultilevel"/>
    <w:tmpl w:val="E5D24E1A"/>
    <w:lvl w:ilvl="0" w:tplc="2DBCE0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44E9F"/>
    <w:multiLevelType w:val="hybridMultilevel"/>
    <w:tmpl w:val="75280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D6E6B"/>
    <w:multiLevelType w:val="hybridMultilevel"/>
    <w:tmpl w:val="91669514"/>
    <w:lvl w:ilvl="0" w:tplc="7D001072">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42A03"/>
    <w:multiLevelType w:val="hybridMultilevel"/>
    <w:tmpl w:val="EAD0F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A62CE"/>
    <w:multiLevelType w:val="hybridMultilevel"/>
    <w:tmpl w:val="91669514"/>
    <w:lvl w:ilvl="0" w:tplc="7D001072">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21D89"/>
    <w:multiLevelType w:val="hybridMultilevel"/>
    <w:tmpl w:val="B4743A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21E3F"/>
    <w:multiLevelType w:val="hybridMultilevel"/>
    <w:tmpl w:val="EDF2FE2A"/>
    <w:lvl w:ilvl="0" w:tplc="B652046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start w:val="1"/>
      <w:numFmt w:val="lowerLetter"/>
      <w:lvlText w:val="%5."/>
      <w:lvlJc w:val="left"/>
      <w:pPr>
        <w:ind w:left="720" w:hanging="360"/>
      </w:pPr>
    </w:lvl>
    <w:lvl w:ilvl="5" w:tplc="0409001B">
      <w:start w:val="1"/>
      <w:numFmt w:val="lowerRoman"/>
      <w:lvlText w:val="%6."/>
      <w:lvlJc w:val="right"/>
      <w:pPr>
        <w:ind w:left="1440" w:hanging="180"/>
      </w:pPr>
    </w:lvl>
    <w:lvl w:ilvl="6" w:tplc="0409000F">
      <w:start w:val="1"/>
      <w:numFmt w:val="decimal"/>
      <w:lvlText w:val="%7."/>
      <w:lvlJc w:val="left"/>
      <w:pPr>
        <w:ind w:left="2160" w:hanging="360"/>
      </w:pPr>
    </w:lvl>
    <w:lvl w:ilvl="7" w:tplc="04090019">
      <w:start w:val="1"/>
      <w:numFmt w:val="lowerLetter"/>
      <w:lvlText w:val="%8."/>
      <w:lvlJc w:val="left"/>
      <w:pPr>
        <w:ind w:left="2880" w:hanging="360"/>
      </w:pPr>
    </w:lvl>
    <w:lvl w:ilvl="8" w:tplc="0409001B">
      <w:start w:val="1"/>
      <w:numFmt w:val="lowerRoman"/>
      <w:lvlText w:val="%9."/>
      <w:lvlJc w:val="right"/>
      <w:pPr>
        <w:ind w:left="3600" w:hanging="180"/>
      </w:pPr>
    </w:lvl>
  </w:abstractNum>
  <w:abstractNum w:abstractNumId="23" w15:restartNumberingAfterBreak="0">
    <w:nsid w:val="79476EAC"/>
    <w:multiLevelType w:val="hybridMultilevel"/>
    <w:tmpl w:val="3AA05DC4"/>
    <w:lvl w:ilvl="0" w:tplc="AE08D39E">
      <w:start w:val="1"/>
      <w:numFmt w:val="bullet"/>
      <w:lvlText w:val="•"/>
      <w:lvlJc w:val="left"/>
      <w:pPr>
        <w:tabs>
          <w:tab w:val="num" w:pos="720"/>
        </w:tabs>
        <w:ind w:left="720" w:hanging="360"/>
      </w:pPr>
      <w:rPr>
        <w:rFonts w:ascii="Arial" w:hAnsi="Arial" w:hint="default"/>
      </w:rPr>
    </w:lvl>
    <w:lvl w:ilvl="1" w:tplc="EC16A2FA">
      <w:numFmt w:val="bullet"/>
      <w:lvlText w:val="•"/>
      <w:lvlJc w:val="left"/>
      <w:pPr>
        <w:tabs>
          <w:tab w:val="num" w:pos="1440"/>
        </w:tabs>
        <w:ind w:left="1440" w:hanging="360"/>
      </w:pPr>
      <w:rPr>
        <w:rFonts w:ascii="Arial" w:hAnsi="Arial" w:hint="default"/>
      </w:rPr>
    </w:lvl>
    <w:lvl w:ilvl="2" w:tplc="EB7C7C7E" w:tentative="1">
      <w:start w:val="1"/>
      <w:numFmt w:val="bullet"/>
      <w:lvlText w:val="•"/>
      <w:lvlJc w:val="left"/>
      <w:pPr>
        <w:tabs>
          <w:tab w:val="num" w:pos="2160"/>
        </w:tabs>
        <w:ind w:left="2160" w:hanging="360"/>
      </w:pPr>
      <w:rPr>
        <w:rFonts w:ascii="Arial" w:hAnsi="Arial" w:hint="default"/>
      </w:rPr>
    </w:lvl>
    <w:lvl w:ilvl="3" w:tplc="5D50457A" w:tentative="1">
      <w:start w:val="1"/>
      <w:numFmt w:val="bullet"/>
      <w:lvlText w:val="•"/>
      <w:lvlJc w:val="left"/>
      <w:pPr>
        <w:tabs>
          <w:tab w:val="num" w:pos="2880"/>
        </w:tabs>
        <w:ind w:left="2880" w:hanging="360"/>
      </w:pPr>
      <w:rPr>
        <w:rFonts w:ascii="Arial" w:hAnsi="Arial" w:hint="default"/>
      </w:rPr>
    </w:lvl>
    <w:lvl w:ilvl="4" w:tplc="D7FECA1A" w:tentative="1">
      <w:start w:val="1"/>
      <w:numFmt w:val="bullet"/>
      <w:lvlText w:val="•"/>
      <w:lvlJc w:val="left"/>
      <w:pPr>
        <w:tabs>
          <w:tab w:val="num" w:pos="3600"/>
        </w:tabs>
        <w:ind w:left="3600" w:hanging="360"/>
      </w:pPr>
      <w:rPr>
        <w:rFonts w:ascii="Arial" w:hAnsi="Arial" w:hint="default"/>
      </w:rPr>
    </w:lvl>
    <w:lvl w:ilvl="5" w:tplc="02C22AC6" w:tentative="1">
      <w:start w:val="1"/>
      <w:numFmt w:val="bullet"/>
      <w:lvlText w:val="•"/>
      <w:lvlJc w:val="left"/>
      <w:pPr>
        <w:tabs>
          <w:tab w:val="num" w:pos="4320"/>
        </w:tabs>
        <w:ind w:left="4320" w:hanging="360"/>
      </w:pPr>
      <w:rPr>
        <w:rFonts w:ascii="Arial" w:hAnsi="Arial" w:hint="default"/>
      </w:rPr>
    </w:lvl>
    <w:lvl w:ilvl="6" w:tplc="5E86A4A6" w:tentative="1">
      <w:start w:val="1"/>
      <w:numFmt w:val="bullet"/>
      <w:lvlText w:val="•"/>
      <w:lvlJc w:val="left"/>
      <w:pPr>
        <w:tabs>
          <w:tab w:val="num" w:pos="5040"/>
        </w:tabs>
        <w:ind w:left="5040" w:hanging="360"/>
      </w:pPr>
      <w:rPr>
        <w:rFonts w:ascii="Arial" w:hAnsi="Arial" w:hint="default"/>
      </w:rPr>
    </w:lvl>
    <w:lvl w:ilvl="7" w:tplc="E12E32BC" w:tentative="1">
      <w:start w:val="1"/>
      <w:numFmt w:val="bullet"/>
      <w:lvlText w:val="•"/>
      <w:lvlJc w:val="left"/>
      <w:pPr>
        <w:tabs>
          <w:tab w:val="num" w:pos="5760"/>
        </w:tabs>
        <w:ind w:left="5760" w:hanging="360"/>
      </w:pPr>
      <w:rPr>
        <w:rFonts w:ascii="Arial" w:hAnsi="Arial" w:hint="default"/>
      </w:rPr>
    </w:lvl>
    <w:lvl w:ilvl="8" w:tplc="E6AE633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F45D5B"/>
    <w:multiLevelType w:val="hybridMultilevel"/>
    <w:tmpl w:val="8DBE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03201"/>
    <w:multiLevelType w:val="hybridMultilevel"/>
    <w:tmpl w:val="DFDE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num>
  <w:num w:numId="8">
    <w:abstractNumId w:val="19"/>
  </w:num>
  <w:num w:numId="9">
    <w:abstractNumId w:val="9"/>
  </w:num>
  <w:num w:numId="10">
    <w:abstractNumId w:val="6"/>
  </w:num>
  <w:num w:numId="11">
    <w:abstractNumId w:val="12"/>
  </w:num>
  <w:num w:numId="12">
    <w:abstractNumId w:val="10"/>
  </w:num>
  <w:num w:numId="13">
    <w:abstractNumId w:val="24"/>
  </w:num>
  <w:num w:numId="14">
    <w:abstractNumId w:val="11"/>
  </w:num>
  <w:num w:numId="15">
    <w:abstractNumId w:val="2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12"/>
  </w:num>
  <w:num w:numId="21">
    <w:abstractNumId w:val="10"/>
  </w:num>
  <w:num w:numId="22">
    <w:abstractNumId w:val="24"/>
  </w:num>
  <w:num w:numId="23">
    <w:abstractNumId w:val="2"/>
  </w:num>
  <w:num w:numId="24">
    <w:abstractNumId w:val="23"/>
  </w:num>
  <w:num w:numId="25">
    <w:abstractNumId w:val="21"/>
  </w:num>
  <w:num w:numId="26">
    <w:abstractNumId w:val="3"/>
  </w:num>
  <w:num w:numId="27">
    <w:abstractNumId w:val="5"/>
  </w:num>
  <w:num w:numId="28">
    <w:abstractNumId w:val="25"/>
  </w:num>
  <w:num w:numId="29">
    <w:abstractNumId w:val="14"/>
  </w:num>
  <w:num w:numId="30">
    <w:abstractNumId w:val="17"/>
  </w:num>
  <w:num w:numId="31">
    <w:abstractNumId w:val="4"/>
  </w:num>
  <w:num w:numId="32">
    <w:abstractNumId w:val="1"/>
  </w:num>
  <w:num w:numId="33">
    <w:abstractNumId w:val="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17"/>
    <w:rsid w:val="000043AA"/>
    <w:rsid w:val="00014D11"/>
    <w:rsid w:val="00032CB5"/>
    <w:rsid w:val="00033BDD"/>
    <w:rsid w:val="0003547B"/>
    <w:rsid w:val="0003580B"/>
    <w:rsid w:val="0005077C"/>
    <w:rsid w:val="00051FB5"/>
    <w:rsid w:val="00053920"/>
    <w:rsid w:val="0005576B"/>
    <w:rsid w:val="00055C3E"/>
    <w:rsid w:val="00057E23"/>
    <w:rsid w:val="00057FB0"/>
    <w:rsid w:val="000628CD"/>
    <w:rsid w:val="000634C8"/>
    <w:rsid w:val="00063EEF"/>
    <w:rsid w:val="000649B0"/>
    <w:rsid w:val="00064FD8"/>
    <w:rsid w:val="000669E6"/>
    <w:rsid w:val="00067A57"/>
    <w:rsid w:val="00072635"/>
    <w:rsid w:val="000760AD"/>
    <w:rsid w:val="000876DC"/>
    <w:rsid w:val="00090C2F"/>
    <w:rsid w:val="0009189F"/>
    <w:rsid w:val="00092CA4"/>
    <w:rsid w:val="00092FC6"/>
    <w:rsid w:val="000964BA"/>
    <w:rsid w:val="000A290F"/>
    <w:rsid w:val="000A2C83"/>
    <w:rsid w:val="000A714F"/>
    <w:rsid w:val="000B3C77"/>
    <w:rsid w:val="000C06F4"/>
    <w:rsid w:val="000C62E8"/>
    <w:rsid w:val="000D0798"/>
    <w:rsid w:val="000D0932"/>
    <w:rsid w:val="000D2BB0"/>
    <w:rsid w:val="000D3573"/>
    <w:rsid w:val="000D49B7"/>
    <w:rsid w:val="000D4BBB"/>
    <w:rsid w:val="000D68EE"/>
    <w:rsid w:val="000E2F2F"/>
    <w:rsid w:val="000E3793"/>
    <w:rsid w:val="000F115B"/>
    <w:rsid w:val="000F2DA9"/>
    <w:rsid w:val="000F36F8"/>
    <w:rsid w:val="000F48AD"/>
    <w:rsid w:val="00105A6E"/>
    <w:rsid w:val="001114EE"/>
    <w:rsid w:val="00114575"/>
    <w:rsid w:val="00114B59"/>
    <w:rsid w:val="00116438"/>
    <w:rsid w:val="0011686D"/>
    <w:rsid w:val="001207F0"/>
    <w:rsid w:val="00124CD3"/>
    <w:rsid w:val="00133EB0"/>
    <w:rsid w:val="00136656"/>
    <w:rsid w:val="0013791E"/>
    <w:rsid w:val="00141451"/>
    <w:rsid w:val="00156269"/>
    <w:rsid w:val="00161B2B"/>
    <w:rsid w:val="001621E0"/>
    <w:rsid w:val="00165F6B"/>
    <w:rsid w:val="00172FA1"/>
    <w:rsid w:val="00175097"/>
    <w:rsid w:val="00175507"/>
    <w:rsid w:val="0018210E"/>
    <w:rsid w:val="00182325"/>
    <w:rsid w:val="00182F07"/>
    <w:rsid w:val="00184A9E"/>
    <w:rsid w:val="001856AC"/>
    <w:rsid w:val="00185A0F"/>
    <w:rsid w:val="00185AC9"/>
    <w:rsid w:val="00196488"/>
    <w:rsid w:val="001A0850"/>
    <w:rsid w:val="001A1778"/>
    <w:rsid w:val="001A23D6"/>
    <w:rsid w:val="001A5398"/>
    <w:rsid w:val="001C2CFC"/>
    <w:rsid w:val="001C79DF"/>
    <w:rsid w:val="001D215A"/>
    <w:rsid w:val="001D3F42"/>
    <w:rsid w:val="001D6308"/>
    <w:rsid w:val="001D7572"/>
    <w:rsid w:val="001E17C2"/>
    <w:rsid w:val="001E6E75"/>
    <w:rsid w:val="001E6FE1"/>
    <w:rsid w:val="001F1BCF"/>
    <w:rsid w:val="001F1E80"/>
    <w:rsid w:val="001F590B"/>
    <w:rsid w:val="00200835"/>
    <w:rsid w:val="00204A17"/>
    <w:rsid w:val="002076F8"/>
    <w:rsid w:val="002231B4"/>
    <w:rsid w:val="002349FC"/>
    <w:rsid w:val="0023670E"/>
    <w:rsid w:val="0024368C"/>
    <w:rsid w:val="00246A2D"/>
    <w:rsid w:val="00252814"/>
    <w:rsid w:val="0025542D"/>
    <w:rsid w:val="00255C30"/>
    <w:rsid w:val="002654EB"/>
    <w:rsid w:val="00267F9E"/>
    <w:rsid w:val="002726F8"/>
    <w:rsid w:val="002732AB"/>
    <w:rsid w:val="002747CE"/>
    <w:rsid w:val="00275A45"/>
    <w:rsid w:val="00276938"/>
    <w:rsid w:val="00276D23"/>
    <w:rsid w:val="002809E5"/>
    <w:rsid w:val="00285E8E"/>
    <w:rsid w:val="002860DE"/>
    <w:rsid w:val="0028712B"/>
    <w:rsid w:val="00291C88"/>
    <w:rsid w:val="00292966"/>
    <w:rsid w:val="0029539A"/>
    <w:rsid w:val="002A3E43"/>
    <w:rsid w:val="002B1073"/>
    <w:rsid w:val="002B5237"/>
    <w:rsid w:val="002C4410"/>
    <w:rsid w:val="002D1223"/>
    <w:rsid w:val="002E0C0B"/>
    <w:rsid w:val="002E7A59"/>
    <w:rsid w:val="002F076C"/>
    <w:rsid w:val="002F10F4"/>
    <w:rsid w:val="002F421B"/>
    <w:rsid w:val="003007A3"/>
    <w:rsid w:val="00305109"/>
    <w:rsid w:val="00312367"/>
    <w:rsid w:val="0031271F"/>
    <w:rsid w:val="0031294E"/>
    <w:rsid w:val="00314EAC"/>
    <w:rsid w:val="00316557"/>
    <w:rsid w:val="00323E3E"/>
    <w:rsid w:val="00324213"/>
    <w:rsid w:val="00325B3D"/>
    <w:rsid w:val="00331883"/>
    <w:rsid w:val="00332996"/>
    <w:rsid w:val="0034011C"/>
    <w:rsid w:val="00342B09"/>
    <w:rsid w:val="00343C1D"/>
    <w:rsid w:val="00345061"/>
    <w:rsid w:val="00347690"/>
    <w:rsid w:val="00350EA3"/>
    <w:rsid w:val="003538F7"/>
    <w:rsid w:val="00354243"/>
    <w:rsid w:val="0035517E"/>
    <w:rsid w:val="003646A2"/>
    <w:rsid w:val="003651A5"/>
    <w:rsid w:val="00366F19"/>
    <w:rsid w:val="00373BDE"/>
    <w:rsid w:val="003749EB"/>
    <w:rsid w:val="00375B6C"/>
    <w:rsid w:val="003767DA"/>
    <w:rsid w:val="00380DF5"/>
    <w:rsid w:val="0038438D"/>
    <w:rsid w:val="00390952"/>
    <w:rsid w:val="00390E35"/>
    <w:rsid w:val="00394B15"/>
    <w:rsid w:val="003950F4"/>
    <w:rsid w:val="00395EA7"/>
    <w:rsid w:val="003A0A41"/>
    <w:rsid w:val="003A4F15"/>
    <w:rsid w:val="003B04D4"/>
    <w:rsid w:val="003B7DF7"/>
    <w:rsid w:val="003C2DFF"/>
    <w:rsid w:val="003C3988"/>
    <w:rsid w:val="003D07B6"/>
    <w:rsid w:val="003D0CC0"/>
    <w:rsid w:val="003D5933"/>
    <w:rsid w:val="003D5EDC"/>
    <w:rsid w:val="003D6096"/>
    <w:rsid w:val="003E1762"/>
    <w:rsid w:val="003E242C"/>
    <w:rsid w:val="003E2AC6"/>
    <w:rsid w:val="003E74B9"/>
    <w:rsid w:val="003F4270"/>
    <w:rsid w:val="003F4986"/>
    <w:rsid w:val="003F5583"/>
    <w:rsid w:val="00401BEA"/>
    <w:rsid w:val="00402A81"/>
    <w:rsid w:val="00406307"/>
    <w:rsid w:val="0041096C"/>
    <w:rsid w:val="00410CDF"/>
    <w:rsid w:val="00410FC0"/>
    <w:rsid w:val="00415AEE"/>
    <w:rsid w:val="00416814"/>
    <w:rsid w:val="00421994"/>
    <w:rsid w:val="00422D0C"/>
    <w:rsid w:val="004233F1"/>
    <w:rsid w:val="00423713"/>
    <w:rsid w:val="00423D1E"/>
    <w:rsid w:val="00426231"/>
    <w:rsid w:val="0043100B"/>
    <w:rsid w:val="00432852"/>
    <w:rsid w:val="004338EE"/>
    <w:rsid w:val="00436B97"/>
    <w:rsid w:val="00437F1C"/>
    <w:rsid w:val="00443887"/>
    <w:rsid w:val="00450093"/>
    <w:rsid w:val="00471024"/>
    <w:rsid w:val="00471D20"/>
    <w:rsid w:val="00472837"/>
    <w:rsid w:val="00474B12"/>
    <w:rsid w:val="00476645"/>
    <w:rsid w:val="0047763B"/>
    <w:rsid w:val="00481929"/>
    <w:rsid w:val="004827F8"/>
    <w:rsid w:val="004835E3"/>
    <w:rsid w:val="00487078"/>
    <w:rsid w:val="0049162B"/>
    <w:rsid w:val="00496B86"/>
    <w:rsid w:val="004A1246"/>
    <w:rsid w:val="004A3FD8"/>
    <w:rsid w:val="004B2EA3"/>
    <w:rsid w:val="004B4410"/>
    <w:rsid w:val="004B52F7"/>
    <w:rsid w:val="004B5B10"/>
    <w:rsid w:val="004B6032"/>
    <w:rsid w:val="004B689A"/>
    <w:rsid w:val="004B69A1"/>
    <w:rsid w:val="004B74A5"/>
    <w:rsid w:val="004C060C"/>
    <w:rsid w:val="004C0735"/>
    <w:rsid w:val="004C33F8"/>
    <w:rsid w:val="004C4D3D"/>
    <w:rsid w:val="004C5DB4"/>
    <w:rsid w:val="004D08E0"/>
    <w:rsid w:val="004D358D"/>
    <w:rsid w:val="004E0B56"/>
    <w:rsid w:val="004E3099"/>
    <w:rsid w:val="004E6DE8"/>
    <w:rsid w:val="004F1378"/>
    <w:rsid w:val="004F31F5"/>
    <w:rsid w:val="004F6821"/>
    <w:rsid w:val="005063B3"/>
    <w:rsid w:val="00506F10"/>
    <w:rsid w:val="005163E2"/>
    <w:rsid w:val="005164DA"/>
    <w:rsid w:val="00520D1B"/>
    <w:rsid w:val="00522BE6"/>
    <w:rsid w:val="00523B77"/>
    <w:rsid w:val="005301C6"/>
    <w:rsid w:val="0053060D"/>
    <w:rsid w:val="00530F99"/>
    <w:rsid w:val="005318F2"/>
    <w:rsid w:val="00532760"/>
    <w:rsid w:val="00532B4F"/>
    <w:rsid w:val="00536EB2"/>
    <w:rsid w:val="0053709F"/>
    <w:rsid w:val="00540FA8"/>
    <w:rsid w:val="00545337"/>
    <w:rsid w:val="00546FAF"/>
    <w:rsid w:val="00550E90"/>
    <w:rsid w:val="005513E3"/>
    <w:rsid w:val="005516E3"/>
    <w:rsid w:val="0055174F"/>
    <w:rsid w:val="0055295F"/>
    <w:rsid w:val="0055637C"/>
    <w:rsid w:val="0055789C"/>
    <w:rsid w:val="005605A9"/>
    <w:rsid w:val="00561902"/>
    <w:rsid w:val="00562DFC"/>
    <w:rsid w:val="00563E7C"/>
    <w:rsid w:val="00565CD1"/>
    <w:rsid w:val="00573B2B"/>
    <w:rsid w:val="0057688A"/>
    <w:rsid w:val="00577EF6"/>
    <w:rsid w:val="00581176"/>
    <w:rsid w:val="005816F2"/>
    <w:rsid w:val="00584ADD"/>
    <w:rsid w:val="00587E62"/>
    <w:rsid w:val="00592BD4"/>
    <w:rsid w:val="00593D7D"/>
    <w:rsid w:val="00597F2F"/>
    <w:rsid w:val="005A0868"/>
    <w:rsid w:val="005A1E04"/>
    <w:rsid w:val="005A2B7A"/>
    <w:rsid w:val="005A2C4F"/>
    <w:rsid w:val="005A30CC"/>
    <w:rsid w:val="005A74DE"/>
    <w:rsid w:val="005B2DBF"/>
    <w:rsid w:val="005B2E87"/>
    <w:rsid w:val="005B3BFF"/>
    <w:rsid w:val="005B49B2"/>
    <w:rsid w:val="005C6DCC"/>
    <w:rsid w:val="005C7A55"/>
    <w:rsid w:val="005C7EC0"/>
    <w:rsid w:val="005D08EB"/>
    <w:rsid w:val="005D3C6F"/>
    <w:rsid w:val="005D740F"/>
    <w:rsid w:val="005D7D96"/>
    <w:rsid w:val="005E0CA7"/>
    <w:rsid w:val="005E40B4"/>
    <w:rsid w:val="005E449F"/>
    <w:rsid w:val="005E570A"/>
    <w:rsid w:val="005F0289"/>
    <w:rsid w:val="005F4739"/>
    <w:rsid w:val="005F496C"/>
    <w:rsid w:val="005F534C"/>
    <w:rsid w:val="00605B3E"/>
    <w:rsid w:val="006064DB"/>
    <w:rsid w:val="00610618"/>
    <w:rsid w:val="00611DBC"/>
    <w:rsid w:val="0061208D"/>
    <w:rsid w:val="00614B35"/>
    <w:rsid w:val="00617D55"/>
    <w:rsid w:val="00620763"/>
    <w:rsid w:val="00623286"/>
    <w:rsid w:val="006243DA"/>
    <w:rsid w:val="0062615B"/>
    <w:rsid w:val="00626F55"/>
    <w:rsid w:val="00632E46"/>
    <w:rsid w:val="00641093"/>
    <w:rsid w:val="00641730"/>
    <w:rsid w:val="00641C99"/>
    <w:rsid w:val="00641E1D"/>
    <w:rsid w:val="00643934"/>
    <w:rsid w:val="00650944"/>
    <w:rsid w:val="00651154"/>
    <w:rsid w:val="0065176A"/>
    <w:rsid w:val="0065340F"/>
    <w:rsid w:val="00666CFC"/>
    <w:rsid w:val="006729AE"/>
    <w:rsid w:val="006764E4"/>
    <w:rsid w:val="0068002B"/>
    <w:rsid w:val="00680A66"/>
    <w:rsid w:val="00680F36"/>
    <w:rsid w:val="00681B2A"/>
    <w:rsid w:val="006911D8"/>
    <w:rsid w:val="00691B76"/>
    <w:rsid w:val="00693AAB"/>
    <w:rsid w:val="006965D2"/>
    <w:rsid w:val="006A1AEE"/>
    <w:rsid w:val="006A2520"/>
    <w:rsid w:val="006A29C3"/>
    <w:rsid w:val="006A638E"/>
    <w:rsid w:val="006A6C02"/>
    <w:rsid w:val="006B08F9"/>
    <w:rsid w:val="006B4168"/>
    <w:rsid w:val="006B68CD"/>
    <w:rsid w:val="006B7233"/>
    <w:rsid w:val="006C0345"/>
    <w:rsid w:val="006C1C49"/>
    <w:rsid w:val="006C2870"/>
    <w:rsid w:val="006C6C66"/>
    <w:rsid w:val="006D0B2A"/>
    <w:rsid w:val="006D1A5E"/>
    <w:rsid w:val="006D1F55"/>
    <w:rsid w:val="006D2CF1"/>
    <w:rsid w:val="006D3340"/>
    <w:rsid w:val="006D3E00"/>
    <w:rsid w:val="006E2416"/>
    <w:rsid w:val="006E3761"/>
    <w:rsid w:val="006E7523"/>
    <w:rsid w:val="006F0E51"/>
    <w:rsid w:val="006F3589"/>
    <w:rsid w:val="006F560E"/>
    <w:rsid w:val="006F5EAB"/>
    <w:rsid w:val="006F77B4"/>
    <w:rsid w:val="007033E5"/>
    <w:rsid w:val="00705B90"/>
    <w:rsid w:val="0071233A"/>
    <w:rsid w:val="00714131"/>
    <w:rsid w:val="0071497B"/>
    <w:rsid w:val="00721784"/>
    <w:rsid w:val="00721918"/>
    <w:rsid w:val="00724894"/>
    <w:rsid w:val="00726D34"/>
    <w:rsid w:val="007277C6"/>
    <w:rsid w:val="007346FB"/>
    <w:rsid w:val="007456FB"/>
    <w:rsid w:val="00751C11"/>
    <w:rsid w:val="007563B7"/>
    <w:rsid w:val="00756E00"/>
    <w:rsid w:val="007574DA"/>
    <w:rsid w:val="00761A4B"/>
    <w:rsid w:val="007634CD"/>
    <w:rsid w:val="007659A5"/>
    <w:rsid w:val="0077454D"/>
    <w:rsid w:val="007755D3"/>
    <w:rsid w:val="00776E97"/>
    <w:rsid w:val="007808D8"/>
    <w:rsid w:val="00781515"/>
    <w:rsid w:val="00782BF9"/>
    <w:rsid w:val="00787D49"/>
    <w:rsid w:val="00793A8C"/>
    <w:rsid w:val="007953A7"/>
    <w:rsid w:val="007956A1"/>
    <w:rsid w:val="00795FBD"/>
    <w:rsid w:val="00796147"/>
    <w:rsid w:val="00796A14"/>
    <w:rsid w:val="007B3C5D"/>
    <w:rsid w:val="007B3FE1"/>
    <w:rsid w:val="007C24F2"/>
    <w:rsid w:val="007C3627"/>
    <w:rsid w:val="007C4E36"/>
    <w:rsid w:val="007C5BE5"/>
    <w:rsid w:val="007D198F"/>
    <w:rsid w:val="007D40D9"/>
    <w:rsid w:val="007E241B"/>
    <w:rsid w:val="007E6C5D"/>
    <w:rsid w:val="007F5223"/>
    <w:rsid w:val="007F73C0"/>
    <w:rsid w:val="00801800"/>
    <w:rsid w:val="008067AE"/>
    <w:rsid w:val="00807BA9"/>
    <w:rsid w:val="00816909"/>
    <w:rsid w:val="00817026"/>
    <w:rsid w:val="00817DA0"/>
    <w:rsid w:val="00822338"/>
    <w:rsid w:val="008241F7"/>
    <w:rsid w:val="00825650"/>
    <w:rsid w:val="00826568"/>
    <w:rsid w:val="00831F96"/>
    <w:rsid w:val="008325D0"/>
    <w:rsid w:val="00832EAD"/>
    <w:rsid w:val="0084057F"/>
    <w:rsid w:val="00842C63"/>
    <w:rsid w:val="00845B44"/>
    <w:rsid w:val="008503B6"/>
    <w:rsid w:val="008529C4"/>
    <w:rsid w:val="00853655"/>
    <w:rsid w:val="00853A70"/>
    <w:rsid w:val="00854E19"/>
    <w:rsid w:val="008572F8"/>
    <w:rsid w:val="008633B0"/>
    <w:rsid w:val="00863CB5"/>
    <w:rsid w:val="0086719A"/>
    <w:rsid w:val="00871623"/>
    <w:rsid w:val="0088131B"/>
    <w:rsid w:val="008813B0"/>
    <w:rsid w:val="00881D61"/>
    <w:rsid w:val="008828A5"/>
    <w:rsid w:val="00882B2E"/>
    <w:rsid w:val="008842FC"/>
    <w:rsid w:val="00886387"/>
    <w:rsid w:val="00887981"/>
    <w:rsid w:val="00892854"/>
    <w:rsid w:val="00893D9A"/>
    <w:rsid w:val="00894129"/>
    <w:rsid w:val="00895A35"/>
    <w:rsid w:val="00896F5F"/>
    <w:rsid w:val="008A18ED"/>
    <w:rsid w:val="008A3191"/>
    <w:rsid w:val="008A4801"/>
    <w:rsid w:val="008A5BC5"/>
    <w:rsid w:val="008B1CC5"/>
    <w:rsid w:val="008B6786"/>
    <w:rsid w:val="008B797D"/>
    <w:rsid w:val="008C2232"/>
    <w:rsid w:val="008C4038"/>
    <w:rsid w:val="008C4ABD"/>
    <w:rsid w:val="008D2479"/>
    <w:rsid w:val="008D6D8C"/>
    <w:rsid w:val="008E306B"/>
    <w:rsid w:val="008E7787"/>
    <w:rsid w:val="008E77D5"/>
    <w:rsid w:val="008E7D49"/>
    <w:rsid w:val="008F0F4E"/>
    <w:rsid w:val="008F4DF8"/>
    <w:rsid w:val="009046A5"/>
    <w:rsid w:val="00906701"/>
    <w:rsid w:val="00906916"/>
    <w:rsid w:val="00910FB6"/>
    <w:rsid w:val="0091752D"/>
    <w:rsid w:val="00920FCD"/>
    <w:rsid w:val="00921F91"/>
    <w:rsid w:val="00923343"/>
    <w:rsid w:val="009369B5"/>
    <w:rsid w:val="0094136E"/>
    <w:rsid w:val="009416A0"/>
    <w:rsid w:val="009432B7"/>
    <w:rsid w:val="009437F9"/>
    <w:rsid w:val="009475EF"/>
    <w:rsid w:val="00950A62"/>
    <w:rsid w:val="00954647"/>
    <w:rsid w:val="00955482"/>
    <w:rsid w:val="00965D02"/>
    <w:rsid w:val="00966220"/>
    <w:rsid w:val="00966D67"/>
    <w:rsid w:val="00974694"/>
    <w:rsid w:val="00982566"/>
    <w:rsid w:val="009828B3"/>
    <w:rsid w:val="00985DE6"/>
    <w:rsid w:val="00990277"/>
    <w:rsid w:val="00990D53"/>
    <w:rsid w:val="00990F60"/>
    <w:rsid w:val="009963DA"/>
    <w:rsid w:val="009A29BA"/>
    <w:rsid w:val="009A33FA"/>
    <w:rsid w:val="009A7A41"/>
    <w:rsid w:val="009B0547"/>
    <w:rsid w:val="009B4FAF"/>
    <w:rsid w:val="009C7B6B"/>
    <w:rsid w:val="009D3249"/>
    <w:rsid w:val="009E4F32"/>
    <w:rsid w:val="009E6059"/>
    <w:rsid w:val="009E6E0C"/>
    <w:rsid w:val="009F667C"/>
    <w:rsid w:val="009F7C48"/>
    <w:rsid w:val="00A01320"/>
    <w:rsid w:val="00A031DF"/>
    <w:rsid w:val="00A13DCF"/>
    <w:rsid w:val="00A16E8B"/>
    <w:rsid w:val="00A174CF"/>
    <w:rsid w:val="00A21421"/>
    <w:rsid w:val="00A27C14"/>
    <w:rsid w:val="00A31216"/>
    <w:rsid w:val="00A322C4"/>
    <w:rsid w:val="00A328E9"/>
    <w:rsid w:val="00A32E23"/>
    <w:rsid w:val="00A33C97"/>
    <w:rsid w:val="00A353DD"/>
    <w:rsid w:val="00A365B9"/>
    <w:rsid w:val="00A4370F"/>
    <w:rsid w:val="00A4440B"/>
    <w:rsid w:val="00A44F84"/>
    <w:rsid w:val="00A50074"/>
    <w:rsid w:val="00A52B87"/>
    <w:rsid w:val="00A53E98"/>
    <w:rsid w:val="00A57E90"/>
    <w:rsid w:val="00A70D20"/>
    <w:rsid w:val="00A8004C"/>
    <w:rsid w:val="00A83A58"/>
    <w:rsid w:val="00A84A74"/>
    <w:rsid w:val="00A94624"/>
    <w:rsid w:val="00AA433D"/>
    <w:rsid w:val="00AA69A9"/>
    <w:rsid w:val="00AB6DD9"/>
    <w:rsid w:val="00AB74D9"/>
    <w:rsid w:val="00AC2126"/>
    <w:rsid w:val="00AC577E"/>
    <w:rsid w:val="00AC5E33"/>
    <w:rsid w:val="00AD1EA7"/>
    <w:rsid w:val="00AD5BB6"/>
    <w:rsid w:val="00AF3191"/>
    <w:rsid w:val="00AF361D"/>
    <w:rsid w:val="00B077F9"/>
    <w:rsid w:val="00B07A44"/>
    <w:rsid w:val="00B10D3A"/>
    <w:rsid w:val="00B2315E"/>
    <w:rsid w:val="00B278F7"/>
    <w:rsid w:val="00B33F19"/>
    <w:rsid w:val="00B452DB"/>
    <w:rsid w:val="00B5209F"/>
    <w:rsid w:val="00B54316"/>
    <w:rsid w:val="00B54C96"/>
    <w:rsid w:val="00B55D05"/>
    <w:rsid w:val="00B6793D"/>
    <w:rsid w:val="00B70B16"/>
    <w:rsid w:val="00B81C1F"/>
    <w:rsid w:val="00B84C32"/>
    <w:rsid w:val="00B911AA"/>
    <w:rsid w:val="00B918E7"/>
    <w:rsid w:val="00B9363F"/>
    <w:rsid w:val="00BA0451"/>
    <w:rsid w:val="00BA2CA5"/>
    <w:rsid w:val="00BA4D5B"/>
    <w:rsid w:val="00BA6044"/>
    <w:rsid w:val="00BB0002"/>
    <w:rsid w:val="00BB0B34"/>
    <w:rsid w:val="00BB246F"/>
    <w:rsid w:val="00BB2A6B"/>
    <w:rsid w:val="00BB3BDD"/>
    <w:rsid w:val="00BB5EF2"/>
    <w:rsid w:val="00BB6C74"/>
    <w:rsid w:val="00BC142B"/>
    <w:rsid w:val="00BC15B1"/>
    <w:rsid w:val="00BC1F54"/>
    <w:rsid w:val="00BD18B6"/>
    <w:rsid w:val="00BD603F"/>
    <w:rsid w:val="00BE1E3B"/>
    <w:rsid w:val="00BE4948"/>
    <w:rsid w:val="00BF21EE"/>
    <w:rsid w:val="00BF28A7"/>
    <w:rsid w:val="00BF6C58"/>
    <w:rsid w:val="00C05C49"/>
    <w:rsid w:val="00C0711B"/>
    <w:rsid w:val="00C0744E"/>
    <w:rsid w:val="00C078D6"/>
    <w:rsid w:val="00C100A1"/>
    <w:rsid w:val="00C12DA7"/>
    <w:rsid w:val="00C13553"/>
    <w:rsid w:val="00C147F5"/>
    <w:rsid w:val="00C21625"/>
    <w:rsid w:val="00C22373"/>
    <w:rsid w:val="00C22A5D"/>
    <w:rsid w:val="00C2613A"/>
    <w:rsid w:val="00C4140C"/>
    <w:rsid w:val="00C4393D"/>
    <w:rsid w:val="00C45861"/>
    <w:rsid w:val="00C46C93"/>
    <w:rsid w:val="00C54A33"/>
    <w:rsid w:val="00C57FE8"/>
    <w:rsid w:val="00C61971"/>
    <w:rsid w:val="00C66F87"/>
    <w:rsid w:val="00C677D2"/>
    <w:rsid w:val="00C77662"/>
    <w:rsid w:val="00C77B91"/>
    <w:rsid w:val="00C80FDB"/>
    <w:rsid w:val="00C871BF"/>
    <w:rsid w:val="00C91A4E"/>
    <w:rsid w:val="00C927F2"/>
    <w:rsid w:val="00C9506B"/>
    <w:rsid w:val="00C95A4F"/>
    <w:rsid w:val="00C97615"/>
    <w:rsid w:val="00CA29B9"/>
    <w:rsid w:val="00CA46FD"/>
    <w:rsid w:val="00CB0A8A"/>
    <w:rsid w:val="00CB2C69"/>
    <w:rsid w:val="00CB4016"/>
    <w:rsid w:val="00CB5750"/>
    <w:rsid w:val="00CC0250"/>
    <w:rsid w:val="00CC36A2"/>
    <w:rsid w:val="00CC3D28"/>
    <w:rsid w:val="00CD39A8"/>
    <w:rsid w:val="00CD7C3D"/>
    <w:rsid w:val="00CF18EF"/>
    <w:rsid w:val="00CF4D63"/>
    <w:rsid w:val="00D06467"/>
    <w:rsid w:val="00D0742C"/>
    <w:rsid w:val="00D138D6"/>
    <w:rsid w:val="00D16D23"/>
    <w:rsid w:val="00D173A7"/>
    <w:rsid w:val="00D17DD0"/>
    <w:rsid w:val="00D20C4C"/>
    <w:rsid w:val="00D27063"/>
    <w:rsid w:val="00D34B5F"/>
    <w:rsid w:val="00D34F07"/>
    <w:rsid w:val="00D371DE"/>
    <w:rsid w:val="00D37520"/>
    <w:rsid w:val="00D464E4"/>
    <w:rsid w:val="00D51F44"/>
    <w:rsid w:val="00D5630F"/>
    <w:rsid w:val="00D56AB3"/>
    <w:rsid w:val="00D6554C"/>
    <w:rsid w:val="00D66332"/>
    <w:rsid w:val="00D66D82"/>
    <w:rsid w:val="00D76831"/>
    <w:rsid w:val="00D771B9"/>
    <w:rsid w:val="00D81DB9"/>
    <w:rsid w:val="00D82861"/>
    <w:rsid w:val="00D83199"/>
    <w:rsid w:val="00D86CD3"/>
    <w:rsid w:val="00D9470F"/>
    <w:rsid w:val="00DA1B46"/>
    <w:rsid w:val="00DA4663"/>
    <w:rsid w:val="00DA5268"/>
    <w:rsid w:val="00DA5339"/>
    <w:rsid w:val="00DA7B72"/>
    <w:rsid w:val="00DB02AD"/>
    <w:rsid w:val="00DB5830"/>
    <w:rsid w:val="00DC0999"/>
    <w:rsid w:val="00DC0F0A"/>
    <w:rsid w:val="00DC1699"/>
    <w:rsid w:val="00DC440C"/>
    <w:rsid w:val="00DC5FBD"/>
    <w:rsid w:val="00DD0E9B"/>
    <w:rsid w:val="00DD2B4A"/>
    <w:rsid w:val="00DD6D4A"/>
    <w:rsid w:val="00DD77DF"/>
    <w:rsid w:val="00DF0869"/>
    <w:rsid w:val="00DF315C"/>
    <w:rsid w:val="00DF4400"/>
    <w:rsid w:val="00E01CCD"/>
    <w:rsid w:val="00E03773"/>
    <w:rsid w:val="00E06526"/>
    <w:rsid w:val="00E10AAA"/>
    <w:rsid w:val="00E10C46"/>
    <w:rsid w:val="00E12599"/>
    <w:rsid w:val="00E22F21"/>
    <w:rsid w:val="00E334F2"/>
    <w:rsid w:val="00E36417"/>
    <w:rsid w:val="00E438E6"/>
    <w:rsid w:val="00E47B22"/>
    <w:rsid w:val="00E502D5"/>
    <w:rsid w:val="00E504B9"/>
    <w:rsid w:val="00E54438"/>
    <w:rsid w:val="00E56914"/>
    <w:rsid w:val="00E62D9F"/>
    <w:rsid w:val="00E649CE"/>
    <w:rsid w:val="00E72DBB"/>
    <w:rsid w:val="00E73B66"/>
    <w:rsid w:val="00E7470A"/>
    <w:rsid w:val="00E76CF4"/>
    <w:rsid w:val="00E77432"/>
    <w:rsid w:val="00E84BD7"/>
    <w:rsid w:val="00E859C0"/>
    <w:rsid w:val="00E87F43"/>
    <w:rsid w:val="00E91594"/>
    <w:rsid w:val="00E91DBB"/>
    <w:rsid w:val="00E9213B"/>
    <w:rsid w:val="00E94F74"/>
    <w:rsid w:val="00E95976"/>
    <w:rsid w:val="00E959D5"/>
    <w:rsid w:val="00E97653"/>
    <w:rsid w:val="00EA686E"/>
    <w:rsid w:val="00EA7ACC"/>
    <w:rsid w:val="00EB074C"/>
    <w:rsid w:val="00EB3C62"/>
    <w:rsid w:val="00EB6587"/>
    <w:rsid w:val="00EB69F3"/>
    <w:rsid w:val="00EB6DF1"/>
    <w:rsid w:val="00EC37BF"/>
    <w:rsid w:val="00EC6A52"/>
    <w:rsid w:val="00ED0575"/>
    <w:rsid w:val="00ED1657"/>
    <w:rsid w:val="00ED185F"/>
    <w:rsid w:val="00ED2B81"/>
    <w:rsid w:val="00EE0A4F"/>
    <w:rsid w:val="00EF1BB6"/>
    <w:rsid w:val="00EF655E"/>
    <w:rsid w:val="00F02B29"/>
    <w:rsid w:val="00F14570"/>
    <w:rsid w:val="00F15BB6"/>
    <w:rsid w:val="00F15E15"/>
    <w:rsid w:val="00F20913"/>
    <w:rsid w:val="00F2263B"/>
    <w:rsid w:val="00F26678"/>
    <w:rsid w:val="00F26C9D"/>
    <w:rsid w:val="00F27F11"/>
    <w:rsid w:val="00F31E0D"/>
    <w:rsid w:val="00F32ADA"/>
    <w:rsid w:val="00F40B56"/>
    <w:rsid w:val="00F42653"/>
    <w:rsid w:val="00F42886"/>
    <w:rsid w:val="00F51474"/>
    <w:rsid w:val="00F525C0"/>
    <w:rsid w:val="00F53C9C"/>
    <w:rsid w:val="00F54D54"/>
    <w:rsid w:val="00F55553"/>
    <w:rsid w:val="00F55A98"/>
    <w:rsid w:val="00F56889"/>
    <w:rsid w:val="00F57AD3"/>
    <w:rsid w:val="00F60C82"/>
    <w:rsid w:val="00F62B88"/>
    <w:rsid w:val="00F62CCA"/>
    <w:rsid w:val="00F666EB"/>
    <w:rsid w:val="00F72853"/>
    <w:rsid w:val="00F77315"/>
    <w:rsid w:val="00F97CAD"/>
    <w:rsid w:val="00FA2764"/>
    <w:rsid w:val="00FA3FF9"/>
    <w:rsid w:val="00FB0E45"/>
    <w:rsid w:val="00FB4247"/>
    <w:rsid w:val="00FB660E"/>
    <w:rsid w:val="00FC67D3"/>
    <w:rsid w:val="00FD00CF"/>
    <w:rsid w:val="00FE16CE"/>
    <w:rsid w:val="00FE5ABF"/>
    <w:rsid w:val="00FE7BA4"/>
    <w:rsid w:val="00FF0781"/>
    <w:rsid w:val="00FF0E4A"/>
    <w:rsid w:val="00FF31AB"/>
    <w:rsid w:val="00FF3529"/>
    <w:rsid w:val="00FF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9A59E"/>
  <w15:docId w15:val="{0384867B-8FEC-4226-B63A-CFA06352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70F"/>
    <w:pPr>
      <w:keepNext/>
      <w:keepLines/>
      <w:spacing w:before="360" w:after="36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A0850"/>
    <w:pPr>
      <w:keepNext/>
      <w:keepLines/>
      <w:spacing w:before="240" w:after="2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semiHidden/>
    <w:unhideWhenUsed/>
    <w:qFormat/>
    <w:rsid w:val="006D1A5E"/>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1,Bullet1,References,Numbered List Paragraph,Numbered Paragraph,Main numbered paragraph,Normal bullet 2,Outlines a.b.c.,List_Paragraph,Multilevel para_II,Forth level,List Paragraph 1,Bullets,Абзац вправо-1"/>
    <w:basedOn w:val="Normal"/>
    <w:link w:val="ListParagraphChar"/>
    <w:uiPriority w:val="34"/>
    <w:qFormat/>
    <w:rsid w:val="00E36417"/>
    <w:pPr>
      <w:spacing w:after="0" w:line="240" w:lineRule="auto"/>
      <w:ind w:left="720"/>
    </w:pPr>
    <w:rPr>
      <w:rFonts w:ascii="Calibri" w:hAnsi="Calibri" w:cs="Calibri"/>
    </w:rPr>
  </w:style>
  <w:style w:type="character" w:customStyle="1" w:styleId="ListParagraphChar">
    <w:name w:val="List Paragraph Char"/>
    <w:aliases w:val="Akapit z listą BS Char,List Paragraph1 Char,Bullet1 Char,References Char,Numbered List Paragraph Char,Numbered Paragraph Char,Main numbered paragraph Char,Normal bullet 2 Char,Outlines a.b.c. Char,List_Paragraph Char,Forth level Char"/>
    <w:basedOn w:val="DefaultParagraphFont"/>
    <w:link w:val="ListParagraph"/>
    <w:uiPriority w:val="34"/>
    <w:locked/>
    <w:rsid w:val="003F5583"/>
    <w:rPr>
      <w:rFonts w:ascii="Calibri" w:hAnsi="Calibri" w:cs="Calibri"/>
    </w:rPr>
  </w:style>
  <w:style w:type="paragraph" w:styleId="BalloonText">
    <w:name w:val="Balloon Text"/>
    <w:basedOn w:val="Normal"/>
    <w:link w:val="BalloonTextChar"/>
    <w:uiPriority w:val="99"/>
    <w:semiHidden/>
    <w:unhideWhenUsed/>
    <w:rsid w:val="00B55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05"/>
    <w:rPr>
      <w:rFonts w:ascii="Segoe UI" w:hAnsi="Segoe UI" w:cs="Segoe UI"/>
      <w:sz w:val="18"/>
      <w:szCs w:val="18"/>
    </w:rPr>
  </w:style>
  <w:style w:type="character" w:styleId="Hyperlink">
    <w:name w:val="Hyperlink"/>
    <w:basedOn w:val="DefaultParagraphFont"/>
    <w:uiPriority w:val="99"/>
    <w:unhideWhenUsed/>
    <w:rsid w:val="00410CDF"/>
    <w:rPr>
      <w:color w:val="0563C1" w:themeColor="hyperlink"/>
      <w:u w:val="single"/>
    </w:rPr>
  </w:style>
  <w:style w:type="character" w:customStyle="1" w:styleId="Mention1">
    <w:name w:val="Mention1"/>
    <w:basedOn w:val="DefaultParagraphFont"/>
    <w:uiPriority w:val="99"/>
    <w:semiHidden/>
    <w:unhideWhenUsed/>
    <w:rsid w:val="00410CDF"/>
    <w:rPr>
      <w:color w:val="2B579A"/>
      <w:shd w:val="clear" w:color="auto" w:fill="E6E6E6"/>
    </w:rPr>
  </w:style>
  <w:style w:type="paragraph" w:styleId="Header">
    <w:name w:val="header"/>
    <w:basedOn w:val="Normal"/>
    <w:link w:val="HeaderChar"/>
    <w:uiPriority w:val="99"/>
    <w:unhideWhenUsed/>
    <w:rsid w:val="00765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A5"/>
  </w:style>
  <w:style w:type="paragraph" w:styleId="Footer">
    <w:name w:val="footer"/>
    <w:basedOn w:val="Normal"/>
    <w:link w:val="FooterChar"/>
    <w:uiPriority w:val="99"/>
    <w:unhideWhenUsed/>
    <w:rsid w:val="00765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A5"/>
  </w:style>
  <w:style w:type="character" w:customStyle="1" w:styleId="Heading2Char">
    <w:name w:val="Heading 2 Char"/>
    <w:basedOn w:val="DefaultParagraphFont"/>
    <w:link w:val="Heading2"/>
    <w:uiPriority w:val="9"/>
    <w:rsid w:val="001A0850"/>
    <w:rPr>
      <w:rFonts w:asciiTheme="majorHAnsi" w:eastAsiaTheme="majorEastAsia" w:hAnsiTheme="majorHAnsi" w:cstheme="majorBidi"/>
      <w:b/>
      <w:color w:val="2F5496" w:themeColor="accent1" w:themeShade="BF"/>
      <w:sz w:val="26"/>
      <w:szCs w:val="26"/>
    </w:rPr>
  </w:style>
  <w:style w:type="character" w:styleId="IntenseReference">
    <w:name w:val="Intense Reference"/>
    <w:basedOn w:val="DefaultParagraphFont"/>
    <w:uiPriority w:val="32"/>
    <w:qFormat/>
    <w:rsid w:val="00114B59"/>
    <w:rPr>
      <w:b/>
      <w:bCs/>
      <w:smallCaps/>
      <w:color w:val="4472C4" w:themeColor="accent1"/>
      <w:spacing w:val="5"/>
    </w:rPr>
  </w:style>
  <w:style w:type="paragraph" w:styleId="Caption">
    <w:name w:val="caption"/>
    <w:aliases w:val="Caption Char Char Char,Caption1 Char,Caption1,Table title,Figure Head,Figure Head Znak Znak,Figure Head Znak,WB Caption,Boxes"/>
    <w:basedOn w:val="Normal"/>
    <w:next w:val="Normal"/>
    <w:link w:val="CaptionChar"/>
    <w:uiPriority w:val="35"/>
    <w:unhideWhenUsed/>
    <w:qFormat/>
    <w:rsid w:val="00D9470F"/>
    <w:pPr>
      <w:spacing w:after="200" w:line="240" w:lineRule="auto"/>
    </w:pPr>
    <w:rPr>
      <w:b/>
      <w:i/>
      <w:iCs/>
      <w:color w:val="44546A" w:themeColor="text2"/>
      <w:szCs w:val="18"/>
    </w:rPr>
  </w:style>
  <w:style w:type="paragraph" w:styleId="TableofFigures">
    <w:name w:val="table of figures"/>
    <w:basedOn w:val="Normal"/>
    <w:next w:val="Normal"/>
    <w:uiPriority w:val="99"/>
    <w:unhideWhenUsed/>
    <w:rsid w:val="00530F99"/>
    <w:pPr>
      <w:spacing w:after="0"/>
    </w:pPr>
  </w:style>
  <w:style w:type="paragraph" w:customStyle="1" w:styleId="textbox">
    <w:name w:val="textbox"/>
    <w:basedOn w:val="Normal"/>
    <w:rsid w:val="003A4F1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471D20"/>
    <w:pPr>
      <w:spacing w:after="0" w:line="240" w:lineRule="auto"/>
    </w:pPr>
    <w:rPr>
      <w:sz w:val="20"/>
      <w:szCs w:val="20"/>
    </w:rPr>
  </w:style>
  <w:style w:type="character" w:customStyle="1" w:styleId="FootnoteTextChar">
    <w:name w:val="Footnote Text Char"/>
    <w:basedOn w:val="DefaultParagraphFont"/>
    <w:link w:val="FootnoteText"/>
    <w:semiHidden/>
    <w:rsid w:val="00471D20"/>
    <w:rPr>
      <w:sz w:val="20"/>
      <w:szCs w:val="20"/>
    </w:rPr>
  </w:style>
  <w:style w:type="character" w:styleId="FootnoteReference">
    <w:name w:val="footnote reference"/>
    <w:basedOn w:val="DefaultParagraphFont"/>
    <w:uiPriority w:val="99"/>
    <w:semiHidden/>
    <w:unhideWhenUsed/>
    <w:rsid w:val="00471D20"/>
    <w:rPr>
      <w:vertAlign w:val="superscript"/>
    </w:rPr>
  </w:style>
  <w:style w:type="character" w:customStyle="1" w:styleId="Heading1Char">
    <w:name w:val="Heading 1 Char"/>
    <w:basedOn w:val="DefaultParagraphFont"/>
    <w:link w:val="Heading1"/>
    <w:uiPriority w:val="9"/>
    <w:rsid w:val="00D9470F"/>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A53E98"/>
    <w:pPr>
      <w:outlineLvl w:val="9"/>
    </w:pPr>
  </w:style>
  <w:style w:type="paragraph" w:styleId="TOC2">
    <w:name w:val="toc 2"/>
    <w:basedOn w:val="Normal"/>
    <w:next w:val="Normal"/>
    <w:autoRedefine/>
    <w:uiPriority w:val="39"/>
    <w:unhideWhenUsed/>
    <w:rsid w:val="00A53E98"/>
    <w:pPr>
      <w:spacing w:after="100"/>
      <w:ind w:left="220"/>
    </w:pPr>
  </w:style>
  <w:style w:type="paragraph" w:styleId="TOC1">
    <w:name w:val="toc 1"/>
    <w:basedOn w:val="Normal"/>
    <w:next w:val="Normal"/>
    <w:autoRedefine/>
    <w:uiPriority w:val="39"/>
    <w:unhideWhenUsed/>
    <w:rsid w:val="00A53E98"/>
    <w:pPr>
      <w:spacing w:after="100"/>
    </w:pPr>
  </w:style>
  <w:style w:type="paragraph" w:customStyle="1" w:styleId="Default">
    <w:name w:val="Default"/>
    <w:rsid w:val="00E9213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8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4CD3"/>
    <w:rPr>
      <w:color w:val="954F72" w:themeColor="followedHyperlink"/>
      <w:u w:val="single"/>
    </w:rPr>
  </w:style>
  <w:style w:type="character" w:styleId="CommentReference">
    <w:name w:val="annotation reference"/>
    <w:basedOn w:val="DefaultParagraphFont"/>
    <w:uiPriority w:val="99"/>
    <w:semiHidden/>
    <w:unhideWhenUsed/>
    <w:rsid w:val="008241F7"/>
    <w:rPr>
      <w:sz w:val="16"/>
      <w:szCs w:val="16"/>
    </w:rPr>
  </w:style>
  <w:style w:type="paragraph" w:styleId="CommentText">
    <w:name w:val="annotation text"/>
    <w:basedOn w:val="Normal"/>
    <w:link w:val="CommentTextChar"/>
    <w:uiPriority w:val="99"/>
    <w:semiHidden/>
    <w:unhideWhenUsed/>
    <w:rsid w:val="008241F7"/>
    <w:pPr>
      <w:spacing w:line="240" w:lineRule="auto"/>
    </w:pPr>
    <w:rPr>
      <w:sz w:val="20"/>
      <w:szCs w:val="20"/>
    </w:rPr>
  </w:style>
  <w:style w:type="character" w:customStyle="1" w:styleId="CommentTextChar">
    <w:name w:val="Comment Text Char"/>
    <w:basedOn w:val="DefaultParagraphFont"/>
    <w:link w:val="CommentText"/>
    <w:uiPriority w:val="99"/>
    <w:semiHidden/>
    <w:rsid w:val="008241F7"/>
    <w:rPr>
      <w:sz w:val="20"/>
      <w:szCs w:val="20"/>
    </w:rPr>
  </w:style>
  <w:style w:type="paragraph" w:styleId="CommentSubject">
    <w:name w:val="annotation subject"/>
    <w:basedOn w:val="CommentText"/>
    <w:next w:val="CommentText"/>
    <w:link w:val="CommentSubjectChar"/>
    <w:uiPriority w:val="99"/>
    <w:semiHidden/>
    <w:unhideWhenUsed/>
    <w:rsid w:val="008241F7"/>
    <w:rPr>
      <w:b/>
      <w:bCs/>
    </w:rPr>
  </w:style>
  <w:style w:type="character" w:customStyle="1" w:styleId="CommentSubjectChar">
    <w:name w:val="Comment Subject Char"/>
    <w:basedOn w:val="CommentTextChar"/>
    <w:link w:val="CommentSubject"/>
    <w:uiPriority w:val="99"/>
    <w:semiHidden/>
    <w:rsid w:val="008241F7"/>
    <w:rPr>
      <w:b/>
      <w:bCs/>
      <w:sz w:val="20"/>
      <w:szCs w:val="20"/>
    </w:rPr>
  </w:style>
  <w:style w:type="character" w:styleId="Strong">
    <w:name w:val="Strong"/>
    <w:basedOn w:val="DefaultParagraphFont"/>
    <w:uiPriority w:val="22"/>
    <w:qFormat/>
    <w:rsid w:val="008241F7"/>
    <w:rPr>
      <w:b/>
      <w:bCs/>
    </w:rPr>
  </w:style>
  <w:style w:type="paragraph" w:styleId="Revision">
    <w:name w:val="Revision"/>
    <w:hidden/>
    <w:uiPriority w:val="99"/>
    <w:semiHidden/>
    <w:rsid w:val="008241F7"/>
    <w:pPr>
      <w:spacing w:after="0" w:line="240" w:lineRule="auto"/>
    </w:pPr>
  </w:style>
  <w:style w:type="character" w:customStyle="1" w:styleId="Heading3Char">
    <w:name w:val="Heading 3 Char"/>
    <w:basedOn w:val="DefaultParagraphFont"/>
    <w:link w:val="Heading3"/>
    <w:uiPriority w:val="9"/>
    <w:semiHidden/>
    <w:rsid w:val="006D1A5E"/>
    <w:rPr>
      <w:rFonts w:asciiTheme="majorHAnsi" w:eastAsiaTheme="majorEastAsia" w:hAnsiTheme="majorHAnsi" w:cstheme="majorBidi"/>
      <w:b/>
      <w:color w:val="1F3763" w:themeColor="accent1" w:themeShade="7F"/>
      <w:sz w:val="24"/>
      <w:szCs w:val="24"/>
    </w:rPr>
  </w:style>
  <w:style w:type="paragraph" w:styleId="EndnoteText">
    <w:name w:val="endnote text"/>
    <w:basedOn w:val="Normal"/>
    <w:link w:val="EndnoteTextChar"/>
    <w:uiPriority w:val="99"/>
    <w:semiHidden/>
    <w:unhideWhenUsed/>
    <w:rsid w:val="001414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451"/>
    <w:rPr>
      <w:sz w:val="20"/>
      <w:szCs w:val="20"/>
    </w:rPr>
  </w:style>
  <w:style w:type="character" w:styleId="EndnoteReference">
    <w:name w:val="endnote reference"/>
    <w:basedOn w:val="DefaultParagraphFont"/>
    <w:uiPriority w:val="99"/>
    <w:semiHidden/>
    <w:unhideWhenUsed/>
    <w:rsid w:val="00141451"/>
    <w:rPr>
      <w:vertAlign w:val="superscript"/>
    </w:rPr>
  </w:style>
  <w:style w:type="character" w:customStyle="1" w:styleId="CaptionChar">
    <w:name w:val="Caption Char"/>
    <w:aliases w:val="Caption Char Char Char Char,Caption1 Char Char,Caption1 Char1,Table title Char,Figure Head Char,Figure Head Znak Znak Char,Figure Head Znak Char,WB Caption Char,Boxes Char"/>
    <w:basedOn w:val="DefaultParagraphFont"/>
    <w:link w:val="Caption"/>
    <w:uiPriority w:val="35"/>
    <w:locked/>
    <w:rsid w:val="00D9470F"/>
    <w:rPr>
      <w:b/>
      <w:i/>
      <w:iCs/>
      <w:color w:val="44546A" w:themeColor="text2"/>
      <w:szCs w:val="18"/>
    </w:rPr>
  </w:style>
  <w:style w:type="paragraph" w:customStyle="1" w:styleId="source">
    <w:name w:val="source"/>
    <w:basedOn w:val="Normal"/>
    <w:qFormat/>
    <w:rsid w:val="001A0850"/>
    <w:pPr>
      <w:spacing w:after="0" w:line="240" w:lineRule="auto"/>
      <w:contextualSpacing/>
      <w:jc w:val="center"/>
    </w:pPr>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264">
      <w:bodyDiv w:val="1"/>
      <w:marLeft w:val="0"/>
      <w:marRight w:val="0"/>
      <w:marTop w:val="0"/>
      <w:marBottom w:val="0"/>
      <w:divBdr>
        <w:top w:val="none" w:sz="0" w:space="0" w:color="auto"/>
        <w:left w:val="none" w:sz="0" w:space="0" w:color="auto"/>
        <w:bottom w:val="none" w:sz="0" w:space="0" w:color="auto"/>
        <w:right w:val="none" w:sz="0" w:space="0" w:color="auto"/>
      </w:divBdr>
    </w:div>
    <w:div w:id="158548465">
      <w:bodyDiv w:val="1"/>
      <w:marLeft w:val="0"/>
      <w:marRight w:val="0"/>
      <w:marTop w:val="0"/>
      <w:marBottom w:val="0"/>
      <w:divBdr>
        <w:top w:val="none" w:sz="0" w:space="0" w:color="auto"/>
        <w:left w:val="none" w:sz="0" w:space="0" w:color="auto"/>
        <w:bottom w:val="none" w:sz="0" w:space="0" w:color="auto"/>
        <w:right w:val="none" w:sz="0" w:space="0" w:color="auto"/>
      </w:divBdr>
    </w:div>
    <w:div w:id="411197192">
      <w:bodyDiv w:val="1"/>
      <w:marLeft w:val="0"/>
      <w:marRight w:val="0"/>
      <w:marTop w:val="0"/>
      <w:marBottom w:val="0"/>
      <w:divBdr>
        <w:top w:val="none" w:sz="0" w:space="0" w:color="auto"/>
        <w:left w:val="none" w:sz="0" w:space="0" w:color="auto"/>
        <w:bottom w:val="none" w:sz="0" w:space="0" w:color="auto"/>
        <w:right w:val="none" w:sz="0" w:space="0" w:color="auto"/>
      </w:divBdr>
    </w:div>
    <w:div w:id="466582720">
      <w:bodyDiv w:val="1"/>
      <w:marLeft w:val="0"/>
      <w:marRight w:val="0"/>
      <w:marTop w:val="0"/>
      <w:marBottom w:val="0"/>
      <w:divBdr>
        <w:top w:val="none" w:sz="0" w:space="0" w:color="auto"/>
        <w:left w:val="none" w:sz="0" w:space="0" w:color="auto"/>
        <w:bottom w:val="none" w:sz="0" w:space="0" w:color="auto"/>
        <w:right w:val="none" w:sz="0" w:space="0" w:color="auto"/>
      </w:divBdr>
    </w:div>
    <w:div w:id="474568987">
      <w:bodyDiv w:val="1"/>
      <w:marLeft w:val="0"/>
      <w:marRight w:val="0"/>
      <w:marTop w:val="0"/>
      <w:marBottom w:val="0"/>
      <w:divBdr>
        <w:top w:val="none" w:sz="0" w:space="0" w:color="auto"/>
        <w:left w:val="none" w:sz="0" w:space="0" w:color="auto"/>
        <w:bottom w:val="none" w:sz="0" w:space="0" w:color="auto"/>
        <w:right w:val="none" w:sz="0" w:space="0" w:color="auto"/>
      </w:divBdr>
    </w:div>
    <w:div w:id="779185378">
      <w:bodyDiv w:val="1"/>
      <w:marLeft w:val="0"/>
      <w:marRight w:val="0"/>
      <w:marTop w:val="0"/>
      <w:marBottom w:val="0"/>
      <w:divBdr>
        <w:top w:val="none" w:sz="0" w:space="0" w:color="auto"/>
        <w:left w:val="none" w:sz="0" w:space="0" w:color="auto"/>
        <w:bottom w:val="none" w:sz="0" w:space="0" w:color="auto"/>
        <w:right w:val="none" w:sz="0" w:space="0" w:color="auto"/>
      </w:divBdr>
    </w:div>
    <w:div w:id="795215865">
      <w:bodyDiv w:val="1"/>
      <w:marLeft w:val="0"/>
      <w:marRight w:val="0"/>
      <w:marTop w:val="0"/>
      <w:marBottom w:val="0"/>
      <w:divBdr>
        <w:top w:val="none" w:sz="0" w:space="0" w:color="auto"/>
        <w:left w:val="none" w:sz="0" w:space="0" w:color="auto"/>
        <w:bottom w:val="none" w:sz="0" w:space="0" w:color="auto"/>
        <w:right w:val="none" w:sz="0" w:space="0" w:color="auto"/>
      </w:divBdr>
      <w:divsChild>
        <w:div w:id="2136219155">
          <w:marLeft w:val="446"/>
          <w:marRight w:val="0"/>
          <w:marTop w:val="0"/>
          <w:marBottom w:val="0"/>
          <w:divBdr>
            <w:top w:val="none" w:sz="0" w:space="0" w:color="auto"/>
            <w:left w:val="none" w:sz="0" w:space="0" w:color="auto"/>
            <w:bottom w:val="none" w:sz="0" w:space="0" w:color="auto"/>
            <w:right w:val="none" w:sz="0" w:space="0" w:color="auto"/>
          </w:divBdr>
        </w:div>
        <w:div w:id="843125419">
          <w:marLeft w:val="446"/>
          <w:marRight w:val="0"/>
          <w:marTop w:val="0"/>
          <w:marBottom w:val="0"/>
          <w:divBdr>
            <w:top w:val="none" w:sz="0" w:space="0" w:color="auto"/>
            <w:left w:val="none" w:sz="0" w:space="0" w:color="auto"/>
            <w:bottom w:val="none" w:sz="0" w:space="0" w:color="auto"/>
            <w:right w:val="none" w:sz="0" w:space="0" w:color="auto"/>
          </w:divBdr>
        </w:div>
      </w:divsChild>
    </w:div>
    <w:div w:id="822236817">
      <w:bodyDiv w:val="1"/>
      <w:marLeft w:val="0"/>
      <w:marRight w:val="0"/>
      <w:marTop w:val="0"/>
      <w:marBottom w:val="0"/>
      <w:divBdr>
        <w:top w:val="none" w:sz="0" w:space="0" w:color="auto"/>
        <w:left w:val="none" w:sz="0" w:space="0" w:color="auto"/>
        <w:bottom w:val="none" w:sz="0" w:space="0" w:color="auto"/>
        <w:right w:val="none" w:sz="0" w:space="0" w:color="auto"/>
      </w:divBdr>
    </w:div>
    <w:div w:id="896668914">
      <w:bodyDiv w:val="1"/>
      <w:marLeft w:val="0"/>
      <w:marRight w:val="0"/>
      <w:marTop w:val="0"/>
      <w:marBottom w:val="0"/>
      <w:divBdr>
        <w:top w:val="none" w:sz="0" w:space="0" w:color="auto"/>
        <w:left w:val="none" w:sz="0" w:space="0" w:color="auto"/>
        <w:bottom w:val="none" w:sz="0" w:space="0" w:color="auto"/>
        <w:right w:val="none" w:sz="0" w:space="0" w:color="auto"/>
      </w:divBdr>
    </w:div>
    <w:div w:id="946933029">
      <w:bodyDiv w:val="1"/>
      <w:marLeft w:val="0"/>
      <w:marRight w:val="0"/>
      <w:marTop w:val="0"/>
      <w:marBottom w:val="0"/>
      <w:divBdr>
        <w:top w:val="none" w:sz="0" w:space="0" w:color="auto"/>
        <w:left w:val="none" w:sz="0" w:space="0" w:color="auto"/>
        <w:bottom w:val="none" w:sz="0" w:space="0" w:color="auto"/>
        <w:right w:val="none" w:sz="0" w:space="0" w:color="auto"/>
      </w:divBdr>
    </w:div>
    <w:div w:id="992101198">
      <w:bodyDiv w:val="1"/>
      <w:marLeft w:val="0"/>
      <w:marRight w:val="0"/>
      <w:marTop w:val="0"/>
      <w:marBottom w:val="0"/>
      <w:divBdr>
        <w:top w:val="none" w:sz="0" w:space="0" w:color="auto"/>
        <w:left w:val="none" w:sz="0" w:space="0" w:color="auto"/>
        <w:bottom w:val="none" w:sz="0" w:space="0" w:color="auto"/>
        <w:right w:val="none" w:sz="0" w:space="0" w:color="auto"/>
      </w:divBdr>
    </w:div>
    <w:div w:id="1039667021">
      <w:bodyDiv w:val="1"/>
      <w:marLeft w:val="0"/>
      <w:marRight w:val="0"/>
      <w:marTop w:val="0"/>
      <w:marBottom w:val="0"/>
      <w:divBdr>
        <w:top w:val="none" w:sz="0" w:space="0" w:color="auto"/>
        <w:left w:val="none" w:sz="0" w:space="0" w:color="auto"/>
        <w:bottom w:val="none" w:sz="0" w:space="0" w:color="auto"/>
        <w:right w:val="none" w:sz="0" w:space="0" w:color="auto"/>
      </w:divBdr>
      <w:divsChild>
        <w:div w:id="975717656">
          <w:marLeft w:val="360"/>
          <w:marRight w:val="0"/>
          <w:marTop w:val="200"/>
          <w:marBottom w:val="0"/>
          <w:divBdr>
            <w:top w:val="none" w:sz="0" w:space="0" w:color="auto"/>
            <w:left w:val="none" w:sz="0" w:space="0" w:color="auto"/>
            <w:bottom w:val="none" w:sz="0" w:space="0" w:color="auto"/>
            <w:right w:val="none" w:sz="0" w:space="0" w:color="auto"/>
          </w:divBdr>
        </w:div>
        <w:div w:id="2018076976">
          <w:marLeft w:val="360"/>
          <w:marRight w:val="0"/>
          <w:marTop w:val="200"/>
          <w:marBottom w:val="0"/>
          <w:divBdr>
            <w:top w:val="none" w:sz="0" w:space="0" w:color="auto"/>
            <w:left w:val="none" w:sz="0" w:space="0" w:color="auto"/>
            <w:bottom w:val="none" w:sz="0" w:space="0" w:color="auto"/>
            <w:right w:val="none" w:sz="0" w:space="0" w:color="auto"/>
          </w:divBdr>
        </w:div>
        <w:div w:id="12615643">
          <w:marLeft w:val="360"/>
          <w:marRight w:val="0"/>
          <w:marTop w:val="200"/>
          <w:marBottom w:val="0"/>
          <w:divBdr>
            <w:top w:val="none" w:sz="0" w:space="0" w:color="auto"/>
            <w:left w:val="none" w:sz="0" w:space="0" w:color="auto"/>
            <w:bottom w:val="none" w:sz="0" w:space="0" w:color="auto"/>
            <w:right w:val="none" w:sz="0" w:space="0" w:color="auto"/>
          </w:divBdr>
        </w:div>
        <w:div w:id="2074506122">
          <w:marLeft w:val="1080"/>
          <w:marRight w:val="0"/>
          <w:marTop w:val="100"/>
          <w:marBottom w:val="0"/>
          <w:divBdr>
            <w:top w:val="none" w:sz="0" w:space="0" w:color="auto"/>
            <w:left w:val="none" w:sz="0" w:space="0" w:color="auto"/>
            <w:bottom w:val="none" w:sz="0" w:space="0" w:color="auto"/>
            <w:right w:val="none" w:sz="0" w:space="0" w:color="auto"/>
          </w:divBdr>
        </w:div>
        <w:div w:id="655110144">
          <w:marLeft w:val="360"/>
          <w:marRight w:val="0"/>
          <w:marTop w:val="200"/>
          <w:marBottom w:val="0"/>
          <w:divBdr>
            <w:top w:val="none" w:sz="0" w:space="0" w:color="auto"/>
            <w:left w:val="none" w:sz="0" w:space="0" w:color="auto"/>
            <w:bottom w:val="none" w:sz="0" w:space="0" w:color="auto"/>
            <w:right w:val="none" w:sz="0" w:space="0" w:color="auto"/>
          </w:divBdr>
        </w:div>
        <w:div w:id="1196231769">
          <w:marLeft w:val="1080"/>
          <w:marRight w:val="0"/>
          <w:marTop w:val="100"/>
          <w:marBottom w:val="0"/>
          <w:divBdr>
            <w:top w:val="none" w:sz="0" w:space="0" w:color="auto"/>
            <w:left w:val="none" w:sz="0" w:space="0" w:color="auto"/>
            <w:bottom w:val="none" w:sz="0" w:space="0" w:color="auto"/>
            <w:right w:val="none" w:sz="0" w:space="0" w:color="auto"/>
          </w:divBdr>
        </w:div>
      </w:divsChild>
    </w:div>
    <w:div w:id="1117991788">
      <w:bodyDiv w:val="1"/>
      <w:marLeft w:val="0"/>
      <w:marRight w:val="0"/>
      <w:marTop w:val="0"/>
      <w:marBottom w:val="0"/>
      <w:divBdr>
        <w:top w:val="none" w:sz="0" w:space="0" w:color="auto"/>
        <w:left w:val="none" w:sz="0" w:space="0" w:color="auto"/>
        <w:bottom w:val="none" w:sz="0" w:space="0" w:color="auto"/>
        <w:right w:val="none" w:sz="0" w:space="0" w:color="auto"/>
      </w:divBdr>
    </w:div>
    <w:div w:id="1180434966">
      <w:bodyDiv w:val="1"/>
      <w:marLeft w:val="0"/>
      <w:marRight w:val="0"/>
      <w:marTop w:val="0"/>
      <w:marBottom w:val="0"/>
      <w:divBdr>
        <w:top w:val="none" w:sz="0" w:space="0" w:color="auto"/>
        <w:left w:val="none" w:sz="0" w:space="0" w:color="auto"/>
        <w:bottom w:val="none" w:sz="0" w:space="0" w:color="auto"/>
        <w:right w:val="none" w:sz="0" w:space="0" w:color="auto"/>
      </w:divBdr>
    </w:div>
    <w:div w:id="1271547578">
      <w:bodyDiv w:val="1"/>
      <w:marLeft w:val="0"/>
      <w:marRight w:val="0"/>
      <w:marTop w:val="0"/>
      <w:marBottom w:val="0"/>
      <w:divBdr>
        <w:top w:val="none" w:sz="0" w:space="0" w:color="auto"/>
        <w:left w:val="none" w:sz="0" w:space="0" w:color="auto"/>
        <w:bottom w:val="none" w:sz="0" w:space="0" w:color="auto"/>
        <w:right w:val="none" w:sz="0" w:space="0" w:color="auto"/>
      </w:divBdr>
    </w:div>
    <w:div w:id="1638100602">
      <w:bodyDiv w:val="1"/>
      <w:marLeft w:val="0"/>
      <w:marRight w:val="0"/>
      <w:marTop w:val="0"/>
      <w:marBottom w:val="0"/>
      <w:divBdr>
        <w:top w:val="none" w:sz="0" w:space="0" w:color="auto"/>
        <w:left w:val="none" w:sz="0" w:space="0" w:color="auto"/>
        <w:bottom w:val="none" w:sz="0" w:space="0" w:color="auto"/>
        <w:right w:val="none" w:sz="0" w:space="0" w:color="auto"/>
      </w:divBdr>
    </w:div>
    <w:div w:id="1730298197">
      <w:bodyDiv w:val="1"/>
      <w:marLeft w:val="0"/>
      <w:marRight w:val="0"/>
      <w:marTop w:val="0"/>
      <w:marBottom w:val="0"/>
      <w:divBdr>
        <w:top w:val="none" w:sz="0" w:space="0" w:color="auto"/>
        <w:left w:val="none" w:sz="0" w:space="0" w:color="auto"/>
        <w:bottom w:val="none" w:sz="0" w:space="0" w:color="auto"/>
        <w:right w:val="none" w:sz="0" w:space="0" w:color="auto"/>
      </w:divBdr>
    </w:div>
    <w:div w:id="1852183046">
      <w:bodyDiv w:val="1"/>
      <w:marLeft w:val="0"/>
      <w:marRight w:val="0"/>
      <w:marTop w:val="0"/>
      <w:marBottom w:val="0"/>
      <w:divBdr>
        <w:top w:val="none" w:sz="0" w:space="0" w:color="auto"/>
        <w:left w:val="none" w:sz="0" w:space="0" w:color="auto"/>
        <w:bottom w:val="none" w:sz="0" w:space="0" w:color="auto"/>
        <w:right w:val="none" w:sz="0" w:space="0" w:color="auto"/>
      </w:divBdr>
    </w:div>
    <w:div w:id="2062709095">
      <w:bodyDiv w:val="1"/>
      <w:marLeft w:val="0"/>
      <w:marRight w:val="0"/>
      <w:marTop w:val="0"/>
      <w:marBottom w:val="0"/>
      <w:divBdr>
        <w:top w:val="none" w:sz="0" w:space="0" w:color="auto"/>
        <w:left w:val="none" w:sz="0" w:space="0" w:color="auto"/>
        <w:bottom w:val="none" w:sz="0" w:space="0" w:color="auto"/>
        <w:right w:val="none" w:sz="0" w:space="0" w:color="auto"/>
      </w:divBdr>
    </w:div>
    <w:div w:id="21415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cid:image001.png@01D2DC5F.224867A0" TargetMode="Externa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5.statcan.gc.ca/olc-cel/olc.action?lang=en&amp;ObjId=89M0014X&amp;ObjType=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Kacego9\Desktop\PISA%202015\REGIONAL%20REPORT\Regional%20reportJan11\Graph2.Difference%20in%20performance%20top%20and%20bottom%20socioeconomic%20quintile_EC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b413864\Box%20Sync\RO%20Infrastructure%20RAS%20-%20Data%20Team\Final%20Strategy\Data\Data%20Ready%20to%20use\Skills\Copy%20of%20Vet_Response%20Rates_M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413864\AppData\Local\Microsoft\Windows\INetCache\Content.Outlook\T3QV0NAJ\170601_skills_survey.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41638862938742"/>
          <c:y val="2.9356548211903109E-2"/>
          <c:w val="0.88958370718743807"/>
          <c:h val="0.64008374597505213"/>
        </c:manualLayout>
      </c:layout>
      <c:lineChart>
        <c:grouping val="standard"/>
        <c:varyColors val="0"/>
        <c:ser>
          <c:idx val="2"/>
          <c:order val="0"/>
          <c:tx>
            <c:strRef>
              <c:f>Trend_graphs!$I$1</c:f>
              <c:strCache>
                <c:ptCount val="1"/>
                <c:pt idx="0">
                  <c:v>Math</c:v>
                </c:pt>
              </c:strCache>
            </c:strRef>
          </c:tx>
          <c:spPr>
            <a:ln>
              <a:solidFill>
                <a:srgbClr val="41A29E"/>
              </a:solidFill>
            </a:ln>
          </c:spPr>
          <c:marker>
            <c:symbol val="diamond"/>
            <c:size val="7"/>
            <c:spPr>
              <a:solidFill>
                <a:srgbClr val="41A29E"/>
              </a:solidFill>
              <a:ln>
                <a:solidFill>
                  <a:srgbClr val="41A29E"/>
                </a:solidFill>
              </a:ln>
            </c:spPr>
          </c:marker>
          <c:dPt>
            <c:idx val="1"/>
            <c:marker>
              <c:symbol val="none"/>
            </c:marker>
            <c:bubble3D val="0"/>
            <c:spPr>
              <a:ln>
                <a:solidFill>
                  <a:srgbClr val="41A29E"/>
                </a:solidFill>
                <a:prstDash val="sysDash"/>
              </a:ln>
            </c:spPr>
            <c:extLst>
              <c:ext xmlns:c16="http://schemas.microsoft.com/office/drawing/2014/chart" uri="{C3380CC4-5D6E-409C-BE32-E72D297353CC}">
                <c16:uniqueId val="{00000001-41F4-4943-8972-96114874FB1C}"/>
              </c:ext>
            </c:extLst>
          </c:dPt>
          <c:dPt>
            <c:idx val="2"/>
            <c:bubble3D val="0"/>
            <c:spPr>
              <a:ln>
                <a:solidFill>
                  <a:srgbClr val="41A29E"/>
                </a:solidFill>
                <a:prstDash val="sysDash"/>
              </a:ln>
            </c:spPr>
            <c:extLst>
              <c:ext xmlns:c16="http://schemas.microsoft.com/office/drawing/2014/chart" uri="{C3380CC4-5D6E-409C-BE32-E72D297353CC}">
                <c16:uniqueId val="{00000003-41F4-4943-8972-96114874FB1C}"/>
              </c:ext>
            </c:extLst>
          </c:dPt>
          <c:dLbls>
            <c:dLbl>
              <c:idx val="0"/>
              <c:delete val="1"/>
              <c:extLst>
                <c:ext xmlns:c15="http://schemas.microsoft.com/office/drawing/2012/chart" uri="{CE6537A1-D6FC-4f65-9D91-7224C49458BB}"/>
                <c:ext xmlns:c16="http://schemas.microsoft.com/office/drawing/2014/chart" uri="{C3380CC4-5D6E-409C-BE32-E72D297353CC}">
                  <c16:uniqueId val="{00000004-41F4-4943-8972-96114874FB1C}"/>
                </c:ext>
              </c:extLst>
            </c:dLbl>
            <c:dLbl>
              <c:idx val="1"/>
              <c:delete val="1"/>
              <c:extLst>
                <c:ext xmlns:c15="http://schemas.microsoft.com/office/drawing/2012/chart" uri="{CE6537A1-D6FC-4f65-9D91-7224C49458BB}"/>
                <c:ext xmlns:c16="http://schemas.microsoft.com/office/drawing/2014/chart" uri="{C3380CC4-5D6E-409C-BE32-E72D297353CC}">
                  <c16:uniqueId val="{00000001-41F4-4943-8972-96114874FB1C}"/>
                </c:ext>
              </c:extLst>
            </c:dLbl>
            <c:dLbl>
              <c:idx val="2"/>
              <c:delete val="1"/>
              <c:extLst>
                <c:ext xmlns:c15="http://schemas.microsoft.com/office/drawing/2012/chart" uri="{CE6537A1-D6FC-4f65-9D91-7224C49458BB}"/>
                <c:ext xmlns:c16="http://schemas.microsoft.com/office/drawing/2014/chart" uri="{C3380CC4-5D6E-409C-BE32-E72D297353CC}">
                  <c16:uniqueId val="{00000003-41F4-4943-8972-96114874FB1C}"/>
                </c:ext>
              </c:extLst>
            </c:dLbl>
            <c:dLbl>
              <c:idx val="3"/>
              <c:delete val="1"/>
              <c:extLst>
                <c:ext xmlns:c15="http://schemas.microsoft.com/office/drawing/2012/chart" uri="{CE6537A1-D6FC-4f65-9D91-7224C49458BB}"/>
                <c:ext xmlns:c16="http://schemas.microsoft.com/office/drawing/2014/chart" uri="{C3380CC4-5D6E-409C-BE32-E72D297353CC}">
                  <c16:uniqueId val="{00000005-41F4-4943-8972-96114874FB1C}"/>
                </c:ext>
              </c:extLst>
            </c:dLbl>
            <c:dLbl>
              <c:idx val="4"/>
              <c:delete val="1"/>
              <c:extLst>
                <c:ext xmlns:c15="http://schemas.microsoft.com/office/drawing/2012/chart" uri="{CE6537A1-D6FC-4f65-9D91-7224C49458BB}"/>
                <c:ext xmlns:c16="http://schemas.microsoft.com/office/drawing/2014/chart" uri="{C3380CC4-5D6E-409C-BE32-E72D297353CC}">
                  <c16:uniqueId val="{00000006-41F4-4943-8972-96114874FB1C}"/>
                </c:ext>
              </c:extLst>
            </c:dLbl>
            <c:dLbl>
              <c:idx val="5"/>
              <c:layout>
                <c:manualLayout>
                  <c:x val="-1.3636700603457242E-2"/>
                  <c:y val="-1.495578112976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F4-4943-8972-96114874FB1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Trend_graphs!$B$2:$G$2</c:f>
              <c:strCache>
                <c:ptCount val="6"/>
                <c:pt idx="0">
                  <c:v>2000</c:v>
                </c:pt>
                <c:pt idx="1">
                  <c:v>2003</c:v>
                </c:pt>
                <c:pt idx="2">
                  <c:v>2006</c:v>
                </c:pt>
                <c:pt idx="3">
                  <c:v>2009</c:v>
                </c:pt>
                <c:pt idx="4">
                  <c:v>2012</c:v>
                </c:pt>
                <c:pt idx="5">
                  <c:v>2015</c:v>
                </c:pt>
              </c:strCache>
            </c:strRef>
          </c:cat>
          <c:val>
            <c:numRef>
              <c:f>Trend_graphs!$J$4:$O$4</c:f>
              <c:numCache>
                <c:formatCode>0</c:formatCode>
                <c:ptCount val="6"/>
                <c:pt idx="0">
                  <c:v>425.52582000000001</c:v>
                </c:pt>
                <c:pt idx="1">
                  <c:v>420.16088541217425</c:v>
                </c:pt>
                <c:pt idx="2">
                  <c:v>414.79595082434878</c:v>
                </c:pt>
                <c:pt idx="3">
                  <c:v>427</c:v>
                </c:pt>
                <c:pt idx="4">
                  <c:v>445</c:v>
                </c:pt>
                <c:pt idx="5">
                  <c:v>444</c:v>
                </c:pt>
              </c:numCache>
            </c:numRef>
          </c:val>
          <c:smooth val="0"/>
          <c:extLst>
            <c:ext xmlns:c16="http://schemas.microsoft.com/office/drawing/2014/chart" uri="{C3380CC4-5D6E-409C-BE32-E72D297353CC}">
              <c16:uniqueId val="{00000008-41F4-4943-8972-96114874FB1C}"/>
            </c:ext>
          </c:extLst>
        </c:ser>
        <c:ser>
          <c:idx val="1"/>
          <c:order val="1"/>
          <c:tx>
            <c:strRef>
              <c:f>Trend_graphs!$A$1</c:f>
              <c:strCache>
                <c:ptCount val="1"/>
                <c:pt idx="0">
                  <c:v>Reading</c:v>
                </c:pt>
              </c:strCache>
            </c:strRef>
          </c:tx>
          <c:spPr>
            <a:ln>
              <a:solidFill>
                <a:srgbClr val="FFC000"/>
              </a:solidFill>
            </a:ln>
          </c:spPr>
          <c:marker>
            <c:symbol val="square"/>
            <c:size val="5"/>
            <c:spPr>
              <a:solidFill>
                <a:srgbClr val="EDAE3F"/>
              </a:solidFill>
              <a:ln>
                <a:solidFill>
                  <a:srgbClr val="EDAE3F"/>
                </a:solidFill>
              </a:ln>
            </c:spPr>
          </c:marker>
          <c:dPt>
            <c:idx val="1"/>
            <c:marker>
              <c:symbol val="none"/>
            </c:marker>
            <c:bubble3D val="0"/>
            <c:spPr>
              <a:ln>
                <a:solidFill>
                  <a:srgbClr val="FFC000"/>
                </a:solidFill>
                <a:prstDash val="sysDash"/>
              </a:ln>
            </c:spPr>
            <c:extLst>
              <c:ext xmlns:c16="http://schemas.microsoft.com/office/drawing/2014/chart" uri="{C3380CC4-5D6E-409C-BE32-E72D297353CC}">
                <c16:uniqueId val="{0000000A-41F4-4943-8972-96114874FB1C}"/>
              </c:ext>
            </c:extLst>
          </c:dPt>
          <c:dPt>
            <c:idx val="2"/>
            <c:bubble3D val="0"/>
            <c:spPr>
              <a:ln>
                <a:solidFill>
                  <a:srgbClr val="FFC000"/>
                </a:solidFill>
                <a:prstDash val="sysDash"/>
              </a:ln>
            </c:spPr>
            <c:extLst>
              <c:ext xmlns:c16="http://schemas.microsoft.com/office/drawing/2014/chart" uri="{C3380CC4-5D6E-409C-BE32-E72D297353CC}">
                <c16:uniqueId val="{0000000C-41F4-4943-8972-96114874FB1C}"/>
              </c:ext>
            </c:extLst>
          </c:dPt>
          <c:dLbls>
            <c:dLbl>
              <c:idx val="0"/>
              <c:delete val="1"/>
              <c:extLst>
                <c:ext xmlns:c15="http://schemas.microsoft.com/office/drawing/2012/chart" uri="{CE6537A1-D6FC-4f65-9D91-7224C49458BB}"/>
                <c:ext xmlns:c16="http://schemas.microsoft.com/office/drawing/2014/chart" uri="{C3380CC4-5D6E-409C-BE32-E72D297353CC}">
                  <c16:uniqueId val="{0000000D-41F4-4943-8972-96114874FB1C}"/>
                </c:ext>
              </c:extLst>
            </c:dLbl>
            <c:dLbl>
              <c:idx val="1"/>
              <c:delete val="1"/>
              <c:extLst>
                <c:ext xmlns:c15="http://schemas.microsoft.com/office/drawing/2012/chart" uri="{CE6537A1-D6FC-4f65-9D91-7224C49458BB}"/>
                <c:ext xmlns:c16="http://schemas.microsoft.com/office/drawing/2014/chart" uri="{C3380CC4-5D6E-409C-BE32-E72D297353CC}">
                  <c16:uniqueId val="{0000000A-41F4-4943-8972-96114874FB1C}"/>
                </c:ext>
              </c:extLst>
            </c:dLbl>
            <c:dLbl>
              <c:idx val="2"/>
              <c:delete val="1"/>
              <c:extLst>
                <c:ext xmlns:c15="http://schemas.microsoft.com/office/drawing/2012/chart" uri="{CE6537A1-D6FC-4f65-9D91-7224C49458BB}"/>
                <c:ext xmlns:c16="http://schemas.microsoft.com/office/drawing/2014/chart" uri="{C3380CC4-5D6E-409C-BE32-E72D297353CC}">
                  <c16:uniqueId val="{0000000C-41F4-4943-8972-96114874FB1C}"/>
                </c:ext>
              </c:extLst>
            </c:dLbl>
            <c:dLbl>
              <c:idx val="3"/>
              <c:delete val="1"/>
              <c:extLst>
                <c:ext xmlns:c15="http://schemas.microsoft.com/office/drawing/2012/chart" uri="{CE6537A1-D6FC-4f65-9D91-7224C49458BB}"/>
                <c:ext xmlns:c16="http://schemas.microsoft.com/office/drawing/2014/chart" uri="{C3380CC4-5D6E-409C-BE32-E72D297353CC}">
                  <c16:uniqueId val="{0000000E-41F4-4943-8972-96114874FB1C}"/>
                </c:ext>
              </c:extLst>
            </c:dLbl>
            <c:dLbl>
              <c:idx val="4"/>
              <c:delete val="1"/>
              <c:extLst>
                <c:ext xmlns:c15="http://schemas.microsoft.com/office/drawing/2012/chart" uri="{CE6537A1-D6FC-4f65-9D91-7224C49458BB}"/>
                <c:ext xmlns:c16="http://schemas.microsoft.com/office/drawing/2014/chart" uri="{C3380CC4-5D6E-409C-BE32-E72D297353CC}">
                  <c16:uniqueId val="{0000000F-41F4-4943-8972-96114874FB1C}"/>
                </c:ext>
              </c:extLst>
            </c:dLbl>
            <c:dLbl>
              <c:idx val="5"/>
              <c:layout>
                <c:manualLayout>
                  <c:x val="-1.5376030752061632E-2"/>
                  <c:y val="5.76061727223856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1F4-4943-8972-96114874FB1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Trend_graphs!$B$2:$G$2</c:f>
              <c:strCache>
                <c:ptCount val="6"/>
                <c:pt idx="0">
                  <c:v>2000</c:v>
                </c:pt>
                <c:pt idx="1">
                  <c:v>2003</c:v>
                </c:pt>
                <c:pt idx="2">
                  <c:v>2006</c:v>
                </c:pt>
                <c:pt idx="3">
                  <c:v>2009</c:v>
                </c:pt>
                <c:pt idx="4">
                  <c:v>2012</c:v>
                </c:pt>
                <c:pt idx="5">
                  <c:v>2015</c:v>
                </c:pt>
              </c:strCache>
            </c:strRef>
          </c:cat>
          <c:val>
            <c:numRef>
              <c:f>Trend_graphs!$B$4:$G$4</c:f>
              <c:numCache>
                <c:formatCode>0</c:formatCode>
                <c:ptCount val="6"/>
                <c:pt idx="0">
                  <c:v>428</c:v>
                </c:pt>
                <c:pt idx="1">
                  <c:v>412</c:v>
                </c:pt>
                <c:pt idx="2">
                  <c:v>396</c:v>
                </c:pt>
                <c:pt idx="3">
                  <c:v>424</c:v>
                </c:pt>
                <c:pt idx="4">
                  <c:v>438</c:v>
                </c:pt>
                <c:pt idx="5">
                  <c:v>434</c:v>
                </c:pt>
              </c:numCache>
            </c:numRef>
          </c:val>
          <c:smooth val="0"/>
          <c:extLst>
            <c:ext xmlns:c16="http://schemas.microsoft.com/office/drawing/2014/chart" uri="{C3380CC4-5D6E-409C-BE32-E72D297353CC}">
              <c16:uniqueId val="{00000011-41F4-4943-8972-96114874FB1C}"/>
            </c:ext>
          </c:extLst>
        </c:ser>
        <c:ser>
          <c:idx val="3"/>
          <c:order val="2"/>
          <c:tx>
            <c:strRef>
              <c:f>Trend_graphs!$Q$1</c:f>
              <c:strCache>
                <c:ptCount val="1"/>
                <c:pt idx="0">
                  <c:v>Science</c:v>
                </c:pt>
              </c:strCache>
            </c:strRef>
          </c:tx>
          <c:spPr>
            <a:ln>
              <a:solidFill>
                <a:schemeClr val="tx1">
                  <a:lumMod val="95000"/>
                  <a:lumOff val="5000"/>
                </a:schemeClr>
              </a:solidFill>
            </a:ln>
          </c:spPr>
          <c:marker>
            <c:symbol val="diamond"/>
            <c:size val="5"/>
            <c:spPr>
              <a:solidFill>
                <a:schemeClr val="bg2">
                  <a:lumMod val="10000"/>
                </a:schemeClr>
              </a:solidFill>
              <a:ln>
                <a:solidFill>
                  <a:schemeClr val="tx1">
                    <a:lumMod val="95000"/>
                    <a:lumOff val="5000"/>
                  </a:schemeClr>
                </a:solidFill>
              </a:ln>
            </c:spPr>
          </c:marker>
          <c:dPt>
            <c:idx val="1"/>
            <c:marker>
              <c:symbol val="none"/>
            </c:marker>
            <c:bubble3D val="0"/>
            <c:spPr>
              <a:ln>
                <a:solidFill>
                  <a:schemeClr val="tx1">
                    <a:lumMod val="95000"/>
                    <a:lumOff val="5000"/>
                  </a:schemeClr>
                </a:solidFill>
                <a:prstDash val="sysDash"/>
              </a:ln>
            </c:spPr>
            <c:extLst>
              <c:ext xmlns:c16="http://schemas.microsoft.com/office/drawing/2014/chart" uri="{C3380CC4-5D6E-409C-BE32-E72D297353CC}">
                <c16:uniqueId val="{00000013-41F4-4943-8972-96114874FB1C}"/>
              </c:ext>
            </c:extLst>
          </c:dPt>
          <c:dPt>
            <c:idx val="2"/>
            <c:bubble3D val="0"/>
            <c:spPr>
              <a:ln>
                <a:solidFill>
                  <a:schemeClr val="tx1">
                    <a:lumMod val="95000"/>
                    <a:lumOff val="5000"/>
                  </a:schemeClr>
                </a:solidFill>
                <a:prstDash val="sysDash"/>
              </a:ln>
            </c:spPr>
            <c:extLst>
              <c:ext xmlns:c16="http://schemas.microsoft.com/office/drawing/2014/chart" uri="{C3380CC4-5D6E-409C-BE32-E72D297353CC}">
                <c16:uniqueId val="{00000015-41F4-4943-8972-96114874FB1C}"/>
              </c:ext>
            </c:extLst>
          </c:dPt>
          <c:dLbls>
            <c:dLbl>
              <c:idx val="0"/>
              <c:delete val="1"/>
              <c:extLst>
                <c:ext xmlns:c15="http://schemas.microsoft.com/office/drawing/2012/chart" uri="{CE6537A1-D6FC-4f65-9D91-7224C49458BB}"/>
                <c:ext xmlns:c16="http://schemas.microsoft.com/office/drawing/2014/chart" uri="{C3380CC4-5D6E-409C-BE32-E72D297353CC}">
                  <c16:uniqueId val="{00000016-41F4-4943-8972-96114874FB1C}"/>
                </c:ext>
              </c:extLst>
            </c:dLbl>
            <c:dLbl>
              <c:idx val="1"/>
              <c:delete val="1"/>
              <c:extLst>
                <c:ext xmlns:c15="http://schemas.microsoft.com/office/drawing/2012/chart" uri="{CE6537A1-D6FC-4f65-9D91-7224C49458BB}"/>
                <c:ext xmlns:c16="http://schemas.microsoft.com/office/drawing/2014/chart" uri="{C3380CC4-5D6E-409C-BE32-E72D297353CC}">
                  <c16:uniqueId val="{00000013-41F4-4943-8972-96114874FB1C}"/>
                </c:ext>
              </c:extLst>
            </c:dLbl>
            <c:dLbl>
              <c:idx val="2"/>
              <c:delete val="1"/>
              <c:extLst>
                <c:ext xmlns:c15="http://schemas.microsoft.com/office/drawing/2012/chart" uri="{CE6537A1-D6FC-4f65-9D91-7224C49458BB}"/>
                <c:ext xmlns:c16="http://schemas.microsoft.com/office/drawing/2014/chart" uri="{C3380CC4-5D6E-409C-BE32-E72D297353CC}">
                  <c16:uniqueId val="{00000015-41F4-4943-8972-96114874FB1C}"/>
                </c:ext>
              </c:extLst>
            </c:dLbl>
            <c:dLbl>
              <c:idx val="3"/>
              <c:delete val="1"/>
              <c:extLst>
                <c:ext xmlns:c15="http://schemas.microsoft.com/office/drawing/2012/chart" uri="{CE6537A1-D6FC-4f65-9D91-7224C49458BB}"/>
                <c:ext xmlns:c16="http://schemas.microsoft.com/office/drawing/2014/chart" uri="{C3380CC4-5D6E-409C-BE32-E72D297353CC}">
                  <c16:uniqueId val="{00000017-41F4-4943-8972-96114874FB1C}"/>
                </c:ext>
              </c:extLst>
            </c:dLbl>
            <c:dLbl>
              <c:idx val="4"/>
              <c:delete val="1"/>
              <c:extLst>
                <c:ext xmlns:c15="http://schemas.microsoft.com/office/drawing/2012/chart" uri="{CE6537A1-D6FC-4f65-9D91-7224C49458BB}"/>
                <c:ext xmlns:c16="http://schemas.microsoft.com/office/drawing/2014/chart" uri="{C3380CC4-5D6E-409C-BE32-E72D297353CC}">
                  <c16:uniqueId val="{00000018-41F4-4943-8972-96114874FB1C}"/>
                </c:ext>
              </c:extLst>
            </c:dLbl>
            <c:dLbl>
              <c:idx val="5"/>
              <c:layout>
                <c:manualLayout>
                  <c:x val="-1.7762346635804383E-2"/>
                  <c:y val="-6.08797394301618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1F4-4943-8972-96114874FB1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Trend_graphs!$B$2:$G$2</c:f>
              <c:strCache>
                <c:ptCount val="6"/>
                <c:pt idx="0">
                  <c:v>2000</c:v>
                </c:pt>
                <c:pt idx="1">
                  <c:v>2003</c:v>
                </c:pt>
                <c:pt idx="2">
                  <c:v>2006</c:v>
                </c:pt>
                <c:pt idx="3">
                  <c:v>2009</c:v>
                </c:pt>
                <c:pt idx="4">
                  <c:v>2012</c:v>
                </c:pt>
                <c:pt idx="5">
                  <c:v>2015</c:v>
                </c:pt>
              </c:strCache>
            </c:strRef>
          </c:cat>
          <c:val>
            <c:numRef>
              <c:f>Trend_graphs!$R$4:$W$4</c:f>
              <c:numCache>
                <c:formatCode>0</c:formatCode>
                <c:ptCount val="6"/>
                <c:pt idx="0">
                  <c:v>441.15911999999986</c:v>
                </c:pt>
                <c:pt idx="1">
                  <c:v>429.77274629198325</c:v>
                </c:pt>
                <c:pt idx="2">
                  <c:v>418.38637258396648</c:v>
                </c:pt>
                <c:pt idx="3">
                  <c:v>428</c:v>
                </c:pt>
                <c:pt idx="4">
                  <c:v>439</c:v>
                </c:pt>
                <c:pt idx="5">
                  <c:v>435</c:v>
                </c:pt>
              </c:numCache>
            </c:numRef>
          </c:val>
          <c:smooth val="0"/>
          <c:extLst>
            <c:ext xmlns:c16="http://schemas.microsoft.com/office/drawing/2014/chart" uri="{C3380CC4-5D6E-409C-BE32-E72D297353CC}">
              <c16:uniqueId val="{0000001A-41F4-4943-8972-96114874FB1C}"/>
            </c:ext>
          </c:extLst>
        </c:ser>
        <c:dLbls>
          <c:showLegendKey val="0"/>
          <c:showVal val="0"/>
          <c:showCatName val="0"/>
          <c:showSerName val="0"/>
          <c:showPercent val="0"/>
          <c:showBubbleSize val="0"/>
        </c:dLbls>
        <c:marker val="1"/>
        <c:smooth val="0"/>
        <c:axId val="186880384"/>
        <c:axId val="186881920"/>
      </c:lineChart>
      <c:catAx>
        <c:axId val="186880384"/>
        <c:scaling>
          <c:orientation val="minMax"/>
        </c:scaling>
        <c:delete val="0"/>
        <c:axPos val="b"/>
        <c:numFmt formatCode="General" sourceLinked="1"/>
        <c:majorTickMark val="none"/>
        <c:minorTickMark val="none"/>
        <c:tickLblPos val="nextTo"/>
        <c:crossAx val="186881920"/>
        <c:crosses val="autoZero"/>
        <c:auto val="1"/>
        <c:lblAlgn val="ctr"/>
        <c:lblOffset val="100"/>
        <c:noMultiLvlLbl val="0"/>
      </c:catAx>
      <c:valAx>
        <c:axId val="186881920"/>
        <c:scaling>
          <c:orientation val="minMax"/>
          <c:min val="380"/>
        </c:scaling>
        <c:delete val="0"/>
        <c:axPos val="l"/>
        <c:numFmt formatCode="0" sourceLinked="1"/>
        <c:majorTickMark val="none"/>
        <c:minorTickMark val="none"/>
        <c:tickLblPos val="nextTo"/>
        <c:spPr>
          <a:ln w="6350">
            <a:noFill/>
          </a:ln>
        </c:spPr>
        <c:crossAx val="186880384"/>
        <c:crosses val="autoZero"/>
        <c:crossBetween val="between"/>
        <c:majorUnit val="10"/>
      </c:valAx>
    </c:plotArea>
    <c:legend>
      <c:legendPos val="b"/>
      <c:overlay val="0"/>
    </c:legend>
    <c:plotVisOnly val="1"/>
    <c:dispBlanksAs val="gap"/>
    <c:showDLblsOverMax val="0"/>
  </c:chart>
  <c:spPr>
    <a:ln>
      <a:noFill/>
    </a:ln>
  </c:spPr>
  <c:txPr>
    <a:bodyPr/>
    <a:lstStyle/>
    <a:p>
      <a:pPr>
        <a:defRPr sz="800">
          <a:solidFill>
            <a:schemeClr val="bg1">
              <a:lumMod val="50000"/>
            </a:schemeClr>
          </a:solidFill>
          <a:latin typeface="+mn-lt"/>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034697874785702E-2"/>
          <c:y val="7.4809501271357479E-2"/>
          <c:w val="0.8974138337498232"/>
          <c:h val="0.63375930467707975"/>
        </c:manualLayout>
      </c:layout>
      <c:barChart>
        <c:barDir val="col"/>
        <c:grouping val="clustered"/>
        <c:varyColors val="0"/>
        <c:ser>
          <c:idx val="0"/>
          <c:order val="0"/>
          <c:tx>
            <c:strRef>
              <c:f>Graph!$B$4</c:f>
              <c:strCache>
                <c:ptCount val="1"/>
                <c:pt idx="0">
                  <c:v>MATH</c:v>
                </c:pt>
              </c:strCache>
            </c:strRef>
          </c:tx>
          <c:spPr>
            <a:solidFill>
              <a:srgbClr val="41A29E"/>
            </a:solidFill>
            <a:ln>
              <a:solidFill>
                <a:schemeClr val="tx1">
                  <a:lumMod val="95000"/>
                  <a:lumOff val="5000"/>
                </a:schemeClr>
              </a:solidFill>
            </a:ln>
            <a:effectLst/>
          </c:spPr>
          <c:invertIfNegative val="0"/>
          <c:dPt>
            <c:idx val="4"/>
            <c:invertIfNegative val="0"/>
            <c:bubble3D val="0"/>
            <c:spPr>
              <a:solidFill>
                <a:srgbClr val="FFC000"/>
              </a:solidFill>
              <a:ln>
                <a:solidFill>
                  <a:schemeClr val="tx1">
                    <a:lumMod val="95000"/>
                    <a:lumOff val="5000"/>
                  </a:schemeClr>
                </a:solidFill>
              </a:ln>
              <a:effectLst/>
            </c:spPr>
            <c:extLst>
              <c:ext xmlns:c16="http://schemas.microsoft.com/office/drawing/2014/chart" uri="{C3380CC4-5D6E-409C-BE32-E72D297353CC}">
                <c16:uniqueId val="{00000001-0C97-4ACA-A840-FF28948D480A}"/>
              </c:ext>
            </c:extLst>
          </c:dPt>
          <c:dPt>
            <c:idx val="5"/>
            <c:invertIfNegative val="0"/>
            <c:bubble3D val="0"/>
            <c:spPr>
              <a:solidFill>
                <a:schemeClr val="bg1">
                  <a:lumMod val="50000"/>
                </a:schemeClr>
              </a:solidFill>
              <a:ln>
                <a:solidFill>
                  <a:schemeClr val="tx1">
                    <a:lumMod val="95000"/>
                    <a:lumOff val="5000"/>
                  </a:schemeClr>
                </a:solidFill>
              </a:ln>
              <a:effectLst/>
            </c:spPr>
            <c:extLst>
              <c:ext xmlns:c16="http://schemas.microsoft.com/office/drawing/2014/chart" uri="{C3380CC4-5D6E-409C-BE32-E72D297353CC}">
                <c16:uniqueId val="{00000003-0C97-4ACA-A840-FF28948D480A}"/>
              </c:ext>
            </c:extLst>
          </c:dPt>
          <c:dPt>
            <c:idx val="7"/>
            <c:invertIfNegative val="0"/>
            <c:bubble3D val="0"/>
            <c:spPr>
              <a:solidFill>
                <a:schemeClr val="bg1">
                  <a:lumMod val="50000"/>
                </a:schemeClr>
              </a:solidFill>
              <a:ln>
                <a:solidFill>
                  <a:schemeClr val="tx1">
                    <a:lumMod val="95000"/>
                    <a:lumOff val="5000"/>
                  </a:schemeClr>
                </a:solidFill>
              </a:ln>
              <a:effectLst/>
            </c:spPr>
            <c:extLst>
              <c:ext xmlns:c16="http://schemas.microsoft.com/office/drawing/2014/chart" uri="{C3380CC4-5D6E-409C-BE32-E72D297353CC}">
                <c16:uniqueId val="{00000005-0C97-4ACA-A840-FF28948D480A}"/>
              </c:ext>
            </c:extLst>
          </c:dPt>
          <c:dPt>
            <c:idx val="10"/>
            <c:invertIfNegative val="0"/>
            <c:bubble3D val="0"/>
            <c:spPr>
              <a:solidFill>
                <a:schemeClr val="bg1">
                  <a:lumMod val="50000"/>
                </a:schemeClr>
              </a:solidFill>
              <a:ln>
                <a:solidFill>
                  <a:schemeClr val="tx1">
                    <a:lumMod val="95000"/>
                    <a:lumOff val="5000"/>
                  </a:schemeClr>
                </a:solidFill>
              </a:ln>
              <a:effectLst/>
            </c:spPr>
            <c:extLst>
              <c:ext xmlns:c16="http://schemas.microsoft.com/office/drawing/2014/chart" uri="{C3380CC4-5D6E-409C-BE32-E72D297353CC}">
                <c16:uniqueId val="{00000007-0C97-4ACA-A840-FF28948D480A}"/>
              </c:ext>
            </c:extLst>
          </c:dPt>
          <c:dLbls>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97-4ACA-A840-FF28948D480A}"/>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C97-4ACA-A840-FF28948D480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Geomanist Light" panose="02000503000000020004" pitchFamily="50"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Graph!$A$5:$A$26</c:f>
              <c:strCache>
                <c:ptCount val="22"/>
                <c:pt idx="0">
                  <c:v>Hungary</c:v>
                </c:pt>
                <c:pt idx="1">
                  <c:v>Czech Republic</c:v>
                </c:pt>
                <c:pt idx="2">
                  <c:v>Slovak Republic</c:v>
                </c:pt>
                <c:pt idx="3">
                  <c:v>Bulgaria</c:v>
                </c:pt>
                <c:pt idx="4">
                  <c:v>Romania</c:v>
                </c:pt>
                <c:pt idx="5">
                  <c:v>EU average</c:v>
                </c:pt>
                <c:pt idx="6">
                  <c:v>Georgia</c:v>
                </c:pt>
                <c:pt idx="7">
                  <c:v>OECD average</c:v>
                </c:pt>
                <c:pt idx="8">
                  <c:v>Moldova</c:v>
                </c:pt>
                <c:pt idx="9">
                  <c:v>Poland</c:v>
                </c:pt>
                <c:pt idx="10">
                  <c:v>ECA average</c:v>
                </c:pt>
                <c:pt idx="11">
                  <c:v>Croatia</c:v>
                </c:pt>
                <c:pt idx="12">
                  <c:v>Greece</c:v>
                </c:pt>
                <c:pt idx="13">
                  <c:v>Macedonia</c:v>
                </c:pt>
                <c:pt idx="14">
                  <c:v>Lithuania</c:v>
                </c:pt>
                <c:pt idx="15">
                  <c:v>Slovenia</c:v>
                </c:pt>
                <c:pt idx="16">
                  <c:v>Estonia</c:v>
                </c:pt>
                <c:pt idx="17">
                  <c:v>Turkey</c:v>
                </c:pt>
                <c:pt idx="18">
                  <c:v>Latvia</c:v>
                </c:pt>
                <c:pt idx="19">
                  <c:v>Montenegro</c:v>
                </c:pt>
                <c:pt idx="20">
                  <c:v>Kosovo</c:v>
                </c:pt>
                <c:pt idx="21">
                  <c:v>Russian Federation</c:v>
                </c:pt>
              </c:strCache>
            </c:strRef>
          </c:cat>
          <c:val>
            <c:numRef>
              <c:f>Graph!$B$5:$B$26</c:f>
              <c:numCache>
                <c:formatCode>0</c:formatCode>
                <c:ptCount val="22"/>
                <c:pt idx="0">
                  <c:v>125.30184936523439</c:v>
                </c:pt>
                <c:pt idx="1">
                  <c:v>118.55294799804686</c:v>
                </c:pt>
                <c:pt idx="2">
                  <c:v>107.7807922363281</c:v>
                </c:pt>
                <c:pt idx="3">
                  <c:v>107.28662109375</c:v>
                </c:pt>
                <c:pt idx="4">
                  <c:v>99.866455078125</c:v>
                </c:pt>
                <c:pt idx="5">
                  <c:v>94.511323151765069</c:v>
                </c:pt>
                <c:pt idx="6">
                  <c:v>94.226776123046818</c:v>
                </c:pt>
                <c:pt idx="7">
                  <c:v>91.417135184151803</c:v>
                </c:pt>
                <c:pt idx="8">
                  <c:v>86.376739501953068</c:v>
                </c:pt>
                <c:pt idx="9">
                  <c:v>86.31256103515625</c:v>
                </c:pt>
                <c:pt idx="10">
                  <c:v>84.309578343441558</c:v>
                </c:pt>
                <c:pt idx="11">
                  <c:v>83.554626464843807</c:v>
                </c:pt>
                <c:pt idx="12">
                  <c:v>82.68173217773429</c:v>
                </c:pt>
                <c:pt idx="13">
                  <c:v>81.639373779296847</c:v>
                </c:pt>
                <c:pt idx="14">
                  <c:v>81.418304443359375</c:v>
                </c:pt>
                <c:pt idx="15">
                  <c:v>79.361236572265611</c:v>
                </c:pt>
                <c:pt idx="16">
                  <c:v>70.135009765625</c:v>
                </c:pt>
                <c:pt idx="17">
                  <c:v>69.862792968749972</c:v>
                </c:pt>
                <c:pt idx="18">
                  <c:v>68.490814208984375</c:v>
                </c:pt>
                <c:pt idx="19">
                  <c:v>58.455627441406222</c:v>
                </c:pt>
                <c:pt idx="20">
                  <c:v>53.633819580078132</c:v>
                </c:pt>
                <c:pt idx="21">
                  <c:v>46.943908691406236</c:v>
                </c:pt>
              </c:numCache>
            </c:numRef>
          </c:val>
          <c:extLst>
            <c:ext xmlns:c16="http://schemas.microsoft.com/office/drawing/2014/chart" uri="{C3380CC4-5D6E-409C-BE32-E72D297353CC}">
              <c16:uniqueId val="{00000008-0C97-4ACA-A840-FF28948D480A}"/>
            </c:ext>
          </c:extLst>
        </c:ser>
        <c:dLbls>
          <c:showLegendKey val="0"/>
          <c:showVal val="0"/>
          <c:showCatName val="0"/>
          <c:showSerName val="0"/>
          <c:showPercent val="0"/>
          <c:showBubbleSize val="0"/>
        </c:dLbls>
        <c:gapWidth val="150"/>
        <c:axId val="186900480"/>
        <c:axId val="186902016"/>
      </c:barChart>
      <c:catAx>
        <c:axId val="18690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0"/>
          <a:lstStyle/>
          <a:p>
            <a:pPr>
              <a:defRPr sz="600" b="0" i="0" u="none" strike="noStrike" kern="1200" baseline="0">
                <a:solidFill>
                  <a:schemeClr val="tx1">
                    <a:lumMod val="95000"/>
                    <a:lumOff val="5000"/>
                  </a:schemeClr>
                </a:solidFill>
                <a:latin typeface="+mn-lt"/>
                <a:ea typeface="+mn-ea"/>
                <a:cs typeface="+mn-cs"/>
              </a:defRPr>
            </a:pPr>
            <a:endParaRPr lang="en-US"/>
          </a:p>
        </c:txPr>
        <c:crossAx val="186902016"/>
        <c:crosses val="autoZero"/>
        <c:auto val="1"/>
        <c:lblAlgn val="ctr"/>
        <c:lblOffset val="100"/>
        <c:noMultiLvlLbl val="0"/>
      </c:catAx>
      <c:valAx>
        <c:axId val="186902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86900480"/>
        <c:crosses val="autoZero"/>
        <c:crossBetween val="between"/>
        <c:majorUnit val="30"/>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Geomanist Light" panose="02000503000000020004" pitchFamily="50"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60985848579017"/>
          <c:y val="0.16744717875549214"/>
          <c:w val="0.85361242863929843"/>
          <c:h val="0.78604545727296371"/>
        </c:manualLayout>
      </c:layout>
      <c:scatterChart>
        <c:scatterStyle val="lineMarker"/>
        <c:varyColors val="0"/>
        <c:ser>
          <c:idx val="0"/>
          <c:order val="0"/>
          <c:tx>
            <c:strRef>
              <c:f>Sheet2!$F$4</c:f>
              <c:strCache>
                <c:ptCount val="1"/>
                <c:pt idx="0">
                  <c:v>Test Results Level 1</c:v>
                </c:pt>
              </c:strCache>
            </c:strRef>
          </c:tx>
          <c:spPr>
            <a:ln w="28575" cap="rnd">
              <a:noFill/>
              <a:round/>
            </a:ln>
            <a:effectLst/>
          </c:spPr>
          <c:marker>
            <c:symbol val="circle"/>
            <c:size val="5"/>
            <c:spPr>
              <a:solidFill>
                <a:schemeClr val="accent1"/>
              </a:solidFill>
              <a:ln w="9525">
                <a:solidFill>
                  <a:schemeClr val="accent1"/>
                </a:solidFill>
              </a:ln>
              <a:effectLst/>
            </c:spPr>
          </c:marker>
          <c:xVal>
            <c:numRef>
              <c:f>Sheet2!$E$5:$E$84</c:f>
              <c:numCache>
                <c:formatCode>General</c:formatCode>
                <c:ptCount val="80"/>
                <c:pt idx="0">
                  <c:v>11177900</c:v>
                </c:pt>
                <c:pt idx="1">
                  <c:v>11179302</c:v>
                </c:pt>
                <c:pt idx="2">
                  <c:v>11173873</c:v>
                </c:pt>
                <c:pt idx="3">
                  <c:v>11170902</c:v>
                </c:pt>
                <c:pt idx="4">
                  <c:v>11169441</c:v>
                </c:pt>
                <c:pt idx="5">
                  <c:v>11178792</c:v>
                </c:pt>
                <c:pt idx="6">
                  <c:v>11169420</c:v>
                </c:pt>
                <c:pt idx="7">
                  <c:v>11182040</c:v>
                </c:pt>
                <c:pt idx="8">
                  <c:v>11177345</c:v>
                </c:pt>
                <c:pt idx="9">
                  <c:v>11181402</c:v>
                </c:pt>
                <c:pt idx="10">
                  <c:v>11181400</c:v>
                </c:pt>
                <c:pt idx="11">
                  <c:v>11172360</c:v>
                </c:pt>
                <c:pt idx="12">
                  <c:v>11186535</c:v>
                </c:pt>
                <c:pt idx="13">
                  <c:v>11179177</c:v>
                </c:pt>
                <c:pt idx="14">
                  <c:v>11171791</c:v>
                </c:pt>
                <c:pt idx="15">
                  <c:v>11190367</c:v>
                </c:pt>
                <c:pt idx="16">
                  <c:v>11188774</c:v>
                </c:pt>
                <c:pt idx="17">
                  <c:v>11172638</c:v>
                </c:pt>
                <c:pt idx="18">
                  <c:v>11173183</c:v>
                </c:pt>
                <c:pt idx="19">
                  <c:v>11171590</c:v>
                </c:pt>
                <c:pt idx="20">
                  <c:v>11174371</c:v>
                </c:pt>
                <c:pt idx="21">
                  <c:v>11173646</c:v>
                </c:pt>
                <c:pt idx="22">
                  <c:v>11179991</c:v>
                </c:pt>
                <c:pt idx="23">
                  <c:v>11178849</c:v>
                </c:pt>
                <c:pt idx="24">
                  <c:v>11172299</c:v>
                </c:pt>
                <c:pt idx="25">
                  <c:v>11185711</c:v>
                </c:pt>
                <c:pt idx="26">
                  <c:v>11186411</c:v>
                </c:pt>
                <c:pt idx="27">
                  <c:v>11174285</c:v>
                </c:pt>
                <c:pt idx="28">
                  <c:v>11189684</c:v>
                </c:pt>
                <c:pt idx="29">
                  <c:v>11181403</c:v>
                </c:pt>
                <c:pt idx="30">
                  <c:v>11189624</c:v>
                </c:pt>
                <c:pt idx="31">
                  <c:v>11178314</c:v>
                </c:pt>
                <c:pt idx="32">
                  <c:v>11188175</c:v>
                </c:pt>
                <c:pt idx="33">
                  <c:v>11170505</c:v>
                </c:pt>
                <c:pt idx="34">
                  <c:v>11190398</c:v>
                </c:pt>
                <c:pt idx="35">
                  <c:v>11187446</c:v>
                </c:pt>
                <c:pt idx="36">
                  <c:v>11173303</c:v>
                </c:pt>
                <c:pt idx="37">
                  <c:v>11171731</c:v>
                </c:pt>
                <c:pt idx="38">
                  <c:v>11173851</c:v>
                </c:pt>
                <c:pt idx="39">
                  <c:v>11174348</c:v>
                </c:pt>
                <c:pt idx="40">
                  <c:v>11173784</c:v>
                </c:pt>
                <c:pt idx="41">
                  <c:v>11173781</c:v>
                </c:pt>
                <c:pt idx="42">
                  <c:v>11186561</c:v>
                </c:pt>
                <c:pt idx="43">
                  <c:v>11177669</c:v>
                </c:pt>
                <c:pt idx="44">
                  <c:v>11185515</c:v>
                </c:pt>
                <c:pt idx="45">
                  <c:v>11176316</c:v>
                </c:pt>
                <c:pt idx="46">
                  <c:v>11174149</c:v>
                </c:pt>
                <c:pt idx="47">
                  <c:v>11186551</c:v>
                </c:pt>
                <c:pt idx="48">
                  <c:v>11174890</c:v>
                </c:pt>
                <c:pt idx="49">
                  <c:v>11173878</c:v>
                </c:pt>
                <c:pt idx="50">
                  <c:v>11180923</c:v>
                </c:pt>
                <c:pt idx="51">
                  <c:v>11180922</c:v>
                </c:pt>
                <c:pt idx="52">
                  <c:v>11174282</c:v>
                </c:pt>
                <c:pt idx="53">
                  <c:v>11171739</c:v>
                </c:pt>
                <c:pt idx="54">
                  <c:v>11176792</c:v>
                </c:pt>
                <c:pt idx="55">
                  <c:v>11184579</c:v>
                </c:pt>
                <c:pt idx="56">
                  <c:v>11177599</c:v>
                </c:pt>
                <c:pt idx="57">
                  <c:v>11173724</c:v>
                </c:pt>
                <c:pt idx="58">
                  <c:v>11174131</c:v>
                </c:pt>
                <c:pt idx="59">
                  <c:v>11177724</c:v>
                </c:pt>
                <c:pt idx="60">
                  <c:v>11176229</c:v>
                </c:pt>
                <c:pt idx="61">
                  <c:v>11186525</c:v>
                </c:pt>
                <c:pt idx="62">
                  <c:v>11173831</c:v>
                </c:pt>
                <c:pt idx="63">
                  <c:v>11170562</c:v>
                </c:pt>
                <c:pt idx="64">
                  <c:v>11184539</c:v>
                </c:pt>
                <c:pt idx="65">
                  <c:v>11184414</c:v>
                </c:pt>
                <c:pt idx="66">
                  <c:v>11180270</c:v>
                </c:pt>
                <c:pt idx="67">
                  <c:v>11172872</c:v>
                </c:pt>
                <c:pt idx="68">
                  <c:v>11186481</c:v>
                </c:pt>
                <c:pt idx="69">
                  <c:v>11170291</c:v>
                </c:pt>
                <c:pt idx="70">
                  <c:v>11171398</c:v>
                </c:pt>
                <c:pt idx="71">
                  <c:v>11178527</c:v>
                </c:pt>
                <c:pt idx="72">
                  <c:v>11173879</c:v>
                </c:pt>
                <c:pt idx="73">
                  <c:v>11177790</c:v>
                </c:pt>
                <c:pt idx="74">
                  <c:v>11182388</c:v>
                </c:pt>
                <c:pt idx="75">
                  <c:v>11180293</c:v>
                </c:pt>
                <c:pt idx="76">
                  <c:v>11188544</c:v>
                </c:pt>
                <c:pt idx="77">
                  <c:v>11185482</c:v>
                </c:pt>
                <c:pt idx="78">
                  <c:v>11178323</c:v>
                </c:pt>
                <c:pt idx="79">
                  <c:v>11178662</c:v>
                </c:pt>
              </c:numCache>
            </c:numRef>
          </c:xVal>
          <c:yVal>
            <c:numRef>
              <c:f>Sheet2!$F$5:$F$84</c:f>
              <c:numCache>
                <c:formatCode>0.00</c:formatCode>
                <c:ptCount val="80"/>
                <c:pt idx="0">
                  <c:v>95.605000000000004</c:v>
                </c:pt>
                <c:pt idx="1">
                  <c:v>118.32</c:v>
                </c:pt>
                <c:pt idx="2">
                  <c:v>126.65166667</c:v>
                </c:pt>
                <c:pt idx="3">
                  <c:v>127.29375</c:v>
                </c:pt>
                <c:pt idx="4">
                  <c:v>134.01333332999999</c:v>
                </c:pt>
                <c:pt idx="5">
                  <c:v>135.79400000000001</c:v>
                </c:pt>
                <c:pt idx="6">
                  <c:v>135.94</c:v>
                </c:pt>
                <c:pt idx="7">
                  <c:v>137.30666667</c:v>
                </c:pt>
                <c:pt idx="8">
                  <c:v>140.33777778000001</c:v>
                </c:pt>
                <c:pt idx="9">
                  <c:v>141.61333332999999</c:v>
                </c:pt>
                <c:pt idx="10">
                  <c:v>141.61750000000001</c:v>
                </c:pt>
                <c:pt idx="11">
                  <c:v>142.7475</c:v>
                </c:pt>
                <c:pt idx="12">
                  <c:v>145.63999999999999</c:v>
                </c:pt>
                <c:pt idx="13">
                  <c:v>148.03111111000001</c:v>
                </c:pt>
                <c:pt idx="14">
                  <c:v>148.70375000000001</c:v>
                </c:pt>
                <c:pt idx="15">
                  <c:v>149.36125000000001</c:v>
                </c:pt>
                <c:pt idx="16">
                  <c:v>149.97749999999999</c:v>
                </c:pt>
                <c:pt idx="17">
                  <c:v>150.94999999999999</c:v>
                </c:pt>
                <c:pt idx="18">
                  <c:v>151.02799999999999</c:v>
                </c:pt>
                <c:pt idx="19">
                  <c:v>152.32666667000001</c:v>
                </c:pt>
                <c:pt idx="20">
                  <c:v>153.28625</c:v>
                </c:pt>
                <c:pt idx="21">
                  <c:v>153.71600000000001</c:v>
                </c:pt>
                <c:pt idx="22">
                  <c:v>154.58555555999999</c:v>
                </c:pt>
                <c:pt idx="23">
                  <c:v>154.60111111000001</c:v>
                </c:pt>
                <c:pt idx="24">
                  <c:v>154.79400000000001</c:v>
                </c:pt>
                <c:pt idx="25">
                  <c:v>154.86857143</c:v>
                </c:pt>
                <c:pt idx="26">
                  <c:v>156.03</c:v>
                </c:pt>
                <c:pt idx="27">
                  <c:v>157.7475</c:v>
                </c:pt>
                <c:pt idx="28">
                  <c:v>158.34125</c:v>
                </c:pt>
                <c:pt idx="29">
                  <c:v>163.17222222000001</c:v>
                </c:pt>
                <c:pt idx="30">
                  <c:v>163.19999999999999</c:v>
                </c:pt>
                <c:pt idx="31">
                  <c:v>164.97555556</c:v>
                </c:pt>
                <c:pt idx="32">
                  <c:v>166.30714286</c:v>
                </c:pt>
                <c:pt idx="33">
                  <c:v>166.50749999999999</c:v>
                </c:pt>
                <c:pt idx="34">
                  <c:v>166.51428571</c:v>
                </c:pt>
                <c:pt idx="35">
                  <c:v>167.29499999999999</c:v>
                </c:pt>
                <c:pt idx="36">
                  <c:v>167.40125</c:v>
                </c:pt>
                <c:pt idx="37">
                  <c:v>168.00555556</c:v>
                </c:pt>
                <c:pt idx="38">
                  <c:v>169.12375</c:v>
                </c:pt>
                <c:pt idx="39">
                  <c:v>169.78166666999999</c:v>
                </c:pt>
                <c:pt idx="40">
                  <c:v>170.17333332999999</c:v>
                </c:pt>
                <c:pt idx="41">
                  <c:v>170.23428570999999</c:v>
                </c:pt>
                <c:pt idx="42">
                  <c:v>170.56625</c:v>
                </c:pt>
                <c:pt idx="43">
                  <c:v>171.48166667000001</c:v>
                </c:pt>
                <c:pt idx="44">
                  <c:v>171.62142857000001</c:v>
                </c:pt>
                <c:pt idx="45">
                  <c:v>171.88249999999999</c:v>
                </c:pt>
                <c:pt idx="46">
                  <c:v>173.85857143000001</c:v>
                </c:pt>
                <c:pt idx="47">
                  <c:v>174.5575</c:v>
                </c:pt>
                <c:pt idx="48">
                  <c:v>176.83600000000001</c:v>
                </c:pt>
                <c:pt idx="49">
                  <c:v>177.26</c:v>
                </c:pt>
                <c:pt idx="50">
                  <c:v>177.40428571000001</c:v>
                </c:pt>
                <c:pt idx="51">
                  <c:v>177.63200000000001</c:v>
                </c:pt>
                <c:pt idx="52">
                  <c:v>178.185</c:v>
                </c:pt>
                <c:pt idx="53">
                  <c:v>178.82124999999999</c:v>
                </c:pt>
                <c:pt idx="54">
                  <c:v>178.95666667</c:v>
                </c:pt>
                <c:pt idx="55">
                  <c:v>182.25428571</c:v>
                </c:pt>
                <c:pt idx="56">
                  <c:v>182.40444443999999</c:v>
                </c:pt>
                <c:pt idx="57">
                  <c:v>183.39500000000001</c:v>
                </c:pt>
                <c:pt idx="58">
                  <c:v>183.49</c:v>
                </c:pt>
                <c:pt idx="59">
                  <c:v>184.62777778</c:v>
                </c:pt>
                <c:pt idx="60">
                  <c:v>186.66624999999999</c:v>
                </c:pt>
                <c:pt idx="61">
                  <c:v>186.74125000000001</c:v>
                </c:pt>
                <c:pt idx="62">
                  <c:v>187.63499999999999</c:v>
                </c:pt>
                <c:pt idx="63">
                  <c:v>189.2225</c:v>
                </c:pt>
                <c:pt idx="64">
                  <c:v>189.34375</c:v>
                </c:pt>
                <c:pt idx="65">
                  <c:v>190.42857143000001</c:v>
                </c:pt>
                <c:pt idx="66">
                  <c:v>191.08</c:v>
                </c:pt>
                <c:pt idx="67">
                  <c:v>194.62375</c:v>
                </c:pt>
                <c:pt idx="68">
                  <c:v>195.06375</c:v>
                </c:pt>
                <c:pt idx="69">
                  <c:v>196.655</c:v>
                </c:pt>
                <c:pt idx="70">
                  <c:v>196.78333333</c:v>
                </c:pt>
                <c:pt idx="71">
                  <c:v>196.97800000000001</c:v>
                </c:pt>
                <c:pt idx="72">
                  <c:v>200.964</c:v>
                </c:pt>
                <c:pt idx="73">
                  <c:v>204.19200000000001</c:v>
                </c:pt>
                <c:pt idx="74">
                  <c:v>206.0325</c:v>
                </c:pt>
                <c:pt idx="75">
                  <c:v>206.67166667000001</c:v>
                </c:pt>
                <c:pt idx="76">
                  <c:v>219.6</c:v>
                </c:pt>
                <c:pt idx="77">
                  <c:v>220.72333333</c:v>
                </c:pt>
              </c:numCache>
            </c:numRef>
          </c:yVal>
          <c:smooth val="0"/>
          <c:extLst>
            <c:ext xmlns:c16="http://schemas.microsoft.com/office/drawing/2014/chart" uri="{C3380CC4-5D6E-409C-BE32-E72D297353CC}">
              <c16:uniqueId val="{00000000-3D24-4406-870A-58F4FF9F1B49}"/>
            </c:ext>
          </c:extLst>
        </c:ser>
        <c:ser>
          <c:idx val="1"/>
          <c:order val="1"/>
          <c:tx>
            <c:strRef>
              <c:f>Sheet2!$G$4</c:f>
              <c:strCache>
                <c:ptCount val="1"/>
                <c:pt idx="0">
                  <c:v>Test Results Level 2</c:v>
                </c:pt>
              </c:strCache>
            </c:strRef>
          </c:tx>
          <c:spPr>
            <a:ln w="25400" cap="rnd">
              <a:noFill/>
              <a:round/>
            </a:ln>
            <a:effectLst/>
          </c:spPr>
          <c:marker>
            <c:symbol val="circle"/>
            <c:size val="5"/>
            <c:spPr>
              <a:solidFill>
                <a:schemeClr val="accent2"/>
              </a:solidFill>
              <a:ln w="9525">
                <a:solidFill>
                  <a:schemeClr val="accent2"/>
                </a:solidFill>
              </a:ln>
              <a:effectLst/>
            </c:spPr>
          </c:marker>
          <c:dLbls>
            <c:dLbl>
              <c:idx val="78"/>
              <c:layout>
                <c:manualLayout>
                  <c:x val="-0.1166666666666666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24-4406-870A-58F4FF9F1B49}"/>
                </c:ext>
              </c:extLst>
            </c:dLbl>
            <c:dLbl>
              <c:idx val="79"/>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24-4406-870A-58F4FF9F1B49}"/>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Sheet2!$E$5:$E$84</c:f>
              <c:numCache>
                <c:formatCode>General</c:formatCode>
                <c:ptCount val="80"/>
                <c:pt idx="0">
                  <c:v>11177900</c:v>
                </c:pt>
                <c:pt idx="1">
                  <c:v>11179302</c:v>
                </c:pt>
                <c:pt idx="2">
                  <c:v>11173873</c:v>
                </c:pt>
                <c:pt idx="3">
                  <c:v>11170902</c:v>
                </c:pt>
                <c:pt idx="4">
                  <c:v>11169441</c:v>
                </c:pt>
                <c:pt idx="5">
                  <c:v>11178792</c:v>
                </c:pt>
                <c:pt idx="6">
                  <c:v>11169420</c:v>
                </c:pt>
                <c:pt idx="7">
                  <c:v>11182040</c:v>
                </c:pt>
                <c:pt idx="8">
                  <c:v>11177345</c:v>
                </c:pt>
                <c:pt idx="9">
                  <c:v>11181402</c:v>
                </c:pt>
                <c:pt idx="10">
                  <c:v>11181400</c:v>
                </c:pt>
                <c:pt idx="11">
                  <c:v>11172360</c:v>
                </c:pt>
                <c:pt idx="12">
                  <c:v>11186535</c:v>
                </c:pt>
                <c:pt idx="13">
                  <c:v>11179177</c:v>
                </c:pt>
                <c:pt idx="14">
                  <c:v>11171791</c:v>
                </c:pt>
                <c:pt idx="15">
                  <c:v>11190367</c:v>
                </c:pt>
                <c:pt idx="16">
                  <c:v>11188774</c:v>
                </c:pt>
                <c:pt idx="17">
                  <c:v>11172638</c:v>
                </c:pt>
                <c:pt idx="18">
                  <c:v>11173183</c:v>
                </c:pt>
                <c:pt idx="19">
                  <c:v>11171590</c:v>
                </c:pt>
                <c:pt idx="20">
                  <c:v>11174371</c:v>
                </c:pt>
                <c:pt idx="21">
                  <c:v>11173646</c:v>
                </c:pt>
                <c:pt idx="22">
                  <c:v>11179991</c:v>
                </c:pt>
                <c:pt idx="23">
                  <c:v>11178849</c:v>
                </c:pt>
                <c:pt idx="24">
                  <c:v>11172299</c:v>
                </c:pt>
                <c:pt idx="25">
                  <c:v>11185711</c:v>
                </c:pt>
                <c:pt idx="26">
                  <c:v>11186411</c:v>
                </c:pt>
                <c:pt idx="27">
                  <c:v>11174285</c:v>
                </c:pt>
                <c:pt idx="28">
                  <c:v>11189684</c:v>
                </c:pt>
                <c:pt idx="29">
                  <c:v>11181403</c:v>
                </c:pt>
                <c:pt idx="30">
                  <c:v>11189624</c:v>
                </c:pt>
                <c:pt idx="31">
                  <c:v>11178314</c:v>
                </c:pt>
                <c:pt idx="32">
                  <c:v>11188175</c:v>
                </c:pt>
                <c:pt idx="33">
                  <c:v>11170505</c:v>
                </c:pt>
                <c:pt idx="34">
                  <c:v>11190398</c:v>
                </c:pt>
                <c:pt idx="35">
                  <c:v>11187446</c:v>
                </c:pt>
                <c:pt idx="36">
                  <c:v>11173303</c:v>
                </c:pt>
                <c:pt idx="37">
                  <c:v>11171731</c:v>
                </c:pt>
                <c:pt idx="38">
                  <c:v>11173851</c:v>
                </c:pt>
                <c:pt idx="39">
                  <c:v>11174348</c:v>
                </c:pt>
                <c:pt idx="40">
                  <c:v>11173784</c:v>
                </c:pt>
                <c:pt idx="41">
                  <c:v>11173781</c:v>
                </c:pt>
                <c:pt idx="42">
                  <c:v>11186561</c:v>
                </c:pt>
                <c:pt idx="43">
                  <c:v>11177669</c:v>
                </c:pt>
                <c:pt idx="44">
                  <c:v>11185515</c:v>
                </c:pt>
                <c:pt idx="45">
                  <c:v>11176316</c:v>
                </c:pt>
                <c:pt idx="46">
                  <c:v>11174149</c:v>
                </c:pt>
                <c:pt idx="47">
                  <c:v>11186551</c:v>
                </c:pt>
                <c:pt idx="48">
                  <c:v>11174890</c:v>
                </c:pt>
                <c:pt idx="49">
                  <c:v>11173878</c:v>
                </c:pt>
                <c:pt idx="50">
                  <c:v>11180923</c:v>
                </c:pt>
                <c:pt idx="51">
                  <c:v>11180922</c:v>
                </c:pt>
                <c:pt idx="52">
                  <c:v>11174282</c:v>
                </c:pt>
                <c:pt idx="53">
                  <c:v>11171739</c:v>
                </c:pt>
                <c:pt idx="54">
                  <c:v>11176792</c:v>
                </c:pt>
                <c:pt idx="55">
                  <c:v>11184579</c:v>
                </c:pt>
                <c:pt idx="56">
                  <c:v>11177599</c:v>
                </c:pt>
                <c:pt idx="57">
                  <c:v>11173724</c:v>
                </c:pt>
                <c:pt idx="58">
                  <c:v>11174131</c:v>
                </c:pt>
                <c:pt idx="59">
                  <c:v>11177724</c:v>
                </c:pt>
                <c:pt idx="60">
                  <c:v>11176229</c:v>
                </c:pt>
                <c:pt idx="61">
                  <c:v>11186525</c:v>
                </c:pt>
                <c:pt idx="62">
                  <c:v>11173831</c:v>
                </c:pt>
                <c:pt idx="63">
                  <c:v>11170562</c:v>
                </c:pt>
                <c:pt idx="64">
                  <c:v>11184539</c:v>
                </c:pt>
                <c:pt idx="65">
                  <c:v>11184414</c:v>
                </c:pt>
                <c:pt idx="66">
                  <c:v>11180270</c:v>
                </c:pt>
                <c:pt idx="67">
                  <c:v>11172872</c:v>
                </c:pt>
                <c:pt idx="68">
                  <c:v>11186481</c:v>
                </c:pt>
                <c:pt idx="69">
                  <c:v>11170291</c:v>
                </c:pt>
                <c:pt idx="70">
                  <c:v>11171398</c:v>
                </c:pt>
                <c:pt idx="71">
                  <c:v>11178527</c:v>
                </c:pt>
                <c:pt idx="72">
                  <c:v>11173879</c:v>
                </c:pt>
                <c:pt idx="73">
                  <c:v>11177790</c:v>
                </c:pt>
                <c:pt idx="74">
                  <c:v>11182388</c:v>
                </c:pt>
                <c:pt idx="75">
                  <c:v>11180293</c:v>
                </c:pt>
                <c:pt idx="76">
                  <c:v>11188544</c:v>
                </c:pt>
                <c:pt idx="77">
                  <c:v>11185482</c:v>
                </c:pt>
                <c:pt idx="78">
                  <c:v>11178323</c:v>
                </c:pt>
                <c:pt idx="79">
                  <c:v>11178662</c:v>
                </c:pt>
              </c:numCache>
            </c:numRef>
          </c:xVal>
          <c:yVal>
            <c:numRef>
              <c:f>Sheet2!$G$5:$G$84</c:f>
              <c:numCache>
                <c:formatCode>General</c:formatCode>
                <c:ptCount val="80"/>
                <c:pt idx="78" formatCode="0.00">
                  <c:v>226.42500000000001</c:v>
                </c:pt>
                <c:pt idx="79" formatCode="0.00">
                  <c:v>231.34285714000001</c:v>
                </c:pt>
              </c:numCache>
            </c:numRef>
          </c:yVal>
          <c:smooth val="0"/>
          <c:extLst>
            <c:ext xmlns:c16="http://schemas.microsoft.com/office/drawing/2014/chart" uri="{C3380CC4-5D6E-409C-BE32-E72D297353CC}">
              <c16:uniqueId val="{00000003-3D24-4406-870A-58F4FF9F1B49}"/>
            </c:ext>
          </c:extLst>
        </c:ser>
        <c:dLbls>
          <c:showLegendKey val="0"/>
          <c:showVal val="0"/>
          <c:showCatName val="0"/>
          <c:showSerName val="0"/>
          <c:showPercent val="0"/>
          <c:showBubbleSize val="0"/>
        </c:dLbls>
        <c:axId val="187637120"/>
        <c:axId val="187643008"/>
      </c:scatterChart>
      <c:valAx>
        <c:axId val="187637120"/>
        <c:scaling>
          <c:orientation val="minMax"/>
        </c:scaling>
        <c:delete val="1"/>
        <c:axPos val="b"/>
        <c:numFmt formatCode="General" sourceLinked="1"/>
        <c:majorTickMark val="none"/>
        <c:minorTickMark val="none"/>
        <c:tickLblPos val="nextTo"/>
        <c:crossAx val="187643008"/>
        <c:crosses val="autoZero"/>
        <c:crossBetween val="midCat"/>
      </c:valAx>
      <c:valAx>
        <c:axId val="187643008"/>
        <c:scaling>
          <c:orientation val="minMax"/>
          <c:max val="5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87637120"/>
        <c:crosses val="autoZero"/>
        <c:crossBetween val="midCat"/>
      </c:valAx>
      <c:spPr>
        <a:noFill/>
        <a:ln>
          <a:noFill/>
        </a:ln>
        <a:effectLst/>
      </c:spPr>
    </c:plotArea>
    <c:legend>
      <c:legendPos val="t"/>
      <c:layout>
        <c:manualLayout>
          <c:xMode val="edge"/>
          <c:yMode val="edge"/>
          <c:x val="0.22119185622630505"/>
          <c:y val="2.9725867599883344E-2"/>
          <c:w val="0.5402797462817148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'45'!$B$1</c:f>
              <c:strCache>
                <c:ptCount val="1"/>
                <c:pt idx="0">
                  <c:v>Strongly 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'45'!$A$2:$A$6</c:f>
              <c:strCache>
                <c:ptCount val="5"/>
                <c:pt idx="0">
                  <c:v>Equips people with the skills you ranked as important </c:v>
                </c:pt>
                <c:pt idx="1">
                  <c:v>Equips people with the up-to-date knowledge of methods, materials and technology</c:v>
                </c:pt>
                <c:pt idx="2">
                  <c:v>Meets the skill needs of your business adequately </c:v>
                </c:pt>
                <c:pt idx="3">
                  <c:v>Equips people with personal skills like time-management, reliability, ability to work with others, etc. </c:v>
                </c:pt>
                <c:pt idx="4">
                  <c:v>Equips people with practical experience that can be applied to their work </c:v>
                </c:pt>
              </c:strCache>
            </c:strRef>
          </c:cat>
          <c:val>
            <c:numRef>
              <c:f>'45'!$B$2:$B$6</c:f>
              <c:numCache>
                <c:formatCode>0</c:formatCode>
                <c:ptCount val="5"/>
                <c:pt idx="0">
                  <c:v>5.71</c:v>
                </c:pt>
                <c:pt idx="1">
                  <c:v>11.11</c:v>
                </c:pt>
                <c:pt idx="2">
                  <c:v>13.89</c:v>
                </c:pt>
                <c:pt idx="3">
                  <c:v>27.78</c:v>
                </c:pt>
                <c:pt idx="4">
                  <c:v>40</c:v>
                </c:pt>
              </c:numCache>
            </c:numRef>
          </c:val>
          <c:extLst>
            <c:ext xmlns:c16="http://schemas.microsoft.com/office/drawing/2014/chart" uri="{C3380CC4-5D6E-409C-BE32-E72D297353CC}">
              <c16:uniqueId val="{00000000-AC85-42D6-AFBF-BA8A6ECF0B28}"/>
            </c:ext>
          </c:extLst>
        </c:ser>
        <c:ser>
          <c:idx val="1"/>
          <c:order val="1"/>
          <c:tx>
            <c:strRef>
              <c:f>'45'!$C$1</c:f>
              <c:strCache>
                <c:ptCount val="1"/>
                <c:pt idx="0">
                  <c:v>Somewhat disagree</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'45'!$A$2:$A$6</c:f>
              <c:strCache>
                <c:ptCount val="5"/>
                <c:pt idx="0">
                  <c:v>Equips people with the skills you ranked as important </c:v>
                </c:pt>
                <c:pt idx="1">
                  <c:v>Equips people with the up-to-date knowledge of methods, materials and technology</c:v>
                </c:pt>
                <c:pt idx="2">
                  <c:v>Meets the skill needs of your business adequately </c:v>
                </c:pt>
                <c:pt idx="3">
                  <c:v>Equips people with personal skills like time-management, reliability, ability to work with others, etc. </c:v>
                </c:pt>
                <c:pt idx="4">
                  <c:v>Equips people with practical experience that can be applied to their work </c:v>
                </c:pt>
              </c:strCache>
            </c:strRef>
          </c:cat>
          <c:val>
            <c:numRef>
              <c:f>'45'!$C$2:$C$6</c:f>
              <c:numCache>
                <c:formatCode>0</c:formatCode>
                <c:ptCount val="5"/>
                <c:pt idx="0">
                  <c:v>42.86</c:v>
                </c:pt>
                <c:pt idx="1">
                  <c:v>33.33</c:v>
                </c:pt>
                <c:pt idx="2">
                  <c:v>30.56</c:v>
                </c:pt>
                <c:pt idx="3">
                  <c:v>33.33</c:v>
                </c:pt>
                <c:pt idx="4">
                  <c:v>26</c:v>
                </c:pt>
              </c:numCache>
            </c:numRef>
          </c:val>
          <c:extLst>
            <c:ext xmlns:c16="http://schemas.microsoft.com/office/drawing/2014/chart" uri="{C3380CC4-5D6E-409C-BE32-E72D297353CC}">
              <c16:uniqueId val="{00000001-AC85-42D6-AFBF-BA8A6ECF0B28}"/>
            </c:ext>
          </c:extLst>
        </c:ser>
        <c:ser>
          <c:idx val="2"/>
          <c:order val="2"/>
          <c:tx>
            <c:strRef>
              <c:f>'45'!$D$1</c:f>
              <c:strCache>
                <c:ptCount val="1"/>
                <c:pt idx="0">
                  <c:v>Neither agree or disagree</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'45'!$A$2:$A$6</c:f>
              <c:strCache>
                <c:ptCount val="5"/>
                <c:pt idx="0">
                  <c:v>Equips people with the skills you ranked as important </c:v>
                </c:pt>
                <c:pt idx="1">
                  <c:v>Equips people with the up-to-date knowledge of methods, materials and technology</c:v>
                </c:pt>
                <c:pt idx="2">
                  <c:v>Meets the skill needs of your business adequately </c:v>
                </c:pt>
                <c:pt idx="3">
                  <c:v>Equips people with personal skills like time-management, reliability, ability to work with others, etc. </c:v>
                </c:pt>
                <c:pt idx="4">
                  <c:v>Equips people with practical experience that can be applied to their work </c:v>
                </c:pt>
              </c:strCache>
            </c:strRef>
          </c:cat>
          <c:val>
            <c:numRef>
              <c:f>'45'!$D$2:$D$6</c:f>
              <c:numCache>
                <c:formatCode>0</c:formatCode>
                <c:ptCount val="5"/>
                <c:pt idx="0">
                  <c:v>22.86</c:v>
                </c:pt>
                <c:pt idx="1">
                  <c:v>25</c:v>
                </c:pt>
                <c:pt idx="2">
                  <c:v>19.440000000000001</c:v>
                </c:pt>
                <c:pt idx="3">
                  <c:v>16.670000000000002</c:v>
                </c:pt>
                <c:pt idx="4">
                  <c:v>11.43</c:v>
                </c:pt>
              </c:numCache>
            </c:numRef>
          </c:val>
          <c:extLst>
            <c:ext xmlns:c16="http://schemas.microsoft.com/office/drawing/2014/chart" uri="{C3380CC4-5D6E-409C-BE32-E72D297353CC}">
              <c16:uniqueId val="{00000002-AC85-42D6-AFBF-BA8A6ECF0B28}"/>
            </c:ext>
          </c:extLst>
        </c:ser>
        <c:ser>
          <c:idx val="3"/>
          <c:order val="3"/>
          <c:tx>
            <c:strRef>
              <c:f>'45'!$E$1</c:f>
              <c:strCache>
                <c:ptCount val="1"/>
                <c:pt idx="0">
                  <c:v>Somewhat agree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'45'!$A$2:$A$6</c:f>
              <c:strCache>
                <c:ptCount val="5"/>
                <c:pt idx="0">
                  <c:v>Equips people with the skills you ranked as important </c:v>
                </c:pt>
                <c:pt idx="1">
                  <c:v>Equips people with the up-to-date knowledge of methods, materials and technology</c:v>
                </c:pt>
                <c:pt idx="2">
                  <c:v>Meets the skill needs of your business adequately </c:v>
                </c:pt>
                <c:pt idx="3">
                  <c:v>Equips people with personal skills like time-management, reliability, ability to work with others, etc. </c:v>
                </c:pt>
                <c:pt idx="4">
                  <c:v>Equips people with practical experience that can be applied to their work </c:v>
                </c:pt>
              </c:strCache>
            </c:strRef>
          </c:cat>
          <c:val>
            <c:numRef>
              <c:f>'45'!$E$2:$E$6</c:f>
              <c:numCache>
                <c:formatCode>0</c:formatCode>
                <c:ptCount val="5"/>
                <c:pt idx="0">
                  <c:v>20</c:v>
                </c:pt>
                <c:pt idx="1">
                  <c:v>22.22</c:v>
                </c:pt>
                <c:pt idx="2">
                  <c:v>27.78</c:v>
                </c:pt>
                <c:pt idx="3">
                  <c:v>13.89</c:v>
                </c:pt>
                <c:pt idx="4">
                  <c:v>17.14</c:v>
                </c:pt>
              </c:numCache>
            </c:numRef>
          </c:val>
          <c:extLst>
            <c:ext xmlns:c16="http://schemas.microsoft.com/office/drawing/2014/chart" uri="{C3380CC4-5D6E-409C-BE32-E72D297353CC}">
              <c16:uniqueId val="{00000003-AC85-42D6-AFBF-BA8A6ECF0B28}"/>
            </c:ext>
          </c:extLst>
        </c:ser>
        <c:ser>
          <c:idx val="4"/>
          <c:order val="4"/>
          <c:tx>
            <c:strRef>
              <c:f>'45'!$F$1</c:f>
              <c:strCache>
                <c:ptCount val="1"/>
                <c:pt idx="0">
                  <c:v>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'45'!$A$2:$A$6</c:f>
              <c:strCache>
                <c:ptCount val="5"/>
                <c:pt idx="0">
                  <c:v>Equips people with the skills you ranked as important </c:v>
                </c:pt>
                <c:pt idx="1">
                  <c:v>Equips people with the up-to-date knowledge of methods, materials and technology</c:v>
                </c:pt>
                <c:pt idx="2">
                  <c:v>Meets the skill needs of your business adequately </c:v>
                </c:pt>
                <c:pt idx="3">
                  <c:v>Equips people with personal skills like time-management, reliability, ability to work with others, etc. </c:v>
                </c:pt>
                <c:pt idx="4">
                  <c:v>Equips people with practical experience that can be applied to their work </c:v>
                </c:pt>
              </c:strCache>
            </c:strRef>
          </c:cat>
          <c:val>
            <c:numRef>
              <c:f>'45'!$F$2:$F$6</c:f>
              <c:numCache>
                <c:formatCode>0</c:formatCode>
                <c:ptCount val="5"/>
                <c:pt idx="0">
                  <c:v>8.57</c:v>
                </c:pt>
                <c:pt idx="1">
                  <c:v>8.33</c:v>
                </c:pt>
                <c:pt idx="2">
                  <c:v>8.33</c:v>
                </c:pt>
                <c:pt idx="3">
                  <c:v>8.33</c:v>
                </c:pt>
                <c:pt idx="4">
                  <c:v>5.71</c:v>
                </c:pt>
              </c:numCache>
            </c:numRef>
          </c:val>
          <c:extLst>
            <c:ext xmlns:c16="http://schemas.microsoft.com/office/drawing/2014/chart" uri="{C3380CC4-5D6E-409C-BE32-E72D297353CC}">
              <c16:uniqueId val="{00000004-AC85-42D6-AFBF-BA8A6ECF0B28}"/>
            </c:ext>
          </c:extLst>
        </c:ser>
        <c:dLbls>
          <c:showLegendKey val="0"/>
          <c:showVal val="0"/>
          <c:showCatName val="0"/>
          <c:showSerName val="0"/>
          <c:showPercent val="0"/>
          <c:showBubbleSize val="0"/>
        </c:dLbls>
        <c:gapWidth val="100"/>
        <c:overlap val="100"/>
        <c:axId val="187669888"/>
        <c:axId val="187679872"/>
      </c:barChart>
      <c:catAx>
        <c:axId val="187669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crossAx val="187679872"/>
        <c:crosses val="autoZero"/>
        <c:auto val="1"/>
        <c:lblAlgn val="ctr"/>
        <c:lblOffset val="100"/>
        <c:noMultiLvlLbl val="0"/>
      </c:catAx>
      <c:valAx>
        <c:axId val="18767987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76698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mn-lt"/>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42825896762904"/>
          <c:y val="0.15060185185185185"/>
          <c:w val="0.86601618547681536"/>
          <c:h val="0.69433514137306473"/>
        </c:manualLayout>
      </c:layout>
      <c:lineChart>
        <c:grouping val="standard"/>
        <c:varyColors val="0"/>
        <c:ser>
          <c:idx val="0"/>
          <c:order val="0"/>
          <c:tx>
            <c:strRef>
              <c:f>Sheet1!$C$5</c:f>
              <c:strCache>
                <c:ptCount val="1"/>
                <c:pt idx="0">
                  <c:v>Expenditure on education as % of GDP</c:v>
                </c:pt>
              </c:strCache>
            </c:strRef>
          </c:tx>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Sheet1!$B$6:$B$14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Sheet1!$C$6:$C$14</c:f>
              <c:numCache>
                <c:formatCode>0.00%</c:formatCode>
                <c:ptCount val="9"/>
                <c:pt idx="0">
                  <c:v>3.9E-2</c:v>
                </c:pt>
                <c:pt idx="1">
                  <c:v>3.3000000000000002E-2</c:v>
                </c:pt>
                <c:pt idx="2">
                  <c:v>4.1000000000000002E-2</c:v>
                </c:pt>
                <c:pt idx="3">
                  <c:v>0.03</c:v>
                </c:pt>
                <c:pt idx="4">
                  <c:v>2.8000000000000001E-2</c:v>
                </c:pt>
                <c:pt idx="5">
                  <c:v>0.03</c:v>
                </c:pt>
                <c:pt idx="6">
                  <c:v>3.1E-2</c:v>
                </c:pt>
                <c:pt idx="7">
                  <c:v>3.61E-2</c:v>
                </c:pt>
                <c:pt idx="8">
                  <c:v>3.1E-2</c:v>
                </c:pt>
              </c:numCache>
            </c:numRef>
          </c:val>
          <c:smooth val="0"/>
          <c:extLst>
            <c:ext xmlns:c16="http://schemas.microsoft.com/office/drawing/2014/chart" uri="{C3380CC4-5D6E-409C-BE32-E72D297353CC}">
              <c16:uniqueId val="{00000000-2774-4682-A927-C531564198CB}"/>
            </c:ext>
          </c:extLst>
        </c:ser>
        <c:dLbls>
          <c:dLblPos val="ctr"/>
          <c:showLegendKey val="0"/>
          <c:showVal val="1"/>
          <c:showCatName val="0"/>
          <c:showSerName val="0"/>
          <c:showPercent val="0"/>
          <c:showBubbleSize val="0"/>
        </c:dLbls>
        <c:smooth val="0"/>
        <c:axId val="186455168"/>
        <c:axId val="186456704"/>
      </c:lineChart>
      <c:catAx>
        <c:axId val="18645516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6456704"/>
        <c:crosses val="autoZero"/>
        <c:auto val="1"/>
        <c:lblAlgn val="ctr"/>
        <c:lblOffset val="100"/>
        <c:noMultiLvlLbl val="0"/>
      </c:catAx>
      <c:valAx>
        <c:axId val="186456704"/>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6455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0.0032</cdr:y>
    </cdr:from>
    <cdr:to>
      <cdr:x>0.88979</cdr:x>
      <cdr:y>0.16297</cdr:y>
    </cdr:to>
    <cdr:sp macro="" textlink="">
      <cdr:nvSpPr>
        <cdr:cNvPr id="2" name="CuadroTexto 1"/>
        <cdr:cNvSpPr txBox="1"/>
      </cdr:nvSpPr>
      <cdr:spPr>
        <a:xfrm xmlns:a="http://schemas.openxmlformats.org/drawingml/2006/main">
          <a:off x="0" y="7316"/>
          <a:ext cx="2479852" cy="3657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O" sz="1100">
            <a:solidFill>
              <a:schemeClr val="bg1">
                <a:lumMod val="50000"/>
              </a:schemeClr>
            </a:solidFill>
            <a:latin typeface="+mn-l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ttedBy xmlns="d6267e6a-bf3f-4308-983a-8e32ad3cd070">Leah Laboy</SubmittedBy>
    <OtherTitle xmlns="ee363e03-ffe3-4ea8-891f-7c22e1e48952" xsi:nil="true"/>
    <InformationClassification xmlns="d6267e6a-bf3f-4308-983a-8e32ad3cd070">Public</InformationClassification>
    <AccesstoInformationPolicyException xmlns="d6267e6a-bf3f-4308-983a-8e32ad3cd070" xsi:nil="true"/>
    <DateSubmission xmlns="d6267e6a-bf3f-4308-983a-8e32ad3cd070">7/6/2018</DateSubmission>
    <IsIduRevised xmlns="ee363e03-ffe3-4ea8-891f-7c22e1e48952" xsi:nil="true"/>
    <ReportNumber xmlns="d6267e6a-bf3f-4308-983a-8e32ad3cd070" xsi:nil="true"/>
    <Comment1 xmlns="d6267e6a-bf3f-4308-983a-8e32ad3cd070" xsi:nil="true"/>
    <IsitpartofaSeries xmlns="d6267e6a-bf3f-4308-983a-8e32ad3cd070">No</IsitpartofaSeries>
    <Languages xmlns="d6267e6a-bf3f-4308-983a-8e32ad3cd070">English</Languages>
    <Document_x0020_Submission_x0020_Workflow xmlns="ee363e03-ffe3-4ea8-891f-7c22e1e48952">
      <Url xsi:nil="true"/>
      <Description xsi:nil="true"/>
    </Document_x0020_Submission_x0020_Workflow>
    <DocumentName xmlns="ee363e03-ffe3-4ea8-891f-7c22e1e48952">RomaniaSCDBackgroundNoteEducation.docx</DocumentName>
    <PublicClassificationApprover xmlns="ee363e03-ffe3-4ea8-891f-7c22e1e48952" xsi:nil="true"/>
    <SendMail xmlns="d6267e6a-bf3f-4308-983a-8e32ad3cd070">llaboy@worldbank.org</SendMail>
    <ProjectIDNumber xmlns="d6267e6a-bf3f-4308-983a-8e32ad3cd070" xsi:nil="true"/>
    <UserSubmittedAbstract xmlns="d6267e6a-bf3f-4308-983a-8e32ad3cd0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12" ma:contentTypeDescription="Document Submission Content Type" ma:contentTypeScope="" ma:versionID="f80bfdc489b3b0267876a6f134456c17">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637a0c95cda78ce70920e6b9e7c2580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element ref="ns3:IsIduRevised" minOccurs="0"/>
                <xsd:element ref="ns3:PublicClassification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element name="IsIduRevised" ma:index="22" nillable="true" ma:displayName="IsIduRevised" ma:internalName="IsIduRevised">
      <xsd:simpleType>
        <xsd:restriction base="dms:Text">
          <xsd:maxLength value="255"/>
        </xsd:restriction>
      </xsd:simpleType>
    </xsd:element>
    <xsd:element name="PublicClassificationApprover" ma:index="23" nillable="true" ma:displayName="Public Classification Approver" ma:internalName="PublicClassificationApprov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08C73-EB53-4850-80D8-FB598050BB1E}">
  <ds:schemaRefs>
    <ds:schemaRef ds:uri="d6267e6a-bf3f-4308-983a-8e32ad3cd070"/>
    <ds:schemaRef ds:uri="http://www.w3.org/XML/1998/namespace"/>
    <ds:schemaRef ds:uri="ee363e03-ffe3-4ea8-891f-7c22e1e48952"/>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CEB7CD7-F195-4E51-81D0-7FB5A13C1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8A584-2842-4F10-A648-46383C57A265}">
  <ds:schemaRefs>
    <ds:schemaRef ds:uri="http://schemas.microsoft.com/sharepoint/v3/contenttype/forms"/>
  </ds:schemaRefs>
</ds:datastoreItem>
</file>

<file path=customXml/itemProps4.xml><?xml version="1.0" encoding="utf-8"?>
<ds:datastoreItem xmlns:ds="http://schemas.openxmlformats.org/officeDocument/2006/customXml" ds:itemID="{5C6C13C3-3D95-4EBB-94CC-9E9CC5A9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6_7_2018_11_50_25_RomaniaSCDBackgroundNoteEducation.docx</vt:lpstr>
    </vt:vector>
  </TitlesOfParts>
  <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6_7_2018_11_50_25_RomaniaSCDBackgroundNoteEducation.docx</dc:title>
  <dc:creator>Edinaldo Tebaldi</dc:creator>
  <cp:lastModifiedBy>Bobbie Sauer</cp:lastModifiedBy>
  <cp:revision>2</cp:revision>
  <cp:lastPrinted>2018-06-15T14:59:00Z</cp:lastPrinted>
  <dcterms:created xsi:type="dcterms:W3CDTF">2018-07-06T19:07:00Z</dcterms:created>
  <dcterms:modified xsi:type="dcterms:W3CDTF">2018-07-06T19:07:00Z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ies>
</file>