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D8088" w14:textId="77777777" w:rsidR="009F6456" w:rsidRDefault="009F6456" w:rsidP="009F6456">
      <w:pPr>
        <w:jc w:val="center"/>
        <w:rPr>
          <w:rFonts w:ascii="Calibri" w:hAnsi="Calibri"/>
          <w:b/>
          <w:color w:val="4F81BD" w:themeColor="accent1"/>
          <w:sz w:val="32"/>
          <w:szCs w:val="32"/>
        </w:rPr>
      </w:pPr>
      <w:bookmarkStart w:id="0" w:name="_Toc3823040"/>
      <w:bookmarkStart w:id="1" w:name="_Toc3823278"/>
      <w:bookmarkStart w:id="2" w:name="_Toc3823399"/>
      <w:bookmarkStart w:id="3" w:name="_Toc4655732"/>
      <w:bookmarkStart w:id="4" w:name="_Toc4656008"/>
      <w:bookmarkStart w:id="5" w:name="_Toc416471885"/>
    </w:p>
    <w:p w14:paraId="4248A66A" w14:textId="77777777" w:rsidR="009F6456" w:rsidRDefault="009F6456" w:rsidP="009F6456">
      <w:pPr>
        <w:jc w:val="center"/>
        <w:rPr>
          <w:rFonts w:ascii="Calibri" w:hAnsi="Calibri"/>
          <w:b/>
          <w:color w:val="4F81BD" w:themeColor="accent1"/>
          <w:sz w:val="32"/>
          <w:szCs w:val="32"/>
        </w:rPr>
      </w:pPr>
    </w:p>
    <w:p w14:paraId="78251582" w14:textId="77777777" w:rsidR="009F6456" w:rsidRDefault="009F6456" w:rsidP="009F6456">
      <w:pPr>
        <w:jc w:val="center"/>
        <w:rPr>
          <w:rFonts w:ascii="Calibri" w:hAnsi="Calibri"/>
          <w:b/>
          <w:color w:val="4F81BD" w:themeColor="accent1"/>
          <w:sz w:val="32"/>
          <w:szCs w:val="32"/>
        </w:rPr>
      </w:pPr>
    </w:p>
    <w:p w14:paraId="41B716BC" w14:textId="77777777" w:rsidR="009F6456" w:rsidRDefault="009F6456" w:rsidP="009F6456">
      <w:pPr>
        <w:jc w:val="center"/>
        <w:rPr>
          <w:rFonts w:ascii="Calibri" w:hAnsi="Calibri"/>
          <w:b/>
          <w:color w:val="4F81BD" w:themeColor="accent1"/>
          <w:sz w:val="32"/>
          <w:szCs w:val="32"/>
        </w:rPr>
      </w:pPr>
    </w:p>
    <w:p w14:paraId="27F0038A" w14:textId="77777777" w:rsidR="009F6456" w:rsidRDefault="009F6456" w:rsidP="009F6456">
      <w:pPr>
        <w:jc w:val="center"/>
        <w:rPr>
          <w:rFonts w:ascii="Calibri" w:hAnsi="Calibri"/>
          <w:b/>
          <w:color w:val="4F81BD" w:themeColor="accent1"/>
          <w:sz w:val="32"/>
          <w:szCs w:val="32"/>
        </w:rPr>
      </w:pPr>
    </w:p>
    <w:p w14:paraId="3DC4856C" w14:textId="77777777" w:rsidR="009F6456" w:rsidRDefault="009F6456" w:rsidP="009F6456">
      <w:pPr>
        <w:jc w:val="center"/>
        <w:rPr>
          <w:rFonts w:ascii="Calibri" w:hAnsi="Calibri"/>
          <w:b/>
          <w:color w:val="4F81BD" w:themeColor="accent1"/>
          <w:sz w:val="32"/>
          <w:szCs w:val="32"/>
        </w:rPr>
      </w:pPr>
    </w:p>
    <w:p w14:paraId="75CB0951" w14:textId="77777777" w:rsidR="009F6456" w:rsidRDefault="009F6456" w:rsidP="009F6456">
      <w:pPr>
        <w:jc w:val="center"/>
        <w:rPr>
          <w:rFonts w:ascii="Calibri" w:hAnsi="Calibri"/>
          <w:b/>
          <w:color w:val="4F81BD" w:themeColor="accent1"/>
          <w:sz w:val="32"/>
          <w:szCs w:val="32"/>
        </w:rPr>
      </w:pPr>
    </w:p>
    <w:p w14:paraId="09316629" w14:textId="77777777" w:rsidR="009F6456" w:rsidRDefault="009F6456" w:rsidP="009F6456">
      <w:pPr>
        <w:jc w:val="center"/>
        <w:rPr>
          <w:rFonts w:ascii="Calibri" w:hAnsi="Calibri"/>
          <w:b/>
          <w:color w:val="4F81BD" w:themeColor="accent1"/>
          <w:sz w:val="32"/>
          <w:szCs w:val="32"/>
        </w:rPr>
      </w:pPr>
    </w:p>
    <w:p w14:paraId="4728DE94" w14:textId="77777777" w:rsidR="009F6456" w:rsidRDefault="009F6456" w:rsidP="009F6456">
      <w:pPr>
        <w:jc w:val="center"/>
        <w:rPr>
          <w:rFonts w:ascii="Calibri" w:hAnsi="Calibri"/>
          <w:b/>
          <w:color w:val="4F81BD" w:themeColor="accent1"/>
          <w:sz w:val="32"/>
          <w:szCs w:val="32"/>
        </w:rPr>
      </w:pPr>
    </w:p>
    <w:p w14:paraId="5D652ABE" w14:textId="77777777" w:rsidR="009F6456" w:rsidRDefault="009F6456" w:rsidP="009F6456">
      <w:pPr>
        <w:jc w:val="center"/>
        <w:rPr>
          <w:rFonts w:ascii="Calibri" w:hAnsi="Calibri"/>
          <w:b/>
          <w:color w:val="4F81BD" w:themeColor="accent1"/>
          <w:sz w:val="32"/>
          <w:szCs w:val="32"/>
        </w:rPr>
      </w:pPr>
      <w:r>
        <w:rPr>
          <w:rFonts w:ascii="Calibri" w:hAnsi="Calibri"/>
          <w:b/>
          <w:color w:val="4F81BD" w:themeColor="accent1"/>
          <w:sz w:val="32"/>
          <w:szCs w:val="32"/>
        </w:rPr>
        <w:t xml:space="preserve">Improving Higher Education Policies in Russia: </w:t>
      </w:r>
    </w:p>
    <w:p w14:paraId="564B8BD5" w14:textId="583AA8A8" w:rsidR="009F6456" w:rsidRDefault="009F6456" w:rsidP="009F6456">
      <w:pPr>
        <w:jc w:val="center"/>
        <w:rPr>
          <w:rFonts w:ascii="Calibri" w:hAnsi="Calibri"/>
          <w:b/>
          <w:color w:val="000000"/>
          <w:sz w:val="28"/>
          <w:szCs w:val="32"/>
        </w:rPr>
      </w:pPr>
      <w:r>
        <w:rPr>
          <w:rFonts w:ascii="Calibri" w:hAnsi="Calibri"/>
          <w:b/>
          <w:color w:val="4F81BD" w:themeColor="accent1"/>
          <w:sz w:val="32"/>
          <w:szCs w:val="32"/>
        </w:rPr>
        <w:t>Increasing Internationalization in Higher Education</w:t>
      </w:r>
    </w:p>
    <w:p w14:paraId="2B405E5F" w14:textId="77777777" w:rsidR="009F6456" w:rsidRDefault="009F6456" w:rsidP="009F6456">
      <w:pPr>
        <w:jc w:val="center"/>
        <w:rPr>
          <w:rFonts w:ascii="Calibri" w:hAnsi="Calibri"/>
          <w:b/>
          <w:color w:val="000000"/>
          <w:sz w:val="28"/>
          <w:szCs w:val="32"/>
        </w:rPr>
      </w:pPr>
    </w:p>
    <w:p w14:paraId="5F711CE1" w14:textId="77777777" w:rsidR="009F6456" w:rsidRDefault="009F6456" w:rsidP="009F6456">
      <w:pPr>
        <w:jc w:val="center"/>
        <w:rPr>
          <w:rFonts w:ascii="Calibri" w:hAnsi="Calibri"/>
          <w:b/>
          <w:color w:val="000000"/>
          <w:sz w:val="28"/>
          <w:szCs w:val="32"/>
        </w:rPr>
      </w:pPr>
    </w:p>
    <w:p w14:paraId="116DD0B0" w14:textId="77777777" w:rsidR="009F6456" w:rsidRDefault="009F6456" w:rsidP="009F6456">
      <w:pPr>
        <w:jc w:val="center"/>
        <w:rPr>
          <w:rFonts w:ascii="Calibri" w:hAnsi="Calibri"/>
          <w:b/>
          <w:color w:val="000000"/>
          <w:sz w:val="28"/>
          <w:szCs w:val="32"/>
        </w:rPr>
      </w:pPr>
    </w:p>
    <w:p w14:paraId="3CEBA776" w14:textId="77777777" w:rsidR="009F6456" w:rsidRDefault="009F6456" w:rsidP="009F6456">
      <w:pPr>
        <w:jc w:val="center"/>
        <w:rPr>
          <w:rFonts w:ascii="Calibri" w:hAnsi="Calibri"/>
          <w:b/>
          <w:color w:val="000000"/>
          <w:sz w:val="28"/>
          <w:szCs w:val="32"/>
        </w:rPr>
      </w:pPr>
      <w:r>
        <w:rPr>
          <w:rFonts w:ascii="Calibri" w:hAnsi="Calibri"/>
          <w:b/>
          <w:color w:val="000000"/>
          <w:sz w:val="28"/>
          <w:szCs w:val="32"/>
        </w:rPr>
        <w:t xml:space="preserve">Analytical Note </w:t>
      </w:r>
    </w:p>
    <w:p w14:paraId="37842432" w14:textId="77777777" w:rsidR="009F6456" w:rsidRDefault="009F6456" w:rsidP="009F6456">
      <w:pPr>
        <w:jc w:val="center"/>
        <w:rPr>
          <w:rFonts w:ascii="Calibri" w:hAnsi="Calibri"/>
          <w:b/>
          <w:color w:val="000000"/>
          <w:sz w:val="28"/>
          <w:szCs w:val="32"/>
        </w:rPr>
      </w:pPr>
    </w:p>
    <w:p w14:paraId="636D7332" w14:textId="77777777" w:rsidR="009F6456" w:rsidRDefault="009F6456" w:rsidP="009F6456">
      <w:pPr>
        <w:jc w:val="center"/>
        <w:rPr>
          <w:rFonts w:ascii="Calibri" w:hAnsi="Calibri"/>
          <w:b/>
          <w:color w:val="000000"/>
          <w:sz w:val="28"/>
          <w:szCs w:val="32"/>
        </w:rPr>
      </w:pPr>
    </w:p>
    <w:p w14:paraId="78E9279E" w14:textId="77777777" w:rsidR="009F6456" w:rsidRDefault="009F6456" w:rsidP="009F6456">
      <w:pPr>
        <w:jc w:val="center"/>
        <w:rPr>
          <w:rFonts w:ascii="Calibri" w:hAnsi="Calibri"/>
          <w:b/>
          <w:color w:val="000000"/>
          <w:sz w:val="28"/>
          <w:szCs w:val="32"/>
        </w:rPr>
      </w:pPr>
    </w:p>
    <w:p w14:paraId="23A1CC2A" w14:textId="77777777" w:rsidR="009F6456" w:rsidRDefault="009F6456" w:rsidP="009F6456">
      <w:pPr>
        <w:jc w:val="center"/>
        <w:rPr>
          <w:rFonts w:ascii="Calibri" w:hAnsi="Calibri"/>
          <w:b/>
          <w:color w:val="000000"/>
          <w:sz w:val="28"/>
          <w:szCs w:val="32"/>
        </w:rPr>
      </w:pPr>
    </w:p>
    <w:p w14:paraId="1122332A" w14:textId="77777777" w:rsidR="009F6456" w:rsidRDefault="009F6456" w:rsidP="009F6456">
      <w:pPr>
        <w:jc w:val="center"/>
        <w:rPr>
          <w:rFonts w:ascii="Calibri" w:hAnsi="Calibri"/>
          <w:b/>
          <w:color w:val="000000"/>
          <w:sz w:val="28"/>
          <w:szCs w:val="32"/>
        </w:rPr>
      </w:pPr>
    </w:p>
    <w:p w14:paraId="681185CE" w14:textId="77777777" w:rsidR="009F6456" w:rsidRDefault="009F6456" w:rsidP="009F6456">
      <w:pPr>
        <w:jc w:val="center"/>
        <w:rPr>
          <w:rFonts w:ascii="Calibri" w:hAnsi="Calibri"/>
          <w:b/>
          <w:color w:val="000000"/>
          <w:sz w:val="28"/>
          <w:szCs w:val="32"/>
        </w:rPr>
      </w:pPr>
    </w:p>
    <w:p w14:paraId="03472ED8" w14:textId="77777777" w:rsidR="009F6456" w:rsidRDefault="009F6456" w:rsidP="009F6456">
      <w:pPr>
        <w:jc w:val="center"/>
        <w:rPr>
          <w:rFonts w:ascii="Calibri" w:hAnsi="Calibri"/>
          <w:b/>
          <w:color w:val="000000"/>
          <w:sz w:val="28"/>
          <w:szCs w:val="32"/>
        </w:rPr>
      </w:pPr>
    </w:p>
    <w:p w14:paraId="5CDCC35F" w14:textId="77777777" w:rsidR="009F6456" w:rsidRDefault="009F6456" w:rsidP="009F6456">
      <w:pPr>
        <w:jc w:val="center"/>
        <w:rPr>
          <w:rFonts w:ascii="Calibri" w:hAnsi="Calibri"/>
          <w:b/>
          <w:color w:val="000000"/>
          <w:sz w:val="28"/>
          <w:szCs w:val="32"/>
        </w:rPr>
      </w:pPr>
    </w:p>
    <w:p w14:paraId="1C40087B" w14:textId="77777777" w:rsidR="009F6456" w:rsidRDefault="009F6456" w:rsidP="009F6456">
      <w:pPr>
        <w:jc w:val="center"/>
        <w:rPr>
          <w:rFonts w:ascii="Calibri" w:hAnsi="Calibri"/>
          <w:b/>
          <w:color w:val="000000"/>
          <w:sz w:val="28"/>
          <w:szCs w:val="32"/>
        </w:rPr>
      </w:pPr>
    </w:p>
    <w:p w14:paraId="5F920F8D" w14:textId="77777777" w:rsidR="009F6456" w:rsidRDefault="009F6456" w:rsidP="009F6456">
      <w:pPr>
        <w:jc w:val="center"/>
        <w:rPr>
          <w:rFonts w:ascii="Calibri" w:hAnsi="Calibri"/>
          <w:b/>
          <w:color w:val="000000"/>
          <w:sz w:val="28"/>
          <w:szCs w:val="32"/>
        </w:rPr>
      </w:pPr>
    </w:p>
    <w:p w14:paraId="016B8F42" w14:textId="77777777" w:rsidR="009F6456" w:rsidRDefault="009F6456" w:rsidP="009F6456">
      <w:pPr>
        <w:jc w:val="center"/>
        <w:rPr>
          <w:rFonts w:ascii="Calibri" w:hAnsi="Calibri"/>
          <w:b/>
          <w:color w:val="000000"/>
          <w:sz w:val="28"/>
          <w:szCs w:val="32"/>
        </w:rPr>
      </w:pPr>
    </w:p>
    <w:p w14:paraId="16639432" w14:textId="77777777" w:rsidR="009F6456" w:rsidRDefault="009F6456" w:rsidP="009F6456">
      <w:pPr>
        <w:jc w:val="center"/>
        <w:rPr>
          <w:rFonts w:ascii="Calibri" w:hAnsi="Calibri"/>
          <w:b/>
          <w:color w:val="000000"/>
          <w:sz w:val="28"/>
          <w:szCs w:val="32"/>
        </w:rPr>
      </w:pPr>
    </w:p>
    <w:p w14:paraId="05390501" w14:textId="77777777" w:rsidR="009F6456" w:rsidRDefault="009F6456" w:rsidP="009F6456">
      <w:pPr>
        <w:jc w:val="center"/>
        <w:rPr>
          <w:rFonts w:ascii="Calibri" w:hAnsi="Calibri"/>
          <w:b/>
          <w:color w:val="000000"/>
          <w:sz w:val="28"/>
          <w:szCs w:val="32"/>
        </w:rPr>
      </w:pPr>
    </w:p>
    <w:p w14:paraId="7781B73D" w14:textId="41268F79" w:rsidR="009F6456" w:rsidRDefault="009F6456" w:rsidP="009F6456">
      <w:pPr>
        <w:jc w:val="center"/>
        <w:rPr>
          <w:rFonts w:ascii="Calibri" w:hAnsi="Calibri"/>
          <w:b/>
          <w:color w:val="000000"/>
          <w:sz w:val="28"/>
          <w:szCs w:val="32"/>
        </w:rPr>
      </w:pPr>
      <w:r>
        <w:rPr>
          <w:rFonts w:ascii="Calibri" w:hAnsi="Calibri"/>
          <w:b/>
          <w:color w:val="000000"/>
          <w:sz w:val="28"/>
          <w:szCs w:val="32"/>
        </w:rPr>
        <w:t>Roundtable on Export of Higher Education</w:t>
      </w:r>
    </w:p>
    <w:p w14:paraId="465F8660" w14:textId="5489EE01" w:rsidR="009F6456" w:rsidRDefault="009F6456" w:rsidP="009F6456">
      <w:pPr>
        <w:jc w:val="center"/>
        <w:rPr>
          <w:rFonts w:ascii="Calibri" w:hAnsi="Calibri"/>
          <w:b/>
          <w:color w:val="000000"/>
          <w:sz w:val="28"/>
          <w:szCs w:val="32"/>
        </w:rPr>
      </w:pPr>
      <w:r>
        <w:rPr>
          <w:rFonts w:ascii="Calibri" w:hAnsi="Calibri"/>
          <w:b/>
          <w:color w:val="000000"/>
          <w:sz w:val="28"/>
          <w:szCs w:val="32"/>
        </w:rPr>
        <w:t>Moscow, 30</w:t>
      </w:r>
      <w:r w:rsidRPr="00120321">
        <w:rPr>
          <w:rFonts w:ascii="Calibri" w:hAnsi="Calibri"/>
          <w:b/>
          <w:color w:val="000000"/>
          <w:sz w:val="28"/>
          <w:szCs w:val="32"/>
          <w:vertAlign w:val="superscript"/>
        </w:rPr>
        <w:t>th</w:t>
      </w:r>
      <w:r>
        <w:rPr>
          <w:rFonts w:ascii="Calibri" w:hAnsi="Calibri"/>
          <w:b/>
          <w:color w:val="000000"/>
          <w:sz w:val="28"/>
          <w:szCs w:val="32"/>
        </w:rPr>
        <w:t xml:space="preserve"> April 2019</w:t>
      </w:r>
    </w:p>
    <w:p w14:paraId="59B2DFA0" w14:textId="77777777" w:rsidR="009F6456" w:rsidRDefault="009F6456" w:rsidP="009F6456">
      <w:pPr>
        <w:jc w:val="center"/>
        <w:rPr>
          <w:rFonts w:ascii="Calibri" w:hAnsi="Calibri"/>
          <w:b/>
          <w:color w:val="000000"/>
          <w:sz w:val="28"/>
          <w:szCs w:val="32"/>
        </w:rPr>
      </w:pPr>
      <w:r>
        <w:rPr>
          <w:rFonts w:ascii="Calibri" w:hAnsi="Calibri"/>
          <w:b/>
          <w:color w:val="000000"/>
          <w:sz w:val="28"/>
          <w:szCs w:val="32"/>
        </w:rPr>
        <w:t>World Bank</w:t>
      </w:r>
    </w:p>
    <w:p w14:paraId="3E39D34B" w14:textId="77777777" w:rsidR="009F6456" w:rsidRDefault="009F6456" w:rsidP="009F6456">
      <w:pPr>
        <w:jc w:val="center"/>
        <w:rPr>
          <w:rFonts w:ascii="Calibri" w:hAnsi="Calibri"/>
          <w:b/>
          <w:color w:val="000000"/>
          <w:sz w:val="28"/>
          <w:szCs w:val="32"/>
        </w:rPr>
      </w:pPr>
    </w:p>
    <w:p w14:paraId="272BB433" w14:textId="77777777" w:rsidR="009F6456" w:rsidRDefault="009F6456">
      <w:pPr>
        <w:rPr>
          <w:rFonts w:asciiTheme="majorHAnsi" w:eastAsiaTheme="majorEastAsia" w:hAnsiTheme="majorHAnsi" w:cstheme="majorHAnsi"/>
          <w:b/>
          <w:bCs/>
          <w:color w:val="345A8A" w:themeColor="accent1" w:themeShade="B5"/>
          <w:sz w:val="32"/>
          <w:szCs w:val="32"/>
          <w:lang w:val="en-GB"/>
        </w:rPr>
      </w:pPr>
    </w:p>
    <w:p w14:paraId="75A1D075" w14:textId="5265D1BA" w:rsidR="008A0C91" w:rsidRPr="00E45751" w:rsidRDefault="008A0C91" w:rsidP="008A0C91">
      <w:pPr>
        <w:pStyle w:val="Heading1"/>
        <w:spacing w:after="120"/>
        <w:rPr>
          <w:rFonts w:cstheme="majorHAnsi"/>
          <w:lang w:val="en-GB"/>
        </w:rPr>
      </w:pPr>
      <w:r w:rsidRPr="00E45751">
        <w:rPr>
          <w:rFonts w:cstheme="majorHAnsi"/>
          <w:lang w:val="en-GB"/>
        </w:rPr>
        <w:lastRenderedPageBreak/>
        <w:t>IMPROVING HIGHER EDUCATION POLICIES IN RUSSIA</w:t>
      </w:r>
      <w:bookmarkEnd w:id="0"/>
      <w:bookmarkEnd w:id="1"/>
      <w:bookmarkEnd w:id="2"/>
      <w:bookmarkEnd w:id="3"/>
      <w:bookmarkEnd w:id="4"/>
      <w:bookmarkEnd w:id="5"/>
    </w:p>
    <w:p w14:paraId="5F903E90" w14:textId="7BF55892" w:rsidR="008A0C91" w:rsidRPr="00E45751" w:rsidRDefault="008A0C91" w:rsidP="00942B97">
      <w:pPr>
        <w:pStyle w:val="Heading1"/>
        <w:spacing w:after="120"/>
        <w:rPr>
          <w:rFonts w:cstheme="majorHAnsi"/>
          <w:lang w:val="en-GB"/>
        </w:rPr>
      </w:pPr>
      <w:bookmarkStart w:id="6" w:name="_Toc3823041"/>
      <w:bookmarkStart w:id="7" w:name="_Toc3823279"/>
      <w:bookmarkStart w:id="8" w:name="_Toc3823400"/>
      <w:bookmarkStart w:id="9" w:name="_Toc4504949"/>
      <w:bookmarkStart w:id="10" w:name="_Toc4655733"/>
      <w:bookmarkStart w:id="11" w:name="_Toc4656009"/>
      <w:bookmarkStart w:id="12" w:name="_Toc416471886"/>
      <w:r w:rsidRPr="00E45751">
        <w:rPr>
          <w:rFonts w:cstheme="majorHAnsi"/>
          <w:i/>
          <w:lang w:val="en-GB"/>
        </w:rPr>
        <w:t>Increasing internationalization of higher education</w:t>
      </w:r>
      <w:bookmarkEnd w:id="6"/>
      <w:bookmarkEnd w:id="7"/>
      <w:bookmarkEnd w:id="8"/>
      <w:bookmarkEnd w:id="9"/>
      <w:bookmarkEnd w:id="10"/>
      <w:bookmarkEnd w:id="11"/>
      <w:bookmarkEnd w:id="12"/>
    </w:p>
    <w:p w14:paraId="68A5AFCA" w14:textId="2E7D5DDA" w:rsidR="008A0C91" w:rsidRPr="00E45751" w:rsidRDefault="00786B36" w:rsidP="00AA60D1">
      <w:pPr>
        <w:pStyle w:val="Heading1"/>
        <w:spacing w:after="120"/>
        <w:rPr>
          <w:rFonts w:cstheme="majorHAnsi"/>
          <w:lang w:val="en-GB"/>
        </w:rPr>
      </w:pPr>
      <w:bookmarkStart w:id="13" w:name="_Toc3823042"/>
      <w:bookmarkStart w:id="14" w:name="_Toc3823280"/>
      <w:bookmarkStart w:id="15" w:name="_Toc3823401"/>
      <w:bookmarkStart w:id="16" w:name="_Toc4504950"/>
      <w:bookmarkStart w:id="17" w:name="_Toc4655734"/>
      <w:bookmarkStart w:id="18" w:name="_Toc4656010"/>
      <w:bookmarkStart w:id="19" w:name="_Toc416471887"/>
      <w:r w:rsidRPr="00E45751">
        <w:rPr>
          <w:rFonts w:cstheme="majorHAnsi"/>
          <w:lang w:val="en-GB"/>
        </w:rPr>
        <w:t>Benchmark Study</w:t>
      </w:r>
      <w:bookmarkEnd w:id="13"/>
      <w:bookmarkEnd w:id="14"/>
      <w:bookmarkEnd w:id="15"/>
      <w:bookmarkEnd w:id="16"/>
      <w:bookmarkEnd w:id="17"/>
      <w:bookmarkEnd w:id="18"/>
      <w:bookmarkEnd w:id="19"/>
    </w:p>
    <w:p w14:paraId="612C6540" w14:textId="6AFED2BB" w:rsidR="00F7785C" w:rsidRPr="00C654E0" w:rsidRDefault="002B1EA6">
      <w:pPr>
        <w:pStyle w:val="TOC1"/>
        <w:rPr>
          <w:rFonts w:asciiTheme="majorHAnsi" w:hAnsiTheme="majorHAnsi" w:cstheme="majorHAnsi"/>
          <w:b w:val="0"/>
          <w:noProof/>
        </w:rPr>
      </w:pPr>
      <w:r w:rsidRPr="00C654E0">
        <w:rPr>
          <w:rFonts w:asciiTheme="majorHAnsi" w:hAnsiTheme="majorHAnsi" w:cstheme="majorHAnsi"/>
          <w:b w:val="0"/>
          <w:sz w:val="20"/>
          <w:szCs w:val="20"/>
          <w:lang w:val="en-GB"/>
        </w:rPr>
        <w:fldChar w:fldCharType="begin"/>
      </w:r>
      <w:r w:rsidRPr="00C654E0">
        <w:rPr>
          <w:rFonts w:asciiTheme="majorHAnsi" w:hAnsiTheme="majorHAnsi" w:cstheme="majorHAnsi"/>
          <w:b w:val="0"/>
          <w:sz w:val="20"/>
          <w:szCs w:val="20"/>
          <w:lang w:val="en-GB"/>
        </w:rPr>
        <w:instrText xml:space="preserve"> TOC \o "1-2" \h \z \u </w:instrText>
      </w:r>
      <w:r w:rsidRPr="00C654E0">
        <w:rPr>
          <w:rFonts w:asciiTheme="majorHAnsi" w:hAnsiTheme="majorHAnsi" w:cstheme="majorHAnsi"/>
          <w:b w:val="0"/>
          <w:sz w:val="20"/>
          <w:szCs w:val="20"/>
          <w:lang w:val="en-GB"/>
        </w:rPr>
        <w:fldChar w:fldCharType="separate"/>
      </w:r>
    </w:p>
    <w:p w14:paraId="7F352C5A" w14:textId="485CA125" w:rsidR="00F7785C" w:rsidRPr="00C654E0" w:rsidRDefault="00F7785C">
      <w:pPr>
        <w:pStyle w:val="TOC1"/>
        <w:tabs>
          <w:tab w:val="left" w:pos="431"/>
        </w:tabs>
        <w:rPr>
          <w:rFonts w:asciiTheme="majorHAnsi" w:hAnsiTheme="majorHAnsi" w:cstheme="majorHAnsi"/>
          <w:b w:val="0"/>
          <w:bCs w:val="0"/>
          <w:i w:val="0"/>
          <w:iCs w:val="0"/>
          <w:noProof/>
          <w:lang w:eastAsia="ja-JP"/>
        </w:rPr>
      </w:pPr>
      <w:r w:rsidRPr="00C654E0">
        <w:rPr>
          <w:rFonts w:asciiTheme="majorHAnsi" w:hAnsiTheme="majorHAnsi" w:cstheme="majorHAnsi"/>
          <w:b w:val="0"/>
          <w:noProof/>
          <w:lang w:val="en-GB"/>
        </w:rPr>
        <w:t>1.</w:t>
      </w:r>
      <w:r w:rsidRPr="00C654E0">
        <w:rPr>
          <w:rFonts w:asciiTheme="majorHAnsi" w:hAnsiTheme="majorHAnsi" w:cstheme="majorHAnsi"/>
          <w:b w:val="0"/>
          <w:bCs w:val="0"/>
          <w:i w:val="0"/>
          <w:iCs w:val="0"/>
          <w:noProof/>
          <w:lang w:eastAsia="ja-JP"/>
        </w:rPr>
        <w:tab/>
      </w:r>
      <w:r w:rsidR="00D9485F" w:rsidRPr="00C654E0">
        <w:rPr>
          <w:rFonts w:asciiTheme="majorHAnsi" w:hAnsiTheme="majorHAnsi" w:cstheme="majorHAnsi"/>
          <w:b w:val="0"/>
          <w:noProof/>
          <w:lang w:val="en-GB"/>
        </w:rPr>
        <w:t>Introduction - M</w:t>
      </w:r>
      <w:r w:rsidRPr="00C654E0">
        <w:rPr>
          <w:rFonts w:asciiTheme="majorHAnsi" w:hAnsiTheme="majorHAnsi" w:cstheme="majorHAnsi"/>
          <w:b w:val="0"/>
          <w:noProof/>
          <w:lang w:val="en-GB"/>
        </w:rPr>
        <w:t>ethodology</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_Toc416471888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w:t>
      </w:r>
      <w:r w:rsidRPr="00C654E0">
        <w:rPr>
          <w:rFonts w:asciiTheme="majorHAnsi" w:hAnsiTheme="majorHAnsi" w:cstheme="majorHAnsi"/>
          <w:b w:val="0"/>
          <w:noProof/>
        </w:rPr>
        <w:fldChar w:fldCharType="end"/>
      </w:r>
    </w:p>
    <w:p w14:paraId="35F36C50" w14:textId="7C702BF0"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1.1</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Criteria for Effective and Efficient Internationalisation Policy</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_Toc416471889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w:t>
      </w:r>
      <w:r w:rsidRPr="00C654E0">
        <w:rPr>
          <w:rFonts w:asciiTheme="majorHAnsi" w:hAnsiTheme="majorHAnsi" w:cstheme="majorHAnsi"/>
          <w:b w:val="0"/>
          <w:noProof/>
        </w:rPr>
        <w:fldChar w:fldCharType="end"/>
      </w:r>
    </w:p>
    <w:p w14:paraId="568EF707" w14:textId="5B6E547B" w:rsidR="00F7785C" w:rsidRPr="00C654E0" w:rsidRDefault="00F7785C">
      <w:pPr>
        <w:pStyle w:val="TOC1"/>
        <w:tabs>
          <w:tab w:val="left" w:pos="431"/>
        </w:tabs>
        <w:rPr>
          <w:rFonts w:asciiTheme="majorHAnsi" w:hAnsiTheme="majorHAnsi" w:cstheme="majorHAnsi"/>
          <w:b w:val="0"/>
          <w:bCs w:val="0"/>
          <w:i w:val="0"/>
          <w:iCs w:val="0"/>
          <w:noProof/>
          <w:lang w:eastAsia="ja-JP"/>
        </w:rPr>
      </w:pPr>
      <w:r w:rsidRPr="00C654E0">
        <w:rPr>
          <w:rFonts w:asciiTheme="majorHAnsi" w:hAnsiTheme="majorHAnsi" w:cstheme="majorHAnsi"/>
          <w:b w:val="0"/>
          <w:noProof/>
          <w:lang w:val="en-GB"/>
        </w:rPr>
        <w:t>2.</w:t>
      </w:r>
      <w:r w:rsidRPr="00C654E0">
        <w:rPr>
          <w:rFonts w:asciiTheme="majorHAnsi" w:hAnsiTheme="majorHAnsi" w:cstheme="majorHAnsi"/>
          <w:b w:val="0"/>
          <w:bCs w:val="0"/>
          <w:i w:val="0"/>
          <w:iCs w:val="0"/>
          <w:noProof/>
          <w:lang w:eastAsia="ja-JP"/>
        </w:rPr>
        <w:tab/>
      </w:r>
      <w:r w:rsidRPr="00C654E0">
        <w:rPr>
          <w:rFonts w:asciiTheme="majorHAnsi" w:hAnsiTheme="majorHAnsi" w:cstheme="majorHAnsi"/>
          <w:b w:val="0"/>
          <w:noProof/>
          <w:lang w:val="en-GB"/>
        </w:rPr>
        <w:t>Incentives conducive to student mobility</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_Toc416471890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w:t>
      </w:r>
      <w:r w:rsidRPr="00C654E0">
        <w:rPr>
          <w:rFonts w:asciiTheme="majorHAnsi" w:hAnsiTheme="majorHAnsi" w:cstheme="majorHAnsi"/>
          <w:b w:val="0"/>
          <w:noProof/>
        </w:rPr>
        <w:fldChar w:fldCharType="end"/>
      </w:r>
    </w:p>
    <w:p w14:paraId="45A7A9B3" w14:textId="07D15451"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2.1</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Incentives to are conducive to student mobility on the individuals</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_Toc416471891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w:t>
      </w:r>
      <w:r w:rsidRPr="00C654E0">
        <w:rPr>
          <w:rFonts w:asciiTheme="majorHAnsi" w:hAnsiTheme="majorHAnsi" w:cstheme="majorHAnsi"/>
          <w:b w:val="0"/>
          <w:noProof/>
        </w:rPr>
        <w:fldChar w:fldCharType="end"/>
      </w:r>
    </w:p>
    <w:p w14:paraId="4C260FEB" w14:textId="7BE27266"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2.2</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Government incentives to improve learning environment and international programmes</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_Toc416471892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4</w:t>
      </w:r>
      <w:r w:rsidRPr="00C654E0">
        <w:rPr>
          <w:rFonts w:asciiTheme="majorHAnsi" w:hAnsiTheme="majorHAnsi" w:cstheme="majorHAnsi"/>
          <w:b w:val="0"/>
          <w:noProof/>
        </w:rPr>
        <w:fldChar w:fldCharType="end"/>
      </w:r>
    </w:p>
    <w:p w14:paraId="6B3D86AE" w14:textId="27E3BFD4"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2.3</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University-specific incentives to attract international students</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_Toc416471893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8</w:t>
      </w:r>
      <w:r w:rsidRPr="00C654E0">
        <w:rPr>
          <w:rFonts w:asciiTheme="majorHAnsi" w:hAnsiTheme="majorHAnsi" w:cstheme="majorHAnsi"/>
          <w:b w:val="0"/>
          <w:noProof/>
        </w:rPr>
        <w:fldChar w:fldCharType="end"/>
      </w:r>
    </w:p>
    <w:p w14:paraId="3264B906" w14:textId="0F3830EB" w:rsidR="00F7785C" w:rsidRPr="00C654E0" w:rsidRDefault="00F7785C">
      <w:pPr>
        <w:pStyle w:val="TOC1"/>
        <w:tabs>
          <w:tab w:val="left" w:pos="431"/>
        </w:tabs>
        <w:rPr>
          <w:rFonts w:asciiTheme="majorHAnsi" w:hAnsiTheme="majorHAnsi" w:cstheme="majorHAnsi"/>
          <w:b w:val="0"/>
          <w:bCs w:val="0"/>
          <w:i w:val="0"/>
          <w:iCs w:val="0"/>
          <w:noProof/>
          <w:lang w:eastAsia="ja-JP"/>
        </w:rPr>
      </w:pPr>
      <w:r w:rsidRPr="00C654E0">
        <w:rPr>
          <w:rFonts w:asciiTheme="majorHAnsi" w:hAnsiTheme="majorHAnsi" w:cstheme="majorHAnsi"/>
          <w:b w:val="0"/>
          <w:noProof/>
          <w:lang w:val="en-GB"/>
        </w:rPr>
        <w:t>3.</w:t>
      </w:r>
      <w:r w:rsidRPr="00C654E0">
        <w:rPr>
          <w:rFonts w:asciiTheme="majorHAnsi" w:hAnsiTheme="majorHAnsi" w:cstheme="majorHAnsi"/>
          <w:b w:val="0"/>
          <w:bCs w:val="0"/>
          <w:i w:val="0"/>
          <w:iCs w:val="0"/>
          <w:noProof/>
          <w:lang w:eastAsia="ja-JP"/>
        </w:rPr>
        <w:tab/>
      </w:r>
      <w:r w:rsidRPr="00C654E0">
        <w:rPr>
          <w:rFonts w:asciiTheme="majorHAnsi" w:hAnsiTheme="majorHAnsi" w:cstheme="majorHAnsi"/>
          <w:b w:val="0"/>
          <w:noProof/>
          <w:lang w:val="en-GB"/>
        </w:rPr>
        <w:t>Harnessing the potential of global networks in higher education</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_Toc416471894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10</w:t>
      </w:r>
      <w:r w:rsidRPr="00C654E0">
        <w:rPr>
          <w:rFonts w:asciiTheme="majorHAnsi" w:hAnsiTheme="majorHAnsi" w:cstheme="majorHAnsi"/>
          <w:b w:val="0"/>
          <w:noProof/>
        </w:rPr>
        <w:fldChar w:fldCharType="end"/>
      </w:r>
    </w:p>
    <w:p w14:paraId="5D1ADFBD" w14:textId="55FBF2B8"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3.1</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Networks at the national level</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_Toc416471895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10</w:t>
      </w:r>
      <w:r w:rsidRPr="00C654E0">
        <w:rPr>
          <w:rFonts w:asciiTheme="majorHAnsi" w:hAnsiTheme="majorHAnsi" w:cstheme="majorHAnsi"/>
          <w:b w:val="0"/>
          <w:noProof/>
        </w:rPr>
        <w:fldChar w:fldCharType="end"/>
      </w:r>
    </w:p>
    <w:p w14:paraId="6B063737" w14:textId="0E16A9B2"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3.2</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Networks at the regional level</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_Toc416471896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11</w:t>
      </w:r>
      <w:r w:rsidRPr="00C654E0">
        <w:rPr>
          <w:rFonts w:asciiTheme="majorHAnsi" w:hAnsiTheme="majorHAnsi" w:cstheme="majorHAnsi"/>
          <w:b w:val="0"/>
          <w:noProof/>
        </w:rPr>
        <w:fldChar w:fldCharType="end"/>
      </w:r>
    </w:p>
    <w:p w14:paraId="688125D9" w14:textId="30E8167F"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3.3</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Networks at the institutional level</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_Toc416471897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11</w:t>
      </w:r>
      <w:r w:rsidRPr="00C654E0">
        <w:rPr>
          <w:rFonts w:asciiTheme="majorHAnsi" w:hAnsiTheme="majorHAnsi" w:cstheme="majorHAnsi"/>
          <w:b w:val="0"/>
          <w:noProof/>
        </w:rPr>
        <w:fldChar w:fldCharType="end"/>
      </w:r>
    </w:p>
    <w:p w14:paraId="3D95F330" w14:textId="553D7E30" w:rsidR="00F7785C" w:rsidRPr="00C654E0" w:rsidRDefault="00F7785C">
      <w:pPr>
        <w:pStyle w:val="TOC1"/>
        <w:tabs>
          <w:tab w:val="left" w:pos="431"/>
        </w:tabs>
        <w:rPr>
          <w:rFonts w:asciiTheme="majorHAnsi" w:hAnsiTheme="majorHAnsi" w:cstheme="majorHAnsi"/>
          <w:b w:val="0"/>
          <w:bCs w:val="0"/>
          <w:i w:val="0"/>
          <w:iCs w:val="0"/>
          <w:noProof/>
          <w:lang w:eastAsia="ja-JP"/>
        </w:rPr>
      </w:pPr>
      <w:r w:rsidRPr="00C654E0">
        <w:rPr>
          <w:rFonts w:asciiTheme="majorHAnsi" w:hAnsiTheme="majorHAnsi" w:cstheme="majorHAnsi"/>
          <w:b w:val="0"/>
          <w:noProof/>
          <w:lang w:val="en-GB"/>
        </w:rPr>
        <w:t>4.</w:t>
      </w:r>
      <w:r w:rsidRPr="00C654E0">
        <w:rPr>
          <w:rFonts w:asciiTheme="majorHAnsi" w:hAnsiTheme="majorHAnsi" w:cstheme="majorHAnsi"/>
          <w:b w:val="0"/>
          <w:bCs w:val="0"/>
          <w:i w:val="0"/>
          <w:iCs w:val="0"/>
          <w:noProof/>
          <w:lang w:eastAsia="ja-JP"/>
        </w:rPr>
        <w:tab/>
      </w:r>
      <w:r w:rsidRPr="00C654E0">
        <w:rPr>
          <w:rFonts w:asciiTheme="majorHAnsi" w:hAnsiTheme="majorHAnsi" w:cstheme="majorHAnsi"/>
          <w:b w:val="0"/>
          <w:noProof/>
          <w:lang w:val="en-GB"/>
        </w:rPr>
        <w:t>Determinants for successful internationalisation strategy</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_Toc416471898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12</w:t>
      </w:r>
      <w:r w:rsidRPr="00C654E0">
        <w:rPr>
          <w:rFonts w:asciiTheme="majorHAnsi" w:hAnsiTheme="majorHAnsi" w:cstheme="majorHAnsi"/>
          <w:b w:val="0"/>
          <w:noProof/>
        </w:rPr>
        <w:fldChar w:fldCharType="end"/>
      </w:r>
    </w:p>
    <w:p w14:paraId="3C9F4DDB" w14:textId="40DF1C00"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4.1</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The organisation of mobility, condition to spur internationalisation</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_Toc416471899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12</w:t>
      </w:r>
      <w:r w:rsidRPr="00C654E0">
        <w:rPr>
          <w:rFonts w:asciiTheme="majorHAnsi" w:hAnsiTheme="majorHAnsi" w:cstheme="majorHAnsi"/>
          <w:b w:val="0"/>
          <w:noProof/>
        </w:rPr>
        <w:fldChar w:fldCharType="end"/>
      </w:r>
    </w:p>
    <w:p w14:paraId="467AA718" w14:textId="5FB37420"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4.2</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Quality of mobility, a global request</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_Toc416471900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13</w:t>
      </w:r>
      <w:r w:rsidRPr="00C654E0">
        <w:rPr>
          <w:rFonts w:asciiTheme="majorHAnsi" w:hAnsiTheme="majorHAnsi" w:cstheme="majorHAnsi"/>
          <w:b w:val="0"/>
          <w:noProof/>
        </w:rPr>
        <w:fldChar w:fldCharType="end"/>
      </w:r>
    </w:p>
    <w:p w14:paraId="6A692A12" w14:textId="3BCEE90F"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4.3</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Measuring Mobility to ensure effectiveness of internationalisation and safeguard its quality</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_Toc416471901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15</w:t>
      </w:r>
      <w:r w:rsidRPr="00C654E0">
        <w:rPr>
          <w:rFonts w:asciiTheme="majorHAnsi" w:hAnsiTheme="majorHAnsi" w:cstheme="majorHAnsi"/>
          <w:b w:val="0"/>
          <w:noProof/>
        </w:rPr>
        <w:fldChar w:fldCharType="end"/>
      </w:r>
    </w:p>
    <w:p w14:paraId="5F7FD306" w14:textId="399C1E64" w:rsidR="00F7785C" w:rsidRPr="00C654E0" w:rsidRDefault="00F7785C">
      <w:pPr>
        <w:pStyle w:val="TOC1"/>
        <w:tabs>
          <w:tab w:val="left" w:pos="431"/>
        </w:tabs>
        <w:rPr>
          <w:rFonts w:asciiTheme="majorHAnsi" w:hAnsiTheme="majorHAnsi" w:cstheme="majorHAnsi"/>
          <w:b w:val="0"/>
          <w:bCs w:val="0"/>
          <w:i w:val="0"/>
          <w:iCs w:val="0"/>
          <w:noProof/>
          <w:lang w:eastAsia="ja-JP"/>
        </w:rPr>
      </w:pPr>
      <w:r w:rsidRPr="00C654E0">
        <w:rPr>
          <w:rFonts w:asciiTheme="majorHAnsi" w:hAnsiTheme="majorHAnsi" w:cstheme="majorHAnsi"/>
          <w:b w:val="0"/>
          <w:noProof/>
          <w:lang w:val="en-GB"/>
        </w:rPr>
        <w:t>5.</w:t>
      </w:r>
      <w:r w:rsidRPr="00C654E0">
        <w:rPr>
          <w:rFonts w:asciiTheme="majorHAnsi" w:hAnsiTheme="majorHAnsi" w:cstheme="majorHAnsi"/>
          <w:b w:val="0"/>
          <w:bCs w:val="0"/>
          <w:i w:val="0"/>
          <w:iCs w:val="0"/>
          <w:noProof/>
          <w:lang w:eastAsia="ja-JP"/>
        </w:rPr>
        <w:tab/>
      </w:r>
      <w:r w:rsidRPr="00C654E0">
        <w:rPr>
          <w:rFonts w:asciiTheme="majorHAnsi" w:hAnsiTheme="majorHAnsi" w:cstheme="majorHAnsi"/>
          <w:b w:val="0"/>
          <w:noProof/>
          <w:lang w:val="en-GB"/>
        </w:rPr>
        <w:t>Internationalisation strategy at a glance</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_Toc416471902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16</w:t>
      </w:r>
      <w:r w:rsidRPr="00C654E0">
        <w:rPr>
          <w:rFonts w:asciiTheme="majorHAnsi" w:hAnsiTheme="majorHAnsi" w:cstheme="majorHAnsi"/>
          <w:b w:val="0"/>
          <w:noProof/>
        </w:rPr>
        <w:fldChar w:fldCharType="end"/>
      </w:r>
    </w:p>
    <w:p w14:paraId="45CF68E4" w14:textId="7218988C"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5.1</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Argentina</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_Toc416471903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16</w:t>
      </w:r>
      <w:r w:rsidRPr="00C654E0">
        <w:rPr>
          <w:rFonts w:asciiTheme="majorHAnsi" w:hAnsiTheme="majorHAnsi" w:cstheme="majorHAnsi"/>
          <w:b w:val="0"/>
          <w:noProof/>
        </w:rPr>
        <w:fldChar w:fldCharType="end"/>
      </w:r>
    </w:p>
    <w:p w14:paraId="40F7D941" w14:textId="22E98FE9"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5.2</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Australia</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_Toc416471904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17</w:t>
      </w:r>
      <w:r w:rsidRPr="00C654E0">
        <w:rPr>
          <w:rFonts w:asciiTheme="majorHAnsi" w:hAnsiTheme="majorHAnsi" w:cstheme="majorHAnsi"/>
          <w:b w:val="0"/>
          <w:noProof/>
        </w:rPr>
        <w:fldChar w:fldCharType="end"/>
      </w:r>
    </w:p>
    <w:p w14:paraId="7F567810" w14:textId="17613171"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5.3</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China</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_Toc416471905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18</w:t>
      </w:r>
      <w:r w:rsidRPr="00C654E0">
        <w:rPr>
          <w:rFonts w:asciiTheme="majorHAnsi" w:hAnsiTheme="majorHAnsi" w:cstheme="majorHAnsi"/>
          <w:b w:val="0"/>
          <w:noProof/>
        </w:rPr>
        <w:fldChar w:fldCharType="end"/>
      </w:r>
    </w:p>
    <w:p w14:paraId="3348FBC5" w14:textId="0A0AF613"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5.4</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Poland</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_Toc416471906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20</w:t>
      </w:r>
      <w:r w:rsidRPr="00C654E0">
        <w:rPr>
          <w:rFonts w:asciiTheme="majorHAnsi" w:hAnsiTheme="majorHAnsi" w:cstheme="majorHAnsi"/>
          <w:b w:val="0"/>
          <w:noProof/>
        </w:rPr>
        <w:fldChar w:fldCharType="end"/>
      </w:r>
    </w:p>
    <w:p w14:paraId="11EF7515" w14:textId="450CC287"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5.5</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South Africa</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_Toc416471907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22</w:t>
      </w:r>
      <w:r w:rsidRPr="00C654E0">
        <w:rPr>
          <w:rFonts w:asciiTheme="majorHAnsi" w:hAnsiTheme="majorHAnsi" w:cstheme="majorHAnsi"/>
          <w:b w:val="0"/>
          <w:noProof/>
        </w:rPr>
        <w:fldChar w:fldCharType="end"/>
      </w:r>
    </w:p>
    <w:p w14:paraId="2A6B692B" w14:textId="3FD680DC"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5.6</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Other countries</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_Toc416471908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22</w:t>
      </w:r>
      <w:r w:rsidRPr="00C654E0">
        <w:rPr>
          <w:rFonts w:asciiTheme="majorHAnsi" w:hAnsiTheme="majorHAnsi" w:cstheme="majorHAnsi"/>
          <w:b w:val="0"/>
          <w:noProof/>
        </w:rPr>
        <w:fldChar w:fldCharType="end"/>
      </w:r>
    </w:p>
    <w:p w14:paraId="75AE557C" w14:textId="43357DB8" w:rsidR="00F7785C" w:rsidRPr="00C654E0" w:rsidRDefault="00F7785C">
      <w:pPr>
        <w:pStyle w:val="TOC1"/>
        <w:tabs>
          <w:tab w:val="left" w:pos="431"/>
        </w:tabs>
        <w:rPr>
          <w:rFonts w:asciiTheme="majorHAnsi" w:hAnsiTheme="majorHAnsi" w:cstheme="majorHAnsi"/>
          <w:b w:val="0"/>
          <w:bCs w:val="0"/>
          <w:i w:val="0"/>
          <w:iCs w:val="0"/>
          <w:noProof/>
          <w:lang w:eastAsia="ja-JP"/>
        </w:rPr>
      </w:pPr>
      <w:r w:rsidRPr="00C654E0">
        <w:rPr>
          <w:rFonts w:asciiTheme="majorHAnsi" w:hAnsiTheme="majorHAnsi" w:cstheme="majorHAnsi"/>
          <w:b w:val="0"/>
          <w:noProof/>
          <w:lang w:val="en-GB"/>
        </w:rPr>
        <w:t>6.</w:t>
      </w:r>
      <w:r w:rsidRPr="00C654E0">
        <w:rPr>
          <w:rFonts w:asciiTheme="majorHAnsi" w:hAnsiTheme="majorHAnsi" w:cstheme="majorHAnsi"/>
          <w:b w:val="0"/>
          <w:bCs w:val="0"/>
          <w:i w:val="0"/>
          <w:iCs w:val="0"/>
          <w:noProof/>
          <w:lang w:eastAsia="ja-JP"/>
        </w:rPr>
        <w:tab/>
      </w:r>
      <w:r w:rsidRPr="00C654E0">
        <w:rPr>
          <w:rFonts w:asciiTheme="majorHAnsi" w:hAnsiTheme="majorHAnsi" w:cstheme="majorHAnsi"/>
          <w:b w:val="0"/>
          <w:noProof/>
          <w:lang w:val="en-GB"/>
        </w:rPr>
        <w:t>Paving the way for enhanced mobility to Russia</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_Toc416471909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26</w:t>
      </w:r>
      <w:r w:rsidRPr="00C654E0">
        <w:rPr>
          <w:rFonts w:asciiTheme="majorHAnsi" w:hAnsiTheme="majorHAnsi" w:cstheme="majorHAnsi"/>
          <w:b w:val="0"/>
          <w:noProof/>
        </w:rPr>
        <w:fldChar w:fldCharType="end"/>
      </w:r>
    </w:p>
    <w:p w14:paraId="3C125F19" w14:textId="7EFB22AC"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6.1</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Summary of Russian challenges and potentialities as per internationalisation</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_Toc416471910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26</w:t>
      </w:r>
      <w:r w:rsidRPr="00C654E0">
        <w:rPr>
          <w:rFonts w:asciiTheme="majorHAnsi" w:hAnsiTheme="majorHAnsi" w:cstheme="majorHAnsi"/>
          <w:b w:val="0"/>
          <w:noProof/>
        </w:rPr>
        <w:fldChar w:fldCharType="end"/>
      </w:r>
    </w:p>
    <w:p w14:paraId="27D70F09" w14:textId="33224F19" w:rsidR="00F7785C" w:rsidRPr="00C654E0" w:rsidRDefault="00F7785C">
      <w:pPr>
        <w:pStyle w:val="TOC2"/>
        <w:tabs>
          <w:tab w:val="left" w:pos="792"/>
          <w:tab w:val="right" w:leader="underscore" w:pos="9004"/>
        </w:tabs>
        <w:rPr>
          <w:rFonts w:asciiTheme="majorHAnsi" w:hAnsiTheme="majorHAnsi" w:cstheme="majorHAnsi"/>
          <w:b w:val="0"/>
          <w:bCs w:val="0"/>
          <w:noProof/>
          <w:sz w:val="24"/>
          <w:szCs w:val="24"/>
          <w:lang w:eastAsia="ja-JP"/>
        </w:rPr>
      </w:pPr>
      <w:r w:rsidRPr="00C654E0">
        <w:rPr>
          <w:rFonts w:asciiTheme="majorHAnsi" w:hAnsiTheme="majorHAnsi" w:cstheme="majorHAnsi"/>
          <w:b w:val="0"/>
          <w:noProof/>
          <w:lang w:val="en-GB"/>
        </w:rPr>
        <w:t>6.2</w:t>
      </w:r>
      <w:r w:rsidRPr="00C654E0">
        <w:rPr>
          <w:rFonts w:asciiTheme="majorHAnsi" w:hAnsiTheme="majorHAnsi" w:cstheme="majorHAnsi"/>
          <w:b w:val="0"/>
          <w:bCs w:val="0"/>
          <w:noProof/>
          <w:sz w:val="24"/>
          <w:szCs w:val="24"/>
          <w:lang w:eastAsia="ja-JP"/>
        </w:rPr>
        <w:tab/>
      </w:r>
      <w:r w:rsidRPr="00C654E0">
        <w:rPr>
          <w:rFonts w:asciiTheme="majorHAnsi" w:hAnsiTheme="majorHAnsi" w:cstheme="majorHAnsi"/>
          <w:b w:val="0"/>
          <w:noProof/>
          <w:lang w:val="en-GB"/>
        </w:rPr>
        <w:t>Selection of drivers (out of the benchmark above) that might best fit to Russian context on HE and mobility.</w:t>
      </w:r>
      <w:r w:rsidRPr="00C654E0">
        <w:rPr>
          <w:rFonts w:asciiTheme="majorHAnsi" w:hAnsiTheme="majorHAnsi" w:cstheme="majorHAnsi"/>
          <w:b w:val="0"/>
          <w:noProof/>
        </w:rPr>
        <w:tab/>
      </w:r>
      <w:r w:rsidRPr="00C654E0">
        <w:rPr>
          <w:rFonts w:asciiTheme="majorHAnsi" w:hAnsiTheme="majorHAnsi" w:cstheme="majorHAnsi"/>
          <w:b w:val="0"/>
          <w:noProof/>
        </w:rPr>
        <w:fldChar w:fldCharType="begin"/>
      </w:r>
      <w:r w:rsidRPr="00C654E0">
        <w:rPr>
          <w:rFonts w:asciiTheme="majorHAnsi" w:hAnsiTheme="majorHAnsi" w:cstheme="majorHAnsi"/>
          <w:b w:val="0"/>
          <w:noProof/>
        </w:rPr>
        <w:instrText xml:space="preserve"> PAGEREF _Toc416471911 \h </w:instrText>
      </w:r>
      <w:r w:rsidRPr="00C654E0">
        <w:rPr>
          <w:rFonts w:asciiTheme="majorHAnsi" w:hAnsiTheme="majorHAnsi" w:cstheme="majorHAnsi"/>
          <w:b w:val="0"/>
          <w:noProof/>
        </w:rPr>
      </w:r>
      <w:r w:rsidRPr="00C654E0">
        <w:rPr>
          <w:rFonts w:asciiTheme="majorHAnsi" w:hAnsiTheme="majorHAnsi" w:cstheme="majorHAnsi"/>
          <w:b w:val="0"/>
          <w:noProof/>
        </w:rPr>
        <w:fldChar w:fldCharType="separate"/>
      </w:r>
      <w:r w:rsidR="00C654E0" w:rsidRPr="00C654E0">
        <w:rPr>
          <w:rFonts w:asciiTheme="majorHAnsi" w:hAnsiTheme="majorHAnsi" w:cstheme="majorHAnsi"/>
          <w:b w:val="0"/>
          <w:noProof/>
        </w:rPr>
        <w:t>28</w:t>
      </w:r>
      <w:r w:rsidRPr="00C654E0">
        <w:rPr>
          <w:rFonts w:asciiTheme="majorHAnsi" w:hAnsiTheme="majorHAnsi" w:cstheme="majorHAnsi"/>
          <w:b w:val="0"/>
          <w:noProof/>
        </w:rPr>
        <w:fldChar w:fldCharType="end"/>
      </w:r>
    </w:p>
    <w:p w14:paraId="3755D6CA" w14:textId="462A6819" w:rsidR="008A0C91" w:rsidRPr="00C654E0" w:rsidRDefault="002B1EA6">
      <w:pPr>
        <w:rPr>
          <w:rFonts w:asciiTheme="majorHAnsi" w:hAnsiTheme="majorHAnsi" w:cstheme="majorHAnsi"/>
          <w:sz w:val="20"/>
          <w:szCs w:val="20"/>
          <w:lang w:val="en-GB"/>
        </w:rPr>
      </w:pPr>
      <w:r w:rsidRPr="00C654E0">
        <w:rPr>
          <w:rFonts w:asciiTheme="majorHAnsi" w:hAnsiTheme="majorHAnsi" w:cstheme="majorHAnsi"/>
          <w:sz w:val="20"/>
          <w:szCs w:val="20"/>
          <w:lang w:val="en-GB"/>
        </w:rPr>
        <w:fldChar w:fldCharType="end"/>
      </w:r>
    </w:p>
    <w:p w14:paraId="76DA9264" w14:textId="3A2EF376" w:rsidR="008A0C91" w:rsidRPr="00F7785C" w:rsidRDefault="008A0C91">
      <w:pPr>
        <w:rPr>
          <w:rFonts w:asciiTheme="majorHAnsi" w:hAnsiTheme="majorHAnsi" w:cstheme="majorHAnsi"/>
          <w:lang w:val="en-GB"/>
        </w:rPr>
      </w:pPr>
      <w:r w:rsidRPr="00C654E0">
        <w:rPr>
          <w:rFonts w:asciiTheme="majorHAnsi" w:hAnsiTheme="majorHAnsi" w:cstheme="majorHAnsi"/>
          <w:sz w:val="20"/>
          <w:szCs w:val="20"/>
          <w:lang w:val="en-GB"/>
        </w:rPr>
        <w:br w:type="page"/>
      </w:r>
    </w:p>
    <w:p w14:paraId="363ED21B" w14:textId="77777777" w:rsidR="008A0C91" w:rsidRPr="00E45751" w:rsidRDefault="008A0C91" w:rsidP="008A0C91">
      <w:pPr>
        <w:rPr>
          <w:rFonts w:asciiTheme="majorHAnsi" w:hAnsiTheme="majorHAnsi" w:cstheme="majorHAnsi"/>
          <w:lang w:val="en-GB"/>
        </w:rPr>
      </w:pPr>
    </w:p>
    <w:p w14:paraId="6160C70A" w14:textId="6E0CB3E5" w:rsidR="00786B36" w:rsidRPr="00E45751" w:rsidRDefault="00D9485F" w:rsidP="008221AE">
      <w:pPr>
        <w:pStyle w:val="Heading1"/>
        <w:numPr>
          <w:ilvl w:val="0"/>
          <w:numId w:val="14"/>
        </w:numPr>
        <w:rPr>
          <w:rFonts w:cstheme="majorHAnsi"/>
          <w:lang w:val="en-GB"/>
        </w:rPr>
      </w:pPr>
      <w:bookmarkStart w:id="20" w:name="_Toc416471888"/>
      <w:r>
        <w:rPr>
          <w:rFonts w:cstheme="majorHAnsi"/>
          <w:lang w:val="en-GB"/>
        </w:rPr>
        <w:t>Introduction - M</w:t>
      </w:r>
      <w:r w:rsidR="008221AE" w:rsidRPr="00E45751">
        <w:rPr>
          <w:rFonts w:cstheme="majorHAnsi"/>
          <w:lang w:val="en-GB"/>
        </w:rPr>
        <w:t>ethodology</w:t>
      </w:r>
      <w:bookmarkEnd w:id="20"/>
    </w:p>
    <w:p w14:paraId="37CD8231" w14:textId="449D6C18" w:rsidR="008221AE" w:rsidRPr="00E45751" w:rsidRDefault="00786B36" w:rsidP="00E4538A">
      <w:pPr>
        <w:pStyle w:val="Heading2"/>
        <w:numPr>
          <w:ilvl w:val="1"/>
          <w:numId w:val="13"/>
        </w:numPr>
        <w:spacing w:after="120"/>
        <w:rPr>
          <w:rFonts w:cstheme="majorHAnsi"/>
          <w:lang w:val="en-GB"/>
        </w:rPr>
      </w:pPr>
      <w:bookmarkStart w:id="21" w:name="_Toc416471889"/>
      <w:r w:rsidRPr="00E45751">
        <w:rPr>
          <w:rFonts w:cstheme="majorHAnsi"/>
          <w:lang w:val="en-GB"/>
        </w:rPr>
        <w:t>Criteria for Effective and Efficient Internationalisation Policy</w:t>
      </w:r>
      <w:bookmarkEnd w:id="21"/>
    </w:p>
    <w:p w14:paraId="65587A7E" w14:textId="77777777" w:rsidR="0012248A" w:rsidRPr="0012248A" w:rsidRDefault="0012248A" w:rsidP="0012248A">
      <w:pPr>
        <w:spacing w:after="120"/>
        <w:jc w:val="both"/>
        <w:rPr>
          <w:rFonts w:asciiTheme="majorHAnsi" w:hAnsiTheme="majorHAnsi" w:cstheme="majorHAnsi"/>
          <w:sz w:val="22"/>
          <w:lang w:val="en-GB"/>
        </w:rPr>
      </w:pPr>
      <w:r w:rsidRPr="0012248A">
        <w:rPr>
          <w:rFonts w:asciiTheme="majorHAnsi" w:hAnsiTheme="majorHAnsi" w:cstheme="majorHAnsi"/>
          <w:sz w:val="22"/>
          <w:lang w:val="en-GB"/>
        </w:rPr>
        <w:t>This note was prepared within the ASA project, the objective of which was is to provide knowledge and advisory support to the Ministry of Higher Education and Science and to Russian regional universities on critical topics for higher education development. To implement this objective several knowledge-sharing activities were conducted for the Ministry and regional universities to support the implementation of a new National Project “Education”, using the most relevant and up to date international experience in higher education development.</w:t>
      </w:r>
    </w:p>
    <w:p w14:paraId="3E42C4E6" w14:textId="23FB5A36" w:rsidR="0012248A" w:rsidRDefault="0012248A" w:rsidP="0012248A">
      <w:pPr>
        <w:spacing w:after="120"/>
        <w:jc w:val="both"/>
        <w:rPr>
          <w:rFonts w:asciiTheme="majorHAnsi" w:hAnsiTheme="majorHAnsi" w:cstheme="majorHAnsi"/>
          <w:sz w:val="22"/>
          <w:lang w:val="en-GB"/>
        </w:rPr>
      </w:pPr>
      <w:r>
        <w:rPr>
          <w:rFonts w:asciiTheme="majorHAnsi" w:hAnsiTheme="majorHAnsi" w:cstheme="majorHAnsi"/>
          <w:sz w:val="22"/>
          <w:lang w:val="en-GB"/>
        </w:rPr>
        <w:t>Export of Higher Education</w:t>
      </w:r>
      <w:bookmarkStart w:id="22" w:name="_GoBack"/>
      <w:bookmarkEnd w:id="22"/>
      <w:r w:rsidRPr="0012248A">
        <w:rPr>
          <w:rFonts w:asciiTheme="majorHAnsi" w:hAnsiTheme="majorHAnsi" w:cstheme="majorHAnsi"/>
          <w:sz w:val="22"/>
          <w:lang w:val="en-GB"/>
        </w:rPr>
        <w:t xml:space="preserve"> is one of the areas, where Russian counterparts requested to share the most relevant global international expertise to support topics related to the National Project’s priorities. This expertise is of big interest and use of the Ministry of Higher Education and Science and leading Russian universities: participants of 5/100 project, National research universities, regional flagship universities and participants of university innovative infrastructure project.</w:t>
      </w:r>
    </w:p>
    <w:p w14:paraId="67A84503" w14:textId="22888000" w:rsidR="00DE22B3" w:rsidRPr="00E45751" w:rsidRDefault="00DE22B3"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This benchmark study focuses on examples of efficient and effective internationalisation policy </w:t>
      </w:r>
      <w:proofErr w:type="gramStart"/>
      <w:r w:rsidRPr="00E45751">
        <w:rPr>
          <w:rFonts w:asciiTheme="majorHAnsi" w:hAnsiTheme="majorHAnsi" w:cstheme="majorHAnsi"/>
          <w:sz w:val="22"/>
          <w:lang w:val="en-GB"/>
        </w:rPr>
        <w:t>in an attempt to</w:t>
      </w:r>
      <w:proofErr w:type="gramEnd"/>
      <w:r w:rsidRPr="00E45751">
        <w:rPr>
          <w:rFonts w:asciiTheme="majorHAnsi" w:hAnsiTheme="majorHAnsi" w:cstheme="majorHAnsi"/>
          <w:sz w:val="22"/>
          <w:lang w:val="en-GB"/>
        </w:rPr>
        <w:t xml:space="preserve"> propose a condensed list of best practices in internationalisation of higher education (HE) that have resulted in attracting </w:t>
      </w:r>
      <w:r w:rsidR="00BC24AE" w:rsidRPr="00E45751">
        <w:rPr>
          <w:rFonts w:asciiTheme="majorHAnsi" w:hAnsiTheme="majorHAnsi" w:cstheme="majorHAnsi"/>
          <w:sz w:val="22"/>
          <w:lang w:val="en-GB"/>
        </w:rPr>
        <w:t>international</w:t>
      </w:r>
      <w:r w:rsidRPr="00E45751">
        <w:rPr>
          <w:rFonts w:asciiTheme="majorHAnsi" w:hAnsiTheme="majorHAnsi" w:cstheme="majorHAnsi"/>
          <w:sz w:val="22"/>
          <w:lang w:val="en-GB"/>
        </w:rPr>
        <w:t xml:space="preserve"> students to national higher education institutions (HEIs). Although all internationalisation actions are intertwined</w:t>
      </w:r>
      <w:r w:rsidR="000D4F21" w:rsidRPr="00E45751">
        <w:rPr>
          <w:rFonts w:asciiTheme="majorHAnsi" w:hAnsiTheme="majorHAnsi" w:cstheme="majorHAnsi"/>
          <w:sz w:val="22"/>
          <w:lang w:val="en-GB"/>
        </w:rPr>
        <w:t xml:space="preserve">, this benchmark presents the </w:t>
      </w:r>
      <w:r w:rsidR="00F5301F" w:rsidRPr="00E45751">
        <w:rPr>
          <w:rFonts w:asciiTheme="majorHAnsi" w:hAnsiTheme="majorHAnsi" w:cstheme="majorHAnsi"/>
          <w:sz w:val="22"/>
          <w:lang w:val="en-GB"/>
        </w:rPr>
        <w:t>actions and policy choices that encourage and incentivise student mobility, with priority given to incoming mobility.</w:t>
      </w:r>
      <w:r w:rsidR="001D07EF" w:rsidRPr="00E45751">
        <w:rPr>
          <w:rFonts w:asciiTheme="majorHAnsi" w:hAnsiTheme="majorHAnsi" w:cstheme="majorHAnsi"/>
          <w:sz w:val="22"/>
          <w:lang w:val="en-GB"/>
        </w:rPr>
        <w:t xml:space="preserve"> This study does not focus on mistakes or barriers to promoting student mobility.</w:t>
      </w:r>
    </w:p>
    <w:p w14:paraId="39DBBC97" w14:textId="33277058" w:rsidR="00F968F1" w:rsidRPr="00E45751" w:rsidRDefault="00F5301F"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In selecting best practices to include in this benchmark, certain </w:t>
      </w:r>
      <w:r w:rsidR="001D07EF" w:rsidRPr="00E45751">
        <w:rPr>
          <w:rFonts w:asciiTheme="majorHAnsi" w:hAnsiTheme="majorHAnsi" w:cstheme="majorHAnsi"/>
          <w:sz w:val="22"/>
          <w:lang w:val="en-GB"/>
        </w:rPr>
        <w:t xml:space="preserve">clusters of </w:t>
      </w:r>
      <w:r w:rsidRPr="00E45751">
        <w:rPr>
          <w:rFonts w:asciiTheme="majorHAnsi" w:hAnsiTheme="majorHAnsi" w:cstheme="majorHAnsi"/>
          <w:sz w:val="22"/>
          <w:lang w:val="en-GB"/>
        </w:rPr>
        <w:t xml:space="preserve">criteria came to the forefront </w:t>
      </w:r>
      <w:r w:rsidR="001D07EF" w:rsidRPr="00E45751">
        <w:rPr>
          <w:rFonts w:asciiTheme="majorHAnsi" w:hAnsiTheme="majorHAnsi" w:cstheme="majorHAnsi"/>
          <w:sz w:val="22"/>
          <w:lang w:val="en-GB"/>
        </w:rPr>
        <w:t>that identified effective and efficient policies. Examples were selected based on the following list:</w:t>
      </w:r>
    </w:p>
    <w:p w14:paraId="53DE5E54" w14:textId="61380FC1" w:rsidR="00E504AB" w:rsidRPr="00E45751" w:rsidRDefault="00E504AB"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Evidence of an increase in number of international students in national HEIs</w:t>
      </w:r>
    </w:p>
    <w:p w14:paraId="14D59815" w14:textId="3EC14CCF" w:rsidR="00E504AB" w:rsidRPr="00E45751" w:rsidRDefault="00E504AB"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Evidence of a policy change to incentivise incoming mobility</w:t>
      </w:r>
    </w:p>
    <w:p w14:paraId="06B6F025" w14:textId="7806E43D" w:rsidR="001D07EF" w:rsidRPr="00E45751" w:rsidRDefault="001D07EF"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Presence of incentives </w:t>
      </w:r>
      <w:r w:rsidR="00110A9A" w:rsidRPr="00E45751">
        <w:rPr>
          <w:rFonts w:asciiTheme="majorHAnsi" w:hAnsiTheme="majorHAnsi" w:cstheme="majorHAnsi"/>
          <w:sz w:val="22"/>
          <w:lang w:val="en-GB"/>
        </w:rPr>
        <w:t>conducive to promoting student mobility at both the institutional and national levels</w:t>
      </w:r>
    </w:p>
    <w:p w14:paraId="6835EE61" w14:textId="2A60635D" w:rsidR="00110A9A" w:rsidRPr="00E45751" w:rsidRDefault="00110A9A"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Clear and transparent policy at both the institutional and national levels</w:t>
      </w:r>
    </w:p>
    <w:p w14:paraId="3B6EF2AB" w14:textId="35A657E6" w:rsidR="00110A9A" w:rsidRPr="00E45751" w:rsidRDefault="00110A9A"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Connection of national HE with international HE networks</w:t>
      </w:r>
    </w:p>
    <w:p w14:paraId="30A003C1" w14:textId="5EB49D5E" w:rsidR="00110A9A" w:rsidRPr="00E45751" w:rsidRDefault="00110A9A"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Involvement of other stakeholders (corporations, local communities, alumni)</w:t>
      </w:r>
    </w:p>
    <w:p w14:paraId="42B89633" w14:textId="77777777" w:rsidR="00A6764B" w:rsidRPr="00E45751" w:rsidRDefault="00110A9A"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Thoughtful organisation of mobility</w:t>
      </w:r>
      <w:r w:rsidR="00A6764B" w:rsidRPr="00E45751">
        <w:rPr>
          <w:rFonts w:asciiTheme="majorHAnsi" w:hAnsiTheme="majorHAnsi" w:cstheme="majorHAnsi"/>
          <w:sz w:val="22"/>
          <w:lang w:val="en-GB"/>
        </w:rPr>
        <w:t xml:space="preserve"> </w:t>
      </w:r>
    </w:p>
    <w:p w14:paraId="4986DDC8" w14:textId="3E66FADE" w:rsidR="00110A9A" w:rsidRPr="00E45751" w:rsidRDefault="00A6764B"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Appropriate funding for internationalisation efforts</w:t>
      </w:r>
    </w:p>
    <w:p w14:paraId="55F72995" w14:textId="2ADD5562" w:rsidR="00110A9A" w:rsidRPr="00E45751" w:rsidRDefault="00110A9A"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Development of quality assurance (QA) </w:t>
      </w:r>
      <w:r w:rsidR="00A6764B" w:rsidRPr="00E45751">
        <w:rPr>
          <w:rFonts w:asciiTheme="majorHAnsi" w:hAnsiTheme="majorHAnsi" w:cstheme="majorHAnsi"/>
          <w:sz w:val="22"/>
          <w:lang w:val="en-GB"/>
        </w:rPr>
        <w:t xml:space="preserve">system </w:t>
      </w:r>
      <w:r w:rsidRPr="00E45751">
        <w:rPr>
          <w:rFonts w:asciiTheme="majorHAnsi" w:hAnsiTheme="majorHAnsi" w:cstheme="majorHAnsi"/>
          <w:sz w:val="22"/>
          <w:lang w:val="en-GB"/>
        </w:rPr>
        <w:t>for mobility</w:t>
      </w:r>
    </w:p>
    <w:p w14:paraId="5F293C81" w14:textId="59E33AD7" w:rsidR="000E5F6B" w:rsidRPr="00E45751" w:rsidRDefault="00A6764B" w:rsidP="00216257">
      <w:pPr>
        <w:pStyle w:val="ListParagraph"/>
        <w:numPr>
          <w:ilvl w:val="0"/>
          <w:numId w:val="1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Presence of evaluation framework </w:t>
      </w:r>
      <w:r w:rsidR="0024200A" w:rsidRPr="00E45751">
        <w:rPr>
          <w:rFonts w:asciiTheme="majorHAnsi" w:hAnsiTheme="majorHAnsi" w:cstheme="majorHAnsi"/>
          <w:sz w:val="22"/>
          <w:lang w:val="en-GB"/>
        </w:rPr>
        <w:t>to examine effects of policy changes</w:t>
      </w:r>
    </w:p>
    <w:p w14:paraId="1C727E6B" w14:textId="5F8C4E2D" w:rsidR="00F968F1" w:rsidRPr="00E45751" w:rsidRDefault="008C6EFC"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The following benchmark addresses each </w:t>
      </w:r>
      <w:r w:rsidR="00546E9E" w:rsidRPr="00E45751">
        <w:rPr>
          <w:rFonts w:asciiTheme="majorHAnsi" w:hAnsiTheme="majorHAnsi" w:cstheme="majorHAnsi"/>
          <w:sz w:val="22"/>
          <w:lang w:val="en-GB"/>
        </w:rPr>
        <w:t>criterion</w:t>
      </w:r>
      <w:r w:rsidRPr="00E45751">
        <w:rPr>
          <w:rFonts w:asciiTheme="majorHAnsi" w:hAnsiTheme="majorHAnsi" w:cstheme="majorHAnsi"/>
          <w:sz w:val="22"/>
          <w:lang w:val="en-GB"/>
        </w:rPr>
        <w:t xml:space="preserve"> </w:t>
      </w:r>
      <w:r w:rsidR="00E319DD" w:rsidRPr="00E45751">
        <w:rPr>
          <w:rFonts w:asciiTheme="majorHAnsi" w:hAnsiTheme="majorHAnsi" w:cstheme="majorHAnsi"/>
          <w:sz w:val="22"/>
          <w:lang w:val="en-GB"/>
        </w:rPr>
        <w:t>and provides examples of best practices that have contributed to augmenting incoming international student mobility in different situations</w:t>
      </w:r>
      <w:r w:rsidR="00546E9E" w:rsidRPr="00E45751">
        <w:rPr>
          <w:rFonts w:asciiTheme="majorHAnsi" w:hAnsiTheme="majorHAnsi" w:cstheme="majorHAnsi"/>
          <w:sz w:val="22"/>
          <w:lang w:val="en-GB"/>
        </w:rPr>
        <w:t xml:space="preserve">. Several country case studies are also presented, demonstrating how these potential actions work in synergy to create a cohesive strategy for internationalisation and attraction of the best and brightest students to national HEIs. </w:t>
      </w:r>
    </w:p>
    <w:p w14:paraId="7CFCFCAA" w14:textId="6FD90376" w:rsidR="00786B36" w:rsidRPr="00E45751" w:rsidRDefault="00786B36" w:rsidP="00216257">
      <w:pPr>
        <w:pStyle w:val="Heading1"/>
        <w:numPr>
          <w:ilvl w:val="0"/>
          <w:numId w:val="14"/>
        </w:numPr>
        <w:jc w:val="both"/>
        <w:rPr>
          <w:rFonts w:cstheme="majorHAnsi"/>
          <w:lang w:val="en-GB"/>
        </w:rPr>
      </w:pPr>
      <w:bookmarkStart w:id="23" w:name="_Toc416471890"/>
      <w:r w:rsidRPr="00E45751">
        <w:rPr>
          <w:rFonts w:cstheme="majorHAnsi"/>
          <w:lang w:val="en-GB"/>
        </w:rPr>
        <w:t>Incentives conducive to student mobility</w:t>
      </w:r>
      <w:bookmarkEnd w:id="23"/>
    </w:p>
    <w:p w14:paraId="1A4D4DE8" w14:textId="0DF28AD3" w:rsidR="008221AE" w:rsidRPr="00E45751" w:rsidRDefault="00E4538A" w:rsidP="00216257">
      <w:pPr>
        <w:jc w:val="both"/>
        <w:rPr>
          <w:rFonts w:asciiTheme="majorHAnsi" w:hAnsiTheme="majorHAnsi" w:cstheme="majorHAnsi"/>
          <w:sz w:val="22"/>
          <w:lang w:val="en-GB"/>
        </w:rPr>
      </w:pPr>
      <w:r w:rsidRPr="00E45751">
        <w:rPr>
          <w:rFonts w:asciiTheme="majorHAnsi" w:hAnsiTheme="majorHAnsi" w:cstheme="majorHAnsi"/>
          <w:sz w:val="22"/>
          <w:lang w:val="en-GB"/>
        </w:rPr>
        <w:t xml:space="preserve">Incentives that attract individuals to a certain HE system or HEI are the most effective strategy for increasing incoming mobility. These incentives can be made at both the national and institutional </w:t>
      </w:r>
      <w:r w:rsidRPr="00E45751">
        <w:rPr>
          <w:rFonts w:asciiTheme="majorHAnsi" w:hAnsiTheme="majorHAnsi" w:cstheme="majorHAnsi"/>
          <w:sz w:val="22"/>
          <w:lang w:val="en-GB"/>
        </w:rPr>
        <w:lastRenderedPageBreak/>
        <w:t xml:space="preserve">levels. The following sections examine </w:t>
      </w:r>
      <w:r w:rsidR="00605D00" w:rsidRPr="00E45751">
        <w:rPr>
          <w:rFonts w:asciiTheme="majorHAnsi" w:hAnsiTheme="majorHAnsi" w:cstheme="majorHAnsi"/>
          <w:sz w:val="22"/>
          <w:lang w:val="en-GB"/>
        </w:rPr>
        <w:t>potential strategies that have proven to increase the incentive to study abroad in one country over another.</w:t>
      </w:r>
    </w:p>
    <w:p w14:paraId="25D7EA6C" w14:textId="2502D6D8" w:rsidR="008221AE" w:rsidRPr="00E45751" w:rsidRDefault="008221AE" w:rsidP="00216257">
      <w:pPr>
        <w:pStyle w:val="Heading2"/>
        <w:numPr>
          <w:ilvl w:val="1"/>
          <w:numId w:val="15"/>
        </w:numPr>
        <w:spacing w:after="120"/>
        <w:jc w:val="both"/>
        <w:rPr>
          <w:rFonts w:cstheme="majorHAnsi"/>
          <w:sz w:val="18"/>
          <w:szCs w:val="22"/>
          <w:lang w:val="en-GB"/>
        </w:rPr>
      </w:pPr>
      <w:bookmarkStart w:id="24" w:name="_Toc416471891"/>
      <w:r w:rsidRPr="00E45751">
        <w:rPr>
          <w:rFonts w:cstheme="majorHAnsi"/>
          <w:lang w:val="en-GB"/>
        </w:rPr>
        <w:t>Incentives to are conducive to student mobility on the individuals</w:t>
      </w:r>
      <w:bookmarkEnd w:id="24"/>
    </w:p>
    <w:p w14:paraId="10760776" w14:textId="69394832" w:rsidR="00786B36" w:rsidRPr="00E45751" w:rsidRDefault="00D015E0"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The most effective strategy of attracting international students to HEIs is providing irresistible incentives to study in a certain country. At the individual level, international students </w:t>
      </w:r>
      <w:r w:rsidR="00F82CF9" w:rsidRPr="00E45751">
        <w:rPr>
          <w:rFonts w:asciiTheme="majorHAnsi" w:hAnsiTheme="majorHAnsi" w:cstheme="majorHAnsi"/>
          <w:sz w:val="22"/>
          <w:lang w:val="en-GB"/>
        </w:rPr>
        <w:t>look for the most efficient option that maxi</w:t>
      </w:r>
      <w:r w:rsidR="000A12E5" w:rsidRPr="00E45751">
        <w:rPr>
          <w:rFonts w:asciiTheme="majorHAnsi" w:hAnsiTheme="majorHAnsi" w:cstheme="majorHAnsi"/>
          <w:sz w:val="22"/>
          <w:lang w:val="en-GB"/>
        </w:rPr>
        <w:t>mizes quality, price and qualifications received.</w:t>
      </w:r>
    </w:p>
    <w:p w14:paraId="0A6A6124" w14:textId="322D6E19" w:rsidR="00D66113" w:rsidRPr="00E45751" w:rsidRDefault="00DB2990" w:rsidP="00216257">
      <w:pPr>
        <w:spacing w:after="120"/>
        <w:jc w:val="both"/>
        <w:rPr>
          <w:rFonts w:asciiTheme="majorHAnsi" w:hAnsiTheme="majorHAnsi" w:cstheme="majorHAnsi"/>
          <w:sz w:val="22"/>
          <w:lang w:val="en-GB"/>
        </w:rPr>
      </w:pPr>
      <w:r w:rsidRPr="00E45751">
        <w:rPr>
          <w:rFonts w:asciiTheme="majorHAnsi" w:hAnsiTheme="majorHAnsi" w:cstheme="majorHAnsi"/>
          <w:b/>
          <w:sz w:val="22"/>
          <w:lang w:val="en-GB"/>
        </w:rPr>
        <w:t>Grants, scholarships, and fee waiving</w:t>
      </w:r>
      <w:r w:rsidRPr="00E45751">
        <w:rPr>
          <w:rFonts w:asciiTheme="majorHAnsi" w:hAnsiTheme="majorHAnsi" w:cstheme="majorHAnsi"/>
          <w:sz w:val="22"/>
          <w:lang w:val="en-GB"/>
        </w:rPr>
        <w:t xml:space="preserve"> for </w:t>
      </w:r>
      <w:r w:rsidR="00D66113" w:rsidRPr="00E45751">
        <w:rPr>
          <w:rFonts w:asciiTheme="majorHAnsi" w:hAnsiTheme="majorHAnsi" w:cstheme="majorHAnsi"/>
          <w:sz w:val="22"/>
          <w:lang w:val="en-GB"/>
        </w:rPr>
        <w:t xml:space="preserve">international applicants have all proven to increase foreign enrolment in national HEIs. China has developed attractive </w:t>
      </w:r>
      <w:r w:rsidR="00D66113" w:rsidRPr="00E45751">
        <w:rPr>
          <w:rFonts w:asciiTheme="majorHAnsi" w:hAnsiTheme="majorHAnsi" w:cstheme="majorHAnsi"/>
          <w:b/>
          <w:sz w:val="22"/>
          <w:lang w:val="en-GB"/>
        </w:rPr>
        <w:t>government scholarship packages</w:t>
      </w:r>
      <w:r w:rsidR="00D66113" w:rsidRPr="00E45751">
        <w:rPr>
          <w:rFonts w:asciiTheme="majorHAnsi" w:hAnsiTheme="majorHAnsi" w:cstheme="majorHAnsi"/>
          <w:sz w:val="22"/>
          <w:lang w:val="en-GB"/>
        </w:rPr>
        <w:t xml:space="preserve"> for international students and has </w:t>
      </w:r>
      <w:r w:rsidR="00D66113" w:rsidRPr="00E45751">
        <w:rPr>
          <w:rFonts w:asciiTheme="majorHAnsi" w:hAnsiTheme="majorHAnsi" w:cstheme="majorHAnsi"/>
          <w:b/>
          <w:sz w:val="22"/>
          <w:lang w:val="en-GB"/>
        </w:rPr>
        <w:t>increased financial aid</w:t>
      </w:r>
      <w:r w:rsidR="00D66113" w:rsidRPr="00E45751">
        <w:rPr>
          <w:rFonts w:asciiTheme="majorHAnsi" w:hAnsiTheme="majorHAnsi" w:cstheme="majorHAnsi"/>
          <w:sz w:val="22"/>
          <w:lang w:val="en-GB"/>
        </w:rPr>
        <w:t xml:space="preserve"> offered to students from developing countries, for example. Additionally, South Africa has ensured students from South African Development Community (SADC) countries pay </w:t>
      </w:r>
      <w:r w:rsidR="00D66113" w:rsidRPr="00E45751">
        <w:rPr>
          <w:rFonts w:asciiTheme="majorHAnsi" w:hAnsiTheme="majorHAnsi" w:cstheme="majorHAnsi"/>
          <w:b/>
          <w:sz w:val="22"/>
          <w:lang w:val="en-GB"/>
        </w:rPr>
        <w:t>the same tuition fees</w:t>
      </w:r>
      <w:r w:rsidR="00D66113" w:rsidRPr="00E45751">
        <w:rPr>
          <w:rFonts w:asciiTheme="majorHAnsi" w:hAnsiTheme="majorHAnsi" w:cstheme="majorHAnsi"/>
          <w:sz w:val="22"/>
          <w:lang w:val="en-GB"/>
        </w:rPr>
        <w:t xml:space="preserve"> as South African students, while students from other countries often pay higher fees, </w:t>
      </w:r>
      <w:proofErr w:type="gramStart"/>
      <w:r w:rsidR="00D66113" w:rsidRPr="00E45751">
        <w:rPr>
          <w:rFonts w:asciiTheme="majorHAnsi" w:hAnsiTheme="majorHAnsi" w:cstheme="majorHAnsi"/>
          <w:sz w:val="22"/>
          <w:lang w:val="en-GB"/>
        </w:rPr>
        <w:t>in order to</w:t>
      </w:r>
      <w:proofErr w:type="gramEnd"/>
      <w:r w:rsidR="00D66113" w:rsidRPr="00E45751">
        <w:rPr>
          <w:rFonts w:asciiTheme="majorHAnsi" w:hAnsiTheme="majorHAnsi" w:cstheme="majorHAnsi"/>
          <w:sz w:val="22"/>
          <w:lang w:val="en-GB"/>
        </w:rPr>
        <w:t xml:space="preserve"> encourage regional student mobility. Students respond positively to financial incentives that encourage studying abroad.</w:t>
      </w:r>
    </w:p>
    <w:p w14:paraId="640D81E0" w14:textId="0AFC44A9" w:rsidR="00942B97" w:rsidRPr="00E45751" w:rsidRDefault="00D66113" w:rsidP="00216257">
      <w:pPr>
        <w:spacing w:after="120"/>
        <w:jc w:val="both"/>
        <w:rPr>
          <w:rFonts w:asciiTheme="majorHAnsi" w:hAnsiTheme="majorHAnsi" w:cstheme="majorHAnsi"/>
          <w:sz w:val="22"/>
          <w:lang w:val="en-GB"/>
        </w:rPr>
      </w:pPr>
      <w:r w:rsidRPr="00E45751">
        <w:rPr>
          <w:rFonts w:asciiTheme="majorHAnsi" w:hAnsiTheme="majorHAnsi" w:cstheme="majorHAnsi"/>
          <w:b/>
          <w:sz w:val="22"/>
          <w:lang w:val="en-GB"/>
        </w:rPr>
        <w:t>Credit transfer and recognition of qualifications</w:t>
      </w:r>
      <w:r w:rsidRPr="00E45751">
        <w:rPr>
          <w:rFonts w:asciiTheme="majorHAnsi" w:hAnsiTheme="majorHAnsi" w:cstheme="majorHAnsi"/>
          <w:sz w:val="22"/>
          <w:lang w:val="en-GB"/>
        </w:rPr>
        <w:t xml:space="preserve"> has proved to be another important incentive that greatly encourages student mobility. </w:t>
      </w:r>
      <w:r w:rsidR="00467F25" w:rsidRPr="00E45751">
        <w:rPr>
          <w:rFonts w:asciiTheme="majorHAnsi" w:hAnsiTheme="majorHAnsi" w:cstheme="majorHAnsi"/>
          <w:sz w:val="22"/>
          <w:lang w:val="en-GB"/>
        </w:rPr>
        <w:t>Credit recognition</w:t>
      </w:r>
      <w:r w:rsidR="00436FF8" w:rsidRPr="00E45751">
        <w:rPr>
          <w:rFonts w:asciiTheme="majorHAnsi" w:hAnsiTheme="majorHAnsi" w:cstheme="majorHAnsi"/>
          <w:sz w:val="22"/>
          <w:lang w:val="en-GB"/>
        </w:rPr>
        <w:t xml:space="preserve"> is known to constitute a serious hurdle for </w:t>
      </w:r>
      <w:r w:rsidR="00051E6A" w:rsidRPr="00E45751">
        <w:rPr>
          <w:rFonts w:asciiTheme="majorHAnsi" w:hAnsiTheme="majorHAnsi" w:cstheme="majorHAnsi"/>
          <w:sz w:val="22"/>
          <w:lang w:val="en-GB"/>
        </w:rPr>
        <w:t xml:space="preserve">short-term </w:t>
      </w:r>
      <w:r w:rsidR="00436FF8" w:rsidRPr="00E45751">
        <w:rPr>
          <w:rFonts w:asciiTheme="majorHAnsi" w:hAnsiTheme="majorHAnsi" w:cstheme="majorHAnsi"/>
          <w:sz w:val="22"/>
          <w:lang w:val="en-GB"/>
        </w:rPr>
        <w:t>student mobility</w:t>
      </w:r>
      <w:r w:rsidR="00051E6A" w:rsidRPr="00E45751">
        <w:rPr>
          <w:rFonts w:asciiTheme="majorHAnsi" w:hAnsiTheme="majorHAnsi" w:cstheme="majorHAnsi"/>
          <w:sz w:val="22"/>
          <w:lang w:val="en-GB"/>
        </w:rPr>
        <w:t>, as classes taken during a semester abroad, for example, will not be recognized at the home university</w:t>
      </w:r>
      <w:r w:rsidR="00436FF8" w:rsidRPr="00E45751">
        <w:rPr>
          <w:rFonts w:asciiTheme="majorHAnsi" w:hAnsiTheme="majorHAnsi" w:cstheme="majorHAnsi"/>
          <w:sz w:val="22"/>
          <w:lang w:val="en-GB"/>
        </w:rPr>
        <w:t xml:space="preserve">. </w:t>
      </w:r>
      <w:r w:rsidR="00942B97" w:rsidRPr="00E45751">
        <w:rPr>
          <w:rFonts w:asciiTheme="majorHAnsi" w:hAnsiTheme="majorHAnsi" w:cstheme="majorHAnsi"/>
          <w:sz w:val="22"/>
          <w:lang w:val="en-GB"/>
        </w:rPr>
        <w:t xml:space="preserve">In the same vein, the absence of international recognition of qualifications and degrees prevents degree-seeking mobility, as graduates will be unable to </w:t>
      </w:r>
      <w:r w:rsidR="00593654" w:rsidRPr="00E45751">
        <w:rPr>
          <w:rFonts w:asciiTheme="majorHAnsi" w:hAnsiTheme="majorHAnsi" w:cstheme="majorHAnsi"/>
          <w:sz w:val="22"/>
          <w:lang w:val="en-GB"/>
        </w:rPr>
        <w:t xml:space="preserve">return to </w:t>
      </w:r>
      <w:r w:rsidR="00942B97" w:rsidRPr="00E45751">
        <w:rPr>
          <w:rFonts w:asciiTheme="majorHAnsi" w:hAnsiTheme="majorHAnsi" w:cstheme="majorHAnsi"/>
          <w:sz w:val="22"/>
          <w:lang w:val="en-GB"/>
        </w:rPr>
        <w:t xml:space="preserve">work </w:t>
      </w:r>
      <w:r w:rsidR="0093281B" w:rsidRPr="00E45751">
        <w:rPr>
          <w:rFonts w:asciiTheme="majorHAnsi" w:hAnsiTheme="majorHAnsi" w:cstheme="majorHAnsi"/>
          <w:sz w:val="22"/>
          <w:lang w:val="en-GB"/>
        </w:rPr>
        <w:t>at</w:t>
      </w:r>
      <w:r w:rsidR="00942B97" w:rsidRPr="00E45751">
        <w:rPr>
          <w:rFonts w:asciiTheme="majorHAnsi" w:hAnsiTheme="majorHAnsi" w:cstheme="majorHAnsi"/>
          <w:sz w:val="22"/>
          <w:lang w:val="en-GB"/>
        </w:rPr>
        <w:t xml:space="preserve"> home </w:t>
      </w:r>
      <w:r w:rsidR="0093281B" w:rsidRPr="00E45751">
        <w:rPr>
          <w:rFonts w:asciiTheme="majorHAnsi" w:hAnsiTheme="majorHAnsi" w:cstheme="majorHAnsi"/>
          <w:sz w:val="22"/>
          <w:lang w:val="en-GB"/>
        </w:rPr>
        <w:t>or in a third country</w:t>
      </w:r>
      <w:r w:rsidR="00942B97" w:rsidRPr="00E45751">
        <w:rPr>
          <w:rFonts w:asciiTheme="majorHAnsi" w:hAnsiTheme="majorHAnsi" w:cstheme="majorHAnsi"/>
          <w:sz w:val="22"/>
          <w:lang w:val="en-GB"/>
        </w:rPr>
        <w:t>.</w:t>
      </w:r>
      <w:r w:rsidR="0093281B" w:rsidRPr="00E45751">
        <w:rPr>
          <w:rFonts w:asciiTheme="majorHAnsi" w:hAnsiTheme="majorHAnsi" w:cstheme="majorHAnsi"/>
          <w:sz w:val="22"/>
          <w:lang w:val="en-GB"/>
        </w:rPr>
        <w:t xml:space="preserve"> When paired with barriers to working in the host country, this degree recognition becomes one of the most important incentives to student mobility.</w:t>
      </w:r>
      <w:r w:rsidR="00942B97" w:rsidRPr="00E45751">
        <w:rPr>
          <w:rFonts w:asciiTheme="majorHAnsi" w:hAnsiTheme="majorHAnsi" w:cstheme="majorHAnsi"/>
          <w:sz w:val="22"/>
          <w:lang w:val="en-GB"/>
        </w:rPr>
        <w:t xml:space="preserve"> </w:t>
      </w:r>
      <w:r w:rsidR="00051E6A" w:rsidRPr="00E45751">
        <w:rPr>
          <w:rFonts w:asciiTheme="majorHAnsi" w:hAnsiTheme="majorHAnsi" w:cstheme="majorHAnsi"/>
          <w:sz w:val="22"/>
          <w:lang w:val="en-GB"/>
        </w:rPr>
        <w:t>Therefore, d</w:t>
      </w:r>
      <w:r w:rsidR="00436FF8" w:rsidRPr="00E45751">
        <w:rPr>
          <w:rFonts w:asciiTheme="majorHAnsi" w:hAnsiTheme="majorHAnsi" w:cstheme="majorHAnsi"/>
          <w:sz w:val="22"/>
          <w:lang w:val="en-GB"/>
        </w:rPr>
        <w:t xml:space="preserve">eveloping a </w:t>
      </w:r>
      <w:r w:rsidR="00436FF8" w:rsidRPr="00E45751">
        <w:rPr>
          <w:rFonts w:asciiTheme="majorHAnsi" w:hAnsiTheme="majorHAnsi" w:cstheme="majorHAnsi"/>
          <w:b/>
          <w:sz w:val="22"/>
          <w:lang w:val="en-GB"/>
        </w:rPr>
        <w:t>Credit Transfer System</w:t>
      </w:r>
      <w:r w:rsidR="00051E6A" w:rsidRPr="00E45751">
        <w:rPr>
          <w:rFonts w:asciiTheme="majorHAnsi" w:hAnsiTheme="majorHAnsi" w:cstheme="majorHAnsi"/>
          <w:b/>
          <w:sz w:val="22"/>
          <w:lang w:val="en-GB"/>
        </w:rPr>
        <w:t xml:space="preserve"> (CTS)</w:t>
      </w:r>
      <w:r w:rsidR="00942B97" w:rsidRPr="00E45751">
        <w:rPr>
          <w:rFonts w:asciiTheme="majorHAnsi" w:hAnsiTheme="majorHAnsi" w:cstheme="majorHAnsi"/>
          <w:sz w:val="22"/>
          <w:lang w:val="en-GB"/>
        </w:rPr>
        <w:t xml:space="preserve"> and a </w:t>
      </w:r>
      <w:r w:rsidR="00942B97" w:rsidRPr="00E45751">
        <w:rPr>
          <w:rFonts w:asciiTheme="majorHAnsi" w:hAnsiTheme="majorHAnsi" w:cstheme="majorHAnsi"/>
          <w:b/>
          <w:sz w:val="22"/>
          <w:lang w:val="en-GB"/>
        </w:rPr>
        <w:t>system of degree and qualification recognition</w:t>
      </w:r>
      <w:r w:rsidR="00942B97" w:rsidRPr="00E45751">
        <w:rPr>
          <w:rFonts w:asciiTheme="majorHAnsi" w:hAnsiTheme="majorHAnsi" w:cstheme="majorHAnsi"/>
          <w:sz w:val="22"/>
          <w:lang w:val="en-GB"/>
        </w:rPr>
        <w:t xml:space="preserve"> facilitate</w:t>
      </w:r>
      <w:r w:rsidR="00593654" w:rsidRPr="00E45751">
        <w:rPr>
          <w:rFonts w:asciiTheme="majorHAnsi" w:hAnsiTheme="majorHAnsi" w:cstheme="majorHAnsi"/>
          <w:sz w:val="22"/>
          <w:lang w:val="en-GB"/>
        </w:rPr>
        <w:t>s</w:t>
      </w:r>
      <w:r w:rsidR="00051E6A" w:rsidRPr="00E45751">
        <w:rPr>
          <w:rFonts w:asciiTheme="majorHAnsi" w:hAnsiTheme="majorHAnsi" w:cstheme="majorHAnsi"/>
          <w:sz w:val="22"/>
          <w:lang w:val="en-GB"/>
        </w:rPr>
        <w:t xml:space="preserve"> the process of international exchange </w:t>
      </w:r>
      <w:r w:rsidR="00942B97" w:rsidRPr="00E45751">
        <w:rPr>
          <w:rFonts w:asciiTheme="majorHAnsi" w:hAnsiTheme="majorHAnsi" w:cstheme="majorHAnsi"/>
          <w:sz w:val="22"/>
          <w:lang w:val="en-GB"/>
        </w:rPr>
        <w:t>and boost</w:t>
      </w:r>
      <w:r w:rsidRPr="00E45751">
        <w:rPr>
          <w:rFonts w:asciiTheme="majorHAnsi" w:hAnsiTheme="majorHAnsi" w:cstheme="majorHAnsi"/>
          <w:sz w:val="22"/>
          <w:lang w:val="en-GB"/>
        </w:rPr>
        <w:t>s</w:t>
      </w:r>
      <w:r w:rsidR="00051E6A" w:rsidRPr="00E45751">
        <w:rPr>
          <w:rFonts w:asciiTheme="majorHAnsi" w:hAnsiTheme="majorHAnsi" w:cstheme="majorHAnsi"/>
          <w:sz w:val="22"/>
          <w:lang w:val="en-GB"/>
        </w:rPr>
        <w:t xml:space="preserve"> mobility</w:t>
      </w:r>
      <w:r w:rsidR="00436FF8" w:rsidRPr="00E45751">
        <w:rPr>
          <w:rFonts w:asciiTheme="majorHAnsi" w:hAnsiTheme="majorHAnsi" w:cstheme="majorHAnsi"/>
          <w:sz w:val="22"/>
          <w:lang w:val="en-GB"/>
        </w:rPr>
        <w:t xml:space="preserve"> </w:t>
      </w:r>
      <w:r w:rsidR="00051E6A" w:rsidRPr="00E45751">
        <w:rPr>
          <w:rFonts w:asciiTheme="majorHAnsi" w:hAnsiTheme="majorHAnsi" w:cstheme="majorHAnsi"/>
          <w:sz w:val="22"/>
          <w:lang w:val="en-GB"/>
        </w:rPr>
        <w:t xml:space="preserve">as </w:t>
      </w:r>
      <w:r w:rsidR="00593654" w:rsidRPr="00E45751">
        <w:rPr>
          <w:rFonts w:asciiTheme="majorHAnsi" w:hAnsiTheme="majorHAnsi" w:cstheme="majorHAnsi"/>
          <w:sz w:val="22"/>
          <w:lang w:val="en-GB"/>
        </w:rPr>
        <w:t>both systems remove barriers and</w:t>
      </w:r>
      <w:r w:rsidR="00942B97" w:rsidRPr="00E45751">
        <w:rPr>
          <w:rFonts w:asciiTheme="majorHAnsi" w:hAnsiTheme="majorHAnsi" w:cstheme="majorHAnsi"/>
          <w:sz w:val="22"/>
          <w:lang w:val="en-GB"/>
        </w:rPr>
        <w:t xml:space="preserve"> provide major incentive</w:t>
      </w:r>
      <w:r w:rsidR="00593654" w:rsidRPr="00E45751">
        <w:rPr>
          <w:rFonts w:asciiTheme="majorHAnsi" w:hAnsiTheme="majorHAnsi" w:cstheme="majorHAnsi"/>
          <w:sz w:val="22"/>
          <w:lang w:val="en-GB"/>
        </w:rPr>
        <w:t>s</w:t>
      </w:r>
      <w:r w:rsidR="00942B97" w:rsidRPr="00E45751">
        <w:rPr>
          <w:rFonts w:asciiTheme="majorHAnsi" w:hAnsiTheme="majorHAnsi" w:cstheme="majorHAnsi"/>
          <w:sz w:val="22"/>
          <w:lang w:val="en-GB"/>
        </w:rPr>
        <w:t xml:space="preserve"> to studying abroad.</w:t>
      </w:r>
    </w:p>
    <w:p w14:paraId="7CA2770D" w14:textId="683274E7" w:rsidR="00942B97" w:rsidRPr="00E45751" w:rsidRDefault="00051E6A"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An example of </w:t>
      </w:r>
      <w:r w:rsidR="00593654" w:rsidRPr="00E45751">
        <w:rPr>
          <w:rFonts w:asciiTheme="majorHAnsi" w:hAnsiTheme="majorHAnsi" w:cstheme="majorHAnsi"/>
          <w:sz w:val="22"/>
          <w:lang w:val="en-GB"/>
        </w:rPr>
        <w:t>efforts to boost mobility through recognition incentives</w:t>
      </w:r>
      <w:r w:rsidRPr="00E45751">
        <w:rPr>
          <w:rFonts w:asciiTheme="majorHAnsi" w:hAnsiTheme="majorHAnsi" w:cstheme="majorHAnsi"/>
          <w:sz w:val="22"/>
          <w:lang w:val="en-GB"/>
        </w:rPr>
        <w:t xml:space="preserve"> </w:t>
      </w:r>
      <w:r w:rsidR="00345794" w:rsidRPr="00E45751">
        <w:rPr>
          <w:rFonts w:asciiTheme="majorHAnsi" w:hAnsiTheme="majorHAnsi" w:cstheme="majorHAnsi"/>
          <w:sz w:val="22"/>
          <w:lang w:val="en-GB"/>
        </w:rPr>
        <w:t xml:space="preserve">is the </w:t>
      </w:r>
      <w:r w:rsidR="00345794" w:rsidRPr="00E45751">
        <w:rPr>
          <w:rFonts w:asciiTheme="majorHAnsi" w:hAnsiTheme="majorHAnsi" w:cstheme="majorHAnsi"/>
          <w:b/>
          <w:sz w:val="22"/>
          <w:lang w:val="en-GB"/>
        </w:rPr>
        <w:t>SHARE project</w:t>
      </w:r>
      <w:r w:rsidR="00345794" w:rsidRPr="00E45751">
        <w:rPr>
          <w:rFonts w:asciiTheme="majorHAnsi" w:hAnsiTheme="majorHAnsi" w:cstheme="majorHAnsi"/>
          <w:sz w:val="22"/>
          <w:lang w:val="en-GB"/>
        </w:rPr>
        <w:t xml:space="preserve"> in the ASEAN region, which aims to strengthen regional cooperation and enhance the quality, competitiveness and internationalisation of ASEAN HE systems, institutions and students.</w:t>
      </w:r>
      <w:r w:rsidR="00942B97" w:rsidRPr="00E45751">
        <w:rPr>
          <w:rFonts w:asciiTheme="majorHAnsi" w:hAnsiTheme="majorHAnsi" w:cstheme="majorHAnsi"/>
          <w:sz w:val="22"/>
          <w:lang w:val="en-GB"/>
        </w:rPr>
        <w:t xml:space="preserve"> One key objective of this cooperation is to create a working CTS that incentivizes mobility, as well as a system of recognition of qualifications and a regional framework for quality assurance.</w:t>
      </w:r>
      <w:r w:rsidR="00345794" w:rsidRPr="00E45751">
        <w:rPr>
          <w:rStyle w:val="FootnoteReference"/>
          <w:rFonts w:asciiTheme="majorHAnsi" w:hAnsiTheme="majorHAnsi" w:cstheme="majorHAnsi"/>
          <w:sz w:val="22"/>
          <w:lang w:val="en-GB"/>
        </w:rPr>
        <w:footnoteReference w:id="1"/>
      </w:r>
      <w:r w:rsidR="00593654" w:rsidRPr="00E45751">
        <w:rPr>
          <w:rFonts w:asciiTheme="majorHAnsi" w:hAnsiTheme="majorHAnsi" w:cstheme="majorHAnsi"/>
          <w:sz w:val="22"/>
          <w:lang w:val="en-GB"/>
        </w:rPr>
        <w:t xml:space="preserve"> The SHARE project will be presented in more detail </w:t>
      </w:r>
      <w:proofErr w:type="gramStart"/>
      <w:r w:rsidR="00593654" w:rsidRPr="00E45751">
        <w:rPr>
          <w:rFonts w:asciiTheme="majorHAnsi" w:hAnsiTheme="majorHAnsi" w:cstheme="majorHAnsi"/>
          <w:sz w:val="22"/>
          <w:lang w:val="en-GB"/>
        </w:rPr>
        <w:t>later on</w:t>
      </w:r>
      <w:proofErr w:type="gramEnd"/>
      <w:r w:rsidR="00593654" w:rsidRPr="00E45751">
        <w:rPr>
          <w:rFonts w:asciiTheme="majorHAnsi" w:hAnsiTheme="majorHAnsi" w:cstheme="majorHAnsi"/>
          <w:sz w:val="22"/>
          <w:lang w:val="en-GB"/>
        </w:rPr>
        <w:t>, as it shows the complicated and interconnected nature of regional mobility in HE.</w:t>
      </w:r>
    </w:p>
    <w:p w14:paraId="5B67AEF3" w14:textId="747BEC03" w:rsidR="00FF484F" w:rsidRPr="00E45751" w:rsidRDefault="00FF484F" w:rsidP="00216257">
      <w:pPr>
        <w:shd w:val="clear" w:color="auto" w:fill="FDE9D9" w:themeFill="accent6" w:themeFillTint="33"/>
        <w:ind w:left="709"/>
        <w:jc w:val="both"/>
        <w:rPr>
          <w:rFonts w:asciiTheme="majorHAnsi" w:hAnsiTheme="majorHAnsi" w:cstheme="majorHAnsi"/>
          <w:b/>
          <w:sz w:val="20"/>
          <w:szCs w:val="20"/>
          <w:lang w:val="en-GB"/>
        </w:rPr>
      </w:pPr>
      <w:r w:rsidRPr="00E45751">
        <w:rPr>
          <w:rFonts w:asciiTheme="majorHAnsi" w:hAnsiTheme="majorHAnsi" w:cstheme="majorHAnsi"/>
          <w:b/>
          <w:sz w:val="20"/>
          <w:szCs w:val="20"/>
          <w:lang w:val="en-GB"/>
        </w:rPr>
        <w:t>SHARE -ASEAN – Supporting Higher Education</w:t>
      </w:r>
      <w:r w:rsidR="00A353D9" w:rsidRPr="00E45751">
        <w:rPr>
          <w:rFonts w:asciiTheme="majorHAnsi" w:hAnsiTheme="majorHAnsi" w:cstheme="majorHAnsi"/>
          <w:b/>
          <w:sz w:val="20"/>
          <w:szCs w:val="20"/>
          <w:lang w:val="en-GB"/>
        </w:rPr>
        <w:t xml:space="preserve"> Area </w:t>
      </w:r>
      <w:r w:rsidRPr="00E45751">
        <w:rPr>
          <w:rFonts w:asciiTheme="majorHAnsi" w:hAnsiTheme="majorHAnsi" w:cstheme="majorHAnsi"/>
          <w:b/>
          <w:sz w:val="20"/>
          <w:szCs w:val="20"/>
          <w:lang w:val="en-GB"/>
        </w:rPr>
        <w:t xml:space="preserve"> </w:t>
      </w:r>
    </w:p>
    <w:p w14:paraId="2125541A" w14:textId="1DF11762" w:rsidR="00A353D9" w:rsidRPr="00E45751" w:rsidRDefault="00FF484F" w:rsidP="00216257">
      <w:pPr>
        <w:shd w:val="clear" w:color="auto" w:fill="FDE9D9" w:themeFill="accent6" w:themeFillTint="33"/>
        <w:ind w:left="709"/>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Officially launched in May 2015, SHARE is a €10 million European Union (EU) grant funded programme. From 2016 onwards, SHARE will be providing some 500 scholarships for ASEAN university students to put the improved systems to the test, mainly by supporting student exchange and credit recognition within the ASEAN region. ASEAN is working with a consortium led b</w:t>
      </w:r>
      <w:r w:rsidR="00D9485F">
        <w:rPr>
          <w:rFonts w:asciiTheme="majorHAnsi" w:hAnsiTheme="majorHAnsi" w:cstheme="majorHAnsi"/>
          <w:sz w:val="20"/>
          <w:szCs w:val="20"/>
          <w:lang w:val="en-GB"/>
        </w:rPr>
        <w:t>y British Council and comprised of</w:t>
      </w:r>
      <w:r w:rsidRPr="00E45751">
        <w:rPr>
          <w:rFonts w:asciiTheme="majorHAnsi" w:hAnsiTheme="majorHAnsi" w:cstheme="majorHAnsi"/>
          <w:sz w:val="20"/>
          <w:szCs w:val="20"/>
          <w:lang w:val="en-GB"/>
        </w:rPr>
        <w:t xml:space="preserve"> the DAAD, </w:t>
      </w:r>
      <w:proofErr w:type="spellStart"/>
      <w:r w:rsidRPr="00E45751">
        <w:rPr>
          <w:rFonts w:asciiTheme="majorHAnsi" w:hAnsiTheme="majorHAnsi" w:cstheme="majorHAnsi"/>
          <w:sz w:val="20"/>
          <w:szCs w:val="20"/>
          <w:lang w:val="en-GB"/>
        </w:rPr>
        <w:t>Nuffic</w:t>
      </w:r>
      <w:proofErr w:type="spellEnd"/>
      <w:r w:rsidRPr="00E45751">
        <w:rPr>
          <w:rFonts w:asciiTheme="majorHAnsi" w:hAnsiTheme="majorHAnsi" w:cstheme="majorHAnsi"/>
          <w:sz w:val="20"/>
          <w:szCs w:val="20"/>
          <w:lang w:val="en-GB"/>
        </w:rPr>
        <w:t>, Campus France, ENQA and EUA between 2015 and 2018 to implement SHARE.</w:t>
      </w:r>
      <w:r w:rsidR="00A353D9" w:rsidRPr="00E45751">
        <w:rPr>
          <w:rFonts w:asciiTheme="majorHAnsi" w:hAnsiTheme="majorHAnsi" w:cstheme="majorHAnsi"/>
          <w:sz w:val="20"/>
          <w:szCs w:val="20"/>
          <w:lang w:val="en-GB"/>
        </w:rPr>
        <w:t xml:space="preserve"> </w:t>
      </w:r>
    </w:p>
    <w:p w14:paraId="363D2B17" w14:textId="19F07DDE" w:rsidR="00A353D9" w:rsidRPr="00E45751" w:rsidRDefault="00A353D9" w:rsidP="00216257">
      <w:pPr>
        <w:shd w:val="clear" w:color="auto" w:fill="FDE9D9" w:themeFill="accent6" w:themeFillTint="33"/>
        <w:ind w:left="709"/>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The cornerstone to guaranteeing a sustainable and efficient CTS system in ASEAN is to ensure mutual trust between the Higher Education Institutions in the ASEAN region and between ASEAN and the EU. Experience from Europe shows that the instrumental value of the credit for mobility purposes is high when credits are associated to the learning outcomes. The challenge is therefore to harmonise the system </w:t>
      </w:r>
      <w:proofErr w:type="gramStart"/>
      <w:r w:rsidRPr="00E45751">
        <w:rPr>
          <w:rFonts w:asciiTheme="majorHAnsi" w:hAnsiTheme="majorHAnsi" w:cstheme="majorHAnsi"/>
          <w:sz w:val="20"/>
          <w:szCs w:val="20"/>
          <w:lang w:val="en-GB"/>
        </w:rPr>
        <w:t>in order to</w:t>
      </w:r>
      <w:proofErr w:type="gramEnd"/>
      <w:r w:rsidRPr="00E45751">
        <w:rPr>
          <w:rFonts w:asciiTheme="majorHAnsi" w:hAnsiTheme="majorHAnsi" w:cstheme="majorHAnsi"/>
          <w:sz w:val="20"/>
          <w:szCs w:val="20"/>
          <w:lang w:val="en-GB"/>
        </w:rPr>
        <w:t xml:space="preserve"> have comparable and transferrable credits in ASEAN that are based on commonly recognised learning outcomes. </w:t>
      </w:r>
      <w:hyperlink r:id="rId7" w:history="1">
        <w:r w:rsidRPr="00E45751">
          <w:rPr>
            <w:rStyle w:val="Hyperlink"/>
            <w:rFonts w:asciiTheme="majorHAnsi" w:hAnsiTheme="majorHAnsi" w:cstheme="majorHAnsi"/>
            <w:b/>
            <w:bCs/>
            <w:sz w:val="20"/>
            <w:szCs w:val="20"/>
            <w:lang w:val="en-GB"/>
          </w:rPr>
          <w:t>CTS handbook for institutions</w:t>
        </w:r>
      </w:hyperlink>
      <w:r w:rsidRPr="00E45751">
        <w:rPr>
          <w:rFonts w:asciiTheme="majorHAnsi" w:hAnsiTheme="majorHAnsi" w:cstheme="majorHAnsi"/>
          <w:sz w:val="20"/>
          <w:szCs w:val="20"/>
          <w:lang w:val="en-GB"/>
        </w:rPr>
        <w:t xml:space="preserve"> and the </w:t>
      </w:r>
      <w:hyperlink r:id="rId8" w:history="1">
        <w:r w:rsidRPr="00E45751">
          <w:rPr>
            <w:rStyle w:val="Hyperlink"/>
            <w:rFonts w:asciiTheme="majorHAnsi" w:hAnsiTheme="majorHAnsi" w:cstheme="majorHAnsi"/>
            <w:b/>
            <w:bCs/>
            <w:sz w:val="20"/>
            <w:szCs w:val="20"/>
            <w:lang w:val="en-GB"/>
          </w:rPr>
          <w:t>SHARE Platform</w:t>
        </w:r>
      </w:hyperlink>
      <w:r w:rsidRPr="00E45751">
        <w:rPr>
          <w:rFonts w:asciiTheme="majorHAnsi" w:hAnsiTheme="majorHAnsi" w:cstheme="majorHAnsi"/>
          <w:sz w:val="20"/>
          <w:szCs w:val="20"/>
          <w:lang w:val="en-GB"/>
        </w:rPr>
        <w:t xml:space="preserve"> to manage mobility and the application </w:t>
      </w:r>
      <w:hyperlink r:id="rId9" w:history="1">
        <w:r w:rsidRPr="00E45751">
          <w:rPr>
            <w:rStyle w:val="Hyperlink"/>
            <w:rFonts w:asciiTheme="majorHAnsi" w:hAnsiTheme="majorHAnsi" w:cstheme="majorHAnsi"/>
            <w:b/>
            <w:bCs/>
            <w:sz w:val="20"/>
            <w:szCs w:val="20"/>
            <w:lang w:val="en-GB"/>
          </w:rPr>
          <w:t>Credit converter</w:t>
        </w:r>
      </w:hyperlink>
      <w:r w:rsidRPr="00E45751">
        <w:rPr>
          <w:rFonts w:asciiTheme="majorHAnsi" w:hAnsiTheme="majorHAnsi" w:cstheme="majorHAnsi"/>
          <w:sz w:val="20"/>
          <w:szCs w:val="20"/>
          <w:lang w:val="en-GB"/>
        </w:rPr>
        <w:t xml:space="preserve"> are available online. </w:t>
      </w:r>
    </w:p>
    <w:p w14:paraId="3A196685" w14:textId="4B243720" w:rsidR="00A353D9" w:rsidRPr="00E45751" w:rsidRDefault="00A353D9" w:rsidP="00216257">
      <w:pPr>
        <w:ind w:left="709"/>
        <w:jc w:val="both"/>
        <w:rPr>
          <w:rFonts w:asciiTheme="majorHAnsi" w:hAnsiTheme="majorHAnsi" w:cstheme="majorHAnsi"/>
          <w:lang w:val="en-GB"/>
        </w:rPr>
      </w:pPr>
      <w:r w:rsidRPr="00E45751">
        <w:rPr>
          <w:rFonts w:asciiTheme="majorHAnsi" w:hAnsiTheme="majorHAnsi" w:cstheme="majorHAnsi"/>
          <w:noProof/>
        </w:rPr>
        <w:lastRenderedPageBreak/>
        <w:drawing>
          <wp:inline distT="0" distB="0" distL="0" distR="0" wp14:anchorId="4763AFE6" wp14:editId="40B03A6F">
            <wp:extent cx="5282195" cy="288290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3-26 à 13.26.00.png"/>
                    <pic:cNvPicPr/>
                  </pic:nvPicPr>
                  <pic:blipFill>
                    <a:blip r:embed="rId10"/>
                    <a:stretch>
                      <a:fillRect/>
                    </a:stretch>
                  </pic:blipFill>
                  <pic:spPr>
                    <a:xfrm>
                      <a:off x="0" y="0"/>
                      <a:ext cx="5341337" cy="2915178"/>
                    </a:xfrm>
                    <a:prstGeom prst="rect">
                      <a:avLst/>
                    </a:prstGeom>
                  </pic:spPr>
                </pic:pic>
              </a:graphicData>
            </a:graphic>
          </wp:inline>
        </w:drawing>
      </w:r>
    </w:p>
    <w:p w14:paraId="717605F1" w14:textId="77777777" w:rsidR="00A353D9" w:rsidRPr="00E45751" w:rsidRDefault="00A353D9" w:rsidP="00216257">
      <w:pPr>
        <w:jc w:val="both"/>
        <w:rPr>
          <w:rFonts w:asciiTheme="majorHAnsi" w:hAnsiTheme="majorHAnsi" w:cstheme="majorHAnsi"/>
          <w:lang w:val="en-GB"/>
        </w:rPr>
      </w:pPr>
    </w:p>
    <w:p w14:paraId="511A1A76" w14:textId="77777777" w:rsidR="00A353D9" w:rsidRPr="00E45751" w:rsidRDefault="00A353D9" w:rsidP="00216257">
      <w:pPr>
        <w:jc w:val="both"/>
        <w:rPr>
          <w:rFonts w:asciiTheme="majorHAnsi" w:hAnsiTheme="majorHAnsi" w:cstheme="majorHAnsi"/>
          <w:lang w:val="en-GB"/>
        </w:rPr>
      </w:pPr>
    </w:p>
    <w:p w14:paraId="34CEE629" w14:textId="77777777" w:rsidR="00FF484F" w:rsidRPr="00E45751" w:rsidRDefault="00FF484F" w:rsidP="00216257">
      <w:pPr>
        <w:spacing w:after="120"/>
        <w:jc w:val="both"/>
        <w:rPr>
          <w:rFonts w:asciiTheme="majorHAnsi" w:hAnsiTheme="majorHAnsi" w:cstheme="majorHAnsi"/>
          <w:b/>
          <w:color w:val="C00000"/>
          <w:sz w:val="22"/>
          <w:lang w:val="en-GB"/>
        </w:rPr>
      </w:pPr>
    </w:p>
    <w:p w14:paraId="00607150" w14:textId="77777777" w:rsidR="00FF484F" w:rsidRPr="00E45751" w:rsidRDefault="00FF484F" w:rsidP="00216257">
      <w:pPr>
        <w:spacing w:after="120"/>
        <w:jc w:val="both"/>
        <w:rPr>
          <w:rFonts w:asciiTheme="majorHAnsi" w:hAnsiTheme="majorHAnsi" w:cstheme="majorHAnsi"/>
          <w:b/>
          <w:color w:val="C00000"/>
          <w:sz w:val="22"/>
          <w:lang w:val="en-GB"/>
        </w:rPr>
      </w:pPr>
    </w:p>
    <w:p w14:paraId="19E9D033" w14:textId="50B59943" w:rsidR="00DE1554" w:rsidRPr="00E45751" w:rsidRDefault="00DE1554"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China</w:t>
      </w:r>
      <w:r w:rsidRPr="00E45751">
        <w:rPr>
          <w:rFonts w:asciiTheme="majorHAnsi" w:hAnsiTheme="majorHAnsi" w:cstheme="majorHAnsi"/>
          <w:b/>
          <w:sz w:val="22"/>
          <w:lang w:val="en-GB"/>
        </w:rPr>
        <w:t xml:space="preserve"> </w:t>
      </w:r>
      <w:r w:rsidRPr="00E45751">
        <w:rPr>
          <w:rFonts w:asciiTheme="majorHAnsi" w:hAnsiTheme="majorHAnsi" w:cstheme="majorHAnsi"/>
          <w:sz w:val="22"/>
          <w:lang w:val="en-GB"/>
        </w:rPr>
        <w:t xml:space="preserve">has also understood the importance of credit and degree </w:t>
      </w:r>
      <w:proofErr w:type="gramStart"/>
      <w:r w:rsidRPr="00E45751">
        <w:rPr>
          <w:rFonts w:asciiTheme="majorHAnsi" w:hAnsiTheme="majorHAnsi" w:cstheme="majorHAnsi"/>
          <w:sz w:val="22"/>
          <w:lang w:val="en-GB"/>
        </w:rPr>
        <w:t>recognition, and</w:t>
      </w:r>
      <w:proofErr w:type="gramEnd"/>
      <w:r w:rsidRPr="00E45751">
        <w:rPr>
          <w:rFonts w:asciiTheme="majorHAnsi" w:hAnsiTheme="majorHAnsi" w:cstheme="majorHAnsi"/>
          <w:sz w:val="22"/>
          <w:lang w:val="en-GB"/>
        </w:rPr>
        <w:t xml:space="preserve"> has included directives to this order in its National Plan</w:t>
      </w:r>
      <w:r w:rsidR="00243401" w:rsidRPr="00E45751">
        <w:rPr>
          <w:rFonts w:asciiTheme="majorHAnsi" w:hAnsiTheme="majorHAnsi" w:cstheme="majorHAnsi"/>
          <w:sz w:val="22"/>
          <w:lang w:val="en-GB"/>
        </w:rPr>
        <w:t xml:space="preserve"> for medium and long-term education reform and development 2010-2020 with the objective of increasing student and teacher mobility to Chinese HEIs.</w:t>
      </w:r>
    </w:p>
    <w:p w14:paraId="3EA216C3" w14:textId="03D508DD" w:rsidR="00467F25" w:rsidRPr="00E45751" w:rsidRDefault="001C0C85"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Both governments and institutions can provide incentives through policy adjustments that promote incoming mobili</w:t>
      </w:r>
      <w:r w:rsidR="000B7A73" w:rsidRPr="00E45751">
        <w:rPr>
          <w:rFonts w:asciiTheme="majorHAnsi" w:hAnsiTheme="majorHAnsi" w:cstheme="majorHAnsi"/>
          <w:sz w:val="22"/>
          <w:lang w:val="en-GB"/>
        </w:rPr>
        <w:t>ty. The following section</w:t>
      </w:r>
      <w:r w:rsidRPr="00E45751">
        <w:rPr>
          <w:rFonts w:asciiTheme="majorHAnsi" w:hAnsiTheme="majorHAnsi" w:cstheme="majorHAnsi"/>
          <w:sz w:val="22"/>
          <w:lang w:val="en-GB"/>
        </w:rPr>
        <w:t xml:space="preserve"> present</w:t>
      </w:r>
      <w:r w:rsidR="000B7A73" w:rsidRPr="00E45751">
        <w:rPr>
          <w:rFonts w:asciiTheme="majorHAnsi" w:hAnsiTheme="majorHAnsi" w:cstheme="majorHAnsi"/>
          <w:sz w:val="22"/>
          <w:lang w:val="en-GB"/>
        </w:rPr>
        <w:t>s</w:t>
      </w:r>
      <w:r w:rsidRPr="00E45751">
        <w:rPr>
          <w:rFonts w:asciiTheme="majorHAnsi" w:hAnsiTheme="majorHAnsi" w:cstheme="majorHAnsi"/>
          <w:sz w:val="22"/>
          <w:lang w:val="en-GB"/>
        </w:rPr>
        <w:t xml:space="preserve"> several effective incentives at the national policy level</w:t>
      </w:r>
      <w:r w:rsidR="000B7A73" w:rsidRPr="00E45751">
        <w:rPr>
          <w:rFonts w:asciiTheme="majorHAnsi" w:hAnsiTheme="majorHAnsi" w:cstheme="majorHAnsi"/>
          <w:sz w:val="22"/>
          <w:lang w:val="en-GB"/>
        </w:rPr>
        <w:t>.</w:t>
      </w:r>
    </w:p>
    <w:p w14:paraId="78D2333E" w14:textId="179CDA13" w:rsidR="00C45B74" w:rsidRPr="00E45751" w:rsidRDefault="00786B36" w:rsidP="00216257">
      <w:pPr>
        <w:pStyle w:val="Heading2"/>
        <w:numPr>
          <w:ilvl w:val="1"/>
          <w:numId w:val="15"/>
        </w:numPr>
        <w:spacing w:after="120"/>
        <w:jc w:val="both"/>
        <w:rPr>
          <w:rFonts w:cstheme="majorHAnsi"/>
          <w:lang w:val="en-GB"/>
        </w:rPr>
      </w:pPr>
      <w:bookmarkStart w:id="25" w:name="_Toc416471892"/>
      <w:r w:rsidRPr="00E45751">
        <w:rPr>
          <w:rFonts w:cstheme="majorHAnsi"/>
          <w:lang w:val="en-GB"/>
        </w:rPr>
        <w:t>Government incentives to improve learning environment and international programmes</w:t>
      </w:r>
      <w:bookmarkEnd w:id="25"/>
    </w:p>
    <w:p w14:paraId="3304C344" w14:textId="0EE2E627" w:rsidR="00F51D59" w:rsidRPr="00E45751" w:rsidRDefault="00F51D59"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Government has a double involvement i</w:t>
      </w:r>
      <w:r w:rsidR="00BF0AAF" w:rsidRPr="00E45751">
        <w:rPr>
          <w:rFonts w:asciiTheme="majorHAnsi" w:hAnsiTheme="majorHAnsi" w:cstheme="majorHAnsi"/>
          <w:sz w:val="22"/>
          <w:lang w:val="en-GB"/>
        </w:rPr>
        <w:t>n the internationalisation of HE that increases its attractiveness</w:t>
      </w:r>
      <w:r w:rsidRPr="00E45751">
        <w:rPr>
          <w:rFonts w:asciiTheme="majorHAnsi" w:hAnsiTheme="majorHAnsi" w:cstheme="majorHAnsi"/>
          <w:sz w:val="22"/>
          <w:lang w:val="en-GB"/>
        </w:rPr>
        <w:t xml:space="preserve">: supporting its expansion, the focus of this section, and safeguarding its quality, which will be examined in detail in </w:t>
      </w:r>
      <w:r w:rsidR="00BF0AAF" w:rsidRPr="00E45751">
        <w:rPr>
          <w:rFonts w:asciiTheme="majorHAnsi" w:hAnsiTheme="majorHAnsi" w:cstheme="majorHAnsi"/>
          <w:sz w:val="22"/>
          <w:lang w:val="en-GB"/>
        </w:rPr>
        <w:t>a following</w:t>
      </w:r>
      <w:r w:rsidRPr="00E45751">
        <w:rPr>
          <w:rFonts w:asciiTheme="majorHAnsi" w:hAnsiTheme="majorHAnsi" w:cstheme="majorHAnsi"/>
          <w:sz w:val="22"/>
          <w:lang w:val="en-GB"/>
        </w:rPr>
        <w:t xml:space="preserve"> section.</w:t>
      </w:r>
      <w:r w:rsidRPr="00E45751">
        <w:rPr>
          <w:rStyle w:val="FootnoteReference"/>
          <w:rFonts w:asciiTheme="majorHAnsi" w:hAnsiTheme="majorHAnsi" w:cstheme="majorHAnsi"/>
          <w:sz w:val="22"/>
          <w:lang w:val="en-GB"/>
        </w:rPr>
        <w:footnoteReference w:id="2"/>
      </w:r>
    </w:p>
    <w:p w14:paraId="58C3D75A" w14:textId="7C5E14CC" w:rsidR="00F51D59" w:rsidRPr="00E45751" w:rsidRDefault="00BB6089"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Governmental policies, even when not directly related to education, can remove important barriers to international student mobility and incentivise incoming mobility. Most importantly, facilitation of entry and post-graduation employment depend st</w:t>
      </w:r>
      <w:r w:rsidR="00DA2DCC" w:rsidRPr="00E45751">
        <w:rPr>
          <w:rFonts w:asciiTheme="majorHAnsi" w:hAnsiTheme="majorHAnsi" w:cstheme="majorHAnsi"/>
          <w:sz w:val="22"/>
          <w:lang w:val="en-GB"/>
        </w:rPr>
        <w:t>rongly on governmental policy. Government can act in t</w:t>
      </w:r>
      <w:r w:rsidRPr="00E45751">
        <w:rPr>
          <w:rFonts w:asciiTheme="majorHAnsi" w:hAnsiTheme="majorHAnsi" w:cstheme="majorHAnsi"/>
          <w:sz w:val="22"/>
          <w:lang w:val="en-GB"/>
        </w:rPr>
        <w:t xml:space="preserve">he following areas </w:t>
      </w:r>
      <w:r w:rsidR="00DA2DCC" w:rsidRPr="00E45751">
        <w:rPr>
          <w:rFonts w:asciiTheme="majorHAnsi" w:hAnsiTheme="majorHAnsi" w:cstheme="majorHAnsi"/>
          <w:sz w:val="22"/>
          <w:lang w:val="en-GB"/>
        </w:rPr>
        <w:t xml:space="preserve">to </w:t>
      </w:r>
      <w:r w:rsidR="00FD6A47" w:rsidRPr="00E45751">
        <w:rPr>
          <w:rFonts w:asciiTheme="majorHAnsi" w:hAnsiTheme="majorHAnsi" w:cstheme="majorHAnsi"/>
          <w:sz w:val="22"/>
          <w:lang w:val="en-GB"/>
        </w:rPr>
        <w:t>reduce barriers and increase incentives:</w:t>
      </w:r>
    </w:p>
    <w:p w14:paraId="6B827265" w14:textId="32812868" w:rsidR="00BF0AAF" w:rsidRPr="00E45751" w:rsidRDefault="00FD6A47"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M</w:t>
      </w:r>
      <w:r w:rsidR="00BF0AAF" w:rsidRPr="00E45751">
        <w:rPr>
          <w:rFonts w:asciiTheme="majorHAnsi" w:hAnsiTheme="majorHAnsi" w:cstheme="majorHAnsi"/>
          <w:sz w:val="22"/>
          <w:lang w:val="en-GB"/>
        </w:rPr>
        <w:t xml:space="preserve">igration </w:t>
      </w:r>
      <w:r w:rsidRPr="00E45751">
        <w:rPr>
          <w:rFonts w:asciiTheme="majorHAnsi" w:hAnsiTheme="majorHAnsi" w:cstheme="majorHAnsi"/>
          <w:sz w:val="22"/>
          <w:lang w:val="en-GB"/>
        </w:rPr>
        <w:t>and visa policy</w:t>
      </w:r>
    </w:p>
    <w:p w14:paraId="65821086" w14:textId="4AE0B203" w:rsidR="00BF0AAF" w:rsidRPr="00E45751" w:rsidRDefault="00FD6A47"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E</w:t>
      </w:r>
      <w:r w:rsidR="00BF0AAF" w:rsidRPr="00E45751">
        <w:rPr>
          <w:rFonts w:asciiTheme="majorHAnsi" w:hAnsiTheme="majorHAnsi" w:cstheme="majorHAnsi"/>
          <w:sz w:val="22"/>
          <w:lang w:val="en-GB"/>
        </w:rPr>
        <w:t>mployment/research opportunities fo</w:t>
      </w:r>
      <w:r w:rsidRPr="00E45751">
        <w:rPr>
          <w:rFonts w:asciiTheme="majorHAnsi" w:hAnsiTheme="majorHAnsi" w:cstheme="majorHAnsi"/>
          <w:sz w:val="22"/>
          <w:lang w:val="en-GB"/>
        </w:rPr>
        <w:t>r international students during</w:t>
      </w:r>
      <w:r w:rsidR="00BF0AAF" w:rsidRPr="00E45751">
        <w:rPr>
          <w:rFonts w:asciiTheme="majorHAnsi" w:hAnsiTheme="majorHAnsi" w:cstheme="majorHAnsi"/>
          <w:sz w:val="22"/>
          <w:lang w:val="en-GB"/>
        </w:rPr>
        <w:t xml:space="preserve"> mobility</w:t>
      </w:r>
    </w:p>
    <w:p w14:paraId="06D4B264" w14:textId="66E31A72" w:rsidR="00BF0AAF" w:rsidRPr="00E45751" w:rsidRDefault="00FD6A47"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C</w:t>
      </w:r>
      <w:r w:rsidR="00BF0AAF" w:rsidRPr="00E45751">
        <w:rPr>
          <w:rFonts w:asciiTheme="majorHAnsi" w:hAnsiTheme="majorHAnsi" w:cstheme="majorHAnsi"/>
          <w:sz w:val="22"/>
          <w:lang w:val="en-GB"/>
        </w:rPr>
        <w:t>areer opportunities for foreign nationals</w:t>
      </w:r>
    </w:p>
    <w:p w14:paraId="4358DD1A" w14:textId="047F6B55" w:rsidR="00BF0AAF" w:rsidRPr="00E45751" w:rsidRDefault="00FD6A47"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I</w:t>
      </w:r>
      <w:r w:rsidR="00BF0AAF" w:rsidRPr="00E45751">
        <w:rPr>
          <w:rFonts w:asciiTheme="majorHAnsi" w:hAnsiTheme="majorHAnsi" w:cstheme="majorHAnsi"/>
          <w:sz w:val="22"/>
          <w:lang w:val="en-GB"/>
        </w:rPr>
        <w:t>nternational partnerships</w:t>
      </w:r>
    </w:p>
    <w:p w14:paraId="27455F17" w14:textId="38159587" w:rsidR="00FD6A47" w:rsidRPr="00E45751" w:rsidRDefault="00A90CB9"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A straightforward and simple visa process for incoming international students is a policy seen across the board in countries that have increased incoming mobility in HE.</w:t>
      </w:r>
      <w:r w:rsidR="00FF5BCC" w:rsidRPr="00E45751">
        <w:rPr>
          <w:rFonts w:asciiTheme="majorHAnsi" w:hAnsiTheme="majorHAnsi" w:cstheme="majorHAnsi"/>
          <w:sz w:val="22"/>
          <w:lang w:val="en-GB"/>
        </w:rPr>
        <w:t xml:space="preserve"> Harmonisation of immigration </w:t>
      </w:r>
      <w:r w:rsidR="00FF5BCC" w:rsidRPr="00E45751">
        <w:rPr>
          <w:rFonts w:asciiTheme="majorHAnsi" w:hAnsiTheme="majorHAnsi" w:cstheme="majorHAnsi"/>
          <w:sz w:val="22"/>
          <w:lang w:val="en-GB"/>
        </w:rPr>
        <w:lastRenderedPageBreak/>
        <w:t>policy with institutional focus on attracting international students conveys a consistent and coherent message of internationalisation to potential students.</w:t>
      </w:r>
      <w:r w:rsidR="00D129CE" w:rsidRPr="00E45751">
        <w:rPr>
          <w:rFonts w:asciiTheme="majorHAnsi" w:hAnsiTheme="majorHAnsi" w:cstheme="majorHAnsi"/>
          <w:sz w:val="22"/>
          <w:lang w:val="en-GB"/>
        </w:rPr>
        <w:t xml:space="preserve"> In addition, policies that allow foreign nationals to work in the host country, both during and after their mobility period, have proven especially effective. Canada’s </w:t>
      </w:r>
      <w:r w:rsidR="00D129CE" w:rsidRPr="00E45751">
        <w:rPr>
          <w:rFonts w:asciiTheme="majorHAnsi" w:hAnsiTheme="majorHAnsi" w:cstheme="majorHAnsi"/>
          <w:b/>
          <w:sz w:val="22"/>
          <w:lang w:val="en-GB"/>
        </w:rPr>
        <w:t>Early Researcher Awards programme</w:t>
      </w:r>
      <w:r w:rsidR="00D129CE" w:rsidRPr="00E45751">
        <w:rPr>
          <w:rFonts w:asciiTheme="majorHAnsi" w:hAnsiTheme="majorHAnsi" w:cstheme="majorHAnsi"/>
          <w:sz w:val="22"/>
          <w:lang w:val="en-GB"/>
        </w:rPr>
        <w:t xml:space="preserve"> (ERA)</w:t>
      </w:r>
      <w:r w:rsidR="00D129CE" w:rsidRPr="00E45751">
        <w:rPr>
          <w:rStyle w:val="FootnoteReference"/>
          <w:rFonts w:asciiTheme="majorHAnsi" w:hAnsiTheme="majorHAnsi" w:cstheme="majorHAnsi"/>
          <w:sz w:val="22"/>
          <w:lang w:val="en-GB"/>
        </w:rPr>
        <w:footnoteReference w:id="3"/>
      </w:r>
      <w:r w:rsidR="00D129CE" w:rsidRPr="00E45751">
        <w:rPr>
          <w:rFonts w:asciiTheme="majorHAnsi" w:hAnsiTheme="majorHAnsi" w:cstheme="majorHAnsi"/>
          <w:sz w:val="22"/>
          <w:lang w:val="en-GB"/>
        </w:rPr>
        <w:t>, for example, provides grants to researchers affiliated with Canadians universities, irrespective of national origin. Such programmes encourage the most qualified international students to study abroad or earn degrees in countries that provide the best opportunities.</w:t>
      </w:r>
    </w:p>
    <w:p w14:paraId="49789EB9" w14:textId="575C77E4" w:rsidR="00FD6A47" w:rsidRPr="00E45751" w:rsidRDefault="00014E63"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International partnerships that facilitate mobility have also proven effective. Within the European Union, for example, free movement of people allows students to study in other European countries with relative ease. In addition, the </w:t>
      </w:r>
      <w:r w:rsidRPr="00E45751">
        <w:rPr>
          <w:rFonts w:asciiTheme="majorHAnsi" w:hAnsiTheme="majorHAnsi" w:cstheme="majorHAnsi"/>
          <w:b/>
          <w:sz w:val="22"/>
          <w:lang w:val="en-GB"/>
        </w:rPr>
        <w:t>Erasmus+ mobility project</w:t>
      </w:r>
      <w:r w:rsidR="00FE6F31" w:rsidRPr="00E45751">
        <w:rPr>
          <w:rFonts w:asciiTheme="majorHAnsi" w:hAnsiTheme="majorHAnsi" w:cstheme="majorHAnsi"/>
          <w:sz w:val="22"/>
          <w:lang w:val="en-GB"/>
        </w:rPr>
        <w:t xml:space="preserve"> is a government initiative that encourages and facilitates movement of students through international partnerships.</w:t>
      </w:r>
    </w:p>
    <w:p w14:paraId="336DF633" w14:textId="1A7A2620" w:rsidR="00FD6A47" w:rsidRPr="00E45751" w:rsidRDefault="00D87B44"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Governmental policies on education are also a lever for increasing mobility. </w:t>
      </w:r>
      <w:r w:rsidR="006F19B2" w:rsidRPr="00E45751">
        <w:rPr>
          <w:rFonts w:asciiTheme="majorHAnsi" w:hAnsiTheme="majorHAnsi" w:cstheme="majorHAnsi"/>
          <w:sz w:val="22"/>
          <w:lang w:val="en-GB"/>
        </w:rPr>
        <w:t>G</w:t>
      </w:r>
      <w:r w:rsidRPr="00E45751">
        <w:rPr>
          <w:rFonts w:asciiTheme="majorHAnsi" w:hAnsiTheme="majorHAnsi" w:cstheme="majorHAnsi"/>
          <w:sz w:val="22"/>
          <w:lang w:val="en-GB"/>
        </w:rPr>
        <w:t xml:space="preserve">overnment initiatives </w:t>
      </w:r>
      <w:r w:rsidR="006F19B2" w:rsidRPr="00E45751">
        <w:rPr>
          <w:rFonts w:asciiTheme="majorHAnsi" w:hAnsiTheme="majorHAnsi" w:cstheme="majorHAnsi"/>
          <w:sz w:val="22"/>
          <w:lang w:val="en-GB"/>
        </w:rPr>
        <w:t>in the following areas concerning</w:t>
      </w:r>
      <w:r w:rsidRPr="00E45751">
        <w:rPr>
          <w:rFonts w:asciiTheme="majorHAnsi" w:hAnsiTheme="majorHAnsi" w:cstheme="majorHAnsi"/>
          <w:sz w:val="22"/>
          <w:lang w:val="en-GB"/>
        </w:rPr>
        <w:t xml:space="preserve"> education have shown results:</w:t>
      </w:r>
    </w:p>
    <w:p w14:paraId="7D31CBD7" w14:textId="77777777" w:rsidR="007B3CAF" w:rsidRPr="00E45751" w:rsidRDefault="007B3CAF"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Financing incoming mobility</w:t>
      </w:r>
    </w:p>
    <w:p w14:paraId="43270882" w14:textId="47B98CB7" w:rsidR="00BF0AAF" w:rsidRPr="00E45751" w:rsidRDefault="00D87B44"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Developing a c</w:t>
      </w:r>
      <w:r w:rsidR="00BF0AAF" w:rsidRPr="00E45751">
        <w:rPr>
          <w:rFonts w:asciiTheme="majorHAnsi" w:hAnsiTheme="majorHAnsi" w:cstheme="majorHAnsi"/>
          <w:sz w:val="22"/>
          <w:lang w:val="en-GB"/>
        </w:rPr>
        <w:t>lear and transparent internationalisation policy, with appropriate funding</w:t>
      </w:r>
    </w:p>
    <w:p w14:paraId="46E230DD" w14:textId="31E07AC5" w:rsidR="00BF0AAF" w:rsidRPr="00E45751" w:rsidRDefault="00D87B44"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Harmonising</w:t>
      </w:r>
      <w:r w:rsidR="00BF0AAF" w:rsidRPr="00E45751">
        <w:rPr>
          <w:rFonts w:asciiTheme="majorHAnsi" w:hAnsiTheme="majorHAnsi" w:cstheme="majorHAnsi"/>
          <w:sz w:val="22"/>
          <w:lang w:val="en-GB"/>
        </w:rPr>
        <w:t xml:space="preserve"> </w:t>
      </w:r>
      <w:r w:rsidRPr="00E45751">
        <w:rPr>
          <w:rFonts w:asciiTheme="majorHAnsi" w:hAnsiTheme="majorHAnsi" w:cstheme="majorHAnsi"/>
          <w:sz w:val="22"/>
          <w:lang w:val="en-GB"/>
        </w:rPr>
        <w:t xml:space="preserve">the </w:t>
      </w:r>
      <w:r w:rsidR="00BF0AAF" w:rsidRPr="00E45751">
        <w:rPr>
          <w:rFonts w:asciiTheme="majorHAnsi" w:hAnsiTheme="majorHAnsi" w:cstheme="majorHAnsi"/>
          <w:sz w:val="22"/>
          <w:lang w:val="en-GB"/>
        </w:rPr>
        <w:t>admission process with other countries</w:t>
      </w:r>
    </w:p>
    <w:p w14:paraId="19A51F3D" w14:textId="6EAC140A" w:rsidR="00E73AD7" w:rsidRPr="00E45751" w:rsidRDefault="00E73AD7" w:rsidP="00216257">
      <w:pPr>
        <w:pStyle w:val="ListParagraph"/>
        <w:numPr>
          <w:ilvl w:val="0"/>
          <w:numId w:val="1"/>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Alignment with global initiatives</w:t>
      </w:r>
    </w:p>
    <w:p w14:paraId="1630D160" w14:textId="69DD1D20" w:rsidR="00014DAB" w:rsidRPr="00E45751" w:rsidRDefault="00642885"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Enshrining clarity of the internationalisation process and policy in government directives provides stability and encourages trust in the system that increases incoming mobility. </w:t>
      </w:r>
      <w:r w:rsidR="00D87B44" w:rsidRPr="00E45751">
        <w:rPr>
          <w:rFonts w:asciiTheme="majorHAnsi" w:hAnsiTheme="majorHAnsi" w:cstheme="majorHAnsi"/>
          <w:sz w:val="22"/>
          <w:lang w:val="en-GB"/>
        </w:rPr>
        <w:t xml:space="preserve">In the South African policy framework, </w:t>
      </w:r>
      <w:r w:rsidRPr="00E45751">
        <w:rPr>
          <w:rFonts w:asciiTheme="majorHAnsi" w:hAnsiTheme="majorHAnsi" w:cstheme="majorHAnsi"/>
          <w:sz w:val="22"/>
          <w:lang w:val="en-GB"/>
        </w:rPr>
        <w:t xml:space="preserve">for instance, </w:t>
      </w:r>
      <w:r w:rsidR="00D87B44" w:rsidRPr="00E45751">
        <w:rPr>
          <w:rFonts w:asciiTheme="majorHAnsi" w:hAnsiTheme="majorHAnsi" w:cstheme="majorHAnsi"/>
          <w:sz w:val="22"/>
          <w:lang w:val="en-GB"/>
        </w:rPr>
        <w:t xml:space="preserve">the Department of Higher Education and Training underlines the importance of </w:t>
      </w:r>
      <w:r w:rsidR="00D87B44" w:rsidRPr="00E45751">
        <w:rPr>
          <w:rFonts w:asciiTheme="majorHAnsi" w:hAnsiTheme="majorHAnsi" w:cstheme="majorHAnsi"/>
          <w:b/>
          <w:sz w:val="22"/>
          <w:lang w:val="en-GB"/>
        </w:rPr>
        <w:t>clearly articulating national strate</w:t>
      </w:r>
      <w:r w:rsidRPr="00E45751">
        <w:rPr>
          <w:rFonts w:asciiTheme="majorHAnsi" w:hAnsiTheme="majorHAnsi" w:cstheme="majorHAnsi"/>
          <w:b/>
          <w:sz w:val="22"/>
          <w:lang w:val="en-GB"/>
        </w:rPr>
        <w:t>gy</w:t>
      </w:r>
      <w:r w:rsidRPr="00E45751">
        <w:rPr>
          <w:rFonts w:asciiTheme="majorHAnsi" w:hAnsiTheme="majorHAnsi" w:cstheme="majorHAnsi"/>
          <w:sz w:val="22"/>
          <w:lang w:val="en-GB"/>
        </w:rPr>
        <w:t xml:space="preserve"> and </w:t>
      </w:r>
      <w:r w:rsidRPr="00E45751">
        <w:rPr>
          <w:rFonts w:asciiTheme="majorHAnsi" w:hAnsiTheme="majorHAnsi" w:cstheme="majorHAnsi"/>
          <w:b/>
          <w:sz w:val="22"/>
          <w:lang w:val="en-GB"/>
        </w:rPr>
        <w:t>providing</w:t>
      </w:r>
      <w:r w:rsidR="00D87B44" w:rsidRPr="00E45751">
        <w:rPr>
          <w:rFonts w:asciiTheme="majorHAnsi" w:hAnsiTheme="majorHAnsi" w:cstheme="majorHAnsi"/>
          <w:b/>
          <w:sz w:val="22"/>
          <w:lang w:val="en-GB"/>
        </w:rPr>
        <w:t xml:space="preserve"> guidance on fulfilling national policy requirements</w:t>
      </w:r>
      <w:r w:rsidR="00D87B44" w:rsidRPr="00E45751">
        <w:rPr>
          <w:rFonts w:asciiTheme="majorHAnsi" w:hAnsiTheme="majorHAnsi" w:cstheme="majorHAnsi"/>
          <w:sz w:val="22"/>
          <w:lang w:val="en-GB"/>
        </w:rPr>
        <w:t>.</w:t>
      </w:r>
      <w:r w:rsidR="00D87B44" w:rsidRPr="00E45751">
        <w:rPr>
          <w:rStyle w:val="FootnoteReference"/>
          <w:rFonts w:asciiTheme="majorHAnsi" w:hAnsiTheme="majorHAnsi" w:cstheme="majorHAnsi"/>
          <w:sz w:val="22"/>
          <w:lang w:val="en-GB"/>
        </w:rPr>
        <w:footnoteReference w:id="4"/>
      </w:r>
    </w:p>
    <w:p w14:paraId="78DB636B" w14:textId="37F358E5" w:rsidR="008A0C91" w:rsidRDefault="00ED31F0" w:rsidP="00216257">
      <w:pPr>
        <w:spacing w:after="120"/>
        <w:jc w:val="both"/>
        <w:rPr>
          <w:rFonts w:asciiTheme="majorHAnsi" w:hAnsiTheme="majorHAnsi" w:cstheme="majorHAnsi"/>
          <w:sz w:val="22"/>
          <w:lang w:val="en-GB"/>
        </w:rPr>
      </w:pPr>
      <w:r w:rsidRPr="00E45751">
        <w:rPr>
          <w:rFonts w:asciiTheme="majorHAnsi" w:hAnsiTheme="majorHAnsi" w:cstheme="majorHAnsi"/>
          <w:b/>
          <w:sz w:val="22"/>
          <w:lang w:val="en-GB"/>
        </w:rPr>
        <w:t xml:space="preserve">Harmonisation </w:t>
      </w:r>
      <w:r w:rsidR="001D012C" w:rsidRPr="00E45751">
        <w:rPr>
          <w:rFonts w:asciiTheme="majorHAnsi" w:hAnsiTheme="majorHAnsi" w:cstheme="majorHAnsi"/>
          <w:b/>
          <w:sz w:val="22"/>
          <w:lang w:val="en-GB"/>
        </w:rPr>
        <w:t>of admissions processes with international norms</w:t>
      </w:r>
      <w:r w:rsidR="001D012C" w:rsidRPr="00E45751">
        <w:rPr>
          <w:rFonts w:asciiTheme="majorHAnsi" w:hAnsiTheme="majorHAnsi" w:cstheme="majorHAnsi"/>
          <w:sz w:val="22"/>
          <w:lang w:val="en-GB"/>
        </w:rPr>
        <w:t xml:space="preserve"> and </w:t>
      </w:r>
      <w:r w:rsidR="001D012C" w:rsidRPr="00E45751">
        <w:rPr>
          <w:rFonts w:asciiTheme="majorHAnsi" w:hAnsiTheme="majorHAnsi" w:cstheme="majorHAnsi"/>
          <w:b/>
          <w:sz w:val="22"/>
          <w:lang w:val="en-GB"/>
        </w:rPr>
        <w:t>alignment of policy with global initiatives</w:t>
      </w:r>
      <w:r w:rsidR="001D012C" w:rsidRPr="00E45751">
        <w:rPr>
          <w:rFonts w:asciiTheme="majorHAnsi" w:hAnsiTheme="majorHAnsi" w:cstheme="majorHAnsi"/>
          <w:sz w:val="22"/>
          <w:lang w:val="en-GB"/>
        </w:rPr>
        <w:t xml:space="preserve"> </w:t>
      </w:r>
      <w:r w:rsidR="0063144F" w:rsidRPr="00E45751">
        <w:rPr>
          <w:rFonts w:asciiTheme="majorHAnsi" w:hAnsiTheme="majorHAnsi" w:cstheme="majorHAnsi"/>
          <w:sz w:val="22"/>
          <w:lang w:val="en-GB"/>
        </w:rPr>
        <w:t>can also prove effective in attracting international students.</w:t>
      </w:r>
      <w:r w:rsidR="007B72BE" w:rsidRPr="00E45751">
        <w:rPr>
          <w:rFonts w:asciiTheme="majorHAnsi" w:hAnsiTheme="majorHAnsi" w:cstheme="majorHAnsi"/>
          <w:sz w:val="22"/>
          <w:lang w:val="en-GB"/>
        </w:rPr>
        <w:t xml:space="preserve"> Bologna Process tools, for instance, such as quality assurance and recognition of credits are major incentives for incoming students. UNESCO and the OECD additionally provide guidance on standards in HE that, if </w:t>
      </w:r>
      <w:r w:rsidR="00F7127C" w:rsidRPr="00E45751">
        <w:rPr>
          <w:rFonts w:asciiTheme="majorHAnsi" w:hAnsiTheme="majorHAnsi" w:cstheme="majorHAnsi"/>
          <w:sz w:val="22"/>
          <w:lang w:val="en-GB"/>
        </w:rPr>
        <w:t>included into policy changes</w:t>
      </w:r>
      <w:r w:rsidR="007B72BE" w:rsidRPr="00E45751">
        <w:rPr>
          <w:rFonts w:asciiTheme="majorHAnsi" w:hAnsiTheme="majorHAnsi" w:cstheme="majorHAnsi"/>
          <w:sz w:val="22"/>
          <w:lang w:val="en-GB"/>
        </w:rPr>
        <w:t>, lend a degree of legitimacy to HE systems that increases attractiveness for international students.</w:t>
      </w:r>
      <w:r w:rsidR="001D012C" w:rsidRPr="00E45751">
        <w:rPr>
          <w:rFonts w:asciiTheme="majorHAnsi" w:hAnsiTheme="majorHAnsi" w:cstheme="majorHAnsi"/>
          <w:sz w:val="22"/>
          <w:lang w:val="en-GB"/>
        </w:rPr>
        <w:t xml:space="preserve"> </w:t>
      </w:r>
    </w:p>
    <w:p w14:paraId="383E616F" w14:textId="77777777" w:rsidR="00010DFB" w:rsidRDefault="00010DFB" w:rsidP="00216257">
      <w:pPr>
        <w:spacing w:after="120"/>
        <w:jc w:val="both"/>
        <w:rPr>
          <w:rFonts w:asciiTheme="majorHAnsi" w:hAnsiTheme="majorHAnsi" w:cstheme="majorHAnsi"/>
          <w:sz w:val="22"/>
          <w:lang w:val="en-GB"/>
        </w:rPr>
      </w:pPr>
    </w:p>
    <w:p w14:paraId="4C2CB903" w14:textId="77777777" w:rsidR="00010DFB" w:rsidRDefault="00010DFB" w:rsidP="00216257">
      <w:pPr>
        <w:spacing w:after="120"/>
        <w:jc w:val="both"/>
        <w:rPr>
          <w:rFonts w:asciiTheme="majorHAnsi" w:hAnsiTheme="majorHAnsi" w:cstheme="majorHAnsi"/>
          <w:sz w:val="22"/>
          <w:lang w:val="en-GB"/>
        </w:rPr>
      </w:pPr>
    </w:p>
    <w:p w14:paraId="6AC29230" w14:textId="77777777" w:rsidR="00010DFB" w:rsidRDefault="00010DFB" w:rsidP="00216257">
      <w:pPr>
        <w:spacing w:after="120"/>
        <w:jc w:val="both"/>
        <w:rPr>
          <w:rFonts w:asciiTheme="majorHAnsi" w:hAnsiTheme="majorHAnsi" w:cstheme="majorHAnsi"/>
          <w:sz w:val="22"/>
          <w:lang w:val="en-GB"/>
        </w:rPr>
      </w:pPr>
    </w:p>
    <w:p w14:paraId="456F1D12" w14:textId="77777777" w:rsidR="00010DFB" w:rsidRDefault="00010DFB" w:rsidP="00216257">
      <w:pPr>
        <w:spacing w:after="120"/>
        <w:jc w:val="both"/>
        <w:rPr>
          <w:rFonts w:asciiTheme="majorHAnsi" w:hAnsiTheme="majorHAnsi" w:cstheme="majorHAnsi"/>
          <w:sz w:val="22"/>
          <w:lang w:val="en-GB"/>
        </w:rPr>
      </w:pPr>
    </w:p>
    <w:p w14:paraId="52BB0904" w14:textId="77777777" w:rsidR="00010DFB" w:rsidRDefault="00010DFB" w:rsidP="00216257">
      <w:pPr>
        <w:spacing w:after="120"/>
        <w:jc w:val="both"/>
        <w:rPr>
          <w:rFonts w:asciiTheme="majorHAnsi" w:hAnsiTheme="majorHAnsi" w:cstheme="majorHAnsi"/>
          <w:sz w:val="22"/>
          <w:lang w:val="en-GB"/>
        </w:rPr>
      </w:pPr>
    </w:p>
    <w:p w14:paraId="6C55B13F" w14:textId="77777777" w:rsidR="00010DFB" w:rsidRPr="00E45751" w:rsidRDefault="00010DFB" w:rsidP="00216257">
      <w:pPr>
        <w:spacing w:after="120"/>
        <w:jc w:val="both"/>
        <w:rPr>
          <w:rFonts w:asciiTheme="majorHAnsi" w:hAnsiTheme="majorHAnsi" w:cstheme="majorHAnsi"/>
          <w:sz w:val="22"/>
          <w:lang w:val="en-GB"/>
        </w:rPr>
      </w:pPr>
    </w:p>
    <w:p w14:paraId="638065D1" w14:textId="036B04BB" w:rsidR="0006088F" w:rsidRPr="00E45751" w:rsidRDefault="0006088F" w:rsidP="00216257">
      <w:pPr>
        <w:shd w:val="clear" w:color="auto" w:fill="FDE9D9" w:themeFill="accent6" w:themeFillTint="33"/>
        <w:ind w:left="567"/>
        <w:jc w:val="both"/>
        <w:rPr>
          <w:rFonts w:asciiTheme="majorHAnsi" w:hAnsiTheme="majorHAnsi" w:cstheme="majorHAnsi"/>
          <w:b/>
          <w:sz w:val="22"/>
          <w:szCs w:val="20"/>
          <w:lang w:val="en-GB"/>
        </w:rPr>
      </w:pPr>
      <w:r w:rsidRPr="00E45751">
        <w:rPr>
          <w:rFonts w:asciiTheme="majorHAnsi" w:hAnsiTheme="majorHAnsi" w:cstheme="majorHAnsi"/>
          <w:b/>
          <w:sz w:val="22"/>
          <w:szCs w:val="20"/>
          <w:lang w:val="en-GB"/>
        </w:rPr>
        <w:t>UNESCO-OECD guidelines for cross-border education</w:t>
      </w:r>
    </w:p>
    <w:p w14:paraId="6AC53304" w14:textId="0D0FA5F6" w:rsidR="002B1EA6" w:rsidRPr="00E45751" w:rsidRDefault="002B1EA6" w:rsidP="00216257">
      <w:pPr>
        <w:shd w:val="clear" w:color="auto" w:fill="FDE9D9" w:themeFill="accent6" w:themeFillTint="33"/>
        <w:ind w:left="567"/>
        <w:jc w:val="both"/>
        <w:rPr>
          <w:rFonts w:asciiTheme="majorHAnsi" w:hAnsiTheme="majorHAnsi" w:cstheme="majorHAnsi"/>
          <w:b/>
          <w:sz w:val="20"/>
          <w:szCs w:val="20"/>
          <w:lang w:val="en-GB"/>
        </w:rPr>
      </w:pPr>
    </w:p>
    <w:p w14:paraId="778D76C8" w14:textId="56EF5031" w:rsidR="005A5F1D" w:rsidRPr="00E45751" w:rsidRDefault="0006088F" w:rsidP="00216257">
      <w:pPr>
        <w:shd w:val="clear" w:color="auto" w:fill="FDE9D9" w:themeFill="accent6" w:themeFillTint="33"/>
        <w:ind w:left="567"/>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In 2005, in response to the growing mobility of student</w:t>
      </w:r>
      <w:r w:rsidR="00EE5CDA">
        <w:rPr>
          <w:rFonts w:asciiTheme="majorHAnsi" w:hAnsiTheme="majorHAnsi" w:cstheme="majorHAnsi"/>
          <w:sz w:val="20"/>
          <w:szCs w:val="20"/>
          <w:lang w:val="en-GB"/>
        </w:rPr>
        <w:t>s</w:t>
      </w:r>
      <w:r w:rsidRPr="00E45751">
        <w:rPr>
          <w:rFonts w:asciiTheme="majorHAnsi" w:hAnsiTheme="majorHAnsi" w:cstheme="majorHAnsi"/>
          <w:sz w:val="20"/>
          <w:szCs w:val="20"/>
          <w:lang w:val="en-GB"/>
        </w:rPr>
        <w:t xml:space="preserve"> around the world, UNESCO and </w:t>
      </w:r>
      <w:r w:rsidR="005A5F1D" w:rsidRPr="00E45751">
        <w:rPr>
          <w:rFonts w:asciiTheme="majorHAnsi" w:hAnsiTheme="majorHAnsi" w:cstheme="majorHAnsi"/>
          <w:sz w:val="20"/>
          <w:szCs w:val="20"/>
          <w:lang w:val="en-GB"/>
        </w:rPr>
        <w:t xml:space="preserve">OECD </w:t>
      </w:r>
      <w:r w:rsidRPr="00E45751">
        <w:rPr>
          <w:rFonts w:asciiTheme="majorHAnsi" w:hAnsiTheme="majorHAnsi" w:cstheme="majorHAnsi"/>
          <w:sz w:val="20"/>
          <w:szCs w:val="20"/>
          <w:lang w:val="en-GB"/>
        </w:rPr>
        <w:t xml:space="preserve">joined forces to publish </w:t>
      </w:r>
      <w:hyperlink r:id="rId11" w:history="1">
        <w:r w:rsidRPr="00E45751">
          <w:rPr>
            <w:rStyle w:val="Hyperlink"/>
            <w:rFonts w:asciiTheme="majorHAnsi" w:hAnsiTheme="majorHAnsi" w:cstheme="majorHAnsi"/>
            <w:bCs/>
            <w:sz w:val="20"/>
            <w:szCs w:val="20"/>
            <w:lang w:val="en-GB"/>
          </w:rPr>
          <w:t>guidelines</w:t>
        </w:r>
      </w:hyperlink>
      <w:r w:rsidRPr="00E45751">
        <w:rPr>
          <w:rFonts w:asciiTheme="majorHAnsi" w:hAnsiTheme="majorHAnsi" w:cstheme="majorHAnsi"/>
          <w:sz w:val="20"/>
          <w:szCs w:val="20"/>
          <w:lang w:val="en-GB"/>
        </w:rPr>
        <w:t xml:space="preserve"> encouraging</w:t>
      </w:r>
      <w:r w:rsidR="005A5F1D" w:rsidRPr="00E45751">
        <w:rPr>
          <w:rFonts w:asciiTheme="majorHAnsi" w:hAnsiTheme="majorHAnsi" w:cstheme="majorHAnsi"/>
          <w:sz w:val="20"/>
          <w:szCs w:val="20"/>
          <w:lang w:val="en-GB"/>
        </w:rPr>
        <w:t xml:space="preserve"> governments and other stakeholders - including higher education institutions, student bodies, and organisations responsible for quality assurance, accreditation, and academic and professional recognition -- to take action based on three main principles: </w:t>
      </w:r>
    </w:p>
    <w:p w14:paraId="0912CF5F" w14:textId="7CAE2DA0" w:rsidR="005A5F1D" w:rsidRPr="00E45751" w:rsidRDefault="005A5F1D" w:rsidP="00216257">
      <w:pPr>
        <w:shd w:val="clear" w:color="auto" w:fill="FDE9D9" w:themeFill="accent6" w:themeFillTint="33"/>
        <w:ind w:left="567"/>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lastRenderedPageBreak/>
        <w:t>Mutual trust and respect among countries and recognition of the importance of international collaboration in higher education.</w:t>
      </w:r>
    </w:p>
    <w:p w14:paraId="31AA149A" w14:textId="52FFBBB8" w:rsidR="005A5F1D" w:rsidRPr="00E45751" w:rsidRDefault="00010DFB" w:rsidP="00216257">
      <w:pPr>
        <w:shd w:val="clear" w:color="auto" w:fill="FDE9D9" w:themeFill="accent6" w:themeFillTint="33"/>
        <w:ind w:left="567"/>
        <w:jc w:val="both"/>
        <w:rPr>
          <w:rFonts w:asciiTheme="majorHAnsi" w:hAnsiTheme="majorHAnsi" w:cstheme="majorHAnsi"/>
          <w:sz w:val="20"/>
          <w:szCs w:val="20"/>
          <w:lang w:val="en-GB"/>
        </w:rPr>
      </w:pPr>
      <w:r w:rsidRPr="00E45751">
        <w:rPr>
          <w:rFonts w:asciiTheme="majorHAnsi" w:hAnsiTheme="majorHAnsi" w:cstheme="majorHAnsi"/>
          <w:b/>
          <w:noProof/>
          <w:sz w:val="22"/>
          <w:szCs w:val="20"/>
        </w:rPr>
        <w:drawing>
          <wp:anchor distT="0" distB="0" distL="114300" distR="114300" simplePos="0" relativeHeight="251662336" behindDoc="0" locked="0" layoutInCell="1" allowOverlap="1" wp14:anchorId="645DDD57" wp14:editId="5994B05A">
            <wp:simplePos x="0" y="0"/>
            <wp:positionH relativeFrom="margin">
              <wp:posOffset>3238500</wp:posOffset>
            </wp:positionH>
            <wp:positionV relativeFrom="margin">
              <wp:posOffset>-16510</wp:posOffset>
            </wp:positionV>
            <wp:extent cx="2487930" cy="3446780"/>
            <wp:effectExtent l="0" t="0" r="127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3-28 à 08.50.48.png"/>
                    <pic:cNvPicPr/>
                  </pic:nvPicPr>
                  <pic:blipFill>
                    <a:blip r:embed="rId12"/>
                    <a:stretch>
                      <a:fillRect/>
                    </a:stretch>
                  </pic:blipFill>
                  <pic:spPr>
                    <a:xfrm>
                      <a:off x="0" y="0"/>
                      <a:ext cx="2487930" cy="3446780"/>
                    </a:xfrm>
                    <a:prstGeom prst="rect">
                      <a:avLst/>
                    </a:prstGeom>
                  </pic:spPr>
                </pic:pic>
              </a:graphicData>
            </a:graphic>
            <wp14:sizeRelH relativeFrom="margin">
              <wp14:pctWidth>0</wp14:pctWidth>
            </wp14:sizeRelH>
            <wp14:sizeRelV relativeFrom="margin">
              <wp14:pctHeight>0</wp14:pctHeight>
            </wp14:sizeRelV>
          </wp:anchor>
        </w:drawing>
      </w:r>
      <w:r w:rsidR="005A5F1D" w:rsidRPr="00E45751">
        <w:rPr>
          <w:rFonts w:asciiTheme="majorHAnsi" w:hAnsiTheme="majorHAnsi" w:cstheme="majorHAnsi"/>
          <w:sz w:val="20"/>
          <w:szCs w:val="20"/>
          <w:lang w:val="en-GB"/>
        </w:rPr>
        <w:t>Recognition of the importance of national authority and the diversity of higher education systems.</w:t>
      </w:r>
    </w:p>
    <w:p w14:paraId="47326383" w14:textId="57CC4855" w:rsidR="005A5F1D" w:rsidRPr="00E45751" w:rsidRDefault="005A5F1D" w:rsidP="00216257">
      <w:pPr>
        <w:shd w:val="clear" w:color="auto" w:fill="FDE9D9" w:themeFill="accent6" w:themeFillTint="33"/>
        <w:ind w:left="567"/>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Recognition of the importance of higher education as a means for expressing a country's linguistic and cultural diversity </w:t>
      </w:r>
      <w:proofErr w:type="gramStart"/>
      <w:r w:rsidRPr="00E45751">
        <w:rPr>
          <w:rFonts w:asciiTheme="majorHAnsi" w:hAnsiTheme="majorHAnsi" w:cstheme="majorHAnsi"/>
          <w:sz w:val="20"/>
          <w:szCs w:val="20"/>
          <w:lang w:val="en-GB"/>
        </w:rPr>
        <w:t>and also</w:t>
      </w:r>
      <w:proofErr w:type="gramEnd"/>
      <w:r w:rsidRPr="00E45751">
        <w:rPr>
          <w:rFonts w:asciiTheme="majorHAnsi" w:hAnsiTheme="majorHAnsi" w:cstheme="majorHAnsi"/>
          <w:sz w:val="20"/>
          <w:szCs w:val="20"/>
          <w:lang w:val="en-GB"/>
        </w:rPr>
        <w:t xml:space="preserve"> for nurturing its economic development and social cohesion.</w:t>
      </w:r>
      <w:r w:rsidRPr="00E45751">
        <w:rPr>
          <w:rFonts w:asciiTheme="majorHAnsi" w:hAnsiTheme="majorHAnsi" w:cstheme="majorHAnsi"/>
          <w:sz w:val="20"/>
          <w:szCs w:val="20"/>
          <w:lang w:val="en-GB"/>
        </w:rPr>
        <w:br/>
        <w:t>Specific recommendations include: </w:t>
      </w:r>
    </w:p>
    <w:p w14:paraId="3E62CD48" w14:textId="7E9F9A28" w:rsidR="0006088F" w:rsidRPr="00E45751" w:rsidRDefault="005A5F1D" w:rsidP="00216257">
      <w:pPr>
        <w:shd w:val="clear" w:color="auto" w:fill="FDE9D9" w:themeFill="accent6" w:themeFillTint="33"/>
        <w:ind w:left="567"/>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An invitation to governments to establish comprehensive systems of quality assurance and accreditation for cross-border higher education, recognising that this involves both sending and receiving countries. </w:t>
      </w:r>
    </w:p>
    <w:p w14:paraId="13EFA1AE" w14:textId="7117CF44" w:rsidR="0006088F" w:rsidRPr="00E45751" w:rsidRDefault="005A5F1D" w:rsidP="00216257">
      <w:pPr>
        <w:shd w:val="clear" w:color="auto" w:fill="FDE9D9" w:themeFill="accent6" w:themeFillTint="33"/>
        <w:ind w:left="567"/>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An invitation to higher education institutions and providers to ensure that the programmes that they deliver across borders and in their </w:t>
      </w:r>
      <w:proofErr w:type="gramStart"/>
      <w:r w:rsidRPr="00E45751">
        <w:rPr>
          <w:rFonts w:asciiTheme="majorHAnsi" w:hAnsiTheme="majorHAnsi" w:cstheme="majorHAnsi"/>
          <w:sz w:val="20"/>
          <w:szCs w:val="20"/>
          <w:lang w:val="en-GB"/>
        </w:rPr>
        <w:t>home</w:t>
      </w:r>
      <w:proofErr w:type="gramEnd"/>
      <w:r w:rsidRPr="00E45751">
        <w:rPr>
          <w:rFonts w:asciiTheme="majorHAnsi" w:hAnsiTheme="majorHAnsi" w:cstheme="majorHAnsi"/>
          <w:sz w:val="20"/>
          <w:szCs w:val="20"/>
          <w:lang w:val="en-GB"/>
        </w:rPr>
        <w:t xml:space="preserve"> country are of comparable quality and that they also take into account the cultural and linguistic sensitivities of the receiving country.</w:t>
      </w:r>
    </w:p>
    <w:p w14:paraId="1FC78A2C" w14:textId="27F263C5" w:rsidR="0006088F" w:rsidRPr="00E45751" w:rsidRDefault="005A5F1D" w:rsidP="00216257">
      <w:pPr>
        <w:shd w:val="clear" w:color="auto" w:fill="FDE9D9" w:themeFill="accent6" w:themeFillTint="33"/>
        <w:ind w:left="567"/>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An invitation to student bodies to get involved as active partners at international, national and institutional levels in the development, monitoring and maintenance of the quality provision of cross-border higher education.</w:t>
      </w:r>
    </w:p>
    <w:p w14:paraId="35A2D31E" w14:textId="7166C037" w:rsidR="0006088F" w:rsidRPr="00E45751" w:rsidRDefault="0006088F" w:rsidP="00216257">
      <w:pPr>
        <w:shd w:val="clear" w:color="auto" w:fill="FDE9D9" w:themeFill="accent6" w:themeFillTint="33"/>
        <w:ind w:left="567"/>
        <w:jc w:val="both"/>
        <w:rPr>
          <w:rFonts w:asciiTheme="majorHAnsi" w:hAnsiTheme="majorHAnsi" w:cstheme="majorHAnsi"/>
          <w:sz w:val="20"/>
          <w:szCs w:val="20"/>
          <w:lang w:val="en-GB"/>
        </w:rPr>
      </w:pPr>
    </w:p>
    <w:p w14:paraId="01D3F745" w14:textId="70EA3318" w:rsidR="005A5F1D" w:rsidRPr="00E45751" w:rsidRDefault="00EE5CDA" w:rsidP="00216257">
      <w:pPr>
        <w:shd w:val="clear" w:color="auto" w:fill="FDE9D9" w:themeFill="accent6" w:themeFillTint="33"/>
        <w:ind w:left="567"/>
        <w:jc w:val="both"/>
        <w:rPr>
          <w:rFonts w:asciiTheme="majorHAnsi" w:hAnsiTheme="majorHAnsi" w:cstheme="majorHAnsi"/>
          <w:sz w:val="20"/>
          <w:szCs w:val="20"/>
          <w:lang w:val="en-GB"/>
        </w:rPr>
      </w:pPr>
      <w:r>
        <w:rPr>
          <w:rFonts w:asciiTheme="majorHAnsi" w:hAnsiTheme="majorHAnsi" w:cstheme="majorHAnsi"/>
          <w:sz w:val="20"/>
          <w:szCs w:val="20"/>
          <w:lang w:val="en-GB"/>
        </w:rPr>
        <w:t>A</w:t>
      </w:r>
      <w:r w:rsidR="0006088F" w:rsidRPr="00E45751">
        <w:rPr>
          <w:rFonts w:asciiTheme="majorHAnsi" w:hAnsiTheme="majorHAnsi" w:cstheme="majorHAnsi"/>
          <w:sz w:val="20"/>
          <w:szCs w:val="20"/>
          <w:lang w:val="en-GB"/>
        </w:rPr>
        <w:t xml:space="preserve"> review on the implementation of the guidelines </w:t>
      </w:r>
      <w:r>
        <w:rPr>
          <w:rFonts w:asciiTheme="majorHAnsi" w:hAnsiTheme="majorHAnsi" w:cstheme="majorHAnsi"/>
          <w:sz w:val="20"/>
          <w:szCs w:val="20"/>
          <w:lang w:val="en-GB"/>
        </w:rPr>
        <w:t>was</w:t>
      </w:r>
      <w:r w:rsidR="0006088F" w:rsidRPr="00E45751">
        <w:rPr>
          <w:rFonts w:asciiTheme="majorHAnsi" w:hAnsiTheme="majorHAnsi" w:cstheme="majorHAnsi"/>
          <w:sz w:val="20"/>
          <w:szCs w:val="20"/>
          <w:lang w:val="en-GB"/>
        </w:rPr>
        <w:t xml:space="preserve"> published</w:t>
      </w:r>
      <w:r>
        <w:rPr>
          <w:rFonts w:asciiTheme="majorHAnsi" w:hAnsiTheme="majorHAnsi" w:cstheme="majorHAnsi"/>
          <w:sz w:val="20"/>
          <w:szCs w:val="20"/>
          <w:lang w:val="en-GB"/>
        </w:rPr>
        <w:t xml:space="preserve"> in 2014</w:t>
      </w:r>
      <w:r w:rsidR="0006088F" w:rsidRPr="00E45751">
        <w:rPr>
          <w:rFonts w:asciiTheme="majorHAnsi" w:hAnsiTheme="majorHAnsi" w:cstheme="majorHAnsi"/>
          <w:sz w:val="20"/>
          <w:szCs w:val="20"/>
          <w:lang w:val="en-GB"/>
        </w:rPr>
        <w:t xml:space="preserve">. </w:t>
      </w:r>
      <w:r w:rsidR="005A5F1D" w:rsidRPr="00E45751">
        <w:rPr>
          <w:rFonts w:asciiTheme="majorHAnsi" w:hAnsiTheme="majorHAnsi" w:cstheme="majorHAnsi"/>
          <w:sz w:val="20"/>
          <w:szCs w:val="20"/>
          <w:lang w:val="en-GB"/>
        </w:rPr>
        <w:t> </w:t>
      </w:r>
    </w:p>
    <w:p w14:paraId="5D77AEDF" w14:textId="50156913" w:rsidR="005A5F1D" w:rsidRPr="00E45751" w:rsidRDefault="005A5F1D" w:rsidP="00216257">
      <w:pPr>
        <w:ind w:left="567"/>
        <w:jc w:val="both"/>
        <w:rPr>
          <w:rFonts w:asciiTheme="majorHAnsi" w:hAnsiTheme="majorHAnsi" w:cstheme="majorHAnsi"/>
          <w:lang w:val="en-GB"/>
        </w:rPr>
      </w:pPr>
    </w:p>
    <w:p w14:paraId="0D7100E2" w14:textId="23B9C119" w:rsidR="007D3DD9" w:rsidRPr="00E45751" w:rsidRDefault="00A0540B"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Finally, g</w:t>
      </w:r>
      <w:r w:rsidR="00F7127C" w:rsidRPr="00E45751">
        <w:rPr>
          <w:rFonts w:asciiTheme="majorHAnsi" w:hAnsiTheme="majorHAnsi" w:cstheme="majorHAnsi"/>
          <w:sz w:val="22"/>
          <w:lang w:val="en-GB"/>
        </w:rPr>
        <w:t xml:space="preserve">overnment can also </w:t>
      </w:r>
      <w:proofErr w:type="gramStart"/>
      <w:r w:rsidR="00F7127C" w:rsidRPr="00E45751">
        <w:rPr>
          <w:rFonts w:asciiTheme="majorHAnsi" w:hAnsiTheme="majorHAnsi" w:cstheme="majorHAnsi"/>
          <w:sz w:val="22"/>
          <w:lang w:val="en-GB"/>
        </w:rPr>
        <w:t>have an effect on</w:t>
      </w:r>
      <w:proofErr w:type="gramEnd"/>
      <w:r w:rsidR="00F7127C" w:rsidRPr="00E45751">
        <w:rPr>
          <w:rFonts w:asciiTheme="majorHAnsi" w:hAnsiTheme="majorHAnsi" w:cstheme="majorHAnsi"/>
          <w:sz w:val="22"/>
          <w:lang w:val="en-GB"/>
        </w:rPr>
        <w:t xml:space="preserve"> institutional strategy through </w:t>
      </w:r>
      <w:r w:rsidRPr="00E45751">
        <w:rPr>
          <w:rFonts w:asciiTheme="majorHAnsi" w:hAnsiTheme="majorHAnsi" w:cstheme="majorHAnsi"/>
          <w:sz w:val="22"/>
          <w:lang w:val="en-GB"/>
        </w:rPr>
        <w:t xml:space="preserve">binding </w:t>
      </w:r>
      <w:r w:rsidR="00F7127C" w:rsidRPr="00E45751">
        <w:rPr>
          <w:rFonts w:asciiTheme="majorHAnsi" w:hAnsiTheme="majorHAnsi" w:cstheme="majorHAnsi"/>
          <w:sz w:val="22"/>
          <w:lang w:val="en-GB"/>
        </w:rPr>
        <w:t xml:space="preserve">requirements and regulations </w:t>
      </w:r>
      <w:r w:rsidR="00FF5BCC" w:rsidRPr="00E45751">
        <w:rPr>
          <w:rFonts w:asciiTheme="majorHAnsi" w:hAnsiTheme="majorHAnsi" w:cstheme="majorHAnsi"/>
          <w:sz w:val="22"/>
          <w:lang w:val="en-GB"/>
        </w:rPr>
        <w:t>imposed on HEIs</w:t>
      </w:r>
      <w:r w:rsidR="003C16A6" w:rsidRPr="00E45751">
        <w:rPr>
          <w:rFonts w:asciiTheme="majorHAnsi" w:hAnsiTheme="majorHAnsi" w:cstheme="majorHAnsi"/>
          <w:sz w:val="22"/>
          <w:lang w:val="en-GB"/>
        </w:rPr>
        <w:t xml:space="preserve"> to adjust institutional policy and create more incentive </w:t>
      </w:r>
      <w:r w:rsidRPr="00E45751">
        <w:rPr>
          <w:rFonts w:asciiTheme="majorHAnsi" w:hAnsiTheme="majorHAnsi" w:cstheme="majorHAnsi"/>
          <w:sz w:val="22"/>
          <w:lang w:val="en-GB"/>
        </w:rPr>
        <w:t>incoming students</w:t>
      </w:r>
      <w:r w:rsidR="00FF5BCC" w:rsidRPr="00E45751">
        <w:rPr>
          <w:rFonts w:asciiTheme="majorHAnsi" w:hAnsiTheme="majorHAnsi" w:cstheme="majorHAnsi"/>
          <w:sz w:val="22"/>
          <w:lang w:val="en-GB"/>
        </w:rPr>
        <w:t>.</w:t>
      </w:r>
      <w:r w:rsidRPr="00E45751">
        <w:rPr>
          <w:rFonts w:asciiTheme="majorHAnsi" w:hAnsiTheme="majorHAnsi" w:cstheme="majorHAnsi"/>
          <w:sz w:val="22"/>
          <w:lang w:val="en-GB"/>
        </w:rPr>
        <w:t xml:space="preserve"> Possible examples of this centralised intervention in the HE system could be:</w:t>
      </w:r>
    </w:p>
    <w:p w14:paraId="616ED3DD" w14:textId="46DDF790" w:rsidR="004B0FE9" w:rsidRPr="00E45751" w:rsidRDefault="004B0FE9" w:rsidP="00216257">
      <w:pPr>
        <w:pStyle w:val="ListParagraph"/>
        <w:numPr>
          <w:ilvl w:val="0"/>
          <w:numId w:val="3"/>
        </w:numPr>
        <w:spacing w:after="120"/>
        <w:jc w:val="both"/>
        <w:rPr>
          <w:rFonts w:asciiTheme="majorHAnsi" w:hAnsiTheme="majorHAnsi" w:cstheme="majorHAnsi"/>
          <w:i/>
          <w:sz w:val="22"/>
          <w:lang w:val="en-GB"/>
        </w:rPr>
      </w:pPr>
      <w:r w:rsidRPr="00E45751">
        <w:rPr>
          <w:rFonts w:asciiTheme="majorHAnsi" w:hAnsiTheme="majorHAnsi" w:cstheme="majorHAnsi"/>
          <w:sz w:val="22"/>
          <w:lang w:val="en-GB"/>
        </w:rPr>
        <w:t xml:space="preserve">Articulation of clear and measurable </w:t>
      </w:r>
      <w:r w:rsidR="003C16A6" w:rsidRPr="00E45751">
        <w:rPr>
          <w:rFonts w:asciiTheme="majorHAnsi" w:hAnsiTheme="majorHAnsi" w:cstheme="majorHAnsi"/>
          <w:sz w:val="22"/>
          <w:lang w:val="en-GB"/>
        </w:rPr>
        <w:t xml:space="preserve">objectives and desired </w:t>
      </w:r>
      <w:r w:rsidRPr="00E45751">
        <w:rPr>
          <w:rFonts w:asciiTheme="majorHAnsi" w:hAnsiTheme="majorHAnsi" w:cstheme="majorHAnsi"/>
          <w:sz w:val="22"/>
          <w:lang w:val="en-GB"/>
        </w:rPr>
        <w:t>outcomes</w:t>
      </w:r>
    </w:p>
    <w:p w14:paraId="62B338E1" w14:textId="1099EAEE" w:rsidR="00014DAB" w:rsidRPr="00E45751" w:rsidRDefault="00014DAB" w:rsidP="00216257">
      <w:pPr>
        <w:pStyle w:val="ListParagraph"/>
        <w:numPr>
          <w:ilvl w:val="0"/>
          <w:numId w:val="3"/>
        </w:numPr>
        <w:spacing w:after="120"/>
        <w:jc w:val="both"/>
        <w:rPr>
          <w:rFonts w:asciiTheme="majorHAnsi" w:hAnsiTheme="majorHAnsi" w:cstheme="majorHAnsi"/>
          <w:i/>
          <w:sz w:val="22"/>
          <w:lang w:val="en-GB"/>
        </w:rPr>
      </w:pPr>
      <w:r w:rsidRPr="00E45751">
        <w:rPr>
          <w:rFonts w:asciiTheme="majorHAnsi" w:hAnsiTheme="majorHAnsi" w:cstheme="majorHAnsi"/>
          <w:sz w:val="22"/>
          <w:lang w:val="en-GB"/>
        </w:rPr>
        <w:t>Strong support to the creation of international student support systems</w:t>
      </w:r>
    </w:p>
    <w:p w14:paraId="73C2B54D" w14:textId="03AD6AF0" w:rsidR="004B0FE9" w:rsidRPr="00E45751" w:rsidRDefault="003C16A6" w:rsidP="00216257">
      <w:pPr>
        <w:pStyle w:val="ListParagraph"/>
        <w:numPr>
          <w:ilvl w:val="0"/>
          <w:numId w:val="3"/>
        </w:numPr>
        <w:spacing w:after="120"/>
        <w:jc w:val="both"/>
        <w:rPr>
          <w:rFonts w:asciiTheme="majorHAnsi" w:hAnsiTheme="majorHAnsi" w:cstheme="majorHAnsi"/>
          <w:i/>
          <w:sz w:val="22"/>
          <w:lang w:val="en-GB"/>
        </w:rPr>
      </w:pPr>
      <w:r w:rsidRPr="00E45751">
        <w:rPr>
          <w:rFonts w:asciiTheme="majorHAnsi" w:hAnsiTheme="majorHAnsi" w:cstheme="majorHAnsi"/>
          <w:sz w:val="22"/>
          <w:lang w:val="en-GB"/>
        </w:rPr>
        <w:t xml:space="preserve">Promotion of </w:t>
      </w:r>
      <w:r w:rsidR="004B0FE9" w:rsidRPr="00E45751">
        <w:rPr>
          <w:rFonts w:asciiTheme="majorHAnsi" w:hAnsiTheme="majorHAnsi" w:cstheme="majorHAnsi"/>
          <w:sz w:val="22"/>
          <w:lang w:val="en-GB"/>
        </w:rPr>
        <w:t>competition in higher education</w:t>
      </w:r>
      <w:r w:rsidRPr="00E45751">
        <w:rPr>
          <w:rFonts w:asciiTheme="majorHAnsi" w:hAnsiTheme="majorHAnsi" w:cstheme="majorHAnsi"/>
          <w:sz w:val="22"/>
          <w:lang w:val="en-GB"/>
        </w:rPr>
        <w:t xml:space="preserve"> through market reliance</w:t>
      </w:r>
    </w:p>
    <w:p w14:paraId="3CE37F13" w14:textId="0F192F2B" w:rsidR="001076DE" w:rsidRPr="00E45751" w:rsidRDefault="003C16A6" w:rsidP="00216257">
      <w:pPr>
        <w:pStyle w:val="ListParagraph"/>
        <w:numPr>
          <w:ilvl w:val="0"/>
          <w:numId w:val="3"/>
        </w:numPr>
        <w:spacing w:after="120"/>
        <w:jc w:val="both"/>
        <w:rPr>
          <w:rFonts w:asciiTheme="majorHAnsi" w:hAnsiTheme="majorHAnsi" w:cstheme="majorHAnsi"/>
          <w:i/>
          <w:sz w:val="22"/>
          <w:lang w:val="en-GB"/>
        </w:rPr>
      </w:pPr>
      <w:r w:rsidRPr="00E45751">
        <w:rPr>
          <w:rFonts w:asciiTheme="majorHAnsi" w:hAnsiTheme="majorHAnsi" w:cstheme="majorHAnsi"/>
          <w:sz w:val="22"/>
          <w:lang w:val="en-GB"/>
        </w:rPr>
        <w:t>R</w:t>
      </w:r>
      <w:r w:rsidR="004B0FE9" w:rsidRPr="00E45751">
        <w:rPr>
          <w:rFonts w:asciiTheme="majorHAnsi" w:hAnsiTheme="majorHAnsi" w:cstheme="majorHAnsi"/>
          <w:sz w:val="22"/>
          <w:lang w:val="en-GB"/>
        </w:rPr>
        <w:t xml:space="preserve">egulation/policy </w:t>
      </w:r>
      <w:r w:rsidRPr="00E45751">
        <w:rPr>
          <w:rFonts w:asciiTheme="majorHAnsi" w:hAnsiTheme="majorHAnsi" w:cstheme="majorHAnsi"/>
          <w:sz w:val="22"/>
          <w:lang w:val="en-GB"/>
        </w:rPr>
        <w:t>concerning</w:t>
      </w:r>
      <w:r w:rsidR="004B0FE9" w:rsidRPr="00E45751">
        <w:rPr>
          <w:rFonts w:asciiTheme="majorHAnsi" w:hAnsiTheme="majorHAnsi" w:cstheme="majorHAnsi"/>
          <w:sz w:val="22"/>
          <w:lang w:val="en-GB"/>
        </w:rPr>
        <w:t xml:space="preserve"> joint degrees</w:t>
      </w:r>
    </w:p>
    <w:p w14:paraId="7BD6621B" w14:textId="49F54E0C" w:rsidR="00014DAB" w:rsidRPr="00E45751" w:rsidRDefault="00014DAB"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One of the most important measures that contributes to successful internationalisation and increases the attractiveness of universities is the availability of support for international students. This is primarily accomplished through the creation and the staffing of robust international offices, that provide advice to students in all areas, including administrative questions</w:t>
      </w:r>
      <w:r w:rsidR="00EB6609" w:rsidRPr="00E45751">
        <w:rPr>
          <w:rFonts w:asciiTheme="majorHAnsi" w:hAnsiTheme="majorHAnsi" w:cstheme="majorHAnsi"/>
          <w:sz w:val="22"/>
          <w:lang w:val="en-GB"/>
        </w:rPr>
        <w:t xml:space="preserve"> such as visa and work policy</w:t>
      </w:r>
      <w:r w:rsidRPr="00E45751">
        <w:rPr>
          <w:rFonts w:asciiTheme="majorHAnsi" w:hAnsiTheme="majorHAnsi" w:cstheme="majorHAnsi"/>
          <w:sz w:val="22"/>
          <w:lang w:val="en-GB"/>
        </w:rPr>
        <w:t>,</w:t>
      </w:r>
      <w:r w:rsidR="00EB6609" w:rsidRPr="00E45751">
        <w:rPr>
          <w:rFonts w:asciiTheme="majorHAnsi" w:hAnsiTheme="majorHAnsi" w:cstheme="majorHAnsi"/>
          <w:sz w:val="22"/>
          <w:lang w:val="en-GB"/>
        </w:rPr>
        <w:t xml:space="preserve"> institutional questions concerning courses and professors and</w:t>
      </w:r>
      <w:r w:rsidRPr="00E45751">
        <w:rPr>
          <w:rFonts w:asciiTheme="majorHAnsi" w:hAnsiTheme="majorHAnsi" w:cstheme="majorHAnsi"/>
          <w:sz w:val="22"/>
          <w:lang w:val="en-GB"/>
        </w:rPr>
        <w:t xml:space="preserve"> </w:t>
      </w:r>
      <w:r w:rsidR="00EB6609" w:rsidRPr="00E45751">
        <w:rPr>
          <w:rFonts w:asciiTheme="majorHAnsi" w:hAnsiTheme="majorHAnsi" w:cstheme="majorHAnsi"/>
          <w:sz w:val="22"/>
          <w:lang w:val="en-GB"/>
        </w:rPr>
        <w:t xml:space="preserve">even </w:t>
      </w:r>
      <w:r w:rsidRPr="00E45751">
        <w:rPr>
          <w:rFonts w:asciiTheme="majorHAnsi" w:hAnsiTheme="majorHAnsi" w:cstheme="majorHAnsi"/>
          <w:sz w:val="22"/>
          <w:lang w:val="en-GB"/>
        </w:rPr>
        <w:t xml:space="preserve">integration into campus </w:t>
      </w:r>
      <w:r w:rsidR="00EB6609" w:rsidRPr="00E45751">
        <w:rPr>
          <w:rFonts w:asciiTheme="majorHAnsi" w:hAnsiTheme="majorHAnsi" w:cstheme="majorHAnsi"/>
          <w:sz w:val="22"/>
          <w:lang w:val="en-GB"/>
        </w:rPr>
        <w:t xml:space="preserve">life and society in general. </w:t>
      </w:r>
      <w:r w:rsidR="00EB6609" w:rsidRPr="00E45751">
        <w:rPr>
          <w:rFonts w:asciiTheme="majorHAnsi" w:hAnsiTheme="majorHAnsi" w:cstheme="majorHAnsi"/>
          <w:b/>
          <w:sz w:val="22"/>
          <w:lang w:val="en-GB"/>
        </w:rPr>
        <w:t>National policy and national investment in the development of these international offices</w:t>
      </w:r>
      <w:r w:rsidR="00EB6609" w:rsidRPr="00E45751">
        <w:rPr>
          <w:rFonts w:asciiTheme="majorHAnsi" w:hAnsiTheme="majorHAnsi" w:cstheme="majorHAnsi"/>
          <w:sz w:val="22"/>
          <w:lang w:val="en-GB"/>
        </w:rPr>
        <w:t xml:space="preserve"> demonstrates commitment to internationalisation and attraction of international students at a high </w:t>
      </w:r>
      <w:proofErr w:type="gramStart"/>
      <w:r w:rsidR="00EB6609" w:rsidRPr="00E45751">
        <w:rPr>
          <w:rFonts w:asciiTheme="majorHAnsi" w:hAnsiTheme="majorHAnsi" w:cstheme="majorHAnsi"/>
          <w:sz w:val="22"/>
          <w:lang w:val="en-GB"/>
        </w:rPr>
        <w:t>level, and</w:t>
      </w:r>
      <w:proofErr w:type="gramEnd"/>
      <w:r w:rsidR="00EB6609" w:rsidRPr="00E45751">
        <w:rPr>
          <w:rFonts w:asciiTheme="majorHAnsi" w:hAnsiTheme="majorHAnsi" w:cstheme="majorHAnsi"/>
          <w:sz w:val="22"/>
          <w:lang w:val="en-GB"/>
        </w:rPr>
        <w:t xml:space="preserve"> provides universities with the resources to begin addressing the lack of such support systems.</w:t>
      </w:r>
    </w:p>
    <w:p w14:paraId="26BD3D68" w14:textId="2F8D40F1" w:rsidR="005107E8" w:rsidRDefault="005107E8"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lang w:val="en-GB"/>
        </w:rPr>
        <w:t xml:space="preserve">Polish national policy has placed emphasis on </w:t>
      </w:r>
      <w:r w:rsidRPr="00E45751">
        <w:rPr>
          <w:rFonts w:asciiTheme="majorHAnsi" w:hAnsiTheme="majorHAnsi" w:cstheme="majorHAnsi"/>
          <w:b/>
          <w:sz w:val="22"/>
          <w:szCs w:val="22"/>
          <w:lang w:val="en-GB"/>
        </w:rPr>
        <w:t>developing services for international students</w:t>
      </w:r>
      <w:r w:rsidRPr="00E45751">
        <w:rPr>
          <w:rFonts w:asciiTheme="majorHAnsi" w:hAnsiTheme="majorHAnsi" w:cstheme="majorHAnsi"/>
          <w:sz w:val="22"/>
          <w:szCs w:val="22"/>
          <w:lang w:val="en-GB"/>
        </w:rPr>
        <w:t xml:space="preserve"> and </w:t>
      </w:r>
      <w:r w:rsidRPr="00E45751">
        <w:rPr>
          <w:rFonts w:asciiTheme="majorHAnsi" w:hAnsiTheme="majorHAnsi" w:cstheme="majorHAnsi"/>
          <w:b/>
          <w:sz w:val="22"/>
          <w:szCs w:val="22"/>
          <w:lang w:val="en-GB"/>
        </w:rPr>
        <w:t>increasing competencies of administrative employees</w:t>
      </w:r>
      <w:r w:rsidRPr="00E45751">
        <w:rPr>
          <w:rFonts w:asciiTheme="majorHAnsi" w:hAnsiTheme="majorHAnsi" w:cstheme="majorHAnsi"/>
          <w:sz w:val="22"/>
          <w:szCs w:val="22"/>
          <w:lang w:val="en-GB"/>
        </w:rPr>
        <w:t>.</w:t>
      </w:r>
      <w:r w:rsidRPr="00E45751">
        <w:rPr>
          <w:rStyle w:val="FootnoteReference"/>
          <w:rFonts w:asciiTheme="majorHAnsi" w:hAnsiTheme="majorHAnsi" w:cstheme="majorHAnsi"/>
          <w:sz w:val="22"/>
          <w:lang w:val="en-GB"/>
        </w:rPr>
        <w:footnoteReference w:id="5"/>
      </w:r>
      <w:r w:rsidRPr="00E45751">
        <w:rPr>
          <w:rFonts w:asciiTheme="majorHAnsi" w:hAnsiTheme="majorHAnsi" w:cstheme="majorHAnsi"/>
          <w:sz w:val="22"/>
          <w:szCs w:val="22"/>
          <w:lang w:val="en-GB"/>
        </w:rPr>
        <w:t xml:space="preserve"> Poland is an example in increasing the number of international students in universities. This country case is presented in further detail later in this report.</w:t>
      </w:r>
    </w:p>
    <w:p w14:paraId="3FD86A33" w14:textId="6C6EF26D" w:rsidR="008C6424" w:rsidRPr="00E45751" w:rsidRDefault="008C6424" w:rsidP="00216257">
      <w:pPr>
        <w:spacing w:after="120"/>
        <w:jc w:val="both"/>
        <w:rPr>
          <w:rFonts w:asciiTheme="majorHAnsi" w:hAnsiTheme="majorHAnsi" w:cstheme="majorHAnsi"/>
          <w:sz w:val="22"/>
          <w:lang w:val="en-GB"/>
        </w:rPr>
      </w:pPr>
      <w:proofErr w:type="gramStart"/>
      <w:r w:rsidRPr="00E45751">
        <w:rPr>
          <w:rFonts w:asciiTheme="majorHAnsi" w:hAnsiTheme="majorHAnsi" w:cstheme="majorHAnsi"/>
          <w:sz w:val="22"/>
          <w:lang w:val="en-GB"/>
        </w:rPr>
        <w:t>A number of</w:t>
      </w:r>
      <w:proofErr w:type="gramEnd"/>
      <w:r w:rsidRPr="00E45751">
        <w:rPr>
          <w:rFonts w:asciiTheme="majorHAnsi" w:hAnsiTheme="majorHAnsi" w:cstheme="majorHAnsi"/>
          <w:sz w:val="22"/>
          <w:lang w:val="en-GB"/>
        </w:rPr>
        <w:t xml:space="preserve"> interventions in institutional strategy are possible, but governments will need to find a balance, as too much intervention stifles HEIs and will result in decreased international mobility.</w:t>
      </w:r>
    </w:p>
    <w:p w14:paraId="7E8ECA59" w14:textId="11C25FE2" w:rsidR="001076DE" w:rsidRPr="00E45751" w:rsidRDefault="001076DE"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lastRenderedPageBreak/>
        <w:t xml:space="preserve">In Europe, guides have been produced on the design of learning outcomes and allocation of credit points, with specific focus on joint degree programmes. See the </w:t>
      </w:r>
      <w:hyperlink r:id="rId13" w:history="1">
        <w:r w:rsidRPr="00E45751">
          <w:rPr>
            <w:rStyle w:val="Hyperlink"/>
            <w:rFonts w:asciiTheme="majorHAnsi" w:hAnsiTheme="majorHAnsi" w:cstheme="majorHAnsi"/>
            <w:sz w:val="22"/>
            <w:lang w:val="en-GB"/>
          </w:rPr>
          <w:t>ECTS Users’ guide</w:t>
        </w:r>
      </w:hyperlink>
      <w:r w:rsidRPr="00E45751">
        <w:rPr>
          <w:rFonts w:asciiTheme="majorHAnsi" w:hAnsiTheme="majorHAnsi" w:cstheme="majorHAnsi"/>
          <w:sz w:val="22"/>
          <w:lang w:val="en-GB"/>
        </w:rPr>
        <w:t xml:space="preserve"> (2015).</w:t>
      </w:r>
    </w:p>
    <w:p w14:paraId="1A783055" w14:textId="34E8E0A8" w:rsidR="00EB6609" w:rsidRPr="00E45751" w:rsidRDefault="00EB6609" w:rsidP="00216257">
      <w:pPr>
        <w:spacing w:after="120"/>
        <w:jc w:val="both"/>
        <w:rPr>
          <w:rFonts w:asciiTheme="majorHAnsi" w:hAnsiTheme="majorHAnsi" w:cstheme="majorHAnsi"/>
          <w:sz w:val="22"/>
          <w:lang w:val="en-GB"/>
        </w:rPr>
      </w:pPr>
    </w:p>
    <w:p w14:paraId="7A84CBCC" w14:textId="64FF4BF8" w:rsidR="001076DE" w:rsidRPr="00E45751" w:rsidRDefault="00010DFB" w:rsidP="00216257">
      <w:pPr>
        <w:shd w:val="clear" w:color="auto" w:fill="FDE9D9" w:themeFill="accent6" w:themeFillTint="33"/>
        <w:spacing w:after="120"/>
        <w:ind w:left="709"/>
        <w:jc w:val="both"/>
        <w:rPr>
          <w:rFonts w:asciiTheme="majorHAnsi" w:hAnsiTheme="majorHAnsi" w:cstheme="majorHAnsi"/>
          <w:b/>
          <w:sz w:val="22"/>
          <w:lang w:val="en-GB"/>
        </w:rPr>
      </w:pPr>
      <w:r w:rsidRPr="00E45751">
        <w:rPr>
          <w:rFonts w:asciiTheme="majorHAnsi" w:hAnsiTheme="majorHAnsi" w:cstheme="majorHAnsi"/>
          <w:b/>
          <w:noProof/>
          <w:sz w:val="22"/>
        </w:rPr>
        <w:drawing>
          <wp:anchor distT="0" distB="0" distL="114300" distR="114300" simplePos="0" relativeHeight="251660288" behindDoc="0" locked="0" layoutInCell="1" allowOverlap="1" wp14:anchorId="680FE467" wp14:editId="3112591D">
            <wp:simplePos x="0" y="0"/>
            <wp:positionH relativeFrom="margin">
              <wp:posOffset>3200400</wp:posOffset>
            </wp:positionH>
            <wp:positionV relativeFrom="margin">
              <wp:posOffset>1873250</wp:posOffset>
            </wp:positionV>
            <wp:extent cx="2538095" cy="3482340"/>
            <wp:effectExtent l="0" t="0" r="190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3-28 à 08.50.25.png"/>
                    <pic:cNvPicPr/>
                  </pic:nvPicPr>
                  <pic:blipFill>
                    <a:blip r:embed="rId14"/>
                    <a:stretch>
                      <a:fillRect/>
                    </a:stretch>
                  </pic:blipFill>
                  <pic:spPr>
                    <a:xfrm>
                      <a:off x="0" y="0"/>
                      <a:ext cx="2538095" cy="3482340"/>
                    </a:xfrm>
                    <a:prstGeom prst="rect">
                      <a:avLst/>
                    </a:prstGeom>
                  </pic:spPr>
                </pic:pic>
              </a:graphicData>
            </a:graphic>
            <wp14:sizeRelH relativeFrom="margin">
              <wp14:pctWidth>0</wp14:pctWidth>
            </wp14:sizeRelH>
            <wp14:sizeRelV relativeFrom="margin">
              <wp14:pctHeight>0</wp14:pctHeight>
            </wp14:sizeRelV>
          </wp:anchor>
        </w:drawing>
      </w:r>
      <w:r w:rsidR="001076DE" w:rsidRPr="00E45751">
        <w:rPr>
          <w:rFonts w:asciiTheme="majorHAnsi" w:hAnsiTheme="majorHAnsi" w:cstheme="majorHAnsi"/>
          <w:b/>
          <w:sz w:val="22"/>
          <w:lang w:val="en-GB"/>
        </w:rPr>
        <w:t>The ECTS Users’ Guide</w:t>
      </w:r>
    </w:p>
    <w:p w14:paraId="01AC2827" w14:textId="02987AC3" w:rsidR="001076DE" w:rsidRPr="00E45751" w:rsidRDefault="001076DE" w:rsidP="00216257">
      <w:pPr>
        <w:shd w:val="clear" w:color="auto" w:fill="FDE9D9" w:themeFill="accent6" w:themeFillTint="33"/>
        <w:spacing w:after="120"/>
        <w:ind w:left="709"/>
        <w:jc w:val="both"/>
        <w:rPr>
          <w:rFonts w:asciiTheme="majorHAnsi" w:hAnsiTheme="majorHAnsi" w:cstheme="majorHAnsi"/>
          <w:sz w:val="20"/>
          <w:lang w:val="en-GB"/>
        </w:rPr>
      </w:pPr>
      <w:r w:rsidRPr="00E45751">
        <w:rPr>
          <w:rFonts w:asciiTheme="majorHAnsi" w:hAnsiTheme="majorHAnsi" w:cstheme="majorHAnsi"/>
          <w:sz w:val="20"/>
          <w:lang w:val="en-GB"/>
        </w:rPr>
        <w:t>The ECTS Users’ Guide offers guidelines for implementing ECTS and links to useful supporting documents. Following t</w:t>
      </w:r>
      <w:r w:rsidR="00EE5CDA">
        <w:rPr>
          <w:rFonts w:asciiTheme="majorHAnsi" w:hAnsiTheme="majorHAnsi" w:cstheme="majorHAnsi"/>
          <w:sz w:val="20"/>
          <w:lang w:val="en-GB"/>
        </w:rPr>
        <w:t>he re</w:t>
      </w:r>
      <w:r w:rsidRPr="00E45751">
        <w:rPr>
          <w:rFonts w:asciiTheme="majorHAnsi" w:hAnsiTheme="majorHAnsi" w:cstheme="majorHAnsi"/>
          <w:sz w:val="20"/>
          <w:lang w:val="en-GB"/>
        </w:rPr>
        <w:t xml:space="preserve">quest from Bologna Ministers in Bucharest (Bucharest Communiqué, 2012), the ECTS Users’ Guide of 2009 has been revised, </w:t>
      </w:r>
      <w:proofErr w:type="gramStart"/>
      <w:r w:rsidRPr="00E45751">
        <w:rPr>
          <w:rFonts w:asciiTheme="majorHAnsi" w:hAnsiTheme="majorHAnsi" w:cstheme="majorHAnsi"/>
          <w:sz w:val="20"/>
          <w:lang w:val="en-GB"/>
        </w:rPr>
        <w:t>in order to</w:t>
      </w:r>
      <w:proofErr w:type="gramEnd"/>
      <w:r w:rsidRPr="00E45751">
        <w:rPr>
          <w:rFonts w:asciiTheme="majorHAnsi" w:hAnsiTheme="majorHAnsi" w:cstheme="majorHAnsi"/>
          <w:sz w:val="20"/>
          <w:lang w:val="en-GB"/>
        </w:rPr>
        <w:t xml:space="preserve"> strengthen the ‘meaningful implementation of learning outcomes’ in the EHEA. </w:t>
      </w:r>
    </w:p>
    <w:p w14:paraId="0AF8F376" w14:textId="19E81BC0" w:rsidR="001076DE" w:rsidRPr="00E45751" w:rsidRDefault="001076DE" w:rsidP="00216257">
      <w:pPr>
        <w:shd w:val="clear" w:color="auto" w:fill="FDE9D9" w:themeFill="accent6" w:themeFillTint="33"/>
        <w:spacing w:after="120"/>
        <w:ind w:left="709"/>
        <w:jc w:val="both"/>
        <w:rPr>
          <w:rFonts w:asciiTheme="majorHAnsi" w:hAnsiTheme="majorHAnsi" w:cstheme="majorHAnsi"/>
          <w:sz w:val="20"/>
          <w:lang w:val="en-GB"/>
        </w:rPr>
      </w:pPr>
      <w:r w:rsidRPr="00E45751">
        <w:rPr>
          <w:rFonts w:asciiTheme="majorHAnsi" w:hAnsiTheme="majorHAnsi" w:cstheme="majorHAnsi"/>
          <w:sz w:val="20"/>
          <w:lang w:val="en-GB"/>
        </w:rPr>
        <w:t xml:space="preserve">The Guide is offered to students and other learners, academic and administrative staff in higher education institutions as well as to employers, education providers and all other interested stakeholders. The </w:t>
      </w:r>
      <w:proofErr w:type="gramStart"/>
      <w:r w:rsidRPr="00E45751">
        <w:rPr>
          <w:rFonts w:asciiTheme="majorHAnsi" w:hAnsiTheme="majorHAnsi" w:cstheme="majorHAnsi"/>
          <w:sz w:val="20"/>
          <w:lang w:val="en-GB"/>
        </w:rPr>
        <w:t>main focus</w:t>
      </w:r>
      <w:proofErr w:type="gramEnd"/>
      <w:r w:rsidRPr="00E45751">
        <w:rPr>
          <w:rFonts w:asciiTheme="majorHAnsi" w:hAnsiTheme="majorHAnsi" w:cstheme="majorHAnsi"/>
          <w:sz w:val="20"/>
          <w:lang w:val="en-GB"/>
        </w:rPr>
        <w:t xml:space="preserve"> is on the de</w:t>
      </w:r>
      <w:r w:rsidR="00EE5CDA">
        <w:rPr>
          <w:rFonts w:asciiTheme="majorHAnsi" w:hAnsiTheme="majorHAnsi" w:cstheme="majorHAnsi"/>
          <w:sz w:val="20"/>
          <w:lang w:val="en-GB"/>
        </w:rPr>
        <w:t>sign and implementation of ECTS as a learner-centr</w:t>
      </w:r>
      <w:r w:rsidRPr="00E45751">
        <w:rPr>
          <w:rFonts w:asciiTheme="majorHAnsi" w:hAnsiTheme="majorHAnsi" w:cstheme="majorHAnsi"/>
          <w:sz w:val="20"/>
          <w:lang w:val="en-GB"/>
        </w:rPr>
        <w:t xml:space="preserve">ed system for credit accumulation and </w:t>
      </w:r>
      <w:r w:rsidR="00EE5CDA">
        <w:rPr>
          <w:rFonts w:asciiTheme="majorHAnsi" w:hAnsiTheme="majorHAnsi" w:cstheme="majorHAnsi"/>
          <w:sz w:val="20"/>
          <w:lang w:val="en-GB"/>
        </w:rPr>
        <w:t xml:space="preserve">credit </w:t>
      </w:r>
      <w:r w:rsidRPr="00E45751">
        <w:rPr>
          <w:rFonts w:asciiTheme="majorHAnsi" w:hAnsiTheme="majorHAnsi" w:cstheme="majorHAnsi"/>
          <w:sz w:val="20"/>
          <w:lang w:val="en-GB"/>
        </w:rPr>
        <w:t xml:space="preserve">transfer, based on the principle of transparency of the learning, teaching and assessment processes. Its objective is to facilitate the planning, delivery and evaluation of study programmes and student mobility by qualifications and periods of learning. It typically fits the mobility issues. </w:t>
      </w:r>
    </w:p>
    <w:p w14:paraId="0BA0BD0D" w14:textId="7D014110" w:rsidR="001076DE" w:rsidRPr="00E45751" w:rsidRDefault="001076DE" w:rsidP="00216257">
      <w:pPr>
        <w:spacing w:after="120"/>
        <w:jc w:val="both"/>
        <w:rPr>
          <w:rFonts w:asciiTheme="majorHAnsi" w:hAnsiTheme="majorHAnsi" w:cstheme="majorHAnsi"/>
          <w:sz w:val="22"/>
          <w:lang w:val="en-GB"/>
        </w:rPr>
      </w:pPr>
    </w:p>
    <w:p w14:paraId="69C08D92" w14:textId="61F774FC" w:rsidR="00323B75" w:rsidRDefault="00CE7F0E" w:rsidP="00216257">
      <w:pPr>
        <w:spacing w:after="120"/>
        <w:jc w:val="both"/>
        <w:rPr>
          <w:rFonts w:asciiTheme="majorHAnsi" w:hAnsiTheme="majorHAnsi" w:cstheme="majorHAnsi"/>
          <w:sz w:val="22"/>
          <w:lang w:val="en-GB"/>
        </w:rPr>
      </w:pPr>
      <w:r>
        <w:rPr>
          <w:rFonts w:asciiTheme="majorHAnsi" w:hAnsiTheme="majorHAnsi" w:cstheme="majorHAnsi"/>
          <w:sz w:val="22"/>
          <w:lang w:val="en-GB"/>
        </w:rPr>
        <w:t xml:space="preserve">In addition to national policy, it is important to briefly note that regional/provincial governments within countries can and do contribute to internationalisation efforts and to </w:t>
      </w:r>
      <w:r w:rsidRPr="00966FBC">
        <w:rPr>
          <w:rFonts w:asciiTheme="majorHAnsi" w:hAnsiTheme="majorHAnsi" w:cstheme="majorHAnsi"/>
          <w:b/>
          <w:sz w:val="22"/>
          <w:lang w:val="en-GB"/>
        </w:rPr>
        <w:t>boosting student mobility to their own universities.</w:t>
      </w:r>
      <w:r>
        <w:rPr>
          <w:rFonts w:asciiTheme="majorHAnsi" w:hAnsiTheme="majorHAnsi" w:cstheme="majorHAnsi"/>
          <w:sz w:val="22"/>
          <w:lang w:val="en-GB"/>
        </w:rPr>
        <w:t xml:space="preserve"> These actions complement national strategy, and benefit both students that benefit from </w:t>
      </w:r>
      <w:r w:rsidR="00190567">
        <w:rPr>
          <w:rFonts w:asciiTheme="majorHAnsi" w:hAnsiTheme="majorHAnsi" w:cstheme="majorHAnsi"/>
          <w:sz w:val="22"/>
          <w:lang w:val="en-GB"/>
        </w:rPr>
        <w:t>potential</w:t>
      </w:r>
      <w:r>
        <w:rPr>
          <w:rFonts w:asciiTheme="majorHAnsi" w:hAnsiTheme="majorHAnsi" w:cstheme="majorHAnsi"/>
          <w:sz w:val="22"/>
          <w:lang w:val="en-GB"/>
        </w:rPr>
        <w:t xml:space="preserve"> incentives and regions that gain in economic and social development </w:t>
      </w:r>
      <w:proofErr w:type="gramStart"/>
      <w:r>
        <w:rPr>
          <w:rFonts w:asciiTheme="majorHAnsi" w:hAnsiTheme="majorHAnsi" w:cstheme="majorHAnsi"/>
          <w:sz w:val="22"/>
          <w:lang w:val="en-GB"/>
        </w:rPr>
        <w:t>as a result of</w:t>
      </w:r>
      <w:proofErr w:type="gramEnd"/>
      <w:r>
        <w:rPr>
          <w:rFonts w:asciiTheme="majorHAnsi" w:hAnsiTheme="majorHAnsi" w:cstheme="majorHAnsi"/>
          <w:sz w:val="22"/>
          <w:lang w:val="en-GB"/>
        </w:rPr>
        <w:t xml:space="preserve"> universities that contribute to research and regional innovation.</w:t>
      </w:r>
      <w:r w:rsidR="00323B75">
        <w:rPr>
          <w:rFonts w:asciiTheme="majorHAnsi" w:hAnsiTheme="majorHAnsi" w:cstheme="majorHAnsi"/>
          <w:sz w:val="22"/>
          <w:lang w:val="en-GB"/>
        </w:rPr>
        <w:t xml:space="preserve"> Regional contributions to attracting international students consist mainly of </w:t>
      </w:r>
      <w:r w:rsidR="00323B75" w:rsidRPr="008C6424">
        <w:rPr>
          <w:rFonts w:asciiTheme="majorHAnsi" w:hAnsiTheme="majorHAnsi" w:cstheme="majorHAnsi"/>
          <w:b/>
          <w:sz w:val="22"/>
          <w:lang w:val="en-GB"/>
        </w:rPr>
        <w:t>promotion of the region as a centre of excellence for higher education</w:t>
      </w:r>
      <w:r w:rsidR="00323B75">
        <w:rPr>
          <w:rFonts w:asciiTheme="majorHAnsi" w:hAnsiTheme="majorHAnsi" w:cstheme="majorHAnsi"/>
          <w:sz w:val="22"/>
          <w:lang w:val="en-GB"/>
        </w:rPr>
        <w:t xml:space="preserve"> and </w:t>
      </w:r>
      <w:r w:rsidR="00323B75" w:rsidRPr="008C6424">
        <w:rPr>
          <w:rFonts w:asciiTheme="majorHAnsi" w:hAnsiTheme="majorHAnsi" w:cstheme="majorHAnsi"/>
          <w:b/>
          <w:sz w:val="22"/>
          <w:lang w:val="en-GB"/>
        </w:rPr>
        <w:t>promotion of the local HEI specifically</w:t>
      </w:r>
      <w:r w:rsidR="00323B75">
        <w:rPr>
          <w:rFonts w:asciiTheme="majorHAnsi" w:hAnsiTheme="majorHAnsi" w:cstheme="majorHAnsi"/>
          <w:sz w:val="22"/>
          <w:lang w:val="en-GB"/>
        </w:rPr>
        <w:t xml:space="preserve"> to attract students from a wider geographical area.</w:t>
      </w:r>
      <w:r w:rsidR="00323B75">
        <w:rPr>
          <w:rStyle w:val="FootnoteReference"/>
          <w:rFonts w:asciiTheme="majorHAnsi" w:hAnsiTheme="majorHAnsi" w:cstheme="majorHAnsi"/>
          <w:sz w:val="22"/>
          <w:lang w:val="en-GB"/>
        </w:rPr>
        <w:footnoteReference w:id="6"/>
      </w:r>
    </w:p>
    <w:p w14:paraId="33FFF058" w14:textId="693A4D03" w:rsidR="003C16A6" w:rsidRPr="00E45751" w:rsidRDefault="00A925A5" w:rsidP="008C6424">
      <w:pPr>
        <w:spacing w:after="120"/>
        <w:jc w:val="both"/>
        <w:rPr>
          <w:rFonts w:asciiTheme="majorHAnsi" w:hAnsiTheme="majorHAnsi" w:cstheme="majorHAnsi"/>
          <w:sz w:val="22"/>
          <w:lang w:val="en-GB"/>
        </w:rPr>
      </w:pPr>
      <w:r>
        <w:rPr>
          <w:rFonts w:asciiTheme="majorHAnsi" w:hAnsiTheme="majorHAnsi" w:cstheme="majorHAnsi"/>
          <w:sz w:val="22"/>
          <w:lang w:val="en-GB"/>
        </w:rPr>
        <w:t xml:space="preserve">Examples of such mutual investment between regions and their HEIs include the Bio </w:t>
      </w:r>
      <w:proofErr w:type="spellStart"/>
      <w:r>
        <w:rPr>
          <w:rFonts w:asciiTheme="majorHAnsi" w:hAnsiTheme="majorHAnsi" w:cstheme="majorHAnsi"/>
          <w:sz w:val="22"/>
          <w:lang w:val="en-GB"/>
        </w:rPr>
        <w:t>Bio</w:t>
      </w:r>
      <w:proofErr w:type="spellEnd"/>
      <w:r>
        <w:rPr>
          <w:rFonts w:asciiTheme="majorHAnsi" w:hAnsiTheme="majorHAnsi" w:cstheme="majorHAnsi"/>
          <w:sz w:val="22"/>
          <w:lang w:val="en-GB"/>
        </w:rPr>
        <w:t xml:space="preserve"> region in Chile, the City of Berlin in Germany, the City-Region</w:t>
      </w:r>
      <w:r w:rsidR="002E0F44">
        <w:rPr>
          <w:rFonts w:asciiTheme="majorHAnsi" w:hAnsiTheme="majorHAnsi" w:cstheme="majorHAnsi"/>
          <w:sz w:val="22"/>
          <w:lang w:val="en-GB"/>
        </w:rPr>
        <w:t>s</w:t>
      </w:r>
      <w:r>
        <w:rPr>
          <w:rFonts w:asciiTheme="majorHAnsi" w:hAnsiTheme="majorHAnsi" w:cstheme="majorHAnsi"/>
          <w:sz w:val="22"/>
          <w:lang w:val="en-GB"/>
        </w:rPr>
        <w:t xml:space="preserve"> of Amsterdam </w:t>
      </w:r>
      <w:r w:rsidR="002E0F44">
        <w:rPr>
          <w:rFonts w:asciiTheme="majorHAnsi" w:hAnsiTheme="majorHAnsi" w:cstheme="majorHAnsi"/>
          <w:sz w:val="22"/>
          <w:lang w:val="en-GB"/>
        </w:rPr>
        <w:t xml:space="preserve">and Rotterdam </w:t>
      </w:r>
      <w:r>
        <w:rPr>
          <w:rFonts w:asciiTheme="majorHAnsi" w:hAnsiTheme="majorHAnsi" w:cstheme="majorHAnsi"/>
          <w:sz w:val="22"/>
          <w:lang w:val="en-GB"/>
        </w:rPr>
        <w:t>in the Netherlands, Southern Arizona in the USA, the State of Veracruz</w:t>
      </w:r>
      <w:r w:rsidR="002E0F44">
        <w:rPr>
          <w:rFonts w:asciiTheme="majorHAnsi" w:hAnsiTheme="majorHAnsi" w:cstheme="majorHAnsi"/>
          <w:sz w:val="22"/>
          <w:lang w:val="en-GB"/>
        </w:rPr>
        <w:t xml:space="preserve"> and the Paso del Norte region</w:t>
      </w:r>
      <w:r>
        <w:rPr>
          <w:rFonts w:asciiTheme="majorHAnsi" w:hAnsiTheme="majorHAnsi" w:cstheme="majorHAnsi"/>
          <w:sz w:val="22"/>
          <w:lang w:val="en-GB"/>
        </w:rPr>
        <w:t xml:space="preserve"> in Mexico, </w:t>
      </w:r>
      <w:r w:rsidR="002E0F44">
        <w:rPr>
          <w:rFonts w:asciiTheme="majorHAnsi" w:hAnsiTheme="majorHAnsi" w:cstheme="majorHAnsi"/>
          <w:sz w:val="22"/>
          <w:lang w:val="en-GB"/>
        </w:rPr>
        <w:t>the Galilee in Israel, the State of Parana in Brazil, the State of Victoria in Australia, the regions of Andalusia and Catalonia in Spain, the State of Penang in Malaysia and the region of Lombardy in Italy. These regions participated in an OECD study on Higher Education in regional and city development</w:t>
      </w:r>
      <w:r w:rsidR="00966FBC">
        <w:rPr>
          <w:rFonts w:asciiTheme="majorHAnsi" w:hAnsiTheme="majorHAnsi" w:cstheme="majorHAnsi"/>
          <w:sz w:val="22"/>
          <w:lang w:val="en-GB"/>
        </w:rPr>
        <w:t>, which examined the close relationship between HEIs and their regional governments.</w:t>
      </w:r>
      <w:r w:rsidR="00966FBC">
        <w:rPr>
          <w:rStyle w:val="FootnoteReference"/>
          <w:rFonts w:asciiTheme="majorHAnsi" w:hAnsiTheme="majorHAnsi" w:cstheme="majorHAnsi"/>
          <w:sz w:val="22"/>
          <w:lang w:val="en-GB"/>
        </w:rPr>
        <w:footnoteReference w:id="7"/>
      </w:r>
    </w:p>
    <w:p w14:paraId="71CE7CFC" w14:textId="3A27B5B2" w:rsidR="00786B36" w:rsidRPr="00E45751" w:rsidRDefault="008C6424" w:rsidP="008C6424">
      <w:pPr>
        <w:spacing w:after="120"/>
        <w:jc w:val="both"/>
        <w:rPr>
          <w:rFonts w:asciiTheme="majorHAnsi" w:hAnsiTheme="majorHAnsi" w:cstheme="majorHAnsi"/>
          <w:sz w:val="22"/>
          <w:lang w:val="en-GB"/>
        </w:rPr>
      </w:pPr>
      <w:r>
        <w:rPr>
          <w:rFonts w:asciiTheme="majorHAnsi" w:hAnsiTheme="majorHAnsi" w:cstheme="majorHAnsi"/>
          <w:sz w:val="22"/>
          <w:lang w:val="en-GB"/>
        </w:rPr>
        <w:t xml:space="preserve">Despite the important role regions can play in promotion of local HEIs, national and institutional policies remain the most effective for increasing attractiveness of a nation’s HE system. </w:t>
      </w:r>
      <w:r w:rsidR="00BB6089" w:rsidRPr="00E45751">
        <w:rPr>
          <w:rFonts w:asciiTheme="majorHAnsi" w:hAnsiTheme="majorHAnsi" w:cstheme="majorHAnsi"/>
          <w:sz w:val="22"/>
          <w:lang w:val="en-GB"/>
        </w:rPr>
        <w:t>Conflicting national and institutional policy</w:t>
      </w:r>
      <w:r>
        <w:rPr>
          <w:rFonts w:asciiTheme="majorHAnsi" w:hAnsiTheme="majorHAnsi" w:cstheme="majorHAnsi"/>
          <w:sz w:val="22"/>
          <w:lang w:val="en-GB"/>
        </w:rPr>
        <w:t>, however,</w:t>
      </w:r>
      <w:r w:rsidR="00BB6089" w:rsidRPr="00E45751">
        <w:rPr>
          <w:rFonts w:asciiTheme="majorHAnsi" w:hAnsiTheme="majorHAnsi" w:cstheme="majorHAnsi"/>
          <w:sz w:val="22"/>
          <w:lang w:val="en-GB"/>
        </w:rPr>
        <w:t xml:space="preserve"> hampers internationalisation efforts. Therefore, synergy between policy levels on questions of internationalisation is of the utmost importance and will result </w:t>
      </w:r>
      <w:r w:rsidR="00BB6089" w:rsidRPr="00E45751">
        <w:rPr>
          <w:rFonts w:asciiTheme="majorHAnsi" w:hAnsiTheme="majorHAnsi" w:cstheme="majorHAnsi"/>
          <w:sz w:val="22"/>
          <w:lang w:val="en-GB"/>
        </w:rPr>
        <w:lastRenderedPageBreak/>
        <w:t>in a multiplier effect.</w:t>
      </w:r>
      <w:r w:rsidR="00BB6089" w:rsidRPr="00E45751">
        <w:rPr>
          <w:rStyle w:val="FootnoteReference"/>
          <w:rFonts w:asciiTheme="majorHAnsi" w:hAnsiTheme="majorHAnsi" w:cstheme="majorHAnsi"/>
          <w:sz w:val="22"/>
          <w:lang w:val="en-GB"/>
        </w:rPr>
        <w:footnoteReference w:id="8"/>
      </w:r>
      <w:r w:rsidR="005D0225" w:rsidRPr="00E45751">
        <w:rPr>
          <w:rFonts w:asciiTheme="majorHAnsi" w:hAnsiTheme="majorHAnsi" w:cstheme="majorHAnsi"/>
          <w:sz w:val="22"/>
          <w:lang w:val="en-GB"/>
        </w:rPr>
        <w:t xml:space="preserve"> The following section considers </w:t>
      </w:r>
      <w:r w:rsidR="00E34D94" w:rsidRPr="00E45751">
        <w:rPr>
          <w:rFonts w:asciiTheme="majorHAnsi" w:hAnsiTheme="majorHAnsi" w:cstheme="majorHAnsi"/>
          <w:sz w:val="22"/>
          <w:lang w:val="en-GB"/>
        </w:rPr>
        <w:t>how HEIs can create incentives to attract international students, thereby multiplying the effects of government incentives.</w:t>
      </w:r>
    </w:p>
    <w:p w14:paraId="199DCF9A" w14:textId="018615E4" w:rsidR="00786B36" w:rsidRPr="00E45751" w:rsidRDefault="008221AE" w:rsidP="00216257">
      <w:pPr>
        <w:pStyle w:val="Heading2"/>
        <w:numPr>
          <w:ilvl w:val="1"/>
          <w:numId w:val="15"/>
        </w:numPr>
        <w:spacing w:after="120"/>
        <w:jc w:val="both"/>
        <w:rPr>
          <w:rFonts w:cstheme="majorHAnsi"/>
          <w:lang w:val="en-GB"/>
        </w:rPr>
      </w:pPr>
      <w:bookmarkStart w:id="26" w:name="_Toc416471893"/>
      <w:r w:rsidRPr="00E45751">
        <w:rPr>
          <w:rFonts w:cstheme="majorHAnsi"/>
          <w:lang w:val="en-GB"/>
        </w:rPr>
        <w:t>University-specific</w:t>
      </w:r>
      <w:r w:rsidR="00786B36" w:rsidRPr="00E45751">
        <w:rPr>
          <w:rFonts w:cstheme="majorHAnsi"/>
          <w:lang w:val="en-GB"/>
        </w:rPr>
        <w:t xml:space="preserve"> incentives </w:t>
      </w:r>
      <w:r w:rsidR="00B021F0" w:rsidRPr="00E45751">
        <w:rPr>
          <w:rFonts w:cstheme="majorHAnsi"/>
          <w:lang w:val="en-GB"/>
        </w:rPr>
        <w:t>to attract international students</w:t>
      </w:r>
      <w:bookmarkEnd w:id="26"/>
    </w:p>
    <w:p w14:paraId="4D4E1B22" w14:textId="5429EC4F" w:rsidR="005B276D" w:rsidRPr="00E45751" w:rsidRDefault="005B276D"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Incentives given by HEIs to attract foreign students are deeply intertwined with government policy and government initiatives, but there are several actions taken by HEIs that are correlated with an increase in attractiveness of HEIs on the international stage.</w:t>
      </w:r>
    </w:p>
    <w:p w14:paraId="2FCC6880" w14:textId="15447CA1" w:rsidR="004F6C9E" w:rsidRPr="00E45751" w:rsidRDefault="004F6C9E"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While </w:t>
      </w:r>
      <w:r w:rsidRPr="00E45751">
        <w:rPr>
          <w:rFonts w:asciiTheme="majorHAnsi" w:hAnsiTheme="majorHAnsi" w:cstheme="majorHAnsi"/>
          <w:b/>
          <w:sz w:val="22"/>
          <w:lang w:val="en-GB"/>
        </w:rPr>
        <w:t>offering courses taught in English</w:t>
      </w:r>
      <w:r w:rsidRPr="00E45751">
        <w:rPr>
          <w:rFonts w:asciiTheme="majorHAnsi" w:hAnsiTheme="majorHAnsi" w:cstheme="majorHAnsi"/>
          <w:sz w:val="22"/>
          <w:lang w:val="en-GB"/>
        </w:rPr>
        <w:t xml:space="preserve"> does attract more international students, merely translating national courses into English is not enough to truly incentivise incoming student mobility. Courses that are made more relevant in the international context have shown in several contexts to </w:t>
      </w:r>
      <w:r w:rsidR="00BB27BF" w:rsidRPr="00E45751">
        <w:rPr>
          <w:rFonts w:asciiTheme="majorHAnsi" w:hAnsiTheme="majorHAnsi" w:cstheme="majorHAnsi"/>
          <w:b/>
          <w:noProof/>
          <w:sz w:val="22"/>
        </w:rPr>
        <w:drawing>
          <wp:anchor distT="0" distB="0" distL="114300" distR="114300" simplePos="0" relativeHeight="251659264" behindDoc="0" locked="0" layoutInCell="1" allowOverlap="1" wp14:anchorId="17227B90" wp14:editId="45FB0194">
            <wp:simplePos x="0" y="0"/>
            <wp:positionH relativeFrom="margin">
              <wp:posOffset>3320415</wp:posOffset>
            </wp:positionH>
            <wp:positionV relativeFrom="margin">
              <wp:posOffset>-9449414</wp:posOffset>
            </wp:positionV>
            <wp:extent cx="2353945" cy="2165350"/>
            <wp:effectExtent l="0" t="0" r="0"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3-28 à 08.52.50.png"/>
                    <pic:cNvPicPr/>
                  </pic:nvPicPr>
                  <pic:blipFill>
                    <a:blip r:embed="rId15"/>
                    <a:stretch>
                      <a:fillRect/>
                    </a:stretch>
                  </pic:blipFill>
                  <pic:spPr>
                    <a:xfrm>
                      <a:off x="0" y="0"/>
                      <a:ext cx="2353945" cy="2165350"/>
                    </a:xfrm>
                    <a:prstGeom prst="rect">
                      <a:avLst/>
                    </a:prstGeom>
                  </pic:spPr>
                </pic:pic>
              </a:graphicData>
            </a:graphic>
            <wp14:sizeRelH relativeFrom="margin">
              <wp14:pctWidth>0</wp14:pctWidth>
            </wp14:sizeRelH>
            <wp14:sizeRelV relativeFrom="margin">
              <wp14:pctHeight>0</wp14:pctHeight>
            </wp14:sizeRelV>
          </wp:anchor>
        </w:drawing>
      </w:r>
      <w:r w:rsidRPr="00E45751">
        <w:rPr>
          <w:rFonts w:asciiTheme="majorHAnsi" w:hAnsiTheme="majorHAnsi" w:cstheme="majorHAnsi"/>
          <w:sz w:val="22"/>
          <w:lang w:val="en-GB"/>
        </w:rPr>
        <w:t xml:space="preserve">contribute more towards mobility that merely changing the language of existing courses. </w:t>
      </w:r>
      <w:r w:rsidRPr="00E45751">
        <w:rPr>
          <w:rFonts w:asciiTheme="majorHAnsi" w:hAnsiTheme="majorHAnsi" w:cstheme="majorHAnsi"/>
          <w:b/>
          <w:sz w:val="22"/>
          <w:lang w:val="en-GB"/>
        </w:rPr>
        <w:t>Internationalisation of the curriculum</w:t>
      </w:r>
      <w:r w:rsidRPr="00E45751">
        <w:rPr>
          <w:rFonts w:asciiTheme="majorHAnsi" w:hAnsiTheme="majorHAnsi" w:cstheme="majorHAnsi"/>
          <w:sz w:val="22"/>
          <w:lang w:val="en-GB"/>
        </w:rPr>
        <w:t xml:space="preserve"> in HEIs is an important part of opening universities to the world and inviting international students to attend.</w:t>
      </w:r>
    </w:p>
    <w:p w14:paraId="001C53DE" w14:textId="048F070A" w:rsidR="004F6C9E" w:rsidRPr="00E45751" w:rsidRDefault="004F6C9E" w:rsidP="00216257">
      <w:pPr>
        <w:spacing w:after="120"/>
        <w:jc w:val="both"/>
        <w:rPr>
          <w:rFonts w:asciiTheme="majorHAnsi" w:hAnsiTheme="majorHAnsi" w:cstheme="majorHAnsi"/>
          <w:sz w:val="22"/>
          <w:lang w:val="en-GB"/>
        </w:rPr>
      </w:pPr>
      <w:r w:rsidRPr="00E45751">
        <w:rPr>
          <w:rFonts w:asciiTheme="majorHAnsi" w:hAnsiTheme="majorHAnsi" w:cstheme="majorHAnsi"/>
          <w:b/>
          <w:sz w:val="22"/>
          <w:lang w:val="en-GB"/>
        </w:rPr>
        <w:t>Australia</w:t>
      </w:r>
      <w:r w:rsidRPr="00E45751">
        <w:rPr>
          <w:rFonts w:asciiTheme="majorHAnsi" w:hAnsiTheme="majorHAnsi" w:cstheme="majorHAnsi"/>
          <w:sz w:val="22"/>
          <w:lang w:val="en-GB"/>
        </w:rPr>
        <w:t xml:space="preserve"> successfully internationalised its curriculum through adding “international content into courses, comparative and cross-cultural approaches, language and area studies, interdisciplinary programmes covering more than one country, joint degree courses involving a professional course linked to an international studies/language course, courses taught, in part, overseas or involving a study abroad component, placement in an overseas organisation or an international study tour, and courses using visiting academics from overseas.”</w:t>
      </w:r>
      <w:r w:rsidRPr="00E45751">
        <w:rPr>
          <w:rStyle w:val="FootnoteReference"/>
          <w:rFonts w:asciiTheme="majorHAnsi" w:hAnsiTheme="majorHAnsi" w:cstheme="majorHAnsi"/>
          <w:sz w:val="22"/>
          <w:lang w:val="en-GB"/>
        </w:rPr>
        <w:footnoteReference w:id="9"/>
      </w:r>
      <w:r w:rsidRPr="00E45751">
        <w:rPr>
          <w:rFonts w:asciiTheme="majorHAnsi" w:hAnsiTheme="majorHAnsi" w:cstheme="majorHAnsi"/>
          <w:sz w:val="22"/>
          <w:lang w:val="en-GB"/>
        </w:rPr>
        <w:t xml:space="preserve"> Internationalisation of the curriculum, course offerings, professor profiles and study abroad options makes national HEIs more attractive to international students, who can then position their degree in a more international setting thanks to its wider relevance.</w:t>
      </w:r>
    </w:p>
    <w:p w14:paraId="141956B8" w14:textId="53291BE2" w:rsidR="005107E8" w:rsidRPr="00E45751" w:rsidRDefault="004F6C9E" w:rsidP="00216257">
      <w:pPr>
        <w:spacing w:after="120"/>
        <w:jc w:val="both"/>
        <w:rPr>
          <w:rFonts w:asciiTheme="majorHAnsi" w:hAnsiTheme="majorHAnsi" w:cstheme="majorHAnsi"/>
          <w:sz w:val="22"/>
          <w:lang w:val="en-GB"/>
        </w:rPr>
      </w:pPr>
      <w:r w:rsidRPr="00E45751">
        <w:rPr>
          <w:rFonts w:asciiTheme="majorHAnsi" w:hAnsiTheme="majorHAnsi" w:cstheme="majorHAnsi"/>
          <w:b/>
          <w:sz w:val="22"/>
          <w:lang w:val="en-GB"/>
        </w:rPr>
        <w:t>Creating dual or joint degree offers</w:t>
      </w:r>
      <w:r w:rsidRPr="00E45751">
        <w:rPr>
          <w:rFonts w:asciiTheme="majorHAnsi" w:hAnsiTheme="majorHAnsi" w:cstheme="majorHAnsi"/>
          <w:sz w:val="22"/>
          <w:lang w:val="en-GB"/>
        </w:rPr>
        <w:t xml:space="preserve"> with universities in other countries is another important way HEIs can create incentives for students from abroad. Joint degrees with well-known international universities increase the worldwide credibility of national HEIs and increases numbers of studen</w:t>
      </w:r>
      <w:r w:rsidR="008A0C91" w:rsidRPr="00E45751">
        <w:rPr>
          <w:rFonts w:asciiTheme="majorHAnsi" w:hAnsiTheme="majorHAnsi" w:cstheme="majorHAnsi"/>
          <w:sz w:val="22"/>
          <w:lang w:val="en-GB"/>
        </w:rPr>
        <w:t>ts in both short and long-</w:t>
      </w:r>
      <w:r w:rsidRPr="00E45751">
        <w:rPr>
          <w:rFonts w:asciiTheme="majorHAnsi" w:hAnsiTheme="majorHAnsi" w:cstheme="majorHAnsi"/>
          <w:sz w:val="22"/>
          <w:lang w:val="en-GB"/>
        </w:rPr>
        <w:t>term mobility programmes.</w:t>
      </w:r>
      <w:r w:rsidR="008A0C91" w:rsidRPr="00E45751">
        <w:rPr>
          <w:rFonts w:asciiTheme="majorHAnsi" w:hAnsiTheme="majorHAnsi" w:cstheme="majorHAnsi"/>
          <w:sz w:val="22"/>
          <w:lang w:val="en-GB"/>
        </w:rPr>
        <w:t xml:space="preserve"> </w:t>
      </w:r>
    </w:p>
    <w:p w14:paraId="497FA9E2" w14:textId="599DF2A7" w:rsidR="005107E8" w:rsidRDefault="005107E8" w:rsidP="00216257">
      <w:pPr>
        <w:spacing w:after="120"/>
        <w:jc w:val="both"/>
        <w:rPr>
          <w:rFonts w:asciiTheme="majorHAnsi" w:hAnsiTheme="majorHAnsi" w:cstheme="majorHAnsi"/>
          <w:sz w:val="22"/>
          <w:lang w:val="en-GB"/>
        </w:rPr>
      </w:pPr>
    </w:p>
    <w:p w14:paraId="708A5F3F" w14:textId="77777777" w:rsidR="00010DFB" w:rsidRPr="00E45751" w:rsidRDefault="00010DFB" w:rsidP="00216257">
      <w:pPr>
        <w:spacing w:after="120"/>
        <w:jc w:val="both"/>
        <w:rPr>
          <w:rFonts w:asciiTheme="majorHAnsi" w:hAnsiTheme="majorHAnsi" w:cstheme="majorHAnsi"/>
          <w:sz w:val="22"/>
          <w:lang w:val="en-GB"/>
        </w:rPr>
      </w:pPr>
    </w:p>
    <w:p w14:paraId="0114B490" w14:textId="7377FF8C" w:rsidR="0006088F" w:rsidRPr="00E45751" w:rsidRDefault="00010DFB" w:rsidP="00216257">
      <w:pPr>
        <w:shd w:val="clear" w:color="auto" w:fill="FDE9D9" w:themeFill="accent6" w:themeFillTint="33"/>
        <w:spacing w:after="120"/>
        <w:ind w:left="851"/>
        <w:jc w:val="both"/>
        <w:rPr>
          <w:rFonts w:asciiTheme="majorHAnsi" w:hAnsiTheme="majorHAnsi" w:cstheme="majorHAnsi"/>
          <w:b/>
          <w:sz w:val="22"/>
          <w:lang w:val="en-GB"/>
        </w:rPr>
      </w:pPr>
      <w:r w:rsidRPr="00E45751">
        <w:rPr>
          <w:rFonts w:asciiTheme="majorHAnsi" w:hAnsiTheme="majorHAnsi" w:cstheme="majorHAnsi"/>
          <w:noProof/>
          <w:sz w:val="20"/>
        </w:rPr>
        <w:drawing>
          <wp:anchor distT="0" distB="0" distL="114300" distR="114300" simplePos="0" relativeHeight="251663360" behindDoc="0" locked="0" layoutInCell="1" allowOverlap="1" wp14:anchorId="697AE218" wp14:editId="5F185507">
            <wp:simplePos x="0" y="0"/>
            <wp:positionH relativeFrom="margin">
              <wp:posOffset>3237865</wp:posOffset>
            </wp:positionH>
            <wp:positionV relativeFrom="margin">
              <wp:posOffset>45720</wp:posOffset>
            </wp:positionV>
            <wp:extent cx="2512695" cy="2398395"/>
            <wp:effectExtent l="0" t="0" r="190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9-03-28 à 08.52.50.png"/>
                    <pic:cNvPicPr/>
                  </pic:nvPicPr>
                  <pic:blipFill>
                    <a:blip r:embed="rId15"/>
                    <a:stretch>
                      <a:fillRect/>
                    </a:stretch>
                  </pic:blipFill>
                  <pic:spPr>
                    <a:xfrm>
                      <a:off x="0" y="0"/>
                      <a:ext cx="2512695" cy="2398395"/>
                    </a:xfrm>
                    <a:prstGeom prst="rect">
                      <a:avLst/>
                    </a:prstGeom>
                  </pic:spPr>
                </pic:pic>
              </a:graphicData>
            </a:graphic>
            <wp14:sizeRelH relativeFrom="margin">
              <wp14:pctWidth>0</wp14:pctWidth>
            </wp14:sizeRelH>
            <wp14:sizeRelV relativeFrom="margin">
              <wp14:pctHeight>0</wp14:pctHeight>
            </wp14:sizeRelV>
          </wp:anchor>
        </w:drawing>
      </w:r>
      <w:r w:rsidR="0006088F" w:rsidRPr="00E45751">
        <w:rPr>
          <w:rFonts w:asciiTheme="majorHAnsi" w:hAnsiTheme="majorHAnsi" w:cstheme="majorHAnsi"/>
          <w:b/>
          <w:sz w:val="22"/>
          <w:lang w:val="en-GB"/>
        </w:rPr>
        <w:t xml:space="preserve">How to ensure the quality of the joint programmes? </w:t>
      </w:r>
    </w:p>
    <w:p w14:paraId="18639B7D" w14:textId="263C543A" w:rsidR="0006088F" w:rsidRPr="00E45751" w:rsidRDefault="0006088F" w:rsidP="00216257">
      <w:pPr>
        <w:shd w:val="clear" w:color="auto" w:fill="FDE9D9" w:themeFill="accent6" w:themeFillTint="33"/>
        <w:spacing w:after="120"/>
        <w:ind w:left="851"/>
        <w:jc w:val="both"/>
        <w:rPr>
          <w:rFonts w:asciiTheme="majorHAnsi" w:hAnsiTheme="majorHAnsi" w:cstheme="majorHAnsi"/>
          <w:sz w:val="20"/>
          <w:lang w:val="en-GB"/>
        </w:rPr>
      </w:pPr>
      <w:r w:rsidRPr="00E45751">
        <w:rPr>
          <w:rFonts w:asciiTheme="majorHAnsi" w:hAnsiTheme="majorHAnsi" w:cstheme="majorHAnsi"/>
          <w:sz w:val="20"/>
          <w:lang w:val="en-GB"/>
        </w:rPr>
        <w:t>The </w:t>
      </w:r>
      <w:hyperlink r:id="rId16" w:tgtFrame="_blank" w:tooltip="Initiates file download" w:history="1">
        <w:r w:rsidRPr="00E45751">
          <w:rPr>
            <w:rStyle w:val="Hyperlink"/>
            <w:rFonts w:asciiTheme="majorHAnsi" w:hAnsiTheme="majorHAnsi" w:cstheme="majorHAnsi"/>
            <w:color w:val="auto"/>
            <w:sz w:val="20"/>
            <w:lang w:val="en-GB"/>
          </w:rPr>
          <w:t>European Approach for Quality Assurance of Joint Programmes</w:t>
        </w:r>
      </w:hyperlink>
      <w:r w:rsidRPr="00E45751">
        <w:rPr>
          <w:rFonts w:asciiTheme="majorHAnsi" w:hAnsiTheme="majorHAnsi" w:cstheme="majorHAnsi"/>
          <w:sz w:val="20"/>
          <w:lang w:val="en-GB"/>
        </w:rPr>
        <w:t xml:space="preserve">, adopted by European Ministers responsible for higher education, has been developed to ease external quality assurance of these programmes: it defines standards that are based on the agreed tools of the EHEA, without applying additional national criteria. This is expected to facilitate integrated approaches to quality assurance of joint programmes, which genuinely reflect and mirror their joint character. </w:t>
      </w:r>
    </w:p>
    <w:p w14:paraId="606CD8F0" w14:textId="6C6297AE" w:rsidR="0006088F" w:rsidRPr="00E45751" w:rsidRDefault="0006088F" w:rsidP="00216257">
      <w:pPr>
        <w:shd w:val="clear" w:color="auto" w:fill="FDE9D9" w:themeFill="accent6" w:themeFillTint="33"/>
        <w:spacing w:after="120"/>
        <w:ind w:left="851"/>
        <w:jc w:val="both"/>
        <w:rPr>
          <w:rFonts w:asciiTheme="majorHAnsi" w:hAnsiTheme="majorHAnsi" w:cstheme="majorHAnsi"/>
          <w:sz w:val="20"/>
          <w:lang w:val="en-GB"/>
        </w:rPr>
      </w:pPr>
      <w:r w:rsidRPr="00E45751">
        <w:rPr>
          <w:rFonts w:asciiTheme="majorHAnsi" w:hAnsiTheme="majorHAnsi" w:cstheme="majorHAnsi"/>
          <w:sz w:val="20"/>
          <w:lang w:val="en-GB"/>
        </w:rPr>
        <w:t xml:space="preserve">Specific </w:t>
      </w:r>
      <w:hyperlink r:id="rId17" w:history="1">
        <w:r w:rsidRPr="00E45751">
          <w:rPr>
            <w:rStyle w:val="Hyperlink"/>
            <w:rFonts w:asciiTheme="majorHAnsi" w:hAnsiTheme="majorHAnsi" w:cstheme="majorHAnsi"/>
            <w:color w:val="auto"/>
            <w:sz w:val="20"/>
            <w:lang w:val="en-GB"/>
          </w:rPr>
          <w:t>quality standards</w:t>
        </w:r>
      </w:hyperlink>
      <w:r w:rsidRPr="00E45751">
        <w:rPr>
          <w:rFonts w:asciiTheme="majorHAnsi" w:hAnsiTheme="majorHAnsi" w:cstheme="majorHAnsi"/>
          <w:sz w:val="20"/>
          <w:lang w:val="en-GB"/>
        </w:rPr>
        <w:t xml:space="preserve"> are proposed, as well as specific quality assurance processes. </w:t>
      </w:r>
    </w:p>
    <w:p w14:paraId="4ACB63A0" w14:textId="06C5FAC3" w:rsidR="0006088F" w:rsidRPr="00E45751" w:rsidRDefault="0006088F" w:rsidP="00216257">
      <w:pPr>
        <w:spacing w:after="120"/>
        <w:jc w:val="both"/>
        <w:rPr>
          <w:rFonts w:asciiTheme="majorHAnsi" w:hAnsiTheme="majorHAnsi" w:cstheme="majorHAnsi"/>
          <w:b/>
          <w:color w:val="C00000"/>
          <w:sz w:val="22"/>
          <w:lang w:val="en-GB"/>
        </w:rPr>
      </w:pPr>
    </w:p>
    <w:p w14:paraId="02223C3F" w14:textId="0B74E330" w:rsidR="004F6C9E" w:rsidRPr="00E45751" w:rsidRDefault="004F6C9E" w:rsidP="00216257">
      <w:pPr>
        <w:spacing w:after="120"/>
        <w:jc w:val="both"/>
        <w:rPr>
          <w:rFonts w:asciiTheme="majorHAnsi" w:hAnsiTheme="majorHAnsi" w:cstheme="majorHAnsi"/>
          <w:i/>
          <w:sz w:val="22"/>
          <w:lang w:val="en-GB"/>
        </w:rPr>
      </w:pPr>
      <w:r w:rsidRPr="00E45751">
        <w:rPr>
          <w:rFonts w:asciiTheme="majorHAnsi" w:hAnsiTheme="majorHAnsi" w:cstheme="majorHAnsi"/>
          <w:b/>
          <w:sz w:val="22"/>
          <w:lang w:val="en-GB"/>
        </w:rPr>
        <w:lastRenderedPageBreak/>
        <w:t>Developing or expanding international offices and support structures</w:t>
      </w:r>
      <w:r w:rsidRPr="00E45751">
        <w:rPr>
          <w:rFonts w:asciiTheme="majorHAnsi" w:hAnsiTheme="majorHAnsi" w:cstheme="majorHAnsi"/>
          <w:sz w:val="22"/>
          <w:lang w:val="en-GB"/>
        </w:rPr>
        <w:t xml:space="preserve"> for international students is most likely the major incentive available to HEIs for attracting students. For example, Australian HEIs developed and </w:t>
      </w:r>
      <w:r w:rsidRPr="00E45751">
        <w:rPr>
          <w:rFonts w:asciiTheme="majorHAnsi" w:hAnsiTheme="majorHAnsi" w:cstheme="majorHAnsi"/>
          <w:b/>
          <w:sz w:val="22"/>
          <w:lang w:val="en-GB"/>
        </w:rPr>
        <w:t>expanded their international offices</w:t>
      </w:r>
      <w:r w:rsidRPr="00E45751">
        <w:rPr>
          <w:rFonts w:asciiTheme="majorHAnsi" w:hAnsiTheme="majorHAnsi" w:cstheme="majorHAnsi"/>
          <w:sz w:val="22"/>
          <w:lang w:val="en-GB"/>
        </w:rPr>
        <w:t xml:space="preserve"> after the overseas student policy was introduced in 1985. They began to offer a “wide range of services to overseas students </w:t>
      </w:r>
      <w:r w:rsidRPr="00E45751">
        <w:rPr>
          <w:rFonts w:asciiTheme="majorHAnsi" w:hAnsiTheme="majorHAnsi" w:cstheme="majorHAnsi"/>
          <w:b/>
          <w:sz w:val="22"/>
          <w:lang w:val="en-GB"/>
        </w:rPr>
        <w:t>including course information and admission requirements; processing of applications for enrolment; advice to students on medical insurance, immigration requirements and health, welfare and counselling services; scholarship opportunities; and institutional and cultural orientation programmes</w:t>
      </w:r>
      <w:r w:rsidRPr="00E45751">
        <w:rPr>
          <w:rFonts w:asciiTheme="majorHAnsi" w:hAnsiTheme="majorHAnsi" w:cstheme="majorHAnsi"/>
          <w:sz w:val="22"/>
          <w:lang w:val="en-GB"/>
        </w:rPr>
        <w:t xml:space="preserve">.” They also occasionally offer training of bridging courses for students that require extra preparation before </w:t>
      </w:r>
      <w:proofErr w:type="gramStart"/>
      <w:r w:rsidRPr="00E45751">
        <w:rPr>
          <w:rFonts w:asciiTheme="majorHAnsi" w:hAnsiTheme="majorHAnsi" w:cstheme="majorHAnsi"/>
          <w:sz w:val="22"/>
          <w:lang w:val="en-GB"/>
        </w:rPr>
        <w:t>entering into</w:t>
      </w:r>
      <w:proofErr w:type="gramEnd"/>
      <w:r w:rsidRPr="00E45751">
        <w:rPr>
          <w:rFonts w:asciiTheme="majorHAnsi" w:hAnsiTheme="majorHAnsi" w:cstheme="majorHAnsi"/>
          <w:sz w:val="22"/>
          <w:lang w:val="en-GB"/>
        </w:rPr>
        <w:t xml:space="preserve"> university. International offices are also often involved in English training courses for international students.</w:t>
      </w:r>
      <w:r w:rsidRPr="00E45751">
        <w:rPr>
          <w:rStyle w:val="FootnoteReference"/>
          <w:rFonts w:asciiTheme="majorHAnsi" w:hAnsiTheme="majorHAnsi" w:cstheme="majorHAnsi"/>
          <w:sz w:val="22"/>
          <w:lang w:val="en-GB"/>
        </w:rPr>
        <w:footnoteReference w:id="10"/>
      </w:r>
      <w:r w:rsidRPr="00E45751">
        <w:rPr>
          <w:rFonts w:asciiTheme="majorHAnsi" w:hAnsiTheme="majorHAnsi" w:cstheme="majorHAnsi"/>
          <w:sz w:val="22"/>
          <w:lang w:val="en-GB"/>
        </w:rPr>
        <w:t xml:space="preserve"> South Africa and</w:t>
      </w:r>
      <w:r w:rsidRPr="00E45751">
        <w:rPr>
          <w:rFonts w:asciiTheme="majorHAnsi" w:hAnsiTheme="majorHAnsi" w:cstheme="majorHAnsi"/>
          <w:b/>
          <w:sz w:val="22"/>
          <w:lang w:val="en-GB"/>
        </w:rPr>
        <w:t xml:space="preserve"> </w:t>
      </w:r>
      <w:r w:rsidRPr="00E45751">
        <w:rPr>
          <w:rFonts w:asciiTheme="majorHAnsi" w:hAnsiTheme="majorHAnsi" w:cstheme="majorHAnsi"/>
          <w:sz w:val="22"/>
          <w:lang w:val="en-GB"/>
        </w:rPr>
        <w:t xml:space="preserve">Poland also </w:t>
      </w:r>
      <w:r w:rsidRPr="00E45751">
        <w:rPr>
          <w:rFonts w:asciiTheme="majorHAnsi" w:hAnsiTheme="majorHAnsi" w:cstheme="majorHAnsi"/>
          <w:b/>
          <w:sz w:val="22"/>
          <w:lang w:val="en-GB"/>
        </w:rPr>
        <w:t>include enhancing support structures</w:t>
      </w:r>
      <w:r w:rsidRPr="00E45751">
        <w:rPr>
          <w:rFonts w:asciiTheme="majorHAnsi" w:hAnsiTheme="majorHAnsi" w:cstheme="majorHAnsi"/>
          <w:sz w:val="22"/>
          <w:lang w:val="en-GB"/>
        </w:rPr>
        <w:t xml:space="preserve"> </w:t>
      </w:r>
      <w:r w:rsidRPr="00E45751">
        <w:rPr>
          <w:rFonts w:asciiTheme="majorHAnsi" w:hAnsiTheme="majorHAnsi" w:cstheme="majorHAnsi"/>
          <w:b/>
          <w:sz w:val="22"/>
          <w:lang w:val="en-GB"/>
        </w:rPr>
        <w:t>in their national policy frameworks</w:t>
      </w:r>
      <w:r w:rsidRPr="00E45751">
        <w:rPr>
          <w:rFonts w:asciiTheme="majorHAnsi" w:hAnsiTheme="majorHAnsi" w:cstheme="majorHAnsi"/>
          <w:sz w:val="22"/>
          <w:lang w:val="en-GB"/>
        </w:rPr>
        <w:t xml:space="preserve"> as an essential measure to increasing student mobility.</w:t>
      </w:r>
    </w:p>
    <w:p w14:paraId="3B482300" w14:textId="77E67D9B" w:rsidR="00E362A2" w:rsidRPr="00E45751" w:rsidRDefault="00E362A2"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In some cases, international offices also provide a clear code of conduct containing information regarding student rights and responsibilities, with special attention accorded to international students. Germany has a particularly advanced code of conduct, containing information “for students regarding available courses, defines the rights of international students and guidance for universities on providing information to international students, </w:t>
      </w:r>
      <w:proofErr w:type="gramStart"/>
      <w:r w:rsidRPr="00E45751">
        <w:rPr>
          <w:rFonts w:asciiTheme="majorHAnsi" w:hAnsiTheme="majorHAnsi" w:cstheme="majorHAnsi"/>
          <w:sz w:val="22"/>
          <w:lang w:val="en-GB"/>
        </w:rPr>
        <w:t>assuming that</w:t>
      </w:r>
      <w:proofErr w:type="gramEnd"/>
      <w:r w:rsidRPr="00E45751">
        <w:rPr>
          <w:rFonts w:asciiTheme="majorHAnsi" w:hAnsiTheme="majorHAnsi" w:cstheme="majorHAnsi"/>
          <w:sz w:val="22"/>
          <w:lang w:val="en-GB"/>
        </w:rPr>
        <w:t xml:space="preserve"> international students, new to Germany, need further protection. It provides information from admission, throughout their studies and up to graduation on what should be available and what should be done.”</w:t>
      </w:r>
      <w:r w:rsidRPr="00E45751">
        <w:rPr>
          <w:rStyle w:val="FootnoteReference"/>
          <w:rFonts w:asciiTheme="majorHAnsi" w:hAnsiTheme="majorHAnsi" w:cstheme="majorHAnsi"/>
          <w:sz w:val="22"/>
          <w:lang w:val="en-GB"/>
        </w:rPr>
        <w:footnoteReference w:id="11"/>
      </w:r>
      <w:r w:rsidRPr="00E45751">
        <w:rPr>
          <w:rFonts w:asciiTheme="majorHAnsi" w:hAnsiTheme="majorHAnsi" w:cstheme="majorHAnsi"/>
          <w:sz w:val="22"/>
          <w:lang w:val="en-GB"/>
        </w:rPr>
        <w:t xml:space="preserve"> The Netherlands, Australia and New Zealand also developed similar codes of conduct alongside Germany.</w:t>
      </w:r>
    </w:p>
    <w:p w14:paraId="43A81767" w14:textId="33A14F59" w:rsidR="004F6C9E" w:rsidRPr="00E45751" w:rsidRDefault="004F6C9E"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These services are very important for the continued attraction of international students, as they define the quality of the living abroad experience and project a sense of welcome and safety to incoming international students. They also demonstrate the commitment of an HEI to its international student community.</w:t>
      </w:r>
    </w:p>
    <w:p w14:paraId="22D94E76" w14:textId="77777777" w:rsidR="002C0583" w:rsidRPr="00E45751" w:rsidRDefault="002C0583"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Additional</w:t>
      </w:r>
      <w:r w:rsidR="007A264C" w:rsidRPr="00E45751">
        <w:rPr>
          <w:rFonts w:asciiTheme="majorHAnsi" w:hAnsiTheme="majorHAnsi" w:cstheme="majorHAnsi"/>
          <w:sz w:val="22"/>
          <w:lang w:val="en-GB"/>
        </w:rPr>
        <w:t xml:space="preserve"> institutional strategies can create further incentives for certain groups of students. </w:t>
      </w:r>
      <w:r w:rsidR="007A264C" w:rsidRPr="00E45751">
        <w:rPr>
          <w:rFonts w:asciiTheme="majorHAnsi" w:hAnsiTheme="majorHAnsi" w:cstheme="majorHAnsi"/>
          <w:b/>
          <w:sz w:val="22"/>
          <w:lang w:val="en-GB"/>
        </w:rPr>
        <w:t xml:space="preserve">Establishment of regional studies centres </w:t>
      </w:r>
      <w:r w:rsidR="007A264C" w:rsidRPr="00E45751">
        <w:rPr>
          <w:rFonts w:asciiTheme="majorHAnsi" w:hAnsiTheme="majorHAnsi" w:cstheme="majorHAnsi"/>
          <w:sz w:val="22"/>
          <w:lang w:val="en-GB"/>
        </w:rPr>
        <w:t xml:space="preserve">and </w:t>
      </w:r>
      <w:r w:rsidR="007A264C" w:rsidRPr="00E45751">
        <w:rPr>
          <w:rFonts w:asciiTheme="majorHAnsi" w:hAnsiTheme="majorHAnsi" w:cstheme="majorHAnsi"/>
          <w:b/>
          <w:sz w:val="22"/>
          <w:lang w:val="en-GB"/>
        </w:rPr>
        <w:t>lower tuition fees for students from a region of interest</w:t>
      </w:r>
      <w:r w:rsidR="007A264C" w:rsidRPr="00E45751">
        <w:rPr>
          <w:rFonts w:asciiTheme="majorHAnsi" w:hAnsiTheme="majorHAnsi" w:cstheme="majorHAnsi"/>
          <w:sz w:val="22"/>
          <w:lang w:val="en-GB"/>
        </w:rPr>
        <w:t xml:space="preserve">, for example, can serve to attract students from </w:t>
      </w:r>
      <w:proofErr w:type="gramStart"/>
      <w:r w:rsidR="007A264C" w:rsidRPr="00E45751">
        <w:rPr>
          <w:rFonts w:asciiTheme="majorHAnsi" w:hAnsiTheme="majorHAnsi" w:cstheme="majorHAnsi"/>
          <w:sz w:val="22"/>
          <w:lang w:val="en-GB"/>
        </w:rPr>
        <w:t>particular regions</w:t>
      </w:r>
      <w:proofErr w:type="gramEnd"/>
      <w:r w:rsidR="007A264C" w:rsidRPr="00E45751">
        <w:rPr>
          <w:rFonts w:asciiTheme="majorHAnsi" w:hAnsiTheme="majorHAnsi" w:cstheme="majorHAnsi"/>
          <w:sz w:val="22"/>
          <w:lang w:val="en-GB"/>
        </w:rPr>
        <w:t>. Asian Studies centres have grown exponentially in Australian universities as the number of international students from this region increases.</w:t>
      </w:r>
      <w:r w:rsidR="007A264C" w:rsidRPr="00E45751">
        <w:rPr>
          <w:rFonts w:asciiTheme="majorHAnsi" w:hAnsiTheme="majorHAnsi" w:cstheme="majorHAnsi"/>
          <w:sz w:val="22"/>
          <w:vertAlign w:val="superscript"/>
          <w:lang w:val="en-GB"/>
        </w:rPr>
        <w:footnoteReference w:id="12"/>
      </w:r>
      <w:r w:rsidR="007A264C" w:rsidRPr="00E45751">
        <w:rPr>
          <w:rFonts w:asciiTheme="majorHAnsi" w:hAnsiTheme="majorHAnsi" w:cstheme="majorHAnsi"/>
          <w:sz w:val="22"/>
          <w:lang w:val="en-GB"/>
        </w:rPr>
        <w:t xml:space="preserve"> As seen previously, South Africa also encourages regional mobility from SADC countries. </w:t>
      </w:r>
      <w:r w:rsidR="00AD2E50" w:rsidRPr="00E45751">
        <w:rPr>
          <w:rFonts w:asciiTheme="majorHAnsi" w:hAnsiTheme="majorHAnsi" w:cstheme="majorHAnsi"/>
          <w:b/>
          <w:sz w:val="22"/>
          <w:lang w:val="en-GB"/>
        </w:rPr>
        <w:t xml:space="preserve">Alignment of the admissions process to the regional or international calendar </w:t>
      </w:r>
      <w:r w:rsidR="00AD2E50" w:rsidRPr="00E45751">
        <w:rPr>
          <w:rFonts w:asciiTheme="majorHAnsi" w:hAnsiTheme="majorHAnsi" w:cstheme="majorHAnsi"/>
          <w:sz w:val="22"/>
          <w:lang w:val="en-GB"/>
        </w:rPr>
        <w:t>is also an important strategy, as the best and brightest students often must choose between several offers of admission, and a country risks losing students if admission offers are given much later than those of other universities.</w:t>
      </w:r>
      <w:r w:rsidR="00614FB8" w:rsidRPr="00E45751">
        <w:rPr>
          <w:rFonts w:asciiTheme="majorHAnsi" w:hAnsiTheme="majorHAnsi" w:cstheme="majorHAnsi"/>
          <w:sz w:val="22"/>
          <w:lang w:val="en-GB"/>
        </w:rPr>
        <w:t xml:space="preserve"> Giving admissions </w:t>
      </w:r>
      <w:r w:rsidR="00AD7B1D" w:rsidRPr="00E45751">
        <w:rPr>
          <w:rFonts w:asciiTheme="majorHAnsi" w:hAnsiTheme="majorHAnsi" w:cstheme="majorHAnsi"/>
          <w:sz w:val="22"/>
          <w:lang w:val="en-GB"/>
        </w:rPr>
        <w:t>offers</w:t>
      </w:r>
      <w:r w:rsidR="00614FB8" w:rsidRPr="00E45751">
        <w:rPr>
          <w:rFonts w:asciiTheme="majorHAnsi" w:hAnsiTheme="majorHAnsi" w:cstheme="majorHAnsi"/>
          <w:sz w:val="22"/>
          <w:lang w:val="en-GB"/>
        </w:rPr>
        <w:t xml:space="preserve"> before competitor HEIs may even give an advantage to national HEIs.</w:t>
      </w:r>
    </w:p>
    <w:p w14:paraId="6B0E2D05" w14:textId="0DC5F963" w:rsidR="00D20F9E" w:rsidRPr="00E45751" w:rsidRDefault="002C0583"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Finally, </w:t>
      </w:r>
      <w:r w:rsidR="007D3DD9" w:rsidRPr="00E45751">
        <w:rPr>
          <w:rFonts w:asciiTheme="majorHAnsi" w:hAnsiTheme="majorHAnsi" w:cstheme="majorHAnsi"/>
          <w:b/>
          <w:sz w:val="22"/>
          <w:lang w:val="en-GB"/>
        </w:rPr>
        <w:t>attracting international research initiatives</w:t>
      </w:r>
      <w:r w:rsidRPr="00E45751">
        <w:rPr>
          <w:rFonts w:asciiTheme="majorHAnsi" w:hAnsiTheme="majorHAnsi" w:cstheme="majorHAnsi"/>
          <w:sz w:val="22"/>
          <w:lang w:val="en-GB"/>
        </w:rPr>
        <w:t xml:space="preserve"> </w:t>
      </w:r>
      <w:r w:rsidRPr="00E45751">
        <w:rPr>
          <w:rFonts w:asciiTheme="majorHAnsi" w:hAnsiTheme="majorHAnsi" w:cstheme="majorHAnsi"/>
          <w:b/>
          <w:sz w:val="22"/>
          <w:lang w:val="en-GB"/>
        </w:rPr>
        <w:t xml:space="preserve">and </w:t>
      </w:r>
      <w:r w:rsidR="007D3DD9" w:rsidRPr="00E45751">
        <w:rPr>
          <w:rFonts w:asciiTheme="majorHAnsi" w:hAnsiTheme="majorHAnsi" w:cstheme="majorHAnsi"/>
          <w:b/>
          <w:sz w:val="22"/>
          <w:lang w:val="en-GB"/>
        </w:rPr>
        <w:t>corporate partnerships and facilitating the mobility of student and faculty talent</w:t>
      </w:r>
      <w:r w:rsidRPr="00E45751">
        <w:rPr>
          <w:rFonts w:asciiTheme="majorHAnsi" w:hAnsiTheme="majorHAnsi" w:cstheme="majorHAnsi"/>
          <w:b/>
          <w:sz w:val="22"/>
          <w:lang w:val="en-GB"/>
        </w:rPr>
        <w:t xml:space="preserve"> </w:t>
      </w:r>
      <w:r w:rsidRPr="00E45751">
        <w:rPr>
          <w:rFonts w:asciiTheme="majorHAnsi" w:hAnsiTheme="majorHAnsi" w:cstheme="majorHAnsi"/>
          <w:sz w:val="22"/>
          <w:lang w:val="en-GB"/>
        </w:rPr>
        <w:t>are all examples of successful incentives given by HEIs to attract international students.</w:t>
      </w:r>
      <w:r w:rsidR="007D3DD9" w:rsidRPr="00E45751">
        <w:rPr>
          <w:rStyle w:val="FootnoteReference"/>
          <w:rFonts w:asciiTheme="majorHAnsi" w:hAnsiTheme="majorHAnsi" w:cstheme="majorHAnsi"/>
          <w:sz w:val="22"/>
          <w:lang w:val="en-GB"/>
        </w:rPr>
        <w:footnoteReference w:id="13"/>
      </w:r>
    </w:p>
    <w:p w14:paraId="11CE11AF" w14:textId="551663C0" w:rsidR="005B276D" w:rsidRPr="00E45751" w:rsidRDefault="00947865" w:rsidP="00216257">
      <w:pPr>
        <w:pStyle w:val="Heading1"/>
        <w:numPr>
          <w:ilvl w:val="0"/>
          <w:numId w:val="14"/>
        </w:numPr>
        <w:spacing w:after="120"/>
        <w:jc w:val="both"/>
        <w:rPr>
          <w:rFonts w:cstheme="majorHAnsi"/>
          <w:lang w:val="en-GB"/>
        </w:rPr>
      </w:pPr>
      <w:bookmarkStart w:id="27" w:name="_Toc416471894"/>
      <w:r w:rsidRPr="00E45751">
        <w:rPr>
          <w:rFonts w:cstheme="majorHAnsi"/>
          <w:lang w:val="en-GB"/>
        </w:rPr>
        <w:lastRenderedPageBreak/>
        <w:t>Harnessing the potential of</w:t>
      </w:r>
      <w:r w:rsidR="000A4020" w:rsidRPr="00E45751">
        <w:rPr>
          <w:rFonts w:cstheme="majorHAnsi"/>
          <w:lang w:val="en-GB"/>
        </w:rPr>
        <w:t xml:space="preserve"> </w:t>
      </w:r>
      <w:r w:rsidRPr="00E45751">
        <w:rPr>
          <w:rFonts w:cstheme="majorHAnsi"/>
          <w:lang w:val="en-GB"/>
        </w:rPr>
        <w:t xml:space="preserve">global networks in </w:t>
      </w:r>
      <w:r w:rsidR="000A4020" w:rsidRPr="00E45751">
        <w:rPr>
          <w:rFonts w:cstheme="majorHAnsi"/>
          <w:lang w:val="en-GB"/>
        </w:rPr>
        <w:t>higher education</w:t>
      </w:r>
      <w:bookmarkEnd w:id="27"/>
    </w:p>
    <w:p w14:paraId="720ECC72" w14:textId="330CF451" w:rsidR="00D914BA" w:rsidRPr="00E45751" w:rsidRDefault="00D914BA" w:rsidP="001113F4">
      <w:pPr>
        <w:pStyle w:val="Heading2"/>
        <w:numPr>
          <w:ilvl w:val="1"/>
          <w:numId w:val="45"/>
        </w:numPr>
        <w:spacing w:after="120"/>
        <w:jc w:val="both"/>
        <w:rPr>
          <w:rFonts w:cstheme="majorHAnsi"/>
          <w:lang w:val="en-GB"/>
        </w:rPr>
      </w:pPr>
      <w:bookmarkStart w:id="28" w:name="_Toc416471895"/>
      <w:r w:rsidRPr="00E45751">
        <w:rPr>
          <w:rFonts w:cstheme="majorHAnsi"/>
          <w:lang w:val="en-GB"/>
        </w:rPr>
        <w:t>Networks at the national level</w:t>
      </w:r>
      <w:bookmarkEnd w:id="28"/>
    </w:p>
    <w:p w14:paraId="44641EDD" w14:textId="7849C733" w:rsidR="00B44688" w:rsidRPr="00E45751" w:rsidRDefault="00B44688"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In addition to providing incentives to students, </w:t>
      </w:r>
      <w:r w:rsidRPr="00E45751">
        <w:rPr>
          <w:rFonts w:asciiTheme="majorHAnsi" w:hAnsiTheme="majorHAnsi" w:cstheme="majorHAnsi"/>
          <w:b/>
          <w:sz w:val="22"/>
          <w:lang w:val="en-GB"/>
        </w:rPr>
        <w:t>joining international HE n</w:t>
      </w:r>
      <w:r w:rsidR="005B276D" w:rsidRPr="00E45751">
        <w:rPr>
          <w:rFonts w:asciiTheme="majorHAnsi" w:hAnsiTheme="majorHAnsi" w:cstheme="majorHAnsi"/>
          <w:b/>
          <w:sz w:val="22"/>
          <w:lang w:val="en-GB"/>
        </w:rPr>
        <w:t>etworks</w:t>
      </w:r>
      <w:r w:rsidR="005B276D" w:rsidRPr="00E45751">
        <w:rPr>
          <w:rFonts w:asciiTheme="majorHAnsi" w:hAnsiTheme="majorHAnsi" w:cstheme="majorHAnsi"/>
          <w:sz w:val="22"/>
          <w:lang w:val="en-GB"/>
        </w:rPr>
        <w:t xml:space="preserve"> </w:t>
      </w:r>
      <w:r w:rsidRPr="00E45751">
        <w:rPr>
          <w:rFonts w:asciiTheme="majorHAnsi" w:hAnsiTheme="majorHAnsi" w:cstheme="majorHAnsi"/>
          <w:sz w:val="22"/>
          <w:lang w:val="en-GB"/>
        </w:rPr>
        <w:t>can increase an institution’s attractiveness. Networks provide “</w:t>
      </w:r>
      <w:r w:rsidRPr="00E45751">
        <w:rPr>
          <w:rFonts w:asciiTheme="majorHAnsi" w:hAnsiTheme="majorHAnsi" w:cstheme="majorHAnsi"/>
          <w:b/>
          <w:sz w:val="22"/>
          <w:lang w:val="en-GB"/>
        </w:rPr>
        <w:t>exposure and interaction opportunities</w:t>
      </w:r>
      <w:r w:rsidRPr="00E45751">
        <w:rPr>
          <w:rFonts w:asciiTheme="majorHAnsi" w:hAnsiTheme="majorHAnsi" w:cstheme="majorHAnsi"/>
          <w:sz w:val="22"/>
          <w:lang w:val="en-GB"/>
        </w:rPr>
        <w:t xml:space="preserve">” for HEIs with new institutions and countries, which allows </w:t>
      </w:r>
      <w:r w:rsidRPr="00E45751">
        <w:rPr>
          <w:rFonts w:asciiTheme="majorHAnsi" w:hAnsiTheme="majorHAnsi" w:cstheme="majorHAnsi"/>
          <w:b/>
          <w:sz w:val="22"/>
          <w:lang w:val="en-GB"/>
        </w:rPr>
        <w:t>sharing of best practices</w:t>
      </w:r>
      <w:r w:rsidRPr="00E45751">
        <w:rPr>
          <w:rFonts w:asciiTheme="majorHAnsi" w:hAnsiTheme="majorHAnsi" w:cstheme="majorHAnsi"/>
          <w:sz w:val="22"/>
          <w:lang w:val="en-GB"/>
        </w:rPr>
        <w:t xml:space="preserve"> and increases the knowledge base of national HEIs. Networks also “facilitate student exchange and research collaboration, and they enable institutions to tap into experts around the world; review and appoint colleagues as reviewers; benchmark; and recommend practices.” </w:t>
      </w:r>
      <w:r w:rsidRPr="00E45751">
        <w:rPr>
          <w:rStyle w:val="FootnoteReference"/>
          <w:rFonts w:asciiTheme="majorHAnsi" w:hAnsiTheme="majorHAnsi" w:cstheme="majorHAnsi"/>
          <w:sz w:val="22"/>
          <w:lang w:val="en-GB"/>
        </w:rPr>
        <w:footnoteReference w:id="14"/>
      </w:r>
      <w:r w:rsidR="007B3F12" w:rsidRPr="00E45751">
        <w:rPr>
          <w:rFonts w:asciiTheme="majorHAnsi" w:hAnsiTheme="majorHAnsi" w:cstheme="majorHAnsi"/>
          <w:sz w:val="22"/>
          <w:lang w:val="en-GB"/>
        </w:rPr>
        <w:t xml:space="preserve"> Finally, </w:t>
      </w:r>
      <w:r w:rsidR="00CD5822" w:rsidRPr="00E45751">
        <w:rPr>
          <w:rFonts w:asciiTheme="majorHAnsi" w:hAnsiTheme="majorHAnsi" w:cstheme="majorHAnsi"/>
          <w:sz w:val="22"/>
          <w:lang w:val="en-GB"/>
        </w:rPr>
        <w:t xml:space="preserve">networks often </w:t>
      </w:r>
      <w:r w:rsidR="00CD5822" w:rsidRPr="00E45751">
        <w:rPr>
          <w:rFonts w:asciiTheme="majorHAnsi" w:hAnsiTheme="majorHAnsi" w:cstheme="majorHAnsi"/>
          <w:b/>
          <w:sz w:val="22"/>
          <w:lang w:val="en-GB"/>
        </w:rPr>
        <w:t>produce</w:t>
      </w:r>
      <w:r w:rsidR="00CD5822" w:rsidRPr="00E45751">
        <w:rPr>
          <w:rFonts w:asciiTheme="majorHAnsi" w:hAnsiTheme="majorHAnsi" w:cstheme="majorHAnsi"/>
          <w:sz w:val="22"/>
          <w:lang w:val="en-GB"/>
        </w:rPr>
        <w:t xml:space="preserve"> </w:t>
      </w:r>
      <w:r w:rsidR="00CD5822" w:rsidRPr="00E45751">
        <w:rPr>
          <w:rFonts w:asciiTheme="majorHAnsi" w:hAnsiTheme="majorHAnsi" w:cstheme="majorHAnsi"/>
          <w:b/>
          <w:sz w:val="22"/>
          <w:lang w:val="en-GB"/>
        </w:rPr>
        <w:t>lists of indicators to measure effectiveness and efficiency of internationalisation</w:t>
      </w:r>
      <w:r w:rsidR="00CD5822" w:rsidRPr="00E45751">
        <w:rPr>
          <w:rFonts w:asciiTheme="majorHAnsi" w:hAnsiTheme="majorHAnsi" w:cstheme="majorHAnsi"/>
          <w:sz w:val="22"/>
          <w:lang w:val="en-GB"/>
        </w:rPr>
        <w:t>, which can be useful tools for governments or HEIs.</w:t>
      </w:r>
    </w:p>
    <w:p w14:paraId="44F62341" w14:textId="504FD016" w:rsidR="00CC390C" w:rsidRPr="00E45751" w:rsidRDefault="00CC390C"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In Europe</w:t>
      </w:r>
      <w:r w:rsidR="00F33847" w:rsidRPr="00E45751">
        <w:rPr>
          <w:rFonts w:asciiTheme="majorHAnsi" w:hAnsiTheme="majorHAnsi" w:cstheme="majorHAnsi"/>
          <w:sz w:val="22"/>
          <w:lang w:val="en-GB"/>
        </w:rPr>
        <w:t xml:space="preserve"> at the national level</w:t>
      </w:r>
      <w:r w:rsidR="00947865" w:rsidRPr="00E45751">
        <w:rPr>
          <w:rFonts w:asciiTheme="majorHAnsi" w:hAnsiTheme="majorHAnsi" w:cstheme="majorHAnsi"/>
          <w:sz w:val="22"/>
          <w:lang w:val="en-GB"/>
        </w:rPr>
        <w:t>,</w:t>
      </w:r>
      <w:r w:rsidR="007410AB" w:rsidRPr="00E45751">
        <w:rPr>
          <w:rFonts w:asciiTheme="majorHAnsi" w:hAnsiTheme="majorHAnsi" w:cstheme="majorHAnsi"/>
          <w:sz w:val="22"/>
          <w:lang w:val="en-GB"/>
        </w:rPr>
        <w:t xml:space="preserve"> the NARIC (Network of National Academic Recognition Information Centres) was established in 1984, and the ENIC Network (European Network of National Information Centres) was established in 1994. These two networks</w:t>
      </w:r>
      <w:r w:rsidR="00947865" w:rsidRPr="00E45751">
        <w:rPr>
          <w:rFonts w:asciiTheme="majorHAnsi" w:hAnsiTheme="majorHAnsi" w:cstheme="majorHAnsi"/>
          <w:sz w:val="22"/>
          <w:lang w:val="en-GB"/>
        </w:rPr>
        <w:t xml:space="preserve"> work in tandem to</w:t>
      </w:r>
      <w:r w:rsidR="007410AB" w:rsidRPr="00E45751">
        <w:rPr>
          <w:rFonts w:asciiTheme="majorHAnsi" w:hAnsiTheme="majorHAnsi" w:cstheme="majorHAnsi"/>
          <w:sz w:val="22"/>
          <w:lang w:val="en-GB"/>
        </w:rPr>
        <w:t xml:space="preserve"> facilitate joint policy development for recognition of qualifications among European countries. In participating countries, information centres are a reliable source of information on “the recognition of foreign </w:t>
      </w:r>
      <w:proofErr w:type="spellStart"/>
      <w:r w:rsidR="007410AB" w:rsidRPr="00E45751">
        <w:rPr>
          <w:rFonts w:asciiTheme="majorHAnsi" w:hAnsiTheme="majorHAnsi" w:cstheme="majorHAnsi"/>
          <w:sz w:val="22"/>
          <w:lang w:val="en-GB"/>
        </w:rPr>
        <w:t>diplomas</w:t>
      </w:r>
      <w:proofErr w:type="spellEnd"/>
      <w:r w:rsidR="007410AB" w:rsidRPr="00E45751">
        <w:rPr>
          <w:rFonts w:asciiTheme="majorHAnsi" w:hAnsiTheme="majorHAnsi" w:cstheme="majorHAnsi"/>
          <w:sz w:val="22"/>
          <w:lang w:val="en-GB"/>
        </w:rPr>
        <w:t>, degrees and other qualifications, education systems in both foreign countries and their own country, opportunities for studying abroad, including information on loans and scholarships, as well as advice on practical questions related to mobility and equivalence.”</w:t>
      </w:r>
      <w:r w:rsidR="007410AB" w:rsidRPr="00E45751">
        <w:rPr>
          <w:rStyle w:val="FootnoteReference"/>
          <w:rFonts w:asciiTheme="majorHAnsi" w:hAnsiTheme="majorHAnsi" w:cstheme="majorHAnsi"/>
          <w:sz w:val="22"/>
          <w:lang w:val="en-GB"/>
        </w:rPr>
        <w:footnoteReference w:id="15"/>
      </w:r>
      <w:r w:rsidR="007410AB" w:rsidRPr="00E45751">
        <w:rPr>
          <w:rFonts w:asciiTheme="majorHAnsi" w:hAnsiTheme="majorHAnsi" w:cstheme="majorHAnsi"/>
          <w:sz w:val="22"/>
          <w:lang w:val="en-GB"/>
        </w:rPr>
        <w:t xml:space="preserve"> Joining the network </w:t>
      </w:r>
      <w:r w:rsidR="003D1E8C" w:rsidRPr="00E45751">
        <w:rPr>
          <w:rFonts w:asciiTheme="majorHAnsi" w:hAnsiTheme="majorHAnsi" w:cstheme="majorHAnsi"/>
          <w:sz w:val="22"/>
          <w:lang w:val="en-GB"/>
        </w:rPr>
        <w:t xml:space="preserve">and opening an information centre </w:t>
      </w:r>
      <w:r w:rsidR="007410AB" w:rsidRPr="00E45751">
        <w:rPr>
          <w:rFonts w:asciiTheme="majorHAnsi" w:hAnsiTheme="majorHAnsi" w:cstheme="majorHAnsi"/>
          <w:sz w:val="22"/>
          <w:lang w:val="en-GB"/>
        </w:rPr>
        <w:t xml:space="preserve">facilitates student mobility </w:t>
      </w:r>
      <w:r w:rsidR="003D1E8C" w:rsidRPr="00E45751">
        <w:rPr>
          <w:rFonts w:asciiTheme="majorHAnsi" w:hAnsiTheme="majorHAnsi" w:cstheme="majorHAnsi"/>
          <w:sz w:val="22"/>
          <w:lang w:val="en-GB"/>
        </w:rPr>
        <w:t xml:space="preserve">in a country </w:t>
      </w:r>
      <w:r w:rsidR="007410AB" w:rsidRPr="00E45751">
        <w:rPr>
          <w:rFonts w:asciiTheme="majorHAnsi" w:hAnsiTheme="majorHAnsi" w:cstheme="majorHAnsi"/>
          <w:sz w:val="22"/>
          <w:lang w:val="en-GB"/>
        </w:rPr>
        <w:t xml:space="preserve">through </w:t>
      </w:r>
      <w:r w:rsidR="007410AB" w:rsidRPr="00E45751">
        <w:rPr>
          <w:rFonts w:asciiTheme="majorHAnsi" w:hAnsiTheme="majorHAnsi" w:cstheme="majorHAnsi"/>
          <w:b/>
          <w:sz w:val="22"/>
          <w:lang w:val="en-GB"/>
        </w:rPr>
        <w:t xml:space="preserve">increasing </w:t>
      </w:r>
      <w:r w:rsidR="00947865" w:rsidRPr="00E45751">
        <w:rPr>
          <w:rFonts w:asciiTheme="majorHAnsi" w:hAnsiTheme="majorHAnsi" w:cstheme="majorHAnsi"/>
          <w:b/>
          <w:sz w:val="22"/>
          <w:lang w:val="en-GB"/>
        </w:rPr>
        <w:t>international exposure</w:t>
      </w:r>
      <w:r w:rsidR="007410AB" w:rsidRPr="00E45751">
        <w:rPr>
          <w:rFonts w:asciiTheme="majorHAnsi" w:hAnsiTheme="majorHAnsi" w:cstheme="majorHAnsi"/>
          <w:sz w:val="22"/>
          <w:lang w:val="en-GB"/>
        </w:rPr>
        <w:t xml:space="preserve"> of national HEIs and </w:t>
      </w:r>
      <w:r w:rsidR="007410AB" w:rsidRPr="00E45751">
        <w:rPr>
          <w:rFonts w:asciiTheme="majorHAnsi" w:hAnsiTheme="majorHAnsi" w:cstheme="majorHAnsi"/>
          <w:b/>
          <w:sz w:val="22"/>
          <w:lang w:val="en-GB"/>
        </w:rPr>
        <w:t>promoting information sharing concerning opportunities and incentives</w:t>
      </w:r>
      <w:r w:rsidR="007410AB" w:rsidRPr="00E45751">
        <w:rPr>
          <w:rFonts w:asciiTheme="majorHAnsi" w:hAnsiTheme="majorHAnsi" w:cstheme="majorHAnsi"/>
          <w:sz w:val="22"/>
          <w:lang w:val="en-GB"/>
        </w:rPr>
        <w:t xml:space="preserve"> for students.</w:t>
      </w:r>
    </w:p>
    <w:p w14:paraId="589D3762" w14:textId="77777777" w:rsidR="00197D87" w:rsidRPr="00E45751" w:rsidRDefault="00957CC9"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Similarly, the </w:t>
      </w:r>
      <w:r w:rsidRPr="00E45751">
        <w:rPr>
          <w:rFonts w:asciiTheme="majorHAnsi" w:hAnsiTheme="majorHAnsi" w:cstheme="majorHAnsi"/>
          <w:b/>
          <w:sz w:val="22"/>
          <w:lang w:val="en-GB"/>
        </w:rPr>
        <w:t xml:space="preserve">Academic Cooperation Association (ACA) </w:t>
      </w:r>
      <w:r w:rsidRPr="00E45751">
        <w:rPr>
          <w:rFonts w:asciiTheme="majorHAnsi" w:hAnsiTheme="majorHAnsi" w:cstheme="majorHAnsi"/>
          <w:sz w:val="22"/>
          <w:lang w:val="en-GB"/>
        </w:rPr>
        <w:t>is a federation of national organisations</w:t>
      </w:r>
      <w:r w:rsidR="00655AA4" w:rsidRPr="00E45751">
        <w:rPr>
          <w:rFonts w:asciiTheme="majorHAnsi" w:hAnsiTheme="majorHAnsi" w:cstheme="majorHAnsi"/>
          <w:sz w:val="22"/>
          <w:lang w:val="en-GB"/>
        </w:rPr>
        <w:t xml:space="preserve"> from Europe and beyond</w:t>
      </w:r>
      <w:r w:rsidRPr="00E45751">
        <w:rPr>
          <w:rFonts w:asciiTheme="majorHAnsi" w:hAnsiTheme="majorHAnsi" w:cstheme="majorHAnsi"/>
          <w:sz w:val="22"/>
          <w:lang w:val="en-GB"/>
        </w:rPr>
        <w:t xml:space="preserve"> that encourage the internationalisation of their higher education systems.</w:t>
      </w:r>
      <w:r w:rsidRPr="00E45751">
        <w:rPr>
          <w:rFonts w:asciiTheme="majorHAnsi" w:hAnsiTheme="majorHAnsi" w:cstheme="majorHAnsi"/>
          <w:sz w:val="22"/>
          <w:vertAlign w:val="superscript"/>
          <w:lang w:val="en-GB"/>
        </w:rPr>
        <w:footnoteReference w:id="16"/>
      </w:r>
      <w:r w:rsidRPr="00E45751">
        <w:rPr>
          <w:rFonts w:asciiTheme="majorHAnsi" w:hAnsiTheme="majorHAnsi" w:cstheme="majorHAnsi"/>
          <w:sz w:val="22"/>
          <w:lang w:val="en-GB"/>
        </w:rPr>
        <w:t xml:space="preserve"> </w:t>
      </w:r>
      <w:r w:rsidR="00655AA4" w:rsidRPr="00E45751">
        <w:rPr>
          <w:rFonts w:asciiTheme="majorHAnsi" w:hAnsiTheme="majorHAnsi" w:cstheme="majorHAnsi"/>
          <w:sz w:val="22"/>
          <w:lang w:val="en-GB"/>
        </w:rPr>
        <w:t>The network offers members a “</w:t>
      </w:r>
      <w:r w:rsidR="00655AA4" w:rsidRPr="00E45751">
        <w:rPr>
          <w:rFonts w:asciiTheme="majorHAnsi" w:hAnsiTheme="majorHAnsi" w:cstheme="majorHAnsi"/>
          <w:b/>
          <w:sz w:val="22"/>
          <w:lang w:val="en-GB"/>
        </w:rPr>
        <w:t>multilateral platform for cooperation, the development of long-lasting partnerships, and innovation in higher education.</w:t>
      </w:r>
      <w:r w:rsidR="00655AA4" w:rsidRPr="00E45751">
        <w:rPr>
          <w:rFonts w:asciiTheme="majorHAnsi" w:hAnsiTheme="majorHAnsi" w:cstheme="majorHAnsi"/>
          <w:sz w:val="22"/>
          <w:lang w:val="en-GB"/>
        </w:rPr>
        <w:t>”</w:t>
      </w:r>
      <w:r w:rsidR="00655AA4" w:rsidRPr="00E45751">
        <w:rPr>
          <w:rFonts w:asciiTheme="majorHAnsi" w:hAnsiTheme="majorHAnsi" w:cstheme="majorHAnsi"/>
          <w:sz w:val="22"/>
          <w:vertAlign w:val="superscript"/>
          <w:lang w:val="en-GB"/>
        </w:rPr>
        <w:footnoteReference w:id="17"/>
      </w:r>
      <w:r w:rsidR="00655AA4" w:rsidRPr="00E45751">
        <w:rPr>
          <w:rFonts w:asciiTheme="majorHAnsi" w:hAnsiTheme="majorHAnsi" w:cstheme="majorHAnsi"/>
          <w:sz w:val="22"/>
          <w:lang w:val="en-GB"/>
        </w:rPr>
        <w:t xml:space="preserve"> This network also developed a set of indicators to help HEIs determine their degree of internationalisation, and publishes studies and evaluations that share best practices and support its members.</w:t>
      </w:r>
      <w:r w:rsidR="00655AA4" w:rsidRPr="00E45751">
        <w:rPr>
          <w:rFonts w:asciiTheme="majorHAnsi" w:hAnsiTheme="majorHAnsi" w:cstheme="majorHAnsi"/>
          <w:sz w:val="22"/>
          <w:vertAlign w:val="superscript"/>
          <w:lang w:val="en-GB"/>
        </w:rPr>
        <w:footnoteReference w:id="18"/>
      </w:r>
      <w:r w:rsidR="00655AA4" w:rsidRPr="00E45751">
        <w:rPr>
          <w:rFonts w:asciiTheme="majorHAnsi" w:hAnsiTheme="majorHAnsi" w:cstheme="majorHAnsi"/>
          <w:sz w:val="22"/>
          <w:lang w:val="en-GB"/>
        </w:rPr>
        <w:t xml:space="preserve"> </w:t>
      </w:r>
    </w:p>
    <w:p w14:paraId="460FE8A6" w14:textId="03023128" w:rsidR="005B276D" w:rsidRPr="00E45751" w:rsidRDefault="00197D87"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Between 2014 and 2017, the ACA completed a project titled “Enhancing the Attractiveness of European higher education in the world,” the goal of which was to strengthen the profile of European higher education on the world stage and attract students and academics to European HEIs. Through the ACA network, the partners (British Council, DAAD, EP-</w:t>
      </w:r>
      <w:proofErr w:type="spellStart"/>
      <w:r w:rsidRPr="00E45751">
        <w:rPr>
          <w:rFonts w:asciiTheme="majorHAnsi" w:hAnsiTheme="majorHAnsi" w:cstheme="majorHAnsi"/>
          <w:sz w:val="22"/>
          <w:lang w:val="en-GB"/>
        </w:rPr>
        <w:t>Nuffic</w:t>
      </w:r>
      <w:proofErr w:type="spellEnd"/>
      <w:r w:rsidRPr="00E45751">
        <w:rPr>
          <w:rFonts w:asciiTheme="majorHAnsi" w:hAnsiTheme="majorHAnsi" w:cstheme="majorHAnsi"/>
          <w:sz w:val="22"/>
          <w:lang w:val="en-GB"/>
        </w:rPr>
        <w:t xml:space="preserve">, Campus France and the Archimedes Foundation) came together with the support of other members (Austria Exchange Service, Enterprise Ireland, Tempus Public Foundation Hungary, Norwegian Centre for International Cooperation in Education, Slovakia Academic Information Agency, Slovenia CMEPIUS, Swedish Institute) to engage in </w:t>
      </w:r>
      <w:r w:rsidRPr="00E45751">
        <w:rPr>
          <w:rFonts w:asciiTheme="majorHAnsi" w:hAnsiTheme="majorHAnsi" w:cstheme="majorHAnsi"/>
          <w:b/>
          <w:sz w:val="22"/>
          <w:lang w:val="en-GB"/>
        </w:rPr>
        <w:t>marketing and training activities</w:t>
      </w:r>
      <w:r w:rsidR="0041601C" w:rsidRPr="00E45751">
        <w:rPr>
          <w:rFonts w:asciiTheme="majorHAnsi" w:hAnsiTheme="majorHAnsi" w:cstheme="majorHAnsi"/>
          <w:b/>
          <w:sz w:val="22"/>
          <w:lang w:val="en-GB"/>
        </w:rPr>
        <w:t xml:space="preserve">. </w:t>
      </w:r>
      <w:r w:rsidR="00B72A0E" w:rsidRPr="00E45751">
        <w:rPr>
          <w:rFonts w:asciiTheme="majorHAnsi" w:hAnsiTheme="majorHAnsi" w:cstheme="majorHAnsi"/>
          <w:sz w:val="22"/>
          <w:lang w:val="en-GB"/>
        </w:rPr>
        <w:t xml:space="preserve">In addition to providing a </w:t>
      </w:r>
      <w:r w:rsidR="00B72A0E" w:rsidRPr="00E45751">
        <w:rPr>
          <w:rFonts w:asciiTheme="majorHAnsi" w:hAnsiTheme="majorHAnsi" w:cstheme="majorHAnsi"/>
          <w:b/>
          <w:sz w:val="22"/>
          <w:lang w:val="en-GB"/>
        </w:rPr>
        <w:t>platform for cooperation,</w:t>
      </w:r>
      <w:r w:rsidR="00B72A0E" w:rsidRPr="00E45751">
        <w:rPr>
          <w:rFonts w:asciiTheme="majorHAnsi" w:hAnsiTheme="majorHAnsi" w:cstheme="majorHAnsi"/>
          <w:sz w:val="22"/>
          <w:lang w:val="en-GB"/>
        </w:rPr>
        <w:t xml:space="preserve"> t</w:t>
      </w:r>
      <w:r w:rsidR="0041601C" w:rsidRPr="00E45751">
        <w:rPr>
          <w:rFonts w:asciiTheme="majorHAnsi" w:hAnsiTheme="majorHAnsi" w:cstheme="majorHAnsi"/>
          <w:sz w:val="22"/>
          <w:lang w:val="en-GB"/>
        </w:rPr>
        <w:t>he role of the ACA network was to “</w:t>
      </w:r>
      <w:r w:rsidR="0041601C" w:rsidRPr="00E45751">
        <w:rPr>
          <w:rFonts w:asciiTheme="majorHAnsi" w:hAnsiTheme="majorHAnsi" w:cstheme="majorHAnsi"/>
          <w:bCs/>
          <w:sz w:val="22"/>
          <w:lang w:val="en-GB"/>
        </w:rPr>
        <w:t>set up and to run a network of European Higher Education Experts,</w:t>
      </w:r>
      <w:r w:rsidR="0041601C" w:rsidRPr="00E45751">
        <w:rPr>
          <w:rFonts w:asciiTheme="majorHAnsi" w:hAnsiTheme="majorHAnsi" w:cstheme="majorHAnsi"/>
          <w:sz w:val="22"/>
          <w:lang w:val="en-GB"/>
        </w:rPr>
        <w:t xml:space="preserve">” who organised “Study in Europe” information sessions to </w:t>
      </w:r>
      <w:r w:rsidR="0041601C" w:rsidRPr="00E45751">
        <w:rPr>
          <w:rFonts w:asciiTheme="majorHAnsi" w:hAnsiTheme="majorHAnsi" w:cstheme="majorHAnsi"/>
          <w:b/>
          <w:sz w:val="22"/>
          <w:lang w:val="en-GB"/>
        </w:rPr>
        <w:t>inform students and researchers about opportunities</w:t>
      </w:r>
      <w:r w:rsidR="0041601C" w:rsidRPr="00E45751">
        <w:rPr>
          <w:rFonts w:asciiTheme="majorHAnsi" w:hAnsiTheme="majorHAnsi" w:cstheme="majorHAnsi"/>
          <w:sz w:val="22"/>
          <w:lang w:val="en-GB"/>
        </w:rPr>
        <w:t xml:space="preserve"> for studying in Europe.</w:t>
      </w:r>
      <w:r w:rsidR="00B72A0E" w:rsidRPr="00E45751">
        <w:rPr>
          <w:rStyle w:val="FootnoteReference"/>
          <w:rFonts w:asciiTheme="majorHAnsi" w:hAnsiTheme="majorHAnsi" w:cstheme="majorHAnsi"/>
          <w:sz w:val="22"/>
          <w:lang w:val="en-GB"/>
        </w:rPr>
        <w:footnoteReference w:id="19"/>
      </w:r>
      <w:r w:rsidR="007B3F12" w:rsidRPr="00E45751">
        <w:rPr>
          <w:rFonts w:asciiTheme="majorHAnsi" w:hAnsiTheme="majorHAnsi" w:cstheme="majorHAnsi"/>
          <w:sz w:val="22"/>
          <w:lang w:val="en-GB"/>
        </w:rPr>
        <w:t xml:space="preserve"> Membership in this network played an important role in raising attractiveness of </w:t>
      </w:r>
      <w:r w:rsidR="00667AFF" w:rsidRPr="00E45751">
        <w:rPr>
          <w:rFonts w:asciiTheme="majorHAnsi" w:hAnsiTheme="majorHAnsi" w:cstheme="majorHAnsi"/>
          <w:sz w:val="22"/>
          <w:lang w:val="en-GB"/>
        </w:rPr>
        <w:t>participating</w:t>
      </w:r>
      <w:r w:rsidR="007B3F12" w:rsidRPr="00E45751">
        <w:rPr>
          <w:rFonts w:asciiTheme="majorHAnsi" w:hAnsiTheme="majorHAnsi" w:cstheme="majorHAnsi"/>
          <w:sz w:val="22"/>
          <w:lang w:val="en-GB"/>
        </w:rPr>
        <w:t xml:space="preserve"> </w:t>
      </w:r>
      <w:r w:rsidR="00667AFF" w:rsidRPr="00E45751">
        <w:rPr>
          <w:rFonts w:asciiTheme="majorHAnsi" w:hAnsiTheme="majorHAnsi" w:cstheme="majorHAnsi"/>
          <w:sz w:val="22"/>
          <w:lang w:val="en-GB"/>
        </w:rPr>
        <w:t>HE systems</w:t>
      </w:r>
      <w:r w:rsidR="007B3F12" w:rsidRPr="00E45751">
        <w:rPr>
          <w:rFonts w:asciiTheme="majorHAnsi" w:hAnsiTheme="majorHAnsi" w:cstheme="majorHAnsi"/>
          <w:sz w:val="22"/>
          <w:lang w:val="en-GB"/>
        </w:rPr>
        <w:t>.</w:t>
      </w:r>
    </w:p>
    <w:p w14:paraId="550B9AF3" w14:textId="76CA16CF" w:rsidR="00D914BA" w:rsidRPr="00E45751" w:rsidRDefault="00D914BA" w:rsidP="001113F4">
      <w:pPr>
        <w:pStyle w:val="Heading2"/>
        <w:numPr>
          <w:ilvl w:val="1"/>
          <w:numId w:val="45"/>
        </w:numPr>
        <w:spacing w:after="120"/>
        <w:jc w:val="both"/>
        <w:rPr>
          <w:rFonts w:cstheme="majorHAnsi"/>
          <w:lang w:val="en-GB"/>
        </w:rPr>
      </w:pPr>
      <w:bookmarkStart w:id="29" w:name="_Toc416471896"/>
      <w:r w:rsidRPr="00E45751">
        <w:rPr>
          <w:rFonts w:cstheme="majorHAnsi"/>
          <w:lang w:val="en-GB"/>
        </w:rPr>
        <w:lastRenderedPageBreak/>
        <w:t>Networks at the regional level</w:t>
      </w:r>
      <w:bookmarkEnd w:id="29"/>
    </w:p>
    <w:p w14:paraId="4F1463A1" w14:textId="076D3689" w:rsidR="00CD5046" w:rsidRPr="00E45751" w:rsidRDefault="005B276D"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At the regional level, higher education bodies like the Association of African Universities (AAU), the Inter University Council of East Africa (IUCEA) as well as sector-specific bodies like RUFORUM, all have a </w:t>
      </w:r>
      <w:r w:rsidRPr="00E45751">
        <w:rPr>
          <w:rFonts w:asciiTheme="majorHAnsi" w:hAnsiTheme="majorHAnsi" w:cstheme="majorHAnsi"/>
          <w:b/>
          <w:sz w:val="22"/>
          <w:lang w:val="en-GB"/>
        </w:rPr>
        <w:t>mandate to</w:t>
      </w:r>
      <w:r w:rsidR="000C2273" w:rsidRPr="00E45751">
        <w:rPr>
          <w:rFonts w:asciiTheme="majorHAnsi" w:hAnsiTheme="majorHAnsi" w:cstheme="majorHAnsi"/>
          <w:b/>
          <w:sz w:val="22"/>
          <w:lang w:val="en-GB"/>
        </w:rPr>
        <w:t xml:space="preserve"> promote student/faculty mobilis</w:t>
      </w:r>
      <w:r w:rsidRPr="00E45751">
        <w:rPr>
          <w:rFonts w:asciiTheme="majorHAnsi" w:hAnsiTheme="majorHAnsi" w:cstheme="majorHAnsi"/>
          <w:b/>
          <w:sz w:val="22"/>
          <w:lang w:val="en-GB"/>
        </w:rPr>
        <w:t>ation</w:t>
      </w:r>
      <w:r w:rsidRPr="00E45751">
        <w:rPr>
          <w:rFonts w:asciiTheme="majorHAnsi" w:hAnsiTheme="majorHAnsi" w:cstheme="majorHAnsi"/>
          <w:sz w:val="22"/>
          <w:lang w:val="en-GB"/>
        </w:rPr>
        <w:t xml:space="preserve"> both within and outside the region. </w:t>
      </w:r>
      <w:r w:rsidR="00CD5046" w:rsidRPr="00E45751">
        <w:rPr>
          <w:rFonts w:asciiTheme="majorHAnsi" w:hAnsiTheme="majorHAnsi" w:cstheme="majorHAnsi"/>
          <w:sz w:val="22"/>
          <w:lang w:val="en-GB"/>
        </w:rPr>
        <w:t>Membership of HEIs in these regional networks, then, can increase international student mobility</w:t>
      </w:r>
      <w:r w:rsidR="00D65653" w:rsidRPr="00E45751">
        <w:rPr>
          <w:rFonts w:asciiTheme="majorHAnsi" w:hAnsiTheme="majorHAnsi" w:cstheme="majorHAnsi"/>
          <w:sz w:val="22"/>
          <w:lang w:val="en-GB"/>
        </w:rPr>
        <w:t>, especially at the regional level</w:t>
      </w:r>
      <w:r w:rsidR="00CD5046" w:rsidRPr="00E45751">
        <w:rPr>
          <w:rFonts w:asciiTheme="majorHAnsi" w:hAnsiTheme="majorHAnsi" w:cstheme="majorHAnsi"/>
          <w:sz w:val="22"/>
          <w:lang w:val="en-GB"/>
        </w:rPr>
        <w:t>.</w:t>
      </w:r>
    </w:p>
    <w:p w14:paraId="6B5CFFBF" w14:textId="309E8AA8" w:rsidR="005B276D" w:rsidRPr="00E45751" w:rsidRDefault="005B276D"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Regional cooperation forums also play an important promotion role</w:t>
      </w:r>
      <w:r w:rsidR="00F33847" w:rsidRPr="00E45751">
        <w:rPr>
          <w:rFonts w:asciiTheme="majorHAnsi" w:hAnsiTheme="majorHAnsi" w:cstheme="majorHAnsi"/>
          <w:sz w:val="22"/>
          <w:lang w:val="en-GB"/>
        </w:rPr>
        <w:t xml:space="preserve"> in attracting international students</w:t>
      </w:r>
      <w:r w:rsidRPr="00E45751">
        <w:rPr>
          <w:rFonts w:asciiTheme="majorHAnsi" w:hAnsiTheme="majorHAnsi" w:cstheme="majorHAnsi"/>
          <w:sz w:val="22"/>
          <w:lang w:val="en-GB"/>
        </w:rPr>
        <w:t xml:space="preserve">, as evidenced by the China-Africa Forum in which China </w:t>
      </w:r>
      <w:r w:rsidRPr="00E45751">
        <w:rPr>
          <w:rFonts w:asciiTheme="majorHAnsi" w:hAnsiTheme="majorHAnsi" w:cstheme="majorHAnsi"/>
          <w:b/>
          <w:sz w:val="22"/>
          <w:lang w:val="en-GB"/>
        </w:rPr>
        <w:t>promotes its government scholarship program</w:t>
      </w:r>
      <w:r w:rsidRPr="00E45751">
        <w:rPr>
          <w:rFonts w:asciiTheme="majorHAnsi" w:hAnsiTheme="majorHAnsi" w:cstheme="majorHAnsi"/>
          <w:sz w:val="22"/>
          <w:lang w:val="en-GB"/>
        </w:rPr>
        <w:t xml:space="preserve"> to African countries.</w:t>
      </w:r>
      <w:r w:rsidR="00CD5046" w:rsidRPr="00E45751">
        <w:rPr>
          <w:rFonts w:asciiTheme="majorHAnsi" w:hAnsiTheme="majorHAnsi" w:cstheme="majorHAnsi"/>
          <w:sz w:val="22"/>
          <w:lang w:val="en-GB"/>
        </w:rPr>
        <w:t xml:space="preserve"> </w:t>
      </w:r>
      <w:r w:rsidR="00F33847" w:rsidRPr="00E45751">
        <w:rPr>
          <w:rFonts w:asciiTheme="majorHAnsi" w:hAnsiTheme="majorHAnsi" w:cstheme="majorHAnsi"/>
          <w:sz w:val="22"/>
          <w:lang w:val="en-GB"/>
        </w:rPr>
        <w:t>In addition, t</w:t>
      </w:r>
      <w:r w:rsidR="00CD5046" w:rsidRPr="00E45751">
        <w:rPr>
          <w:rFonts w:asciiTheme="majorHAnsi" w:hAnsiTheme="majorHAnsi" w:cstheme="majorHAnsi"/>
          <w:sz w:val="22"/>
          <w:lang w:val="en-GB"/>
        </w:rPr>
        <w:t xml:space="preserve">he Southeast Asian Ministers of Education Organisation (SEAMEO), a regional intergovernmental organisation, also </w:t>
      </w:r>
      <w:r w:rsidR="00CD5046" w:rsidRPr="00E45751">
        <w:rPr>
          <w:rFonts w:asciiTheme="majorHAnsi" w:hAnsiTheme="majorHAnsi" w:cstheme="majorHAnsi"/>
          <w:b/>
          <w:sz w:val="22"/>
          <w:lang w:val="en-GB"/>
        </w:rPr>
        <w:t>promotes cooperation</w:t>
      </w:r>
      <w:r w:rsidR="00CD5046" w:rsidRPr="00E45751">
        <w:rPr>
          <w:rFonts w:asciiTheme="majorHAnsi" w:hAnsiTheme="majorHAnsi" w:cstheme="majorHAnsi"/>
          <w:sz w:val="22"/>
          <w:lang w:val="en-GB"/>
        </w:rPr>
        <w:t xml:space="preserve"> in education, science and culture in Southeast Asia. This organisation also hosts a Centre specializing in regional higher education development – SEAMEO RIHED. Its objective is to “foster </w:t>
      </w:r>
      <w:r w:rsidR="00CD5046" w:rsidRPr="00E45751">
        <w:rPr>
          <w:rFonts w:asciiTheme="majorHAnsi" w:hAnsiTheme="majorHAnsi" w:cstheme="majorHAnsi"/>
          <w:b/>
          <w:sz w:val="22"/>
          <w:lang w:val="en-GB"/>
        </w:rPr>
        <w:t>efficiency, effectiveness, and harmonisation of higher education</w:t>
      </w:r>
      <w:r w:rsidR="00CD5046" w:rsidRPr="00E45751">
        <w:rPr>
          <w:rFonts w:asciiTheme="majorHAnsi" w:hAnsiTheme="majorHAnsi" w:cstheme="majorHAnsi"/>
          <w:sz w:val="22"/>
          <w:lang w:val="en-GB"/>
        </w:rPr>
        <w:t xml:space="preserve"> in Southeast Asia through </w:t>
      </w:r>
      <w:r w:rsidR="00CD5046" w:rsidRPr="00E45751">
        <w:rPr>
          <w:rFonts w:asciiTheme="majorHAnsi" w:hAnsiTheme="majorHAnsi" w:cstheme="majorHAnsi"/>
          <w:b/>
          <w:sz w:val="22"/>
          <w:lang w:val="en-GB"/>
        </w:rPr>
        <w:t>system research, empowerment, development of mechanisms to facilitate sharing and collaborations</w:t>
      </w:r>
      <w:r w:rsidR="00CD5046" w:rsidRPr="00E45751">
        <w:rPr>
          <w:rFonts w:asciiTheme="majorHAnsi" w:hAnsiTheme="majorHAnsi" w:cstheme="majorHAnsi"/>
          <w:sz w:val="22"/>
          <w:lang w:val="en-GB"/>
        </w:rPr>
        <w:t xml:space="preserve"> in higher education.”</w:t>
      </w:r>
      <w:r w:rsidR="00F33847" w:rsidRPr="00E45751">
        <w:rPr>
          <w:rFonts w:asciiTheme="majorHAnsi" w:hAnsiTheme="majorHAnsi" w:cstheme="majorHAnsi"/>
          <w:sz w:val="22"/>
          <w:lang w:val="en-GB"/>
        </w:rPr>
        <w:t xml:space="preserve"> SEAMEO RIHED has played a crucial role in capacity building of member country HE systems.</w:t>
      </w:r>
      <w:r w:rsidR="00CD5046" w:rsidRPr="00E45751">
        <w:rPr>
          <w:rStyle w:val="FootnoteReference"/>
          <w:rFonts w:asciiTheme="majorHAnsi" w:hAnsiTheme="majorHAnsi" w:cstheme="majorHAnsi"/>
          <w:sz w:val="22"/>
          <w:lang w:val="en-GB"/>
        </w:rPr>
        <w:footnoteReference w:id="20"/>
      </w:r>
      <w:r w:rsidR="00F33847" w:rsidRPr="00E45751">
        <w:rPr>
          <w:rFonts w:asciiTheme="majorHAnsi" w:hAnsiTheme="majorHAnsi" w:cstheme="majorHAnsi"/>
          <w:sz w:val="22"/>
          <w:lang w:val="en-GB"/>
        </w:rPr>
        <w:t xml:space="preserve"> Increased efficiency, effectiveness and harmonisation in regional HE systems increase </w:t>
      </w:r>
      <w:r w:rsidR="00D914BA" w:rsidRPr="00E45751">
        <w:rPr>
          <w:rFonts w:asciiTheme="majorHAnsi" w:hAnsiTheme="majorHAnsi" w:cstheme="majorHAnsi"/>
          <w:sz w:val="22"/>
          <w:lang w:val="en-GB"/>
        </w:rPr>
        <w:t>regional mobility.</w:t>
      </w:r>
    </w:p>
    <w:p w14:paraId="016E1DDC" w14:textId="41DA0B1F" w:rsidR="00D914BA" w:rsidRPr="00E45751" w:rsidRDefault="00D914BA" w:rsidP="001113F4">
      <w:pPr>
        <w:pStyle w:val="Heading2"/>
        <w:numPr>
          <w:ilvl w:val="1"/>
          <w:numId w:val="45"/>
        </w:numPr>
        <w:spacing w:after="120"/>
        <w:jc w:val="both"/>
        <w:rPr>
          <w:rFonts w:cstheme="majorHAnsi"/>
          <w:lang w:val="en-GB"/>
        </w:rPr>
      </w:pPr>
      <w:bookmarkStart w:id="30" w:name="_Toc416471897"/>
      <w:r w:rsidRPr="00E45751">
        <w:rPr>
          <w:rFonts w:cstheme="majorHAnsi"/>
          <w:lang w:val="en-GB"/>
        </w:rPr>
        <w:t>Networks at the institutional level</w:t>
      </w:r>
      <w:bookmarkEnd w:id="30"/>
    </w:p>
    <w:p w14:paraId="5C5DF450" w14:textId="71A0A5F7" w:rsidR="007F5991" w:rsidRPr="00E45751" w:rsidRDefault="005B276D"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At the institutional level, </w:t>
      </w:r>
      <w:r w:rsidR="007F5991" w:rsidRPr="00E45751">
        <w:rPr>
          <w:rFonts w:asciiTheme="majorHAnsi" w:hAnsiTheme="majorHAnsi" w:cstheme="majorHAnsi"/>
          <w:sz w:val="22"/>
          <w:lang w:val="en-GB"/>
        </w:rPr>
        <w:t>networks of HEIs provide global forums fo</w:t>
      </w:r>
      <w:r w:rsidR="00A23614" w:rsidRPr="00E45751">
        <w:rPr>
          <w:rFonts w:asciiTheme="majorHAnsi" w:hAnsiTheme="majorHAnsi" w:cstheme="majorHAnsi"/>
          <w:sz w:val="22"/>
          <w:lang w:val="en-GB"/>
        </w:rPr>
        <w:t xml:space="preserve">r HEI leaders to </w:t>
      </w:r>
      <w:r w:rsidR="00A23614" w:rsidRPr="00E45751">
        <w:rPr>
          <w:rFonts w:asciiTheme="majorHAnsi" w:hAnsiTheme="majorHAnsi" w:cstheme="majorHAnsi"/>
          <w:b/>
          <w:sz w:val="22"/>
          <w:lang w:val="en-GB"/>
        </w:rPr>
        <w:t>share policies and practices and prepare joint action</w:t>
      </w:r>
      <w:r w:rsidR="00A23614" w:rsidRPr="00E45751">
        <w:rPr>
          <w:rFonts w:asciiTheme="majorHAnsi" w:hAnsiTheme="majorHAnsi" w:cstheme="majorHAnsi"/>
          <w:sz w:val="22"/>
          <w:lang w:val="en-GB"/>
        </w:rPr>
        <w:t xml:space="preserve">. The </w:t>
      </w:r>
      <w:r w:rsidR="00A23614" w:rsidRPr="00E45751">
        <w:rPr>
          <w:rFonts w:asciiTheme="majorHAnsi" w:hAnsiTheme="majorHAnsi" w:cstheme="majorHAnsi"/>
          <w:b/>
          <w:sz w:val="22"/>
          <w:lang w:val="en-GB"/>
        </w:rPr>
        <w:t>innovation, mutual learning, and cooperation</w:t>
      </w:r>
      <w:r w:rsidR="00A23614" w:rsidRPr="00E45751">
        <w:rPr>
          <w:rFonts w:asciiTheme="majorHAnsi" w:hAnsiTheme="majorHAnsi" w:cstheme="majorHAnsi"/>
          <w:sz w:val="22"/>
          <w:lang w:val="en-GB"/>
        </w:rPr>
        <w:t xml:space="preserve"> between HEIs that is possible with the help of institutional networks are key to increasing attractiveness of national HEIs. In addition, </w:t>
      </w:r>
      <w:r w:rsidR="00A23614" w:rsidRPr="00E45751">
        <w:rPr>
          <w:rFonts w:asciiTheme="majorHAnsi" w:hAnsiTheme="majorHAnsi" w:cstheme="majorHAnsi"/>
          <w:b/>
          <w:sz w:val="22"/>
          <w:lang w:val="en-GB"/>
        </w:rPr>
        <w:t>partnerships and cooperation</w:t>
      </w:r>
      <w:r w:rsidR="00A23614" w:rsidRPr="00E45751">
        <w:rPr>
          <w:rFonts w:asciiTheme="majorHAnsi" w:hAnsiTheme="majorHAnsi" w:cstheme="majorHAnsi"/>
          <w:sz w:val="22"/>
          <w:lang w:val="en-GB"/>
        </w:rPr>
        <w:t xml:space="preserve"> with other institutions in </w:t>
      </w:r>
      <w:r w:rsidR="00A23614" w:rsidRPr="00E45751">
        <w:rPr>
          <w:rFonts w:asciiTheme="majorHAnsi" w:hAnsiTheme="majorHAnsi" w:cstheme="majorHAnsi"/>
          <w:b/>
          <w:sz w:val="22"/>
          <w:lang w:val="en-GB"/>
        </w:rPr>
        <w:t>exchange programmes</w:t>
      </w:r>
      <w:r w:rsidR="00A23614" w:rsidRPr="00E45751">
        <w:rPr>
          <w:rFonts w:asciiTheme="majorHAnsi" w:hAnsiTheme="majorHAnsi" w:cstheme="majorHAnsi"/>
          <w:sz w:val="22"/>
          <w:lang w:val="en-GB"/>
        </w:rPr>
        <w:t xml:space="preserve"> are direct benefits of membership in institutional networks.</w:t>
      </w:r>
    </w:p>
    <w:p w14:paraId="699E2266" w14:textId="378B3561" w:rsidR="007F5991" w:rsidRPr="00E45751" w:rsidRDefault="00A23614"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T</w:t>
      </w:r>
      <w:r w:rsidR="005B276D" w:rsidRPr="00E45751">
        <w:rPr>
          <w:rFonts w:asciiTheme="majorHAnsi" w:hAnsiTheme="majorHAnsi" w:cstheme="majorHAnsi"/>
          <w:sz w:val="22"/>
          <w:lang w:val="en-GB"/>
        </w:rPr>
        <w:t>he International As</w:t>
      </w:r>
      <w:r w:rsidR="007F5991" w:rsidRPr="00E45751">
        <w:rPr>
          <w:rFonts w:asciiTheme="majorHAnsi" w:hAnsiTheme="majorHAnsi" w:cstheme="majorHAnsi"/>
          <w:sz w:val="22"/>
          <w:lang w:val="en-GB"/>
        </w:rPr>
        <w:t>sociation of Universities (IAU), an official partner of UNESCO</w:t>
      </w:r>
      <w:r w:rsidRPr="00E45751">
        <w:rPr>
          <w:rFonts w:asciiTheme="majorHAnsi" w:hAnsiTheme="majorHAnsi" w:cstheme="majorHAnsi"/>
          <w:sz w:val="22"/>
          <w:lang w:val="en-GB"/>
        </w:rPr>
        <w:t xml:space="preserve">, is an institutional network that includes </w:t>
      </w:r>
      <w:r w:rsidR="00D44A11" w:rsidRPr="00E45751">
        <w:rPr>
          <w:rFonts w:asciiTheme="majorHAnsi" w:hAnsiTheme="majorHAnsi" w:cstheme="majorHAnsi"/>
          <w:sz w:val="22"/>
          <w:lang w:val="en-GB"/>
        </w:rPr>
        <w:t xml:space="preserve">600+ </w:t>
      </w:r>
      <w:r w:rsidRPr="00E45751">
        <w:rPr>
          <w:rFonts w:asciiTheme="majorHAnsi" w:hAnsiTheme="majorHAnsi" w:cstheme="majorHAnsi"/>
          <w:sz w:val="22"/>
          <w:lang w:val="en-GB"/>
        </w:rPr>
        <w:t>members from 120+ countries. The network engages primarily in the following actions:</w:t>
      </w:r>
      <w:r w:rsidR="00E81AD9" w:rsidRPr="00E45751">
        <w:rPr>
          <w:rFonts w:asciiTheme="majorHAnsi" w:hAnsiTheme="majorHAnsi" w:cstheme="majorHAnsi"/>
          <w:sz w:val="22"/>
          <w:vertAlign w:val="superscript"/>
          <w:lang w:val="en-GB"/>
        </w:rPr>
        <w:t xml:space="preserve"> </w:t>
      </w:r>
      <w:r w:rsidR="00E81AD9" w:rsidRPr="00E45751">
        <w:rPr>
          <w:rFonts w:asciiTheme="majorHAnsi" w:hAnsiTheme="majorHAnsi" w:cstheme="majorHAnsi"/>
          <w:sz w:val="22"/>
          <w:vertAlign w:val="superscript"/>
          <w:lang w:val="en-GB"/>
        </w:rPr>
        <w:footnoteReference w:id="21"/>
      </w:r>
    </w:p>
    <w:p w14:paraId="3C65881D" w14:textId="77777777" w:rsidR="00A23614" w:rsidRPr="00E45751" w:rsidRDefault="00A23614" w:rsidP="00216257">
      <w:pPr>
        <w:pStyle w:val="ListParagraph"/>
        <w:numPr>
          <w:ilvl w:val="0"/>
          <w:numId w:val="24"/>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Expertise development &amp; trends analysis</w:t>
      </w:r>
    </w:p>
    <w:p w14:paraId="1E238552" w14:textId="77777777" w:rsidR="00A23614" w:rsidRPr="00E45751" w:rsidRDefault="00A23614" w:rsidP="00216257">
      <w:pPr>
        <w:pStyle w:val="ListParagraph"/>
        <w:numPr>
          <w:ilvl w:val="0"/>
          <w:numId w:val="24"/>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Publications &amp; specialized portals</w:t>
      </w:r>
    </w:p>
    <w:p w14:paraId="53BE6AE3" w14:textId="77777777" w:rsidR="00A23614" w:rsidRPr="00E45751" w:rsidRDefault="00A23614" w:rsidP="00216257">
      <w:pPr>
        <w:pStyle w:val="ListParagraph"/>
        <w:numPr>
          <w:ilvl w:val="0"/>
          <w:numId w:val="24"/>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Advisory services</w:t>
      </w:r>
    </w:p>
    <w:p w14:paraId="4B1766F9" w14:textId="77777777" w:rsidR="00A23614" w:rsidRPr="00E45751" w:rsidRDefault="00A23614" w:rsidP="00216257">
      <w:pPr>
        <w:pStyle w:val="ListParagraph"/>
        <w:numPr>
          <w:ilvl w:val="0"/>
          <w:numId w:val="24"/>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Training &amp; peer-to-peer learning</w:t>
      </w:r>
    </w:p>
    <w:p w14:paraId="5BD6367F" w14:textId="77777777" w:rsidR="00A23614" w:rsidRPr="00E45751" w:rsidRDefault="00A23614" w:rsidP="00216257">
      <w:pPr>
        <w:pStyle w:val="ListParagraph"/>
        <w:numPr>
          <w:ilvl w:val="0"/>
          <w:numId w:val="24"/>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Knowledge sharing events</w:t>
      </w:r>
    </w:p>
    <w:p w14:paraId="3F815A10" w14:textId="3A5FB20C" w:rsidR="00A23614" w:rsidRPr="00E45751" w:rsidRDefault="00A23614" w:rsidP="00216257">
      <w:pPr>
        <w:pStyle w:val="ListParagraph"/>
        <w:numPr>
          <w:ilvl w:val="0"/>
          <w:numId w:val="24"/>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Global advocacy &amp; representation</w:t>
      </w:r>
    </w:p>
    <w:p w14:paraId="30425A7D" w14:textId="060DD018" w:rsidR="007F5991" w:rsidRPr="00E45751" w:rsidRDefault="00A23614"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Through </w:t>
      </w:r>
      <w:r w:rsidRPr="00E45751">
        <w:rPr>
          <w:rFonts w:asciiTheme="majorHAnsi" w:hAnsiTheme="majorHAnsi" w:cstheme="majorHAnsi"/>
          <w:b/>
          <w:sz w:val="22"/>
          <w:lang w:val="en-GB"/>
        </w:rPr>
        <w:t>engagement in the network</w:t>
      </w:r>
      <w:r w:rsidRPr="00E45751">
        <w:rPr>
          <w:rFonts w:asciiTheme="majorHAnsi" w:hAnsiTheme="majorHAnsi" w:cstheme="majorHAnsi"/>
          <w:sz w:val="22"/>
          <w:lang w:val="en-GB"/>
        </w:rPr>
        <w:t>, member HEIs benefit from these services, increasing their internationalisation capabilities and therefore increasing attractiveness to international students.</w:t>
      </w:r>
      <w:r w:rsidR="00E81AD9" w:rsidRPr="00E45751">
        <w:rPr>
          <w:rFonts w:asciiTheme="majorHAnsi" w:hAnsiTheme="majorHAnsi" w:cstheme="majorHAnsi"/>
          <w:sz w:val="22"/>
          <w:lang w:val="en-GB"/>
        </w:rPr>
        <w:t xml:space="preserve"> IAU also offers </w:t>
      </w:r>
      <w:r w:rsidR="00E81AD9" w:rsidRPr="00E45751">
        <w:rPr>
          <w:rFonts w:asciiTheme="majorHAnsi" w:hAnsiTheme="majorHAnsi" w:cstheme="majorHAnsi"/>
          <w:b/>
          <w:sz w:val="22"/>
          <w:lang w:val="en-GB"/>
        </w:rPr>
        <w:t>internationalisation services</w:t>
      </w:r>
      <w:r w:rsidR="00E81AD9" w:rsidRPr="00E45751">
        <w:rPr>
          <w:rFonts w:asciiTheme="majorHAnsi" w:hAnsiTheme="majorHAnsi" w:cstheme="majorHAnsi"/>
          <w:sz w:val="22"/>
          <w:lang w:val="en-GB"/>
        </w:rPr>
        <w:t>, which amounts to advising members on monitoring and evaluation of their internationalisation process.</w:t>
      </w:r>
      <w:r w:rsidR="00E81AD9" w:rsidRPr="00E45751">
        <w:rPr>
          <w:rStyle w:val="FootnoteReference"/>
          <w:rFonts w:asciiTheme="majorHAnsi" w:hAnsiTheme="majorHAnsi" w:cstheme="majorHAnsi"/>
          <w:sz w:val="22"/>
          <w:lang w:val="en-GB"/>
        </w:rPr>
        <w:footnoteReference w:id="22"/>
      </w:r>
      <w:r w:rsidR="00E81AD9" w:rsidRPr="00E45751">
        <w:rPr>
          <w:rFonts w:asciiTheme="majorHAnsi" w:hAnsiTheme="majorHAnsi" w:cstheme="majorHAnsi"/>
          <w:sz w:val="22"/>
          <w:lang w:val="en-GB"/>
        </w:rPr>
        <w:t xml:space="preserve"> Membership in IAU also </w:t>
      </w:r>
      <w:r w:rsidR="00E81AD9" w:rsidRPr="00E45751">
        <w:rPr>
          <w:rFonts w:asciiTheme="majorHAnsi" w:hAnsiTheme="majorHAnsi" w:cstheme="majorHAnsi"/>
          <w:b/>
          <w:sz w:val="22"/>
          <w:lang w:val="en-GB"/>
        </w:rPr>
        <w:t xml:space="preserve">increases institutional visibility, </w:t>
      </w:r>
      <w:r w:rsidR="00E81AD9" w:rsidRPr="00E45751">
        <w:rPr>
          <w:rFonts w:asciiTheme="majorHAnsi" w:hAnsiTheme="majorHAnsi" w:cstheme="majorHAnsi"/>
          <w:sz w:val="22"/>
          <w:lang w:val="en-GB"/>
        </w:rPr>
        <w:t>as IAU highlights member institutions in its World Higher Education Database (WHED) and promotes member initiatives on the website and in specialised portals.</w:t>
      </w:r>
      <w:r w:rsidR="00E81AD9" w:rsidRPr="00E45751">
        <w:rPr>
          <w:rStyle w:val="FootnoteReference"/>
          <w:rFonts w:asciiTheme="majorHAnsi" w:hAnsiTheme="majorHAnsi" w:cstheme="majorHAnsi"/>
          <w:sz w:val="22"/>
          <w:lang w:val="en-GB"/>
        </w:rPr>
        <w:footnoteReference w:id="23"/>
      </w:r>
    </w:p>
    <w:p w14:paraId="63BD3B89" w14:textId="120BE6DE" w:rsidR="00A23614" w:rsidRPr="00E45751" w:rsidRDefault="00F47EA9"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Finally, publications produced by international networks can provide targets for internationalisation and best practices for institutions in attracting international students. The IAU publishes the </w:t>
      </w:r>
      <w:r w:rsidRPr="00E45751">
        <w:rPr>
          <w:rFonts w:asciiTheme="majorHAnsi" w:hAnsiTheme="majorHAnsi" w:cstheme="majorHAnsi"/>
          <w:i/>
          <w:sz w:val="22"/>
          <w:lang w:val="en-GB"/>
        </w:rPr>
        <w:t xml:space="preserve">Global Survey on Internationalisation, </w:t>
      </w:r>
      <w:r w:rsidRPr="00E45751">
        <w:rPr>
          <w:rFonts w:asciiTheme="majorHAnsi" w:hAnsiTheme="majorHAnsi" w:cstheme="majorHAnsi"/>
          <w:sz w:val="22"/>
          <w:lang w:val="en-GB"/>
        </w:rPr>
        <w:t>which provides data on global trends and developments.</w:t>
      </w:r>
      <w:r w:rsidRPr="00E45751">
        <w:rPr>
          <w:rFonts w:asciiTheme="majorHAnsi" w:hAnsiTheme="majorHAnsi" w:cstheme="majorHAnsi"/>
          <w:sz w:val="22"/>
          <w:vertAlign w:val="superscript"/>
          <w:lang w:val="en-GB"/>
        </w:rPr>
        <w:footnoteReference w:id="24"/>
      </w:r>
    </w:p>
    <w:p w14:paraId="77A7A468" w14:textId="6E0FF480" w:rsidR="000A4020" w:rsidRPr="00E45751" w:rsidRDefault="000A4020" w:rsidP="00216257">
      <w:pPr>
        <w:pStyle w:val="Heading1"/>
        <w:numPr>
          <w:ilvl w:val="0"/>
          <w:numId w:val="14"/>
        </w:numPr>
        <w:jc w:val="both"/>
        <w:rPr>
          <w:rFonts w:cstheme="majorHAnsi"/>
          <w:lang w:val="en-GB"/>
        </w:rPr>
      </w:pPr>
      <w:bookmarkStart w:id="31" w:name="_Toc416471898"/>
      <w:r w:rsidRPr="00E45751">
        <w:rPr>
          <w:rFonts w:cstheme="majorHAnsi"/>
          <w:lang w:val="en-GB"/>
        </w:rPr>
        <w:lastRenderedPageBreak/>
        <w:t>Determinants for successful internationalisation strategy</w:t>
      </w:r>
      <w:bookmarkEnd w:id="31"/>
      <w:r w:rsidRPr="00E45751">
        <w:rPr>
          <w:rFonts w:cstheme="majorHAnsi"/>
          <w:lang w:val="en-GB"/>
        </w:rPr>
        <w:t xml:space="preserve"> </w:t>
      </w:r>
    </w:p>
    <w:p w14:paraId="37E46F7A" w14:textId="77777777" w:rsidR="00FE5F2E" w:rsidRPr="00E45751" w:rsidRDefault="00FE5F2E" w:rsidP="00216257">
      <w:pPr>
        <w:jc w:val="both"/>
        <w:rPr>
          <w:rFonts w:asciiTheme="majorHAnsi" w:hAnsiTheme="majorHAnsi" w:cstheme="majorHAnsi"/>
          <w:sz w:val="22"/>
          <w:lang w:val="en-GB"/>
        </w:rPr>
      </w:pPr>
    </w:p>
    <w:p w14:paraId="2E8C1443" w14:textId="1296A27E" w:rsidR="00FE5F2E" w:rsidRPr="00E45751" w:rsidRDefault="00FE5F2E" w:rsidP="00216257">
      <w:pPr>
        <w:jc w:val="both"/>
        <w:rPr>
          <w:rFonts w:asciiTheme="majorHAnsi" w:hAnsiTheme="majorHAnsi" w:cstheme="majorHAnsi"/>
          <w:sz w:val="22"/>
          <w:lang w:val="en-GB"/>
        </w:rPr>
      </w:pPr>
      <w:r w:rsidRPr="00E45751">
        <w:rPr>
          <w:rFonts w:asciiTheme="majorHAnsi" w:hAnsiTheme="majorHAnsi" w:cstheme="majorHAnsi"/>
          <w:sz w:val="22"/>
          <w:lang w:val="en-GB"/>
        </w:rPr>
        <w:t>Successful internationalisation strategies that attract students to national HEIs tend to have certain determinants. Several main determinants are laid out in the sections below.</w:t>
      </w:r>
    </w:p>
    <w:p w14:paraId="0217323B" w14:textId="24372A67" w:rsidR="000A4020" w:rsidRPr="00E45751" w:rsidRDefault="008221AE" w:rsidP="001113F4">
      <w:pPr>
        <w:pStyle w:val="Heading2"/>
        <w:numPr>
          <w:ilvl w:val="1"/>
          <w:numId w:val="46"/>
        </w:numPr>
        <w:spacing w:after="120"/>
        <w:jc w:val="both"/>
        <w:rPr>
          <w:rFonts w:cstheme="majorHAnsi"/>
          <w:lang w:val="en-GB"/>
        </w:rPr>
      </w:pPr>
      <w:bookmarkStart w:id="32" w:name="_Toc416471899"/>
      <w:r w:rsidRPr="00E45751">
        <w:rPr>
          <w:rFonts w:cstheme="majorHAnsi"/>
          <w:lang w:val="en-GB"/>
        </w:rPr>
        <w:t>The o</w:t>
      </w:r>
      <w:r w:rsidR="005B276D" w:rsidRPr="00E45751">
        <w:rPr>
          <w:rFonts w:cstheme="majorHAnsi"/>
          <w:lang w:val="en-GB"/>
        </w:rPr>
        <w:t>rganisation of mobility</w:t>
      </w:r>
      <w:r w:rsidRPr="00E45751">
        <w:rPr>
          <w:rFonts w:cstheme="majorHAnsi"/>
          <w:lang w:val="en-GB"/>
        </w:rPr>
        <w:t>, condition to spur internationalisation</w:t>
      </w:r>
      <w:bookmarkEnd w:id="32"/>
    </w:p>
    <w:p w14:paraId="5DF9A8F3" w14:textId="7A425892" w:rsidR="00D85E71" w:rsidRPr="00E45751" w:rsidRDefault="00FE5F2E"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One of the main determinants of a successful internationalisation strategy </w:t>
      </w:r>
      <w:r w:rsidR="00D41E86" w:rsidRPr="00E45751">
        <w:rPr>
          <w:rFonts w:asciiTheme="majorHAnsi" w:hAnsiTheme="majorHAnsi" w:cstheme="majorHAnsi"/>
          <w:sz w:val="22"/>
          <w:lang w:val="en-GB"/>
        </w:rPr>
        <w:t xml:space="preserve">across the board </w:t>
      </w:r>
      <w:r w:rsidRPr="00E45751">
        <w:rPr>
          <w:rFonts w:asciiTheme="majorHAnsi" w:hAnsiTheme="majorHAnsi" w:cstheme="majorHAnsi"/>
          <w:sz w:val="22"/>
          <w:lang w:val="en-GB"/>
        </w:rPr>
        <w:t>appears to be a clear organisation of international exchange.</w:t>
      </w:r>
      <w:r w:rsidR="00D41E86" w:rsidRPr="00E45751">
        <w:rPr>
          <w:rFonts w:asciiTheme="majorHAnsi" w:hAnsiTheme="majorHAnsi" w:cstheme="majorHAnsi"/>
          <w:sz w:val="22"/>
          <w:lang w:val="en-GB"/>
        </w:rPr>
        <w:t xml:space="preserve"> Possible elements of this organisation, evident in successful strategies, are the following:</w:t>
      </w:r>
    </w:p>
    <w:p w14:paraId="50CF20FF" w14:textId="2D324F6C" w:rsidR="00FE5F2E" w:rsidRPr="00E45751" w:rsidRDefault="005B276D" w:rsidP="00216257">
      <w:pPr>
        <w:pStyle w:val="ListParagraph"/>
        <w:numPr>
          <w:ilvl w:val="0"/>
          <w:numId w:val="6"/>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Integration of international stude</w:t>
      </w:r>
      <w:r w:rsidR="00FE5F2E" w:rsidRPr="00E45751">
        <w:rPr>
          <w:rFonts w:asciiTheme="majorHAnsi" w:hAnsiTheme="majorHAnsi" w:cstheme="majorHAnsi"/>
          <w:sz w:val="22"/>
          <w:lang w:val="en-GB"/>
        </w:rPr>
        <w:t xml:space="preserve">nts academically and socially (e.g. </w:t>
      </w:r>
      <w:r w:rsidRPr="00E45751">
        <w:rPr>
          <w:rFonts w:asciiTheme="majorHAnsi" w:hAnsiTheme="majorHAnsi" w:cstheme="majorHAnsi"/>
          <w:sz w:val="22"/>
          <w:lang w:val="en-GB"/>
        </w:rPr>
        <w:t>mixed c</w:t>
      </w:r>
      <w:r w:rsidR="00FE5F2E" w:rsidRPr="00E45751">
        <w:rPr>
          <w:rFonts w:asciiTheme="majorHAnsi" w:hAnsiTheme="majorHAnsi" w:cstheme="majorHAnsi"/>
          <w:sz w:val="22"/>
          <w:lang w:val="en-GB"/>
        </w:rPr>
        <w:t>lasses international/domestic)</w:t>
      </w:r>
    </w:p>
    <w:p w14:paraId="5C7EB10F" w14:textId="01F2D4AA" w:rsidR="005B276D" w:rsidRPr="00E45751" w:rsidRDefault="005B276D" w:rsidP="00216257">
      <w:pPr>
        <w:pStyle w:val="ListParagraph"/>
        <w:numPr>
          <w:ilvl w:val="0"/>
          <w:numId w:val="6"/>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Assistance</w:t>
      </w:r>
      <w:r w:rsidR="00FE5F2E" w:rsidRPr="00E45751">
        <w:rPr>
          <w:rFonts w:asciiTheme="majorHAnsi" w:hAnsiTheme="majorHAnsi" w:cstheme="majorHAnsi"/>
          <w:sz w:val="22"/>
          <w:lang w:val="en-GB"/>
        </w:rPr>
        <w:t xml:space="preserve"> for international students (</w:t>
      </w:r>
      <w:r w:rsidRPr="00E45751">
        <w:rPr>
          <w:rFonts w:asciiTheme="majorHAnsi" w:hAnsiTheme="majorHAnsi" w:cstheme="majorHAnsi"/>
          <w:sz w:val="22"/>
          <w:lang w:val="en-GB"/>
        </w:rPr>
        <w:t>housing, administrative questions, etc.</w:t>
      </w:r>
      <w:r w:rsidR="00FE5F2E" w:rsidRPr="00E45751">
        <w:rPr>
          <w:rFonts w:asciiTheme="majorHAnsi" w:hAnsiTheme="majorHAnsi" w:cstheme="majorHAnsi"/>
          <w:sz w:val="22"/>
          <w:lang w:val="en-GB"/>
        </w:rPr>
        <w:t>)</w:t>
      </w:r>
    </w:p>
    <w:p w14:paraId="0BFB1E08" w14:textId="77777777" w:rsidR="004B78AF" w:rsidRPr="00E45751" w:rsidRDefault="004B78AF" w:rsidP="00216257">
      <w:pPr>
        <w:pStyle w:val="ListParagraph"/>
        <w:numPr>
          <w:ilvl w:val="0"/>
          <w:numId w:val="6"/>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Faculty training</w:t>
      </w:r>
    </w:p>
    <w:p w14:paraId="64EB6827" w14:textId="736E0F4B" w:rsidR="00F47EA9" w:rsidRPr="00E45751" w:rsidRDefault="00D41E86" w:rsidP="00216257">
      <w:pPr>
        <w:pStyle w:val="ListParagraph"/>
        <w:numPr>
          <w:ilvl w:val="0"/>
          <w:numId w:val="6"/>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Dissemination system for best practices</w:t>
      </w:r>
    </w:p>
    <w:p w14:paraId="2685E99E" w14:textId="22CF6D00" w:rsidR="00054160" w:rsidRPr="00E45751" w:rsidRDefault="00197D87" w:rsidP="00216257">
      <w:pPr>
        <w:pStyle w:val="ListParagraph"/>
        <w:numPr>
          <w:ilvl w:val="0"/>
          <w:numId w:val="6"/>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Marketing activities</w:t>
      </w:r>
      <w:r w:rsidR="00054160" w:rsidRPr="00E45751">
        <w:rPr>
          <w:rFonts w:asciiTheme="majorHAnsi" w:hAnsiTheme="majorHAnsi" w:cstheme="majorHAnsi"/>
          <w:sz w:val="22"/>
          <w:lang w:val="en-GB"/>
        </w:rPr>
        <w:t xml:space="preserve"> </w:t>
      </w:r>
    </w:p>
    <w:p w14:paraId="539E1647" w14:textId="2DA3E20D" w:rsidR="00197D87" w:rsidRPr="00E45751" w:rsidRDefault="00054160" w:rsidP="00216257">
      <w:pPr>
        <w:pStyle w:val="ListParagraph"/>
        <w:numPr>
          <w:ilvl w:val="0"/>
          <w:numId w:val="6"/>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Involvement of additional stakeholders</w:t>
      </w:r>
    </w:p>
    <w:p w14:paraId="441AD24E" w14:textId="5B7C272F" w:rsidR="00D41E86" w:rsidRPr="00E45751" w:rsidRDefault="008D46FB"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While this list is not exhaustive, it provides several examples of important elemen</w:t>
      </w:r>
      <w:r w:rsidR="00496DAB" w:rsidRPr="00E45751">
        <w:rPr>
          <w:rFonts w:asciiTheme="majorHAnsi" w:hAnsiTheme="majorHAnsi" w:cstheme="majorHAnsi"/>
          <w:sz w:val="22"/>
          <w:lang w:val="en-GB"/>
        </w:rPr>
        <w:t>ts in organisation of mobility, which involves both incentives for students and marketing efforts.</w:t>
      </w:r>
    </w:p>
    <w:p w14:paraId="6C0B30B9" w14:textId="77777777" w:rsidR="00496DAB" w:rsidRPr="00E45751" w:rsidRDefault="00496DAB"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As mentioned above, incentives for incoming students are the most effective way of increasing incoming mobility. Well-managed assistance with housing and administrative procedures, for example, is an important part of well-organised mobility that incentivises and increases attractiveness for international students. The international office of the HEI should provide this service in a clear and efficient manner. </w:t>
      </w:r>
    </w:p>
    <w:p w14:paraId="44F81203" w14:textId="3BBBDA78" w:rsidR="00496DAB" w:rsidRPr="00E45751" w:rsidRDefault="00496DAB"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Additionally, HEIs that successfully integrate international students into campus life and life in the host country more broadly are more attractive. </w:t>
      </w:r>
      <w:r w:rsidR="004B78AF" w:rsidRPr="00E45751">
        <w:rPr>
          <w:rFonts w:asciiTheme="majorHAnsi" w:hAnsiTheme="majorHAnsi" w:cstheme="majorHAnsi"/>
          <w:sz w:val="22"/>
          <w:lang w:val="en-GB"/>
        </w:rPr>
        <w:t>In Australia, students that felt integrated were much happier with their study experience. Integration can be achieved through organisation of mixed classes including both international and domestic students, mixed housing arrangements, and an internationalised course offering that places each subject in a more global perspective. Faculty training on accepting and integrating international students is also important when organizing mobility.</w:t>
      </w:r>
    </w:p>
    <w:p w14:paraId="0323C692" w14:textId="1342E1AE" w:rsidR="00054160" w:rsidRPr="00E45751" w:rsidRDefault="00547A2F"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Another important part of successfully organising mobility to increase attractiveness </w:t>
      </w:r>
      <w:r w:rsidRPr="00E45751">
        <w:rPr>
          <w:rFonts w:asciiTheme="majorHAnsi" w:hAnsiTheme="majorHAnsi" w:cstheme="majorHAnsi"/>
          <w:b/>
          <w:sz w:val="22"/>
          <w:lang w:val="en-GB"/>
        </w:rPr>
        <w:t>is investing in an effective marketing strategy</w:t>
      </w:r>
      <w:r w:rsidRPr="00E45751">
        <w:rPr>
          <w:rFonts w:asciiTheme="majorHAnsi" w:hAnsiTheme="majorHAnsi" w:cstheme="majorHAnsi"/>
          <w:sz w:val="22"/>
          <w:lang w:val="en-GB"/>
        </w:rPr>
        <w:t xml:space="preserve">, </w:t>
      </w:r>
      <w:proofErr w:type="gramStart"/>
      <w:r w:rsidRPr="00E45751">
        <w:rPr>
          <w:rFonts w:asciiTheme="majorHAnsi" w:hAnsiTheme="majorHAnsi" w:cstheme="majorHAnsi"/>
          <w:sz w:val="22"/>
          <w:lang w:val="en-GB"/>
        </w:rPr>
        <w:t>both of the HE</w:t>
      </w:r>
      <w:proofErr w:type="gramEnd"/>
      <w:r w:rsidRPr="00E45751">
        <w:rPr>
          <w:rFonts w:asciiTheme="majorHAnsi" w:hAnsiTheme="majorHAnsi" w:cstheme="majorHAnsi"/>
          <w:sz w:val="22"/>
          <w:lang w:val="en-GB"/>
        </w:rPr>
        <w:t xml:space="preserve"> system as a whole and of individual institutions. An example of a successful marketing campaign is the </w:t>
      </w:r>
      <w:proofErr w:type="gramStart"/>
      <w:r w:rsidRPr="00E45751">
        <w:rPr>
          <w:rFonts w:asciiTheme="majorHAnsi" w:hAnsiTheme="majorHAnsi" w:cstheme="majorHAnsi"/>
          <w:sz w:val="22"/>
          <w:lang w:val="en-GB"/>
        </w:rPr>
        <w:t>aforementioned ACA</w:t>
      </w:r>
      <w:proofErr w:type="gramEnd"/>
      <w:r w:rsidRPr="00E45751">
        <w:rPr>
          <w:rFonts w:asciiTheme="majorHAnsi" w:hAnsiTheme="majorHAnsi" w:cstheme="majorHAnsi"/>
          <w:sz w:val="22"/>
          <w:lang w:val="en-GB"/>
        </w:rPr>
        <w:t xml:space="preserve"> project for “Enhancing the Attractiveness of European higher education in the world.” The marketing strategy was to:</w:t>
      </w:r>
      <w:r w:rsidRPr="00E45751">
        <w:rPr>
          <w:rStyle w:val="FootnoteReference"/>
          <w:rFonts w:asciiTheme="majorHAnsi" w:hAnsiTheme="majorHAnsi" w:cstheme="majorHAnsi"/>
          <w:sz w:val="22"/>
          <w:lang w:val="en-GB"/>
        </w:rPr>
        <w:t xml:space="preserve"> </w:t>
      </w:r>
      <w:r w:rsidRPr="00E45751">
        <w:rPr>
          <w:rStyle w:val="FootnoteReference"/>
          <w:rFonts w:asciiTheme="majorHAnsi" w:hAnsiTheme="majorHAnsi" w:cstheme="majorHAnsi"/>
          <w:sz w:val="22"/>
          <w:lang w:val="en-GB"/>
        </w:rPr>
        <w:footnoteReference w:id="25"/>
      </w:r>
    </w:p>
    <w:p w14:paraId="67348F89" w14:textId="77777777" w:rsidR="00547A2F" w:rsidRPr="00E45751" w:rsidRDefault="00547A2F" w:rsidP="00216257">
      <w:pPr>
        <w:pStyle w:val="ListParagraph"/>
        <w:numPr>
          <w:ilvl w:val="0"/>
          <w:numId w:val="26"/>
        </w:numPr>
        <w:spacing w:after="120"/>
        <w:jc w:val="both"/>
        <w:rPr>
          <w:rFonts w:asciiTheme="majorHAnsi" w:hAnsiTheme="majorHAnsi" w:cstheme="majorHAnsi"/>
          <w:sz w:val="22"/>
          <w:lang w:val="en-GB"/>
        </w:rPr>
      </w:pPr>
      <w:r w:rsidRPr="00E45751">
        <w:rPr>
          <w:rFonts w:asciiTheme="majorHAnsi" w:hAnsiTheme="majorHAnsi" w:cstheme="majorHAnsi"/>
          <w:b/>
          <w:sz w:val="22"/>
          <w:lang w:val="en-GB"/>
        </w:rPr>
        <w:t>Organise a series of branded ´Study in Europe´ fairs</w:t>
      </w:r>
      <w:r w:rsidRPr="00E45751">
        <w:rPr>
          <w:rFonts w:asciiTheme="majorHAnsi" w:hAnsiTheme="majorHAnsi" w:cstheme="majorHAnsi"/>
          <w:sz w:val="22"/>
          <w:lang w:val="en-GB"/>
        </w:rPr>
        <w:t xml:space="preserve"> (in Canada, Ecuador, Egypt, Nigeria, Peru, Russia, South Africa, South Korea, Tunisia and USA</w:t>
      </w:r>
    </w:p>
    <w:p w14:paraId="667379FF" w14:textId="77777777" w:rsidR="00547A2F" w:rsidRPr="00E45751" w:rsidRDefault="00547A2F" w:rsidP="00216257">
      <w:pPr>
        <w:pStyle w:val="ListParagraph"/>
        <w:numPr>
          <w:ilvl w:val="0"/>
          <w:numId w:val="26"/>
        </w:numPr>
        <w:spacing w:after="120"/>
        <w:jc w:val="both"/>
        <w:rPr>
          <w:rFonts w:asciiTheme="majorHAnsi" w:hAnsiTheme="majorHAnsi" w:cstheme="majorHAnsi"/>
          <w:sz w:val="22"/>
          <w:lang w:val="en-GB"/>
        </w:rPr>
      </w:pPr>
      <w:r w:rsidRPr="00E45751">
        <w:rPr>
          <w:rFonts w:asciiTheme="majorHAnsi" w:hAnsiTheme="majorHAnsi" w:cstheme="majorHAnsi"/>
          <w:b/>
          <w:sz w:val="22"/>
          <w:lang w:val="en-GB"/>
        </w:rPr>
        <w:t>Deliver marketing webinars</w:t>
      </w:r>
      <w:r w:rsidRPr="00E45751">
        <w:rPr>
          <w:rFonts w:asciiTheme="majorHAnsi" w:hAnsiTheme="majorHAnsi" w:cstheme="majorHAnsi"/>
          <w:sz w:val="22"/>
          <w:lang w:val="en-GB"/>
        </w:rPr>
        <w:t xml:space="preserve"> for European higher education professionals and organise virtual events</w:t>
      </w:r>
    </w:p>
    <w:p w14:paraId="771C15CF" w14:textId="77777777" w:rsidR="00547A2F" w:rsidRPr="00E45751" w:rsidRDefault="00547A2F" w:rsidP="00216257">
      <w:pPr>
        <w:pStyle w:val="ListParagraph"/>
        <w:numPr>
          <w:ilvl w:val="0"/>
          <w:numId w:val="26"/>
        </w:numPr>
        <w:spacing w:after="120"/>
        <w:jc w:val="both"/>
        <w:rPr>
          <w:rFonts w:asciiTheme="majorHAnsi" w:hAnsiTheme="majorHAnsi" w:cstheme="majorHAnsi"/>
          <w:sz w:val="22"/>
          <w:lang w:val="en-GB"/>
        </w:rPr>
      </w:pPr>
      <w:r w:rsidRPr="00E45751">
        <w:rPr>
          <w:rFonts w:asciiTheme="majorHAnsi" w:hAnsiTheme="majorHAnsi" w:cstheme="majorHAnsi"/>
          <w:b/>
          <w:sz w:val="22"/>
          <w:lang w:val="en-GB"/>
        </w:rPr>
        <w:t>Revamp the `Study in Europe` portal</w:t>
      </w:r>
      <w:r w:rsidRPr="00E45751">
        <w:rPr>
          <w:rFonts w:asciiTheme="majorHAnsi" w:hAnsiTheme="majorHAnsi" w:cstheme="majorHAnsi"/>
          <w:sz w:val="22"/>
          <w:lang w:val="en-GB"/>
        </w:rPr>
        <w:t xml:space="preserve"> and </w:t>
      </w:r>
      <w:r w:rsidRPr="00E45751">
        <w:rPr>
          <w:rFonts w:asciiTheme="majorHAnsi" w:hAnsiTheme="majorHAnsi" w:cstheme="majorHAnsi"/>
          <w:b/>
          <w:sz w:val="22"/>
          <w:lang w:val="en-GB"/>
        </w:rPr>
        <w:t>deliver a social media strategy </w:t>
      </w:r>
    </w:p>
    <w:p w14:paraId="0B7D8ECD" w14:textId="77777777" w:rsidR="00547A2F" w:rsidRPr="00E45751" w:rsidRDefault="00547A2F" w:rsidP="00216257">
      <w:pPr>
        <w:pStyle w:val="ListParagraph"/>
        <w:numPr>
          <w:ilvl w:val="0"/>
          <w:numId w:val="26"/>
        </w:numPr>
        <w:spacing w:after="120"/>
        <w:jc w:val="both"/>
        <w:rPr>
          <w:rFonts w:asciiTheme="majorHAnsi" w:hAnsiTheme="majorHAnsi" w:cstheme="majorHAnsi"/>
          <w:b/>
          <w:sz w:val="22"/>
          <w:lang w:val="en-GB"/>
        </w:rPr>
      </w:pPr>
      <w:r w:rsidRPr="00E45751">
        <w:rPr>
          <w:rFonts w:asciiTheme="majorHAnsi" w:hAnsiTheme="majorHAnsi" w:cstheme="majorHAnsi"/>
          <w:b/>
          <w:sz w:val="22"/>
          <w:lang w:val="en-GB"/>
        </w:rPr>
        <w:t>Produce a package of promotional material</w:t>
      </w:r>
    </w:p>
    <w:p w14:paraId="3EF00CC4" w14:textId="08D46C04" w:rsidR="00547A2F" w:rsidRPr="00E45751" w:rsidRDefault="00547A2F" w:rsidP="00216257">
      <w:pPr>
        <w:pStyle w:val="ListParagraph"/>
        <w:numPr>
          <w:ilvl w:val="0"/>
          <w:numId w:val="26"/>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Establish and train a </w:t>
      </w:r>
      <w:r w:rsidRPr="00E45751">
        <w:rPr>
          <w:rFonts w:asciiTheme="majorHAnsi" w:hAnsiTheme="majorHAnsi" w:cstheme="majorHAnsi"/>
          <w:b/>
          <w:sz w:val="22"/>
          <w:lang w:val="en-GB"/>
        </w:rPr>
        <w:t>network of European Higher Education Experts (EHEEs) - information multipliers and advisers on Study in Europe</w:t>
      </w:r>
      <w:r w:rsidRPr="00E45751">
        <w:rPr>
          <w:rFonts w:asciiTheme="majorHAnsi" w:hAnsiTheme="majorHAnsi" w:cstheme="majorHAnsi"/>
          <w:sz w:val="22"/>
          <w:lang w:val="en-GB"/>
        </w:rPr>
        <w:t xml:space="preserve"> - in 5 partner countries (Brazil, China, India, Russia and South Africa)</w:t>
      </w:r>
    </w:p>
    <w:p w14:paraId="07D890F4" w14:textId="3F6203B3" w:rsidR="00547A2F" w:rsidRPr="00E45751" w:rsidRDefault="00547A2F"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lastRenderedPageBreak/>
        <w:t xml:space="preserve">This comprehensive strategy increased visibility of the European HE system as a </w:t>
      </w:r>
      <w:proofErr w:type="gramStart"/>
      <w:r w:rsidRPr="00E45751">
        <w:rPr>
          <w:rFonts w:asciiTheme="majorHAnsi" w:hAnsiTheme="majorHAnsi" w:cstheme="majorHAnsi"/>
          <w:sz w:val="22"/>
          <w:lang w:val="en-GB"/>
        </w:rPr>
        <w:t>whole, and</w:t>
      </w:r>
      <w:proofErr w:type="gramEnd"/>
      <w:r w:rsidRPr="00E45751">
        <w:rPr>
          <w:rFonts w:asciiTheme="majorHAnsi" w:hAnsiTheme="majorHAnsi" w:cstheme="majorHAnsi"/>
          <w:sz w:val="22"/>
          <w:lang w:val="en-GB"/>
        </w:rPr>
        <w:t xml:space="preserve"> provided information on specific opportunities for studying at individual HEIs, drastically increasing incoming student mobility. </w:t>
      </w:r>
    </w:p>
    <w:p w14:paraId="00B35FD7" w14:textId="4BC933DA" w:rsidR="00751B0E" w:rsidRDefault="00054160"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Finally, i</w:t>
      </w:r>
      <w:r w:rsidR="004B78AF" w:rsidRPr="00E45751">
        <w:rPr>
          <w:rFonts w:asciiTheme="majorHAnsi" w:hAnsiTheme="majorHAnsi" w:cstheme="majorHAnsi"/>
          <w:sz w:val="22"/>
          <w:lang w:val="en-GB"/>
        </w:rPr>
        <w:t xml:space="preserve">nvolvement of </w:t>
      </w:r>
      <w:r w:rsidRPr="00E45751">
        <w:rPr>
          <w:rFonts w:asciiTheme="majorHAnsi" w:hAnsiTheme="majorHAnsi" w:cstheme="majorHAnsi"/>
          <w:sz w:val="22"/>
          <w:lang w:val="en-GB"/>
        </w:rPr>
        <w:t xml:space="preserve">other </w:t>
      </w:r>
      <w:r w:rsidR="004B78AF" w:rsidRPr="00E45751">
        <w:rPr>
          <w:rFonts w:asciiTheme="majorHAnsi" w:hAnsiTheme="majorHAnsi" w:cstheme="majorHAnsi"/>
          <w:sz w:val="22"/>
          <w:lang w:val="en-GB"/>
        </w:rPr>
        <w:t>important stakeholders</w:t>
      </w:r>
      <w:r w:rsidR="00343836" w:rsidRPr="00E45751">
        <w:rPr>
          <w:rFonts w:asciiTheme="majorHAnsi" w:hAnsiTheme="majorHAnsi" w:cstheme="majorHAnsi"/>
          <w:sz w:val="22"/>
          <w:lang w:val="en-GB"/>
        </w:rPr>
        <w:t xml:space="preserve"> in HE</w:t>
      </w:r>
      <w:r w:rsidR="004B78AF" w:rsidRPr="00E45751">
        <w:rPr>
          <w:rFonts w:asciiTheme="majorHAnsi" w:hAnsiTheme="majorHAnsi" w:cstheme="majorHAnsi"/>
          <w:sz w:val="22"/>
          <w:lang w:val="en-GB"/>
        </w:rPr>
        <w:t xml:space="preserve"> </w:t>
      </w:r>
      <w:r w:rsidR="00E635FF" w:rsidRPr="00E45751">
        <w:rPr>
          <w:rFonts w:asciiTheme="majorHAnsi" w:hAnsiTheme="majorHAnsi" w:cstheme="majorHAnsi"/>
          <w:sz w:val="22"/>
          <w:lang w:val="en-GB"/>
        </w:rPr>
        <w:t xml:space="preserve">is an </w:t>
      </w:r>
      <w:proofErr w:type="gramStart"/>
      <w:r w:rsidR="00E635FF" w:rsidRPr="00E45751">
        <w:rPr>
          <w:rFonts w:asciiTheme="majorHAnsi" w:hAnsiTheme="majorHAnsi" w:cstheme="majorHAnsi"/>
          <w:sz w:val="22"/>
          <w:lang w:val="en-GB"/>
        </w:rPr>
        <w:t>often forgotten</w:t>
      </w:r>
      <w:proofErr w:type="gramEnd"/>
      <w:r w:rsidR="00E635FF" w:rsidRPr="00E45751">
        <w:rPr>
          <w:rFonts w:asciiTheme="majorHAnsi" w:hAnsiTheme="majorHAnsi" w:cstheme="majorHAnsi"/>
          <w:sz w:val="22"/>
          <w:lang w:val="en-GB"/>
        </w:rPr>
        <w:t xml:space="preserve"> part of organising and increasing international mobility. </w:t>
      </w:r>
      <w:r w:rsidR="00E635FF" w:rsidRPr="00E45751">
        <w:rPr>
          <w:rFonts w:asciiTheme="majorHAnsi" w:hAnsiTheme="majorHAnsi" w:cstheme="majorHAnsi"/>
          <w:b/>
          <w:sz w:val="22"/>
          <w:lang w:val="en-GB"/>
        </w:rPr>
        <w:t>Involving corporations in development of mobility</w:t>
      </w:r>
      <w:r w:rsidR="00E635FF" w:rsidRPr="00E45751">
        <w:rPr>
          <w:rFonts w:asciiTheme="majorHAnsi" w:hAnsiTheme="majorHAnsi" w:cstheme="majorHAnsi"/>
          <w:sz w:val="22"/>
          <w:lang w:val="en-GB"/>
        </w:rPr>
        <w:t xml:space="preserve">, for example, is paramount, as they can promote HEIs abroad and provide internships </w:t>
      </w:r>
      <w:r w:rsidR="000A05C7" w:rsidRPr="00E45751">
        <w:rPr>
          <w:rFonts w:asciiTheme="majorHAnsi" w:hAnsiTheme="majorHAnsi" w:cstheme="majorHAnsi"/>
          <w:sz w:val="22"/>
          <w:lang w:val="en-GB"/>
        </w:rPr>
        <w:t xml:space="preserve">and jobs </w:t>
      </w:r>
      <w:r w:rsidR="00E635FF" w:rsidRPr="00E45751">
        <w:rPr>
          <w:rFonts w:asciiTheme="majorHAnsi" w:hAnsiTheme="majorHAnsi" w:cstheme="majorHAnsi"/>
          <w:sz w:val="22"/>
          <w:lang w:val="en-GB"/>
        </w:rPr>
        <w:t>for international students that wish to stay in the host country.</w:t>
      </w:r>
      <w:r w:rsidR="000A05C7" w:rsidRPr="00E45751">
        <w:rPr>
          <w:rFonts w:asciiTheme="majorHAnsi" w:hAnsiTheme="majorHAnsi" w:cstheme="majorHAnsi"/>
          <w:sz w:val="22"/>
          <w:lang w:val="en-GB"/>
        </w:rPr>
        <w:t xml:space="preserve"> This involvement can be included in organisation of international student mobility, both at the national and institutional levels.</w:t>
      </w:r>
    </w:p>
    <w:p w14:paraId="00D705AB" w14:textId="77777777" w:rsidR="00FC02F2" w:rsidRPr="00E45751" w:rsidRDefault="00FC02F2" w:rsidP="00216257">
      <w:pPr>
        <w:spacing w:after="120"/>
        <w:jc w:val="both"/>
        <w:rPr>
          <w:rFonts w:asciiTheme="majorHAnsi" w:hAnsiTheme="majorHAnsi" w:cstheme="majorHAnsi"/>
          <w:sz w:val="22"/>
          <w:lang w:val="en-GB"/>
        </w:rPr>
      </w:pPr>
    </w:p>
    <w:p w14:paraId="6821AC01" w14:textId="5EFF342E" w:rsidR="005B276D" w:rsidRPr="00E45751" w:rsidRDefault="005B276D" w:rsidP="001113F4">
      <w:pPr>
        <w:pStyle w:val="Heading2"/>
        <w:numPr>
          <w:ilvl w:val="1"/>
          <w:numId w:val="46"/>
        </w:numPr>
        <w:spacing w:after="120"/>
        <w:jc w:val="both"/>
        <w:rPr>
          <w:rFonts w:cstheme="majorHAnsi"/>
          <w:lang w:val="en-GB"/>
        </w:rPr>
      </w:pPr>
      <w:bookmarkStart w:id="33" w:name="_Toc416471900"/>
      <w:r w:rsidRPr="00E45751">
        <w:rPr>
          <w:rFonts w:cstheme="majorHAnsi"/>
          <w:lang w:val="en-GB"/>
        </w:rPr>
        <w:t>Quality of mobility</w:t>
      </w:r>
      <w:r w:rsidR="008221AE" w:rsidRPr="00E45751">
        <w:rPr>
          <w:rFonts w:cstheme="majorHAnsi"/>
          <w:lang w:val="en-GB"/>
        </w:rPr>
        <w:t>, a global request</w:t>
      </w:r>
      <w:bookmarkEnd w:id="33"/>
    </w:p>
    <w:p w14:paraId="2D5B1728" w14:textId="293AA120" w:rsidR="008A0C91" w:rsidRPr="00E45751" w:rsidRDefault="00D226F0"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As mentioned above, another facet in government involvement in internationalisation is its responsibility to ensure the quality of HE, as well as international recognition of this quality. HEIs must represent the nation, and the quality of a country’s educational institutions supports its international credibility.</w:t>
      </w:r>
      <w:r w:rsidRPr="00E45751">
        <w:rPr>
          <w:rStyle w:val="FootnoteReference"/>
          <w:rFonts w:asciiTheme="majorHAnsi" w:hAnsiTheme="majorHAnsi" w:cstheme="majorHAnsi"/>
          <w:sz w:val="22"/>
          <w:lang w:val="en-GB"/>
        </w:rPr>
        <w:footnoteReference w:id="26"/>
      </w:r>
      <w:r w:rsidR="00E97A8E" w:rsidRPr="00E45751">
        <w:rPr>
          <w:rFonts w:asciiTheme="majorHAnsi" w:hAnsiTheme="majorHAnsi" w:cstheme="majorHAnsi"/>
          <w:sz w:val="22"/>
          <w:lang w:val="en-GB"/>
        </w:rPr>
        <w:t xml:space="preserve"> Successful internationalisation efforts include an assurance of quality.</w:t>
      </w:r>
    </w:p>
    <w:p w14:paraId="1771EA0D" w14:textId="73066020" w:rsidR="00D226F0" w:rsidRPr="00E45751" w:rsidRDefault="00D226F0"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Quality Assurance</w:t>
      </w:r>
      <w:r w:rsidR="00481229" w:rsidRPr="00E45751">
        <w:rPr>
          <w:rFonts w:asciiTheme="majorHAnsi" w:hAnsiTheme="majorHAnsi" w:cstheme="majorHAnsi"/>
          <w:sz w:val="22"/>
          <w:lang w:val="en-GB"/>
        </w:rPr>
        <w:t xml:space="preserve"> (QA)</w:t>
      </w:r>
      <w:r w:rsidRPr="00E45751">
        <w:rPr>
          <w:rFonts w:asciiTheme="majorHAnsi" w:hAnsiTheme="majorHAnsi" w:cstheme="majorHAnsi"/>
          <w:sz w:val="22"/>
          <w:lang w:val="en-GB"/>
        </w:rPr>
        <w:t xml:space="preserve"> in HE plays several roles. Most importantly, it reassures incoming students and their sending institutions that the host institution subscribes to certain international </w:t>
      </w:r>
      <w:r w:rsidR="00C82D7B" w:rsidRPr="00E45751">
        <w:rPr>
          <w:rFonts w:asciiTheme="majorHAnsi" w:hAnsiTheme="majorHAnsi" w:cstheme="majorHAnsi"/>
          <w:sz w:val="22"/>
          <w:lang w:val="en-GB"/>
        </w:rPr>
        <w:t>standards. Without this assurance, international mo</w:t>
      </w:r>
      <w:r w:rsidR="00481229" w:rsidRPr="00E45751">
        <w:rPr>
          <w:rFonts w:asciiTheme="majorHAnsi" w:hAnsiTheme="majorHAnsi" w:cstheme="majorHAnsi"/>
          <w:sz w:val="22"/>
          <w:lang w:val="en-GB"/>
        </w:rPr>
        <w:t>bility is severely handicapped. QA also has an ethical dimension that assures a certain level of integrity and further inspires the confidence of incoming international students.</w:t>
      </w:r>
    </w:p>
    <w:p w14:paraId="337A39C1" w14:textId="4E652256" w:rsidR="00481229" w:rsidRPr="00E45751" w:rsidRDefault="00481229"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The European Standards and Guidelines (ESG), which European HEIs must comply with, provide an example of guidelines for HEIs and QA bodies that can increase attractiveness of the HE system and of individual HEIs. They include the following principles:</w:t>
      </w:r>
      <w:r w:rsidR="00B86456" w:rsidRPr="00E45751">
        <w:rPr>
          <w:rStyle w:val="FootnoteReference"/>
          <w:rFonts w:asciiTheme="majorHAnsi" w:hAnsiTheme="majorHAnsi" w:cstheme="majorHAnsi"/>
          <w:sz w:val="22"/>
          <w:lang w:val="en-GB"/>
        </w:rPr>
        <w:footnoteReference w:id="27"/>
      </w:r>
    </w:p>
    <w:p w14:paraId="5640B669" w14:textId="6599816A" w:rsidR="00481229" w:rsidRPr="00E45751" w:rsidRDefault="00481229" w:rsidP="00216257">
      <w:pPr>
        <w:numPr>
          <w:ilvl w:val="0"/>
          <w:numId w:val="27"/>
        </w:numPr>
        <w:jc w:val="both"/>
        <w:rPr>
          <w:rFonts w:asciiTheme="majorHAnsi" w:hAnsiTheme="majorHAnsi" w:cstheme="majorHAnsi"/>
          <w:sz w:val="22"/>
          <w:lang w:val="en-GB"/>
        </w:rPr>
      </w:pPr>
      <w:r w:rsidRPr="00E45751">
        <w:rPr>
          <w:rFonts w:asciiTheme="majorHAnsi" w:hAnsiTheme="majorHAnsi" w:cstheme="majorHAnsi"/>
          <w:sz w:val="22"/>
          <w:lang w:val="en-GB"/>
        </w:rPr>
        <w:t>Having a publicly available policy for quality assurance</w:t>
      </w:r>
    </w:p>
    <w:p w14:paraId="4C12DCB7" w14:textId="0D66679A" w:rsidR="00481229" w:rsidRPr="00E45751" w:rsidRDefault="00481229" w:rsidP="00216257">
      <w:pPr>
        <w:numPr>
          <w:ilvl w:val="0"/>
          <w:numId w:val="27"/>
        </w:numPr>
        <w:jc w:val="both"/>
        <w:rPr>
          <w:rFonts w:asciiTheme="majorHAnsi" w:hAnsiTheme="majorHAnsi" w:cstheme="majorHAnsi"/>
          <w:sz w:val="22"/>
          <w:lang w:val="en-GB"/>
        </w:rPr>
      </w:pPr>
      <w:r w:rsidRPr="00E45751">
        <w:rPr>
          <w:rFonts w:asciiTheme="majorHAnsi" w:hAnsiTheme="majorHAnsi" w:cstheme="majorHAnsi"/>
          <w:sz w:val="22"/>
          <w:lang w:val="en-GB"/>
        </w:rPr>
        <w:t>Having defined processes for design and approval of programmes</w:t>
      </w:r>
    </w:p>
    <w:p w14:paraId="0AAA3D0A" w14:textId="5FF12BD5" w:rsidR="00481229" w:rsidRPr="00E45751" w:rsidRDefault="00481229" w:rsidP="00216257">
      <w:pPr>
        <w:numPr>
          <w:ilvl w:val="0"/>
          <w:numId w:val="27"/>
        </w:numPr>
        <w:jc w:val="both"/>
        <w:rPr>
          <w:rFonts w:asciiTheme="majorHAnsi" w:hAnsiTheme="majorHAnsi" w:cstheme="majorHAnsi"/>
          <w:sz w:val="22"/>
          <w:lang w:val="en-GB"/>
        </w:rPr>
      </w:pPr>
      <w:r w:rsidRPr="00E45751">
        <w:rPr>
          <w:rFonts w:asciiTheme="majorHAnsi" w:hAnsiTheme="majorHAnsi" w:cstheme="majorHAnsi"/>
          <w:sz w:val="22"/>
          <w:lang w:val="en-GB"/>
        </w:rPr>
        <w:t>Applying pre-defined and published regulations covering all phases of the student “life cycle”</w:t>
      </w:r>
    </w:p>
    <w:p w14:paraId="3FF452F8" w14:textId="55A0779B" w:rsidR="00481229" w:rsidRPr="00E45751" w:rsidRDefault="00481229" w:rsidP="00216257">
      <w:pPr>
        <w:numPr>
          <w:ilvl w:val="0"/>
          <w:numId w:val="27"/>
        </w:numPr>
        <w:jc w:val="both"/>
        <w:rPr>
          <w:rFonts w:asciiTheme="majorHAnsi" w:hAnsiTheme="majorHAnsi" w:cstheme="majorHAnsi"/>
          <w:sz w:val="22"/>
          <w:lang w:val="en-GB"/>
        </w:rPr>
      </w:pPr>
      <w:r w:rsidRPr="00E45751">
        <w:rPr>
          <w:rFonts w:asciiTheme="majorHAnsi" w:hAnsiTheme="majorHAnsi" w:cstheme="majorHAnsi"/>
          <w:sz w:val="22"/>
          <w:lang w:val="en-GB"/>
        </w:rPr>
        <w:t>Ensuring fair and transparent processes for the recruitment and development of staff</w:t>
      </w:r>
    </w:p>
    <w:p w14:paraId="1B1FBFA0" w14:textId="32DB38E4" w:rsidR="00481229" w:rsidRPr="00E45751" w:rsidRDefault="00481229" w:rsidP="00216257">
      <w:pPr>
        <w:numPr>
          <w:ilvl w:val="0"/>
          <w:numId w:val="27"/>
        </w:numPr>
        <w:jc w:val="both"/>
        <w:rPr>
          <w:rFonts w:asciiTheme="majorHAnsi" w:hAnsiTheme="majorHAnsi" w:cstheme="majorHAnsi"/>
          <w:sz w:val="22"/>
          <w:lang w:val="en-GB"/>
        </w:rPr>
      </w:pPr>
      <w:r w:rsidRPr="00E45751">
        <w:rPr>
          <w:rFonts w:asciiTheme="majorHAnsi" w:hAnsiTheme="majorHAnsi" w:cstheme="majorHAnsi"/>
          <w:sz w:val="22"/>
          <w:lang w:val="en-GB"/>
        </w:rPr>
        <w:t>Publishing information about their activities, including programmes, which is clear, accurate, objective, up-to date and readily accessible</w:t>
      </w:r>
    </w:p>
    <w:p w14:paraId="79D33322" w14:textId="74D3F345" w:rsidR="00D226F0" w:rsidRPr="00E45751" w:rsidRDefault="00481229" w:rsidP="00216257">
      <w:pPr>
        <w:numPr>
          <w:ilvl w:val="0"/>
          <w:numId w:val="27"/>
        </w:numPr>
        <w:spacing w:after="120"/>
        <w:jc w:val="both"/>
        <w:rPr>
          <w:rFonts w:asciiTheme="majorHAnsi" w:hAnsiTheme="majorHAnsi" w:cstheme="majorHAnsi"/>
          <w:sz w:val="22"/>
          <w:lang w:val="en-GB"/>
        </w:rPr>
      </w:pPr>
      <w:r w:rsidRPr="00E45751">
        <w:rPr>
          <w:rFonts w:asciiTheme="majorHAnsi" w:hAnsiTheme="majorHAnsi" w:cstheme="majorHAnsi"/>
          <w:sz w:val="22"/>
          <w:lang w:val="en-GB"/>
        </w:rPr>
        <w:t>Monitoring and periodically reviewing their programmes to ensure that they achieve the objectives set for them</w:t>
      </w:r>
    </w:p>
    <w:p w14:paraId="0711E513" w14:textId="0AF219B2" w:rsidR="00481229" w:rsidRPr="00E45751" w:rsidRDefault="006B0A60"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Having a </w:t>
      </w:r>
      <w:r w:rsidRPr="00E45751">
        <w:rPr>
          <w:rFonts w:asciiTheme="majorHAnsi" w:hAnsiTheme="majorHAnsi" w:cstheme="majorHAnsi"/>
          <w:b/>
          <w:sz w:val="22"/>
          <w:lang w:val="en-GB"/>
        </w:rPr>
        <w:t>national QA body that can provide external quality assurance to HEIs</w:t>
      </w:r>
      <w:r w:rsidRPr="00E45751">
        <w:rPr>
          <w:rFonts w:asciiTheme="majorHAnsi" w:hAnsiTheme="majorHAnsi" w:cstheme="majorHAnsi"/>
          <w:sz w:val="22"/>
          <w:lang w:val="en-GB"/>
        </w:rPr>
        <w:t xml:space="preserve"> is </w:t>
      </w:r>
      <w:r w:rsidR="00B86456" w:rsidRPr="00E45751">
        <w:rPr>
          <w:rFonts w:asciiTheme="majorHAnsi" w:hAnsiTheme="majorHAnsi" w:cstheme="majorHAnsi"/>
          <w:sz w:val="22"/>
          <w:lang w:val="en-GB"/>
        </w:rPr>
        <w:t xml:space="preserve">as important to increasing attractiveness as a </w:t>
      </w:r>
      <w:r w:rsidR="00B86456" w:rsidRPr="00E45751">
        <w:rPr>
          <w:rFonts w:asciiTheme="majorHAnsi" w:hAnsiTheme="majorHAnsi" w:cstheme="majorHAnsi"/>
          <w:b/>
          <w:sz w:val="22"/>
          <w:lang w:val="en-GB"/>
        </w:rPr>
        <w:t>robust internal quality assurance system within HEIs</w:t>
      </w:r>
      <w:r w:rsidR="00B86456" w:rsidRPr="00E45751">
        <w:rPr>
          <w:rFonts w:asciiTheme="majorHAnsi" w:hAnsiTheme="majorHAnsi" w:cstheme="majorHAnsi"/>
          <w:sz w:val="22"/>
          <w:lang w:val="en-GB"/>
        </w:rPr>
        <w:t xml:space="preserve">. Both external and internal QA should </w:t>
      </w:r>
      <w:r w:rsidR="00B86456" w:rsidRPr="00E45751">
        <w:rPr>
          <w:rFonts w:asciiTheme="majorHAnsi" w:hAnsiTheme="majorHAnsi" w:cstheme="majorHAnsi"/>
          <w:b/>
          <w:sz w:val="22"/>
          <w:lang w:val="en-GB"/>
        </w:rPr>
        <w:t>follow internationally accepted guidelines</w:t>
      </w:r>
      <w:r w:rsidR="00B86456" w:rsidRPr="00E45751">
        <w:rPr>
          <w:rFonts w:asciiTheme="majorHAnsi" w:hAnsiTheme="majorHAnsi" w:cstheme="majorHAnsi"/>
          <w:sz w:val="22"/>
          <w:lang w:val="en-GB"/>
        </w:rPr>
        <w:t xml:space="preserve"> </w:t>
      </w:r>
      <w:proofErr w:type="gramStart"/>
      <w:r w:rsidR="00B86456" w:rsidRPr="00E45751">
        <w:rPr>
          <w:rFonts w:asciiTheme="majorHAnsi" w:hAnsiTheme="majorHAnsi" w:cstheme="majorHAnsi"/>
          <w:sz w:val="22"/>
          <w:lang w:val="en-GB"/>
        </w:rPr>
        <w:t>in order to</w:t>
      </w:r>
      <w:proofErr w:type="gramEnd"/>
      <w:r w:rsidR="00B86456" w:rsidRPr="00E45751">
        <w:rPr>
          <w:rFonts w:asciiTheme="majorHAnsi" w:hAnsiTheme="majorHAnsi" w:cstheme="majorHAnsi"/>
          <w:sz w:val="22"/>
          <w:lang w:val="en-GB"/>
        </w:rPr>
        <w:t xml:space="preserve"> be recognized as legitimate.</w:t>
      </w:r>
    </w:p>
    <w:p w14:paraId="27546363" w14:textId="31405EA2" w:rsidR="00DC55C8" w:rsidRPr="00E45751" w:rsidRDefault="00B86456" w:rsidP="00216257">
      <w:pPr>
        <w:spacing w:after="120"/>
        <w:jc w:val="both"/>
        <w:rPr>
          <w:rFonts w:asciiTheme="majorHAnsi" w:hAnsiTheme="majorHAnsi" w:cstheme="majorHAnsi"/>
          <w:sz w:val="22"/>
          <w:lang w:val="en-GB"/>
        </w:rPr>
      </w:pPr>
      <w:r w:rsidRPr="00E45751">
        <w:rPr>
          <w:rFonts w:asciiTheme="majorHAnsi" w:hAnsiTheme="majorHAnsi" w:cstheme="majorHAnsi"/>
          <w:b/>
          <w:sz w:val="22"/>
          <w:lang w:val="en-GB"/>
        </w:rPr>
        <w:t xml:space="preserve">Membership in international accreditation networks </w:t>
      </w:r>
      <w:r w:rsidRPr="00E45751">
        <w:rPr>
          <w:rFonts w:asciiTheme="majorHAnsi" w:hAnsiTheme="majorHAnsi" w:cstheme="majorHAnsi"/>
          <w:sz w:val="22"/>
          <w:lang w:val="en-GB"/>
        </w:rPr>
        <w:t xml:space="preserve">can further increase attractiveness of HEIs by </w:t>
      </w:r>
      <w:r w:rsidRPr="00E45751">
        <w:rPr>
          <w:rFonts w:asciiTheme="majorHAnsi" w:hAnsiTheme="majorHAnsi" w:cstheme="majorHAnsi"/>
          <w:b/>
          <w:sz w:val="22"/>
          <w:lang w:val="en-GB"/>
        </w:rPr>
        <w:t>augmenting their legitimacy on the international stage</w:t>
      </w:r>
      <w:r w:rsidRPr="00E45751">
        <w:rPr>
          <w:rFonts w:asciiTheme="majorHAnsi" w:hAnsiTheme="majorHAnsi" w:cstheme="majorHAnsi"/>
          <w:sz w:val="22"/>
          <w:lang w:val="en-GB"/>
        </w:rPr>
        <w:t>. Adhering to internationalisation standards defi</w:t>
      </w:r>
      <w:r w:rsidR="00DC55C8" w:rsidRPr="00E45751">
        <w:rPr>
          <w:rFonts w:asciiTheme="majorHAnsi" w:hAnsiTheme="majorHAnsi" w:cstheme="majorHAnsi"/>
          <w:sz w:val="22"/>
          <w:lang w:val="en-GB"/>
        </w:rPr>
        <w:t>ned by these networks increases</w:t>
      </w:r>
      <w:r w:rsidRPr="00E45751">
        <w:rPr>
          <w:rFonts w:asciiTheme="majorHAnsi" w:hAnsiTheme="majorHAnsi" w:cstheme="majorHAnsi"/>
          <w:sz w:val="22"/>
          <w:lang w:val="en-GB"/>
        </w:rPr>
        <w:t xml:space="preserve"> attractiveness of HEIs by ensuring a certain quality of </w:t>
      </w:r>
      <w:r w:rsidR="00DC55C8" w:rsidRPr="00E45751">
        <w:rPr>
          <w:rFonts w:asciiTheme="majorHAnsi" w:hAnsiTheme="majorHAnsi" w:cstheme="majorHAnsi"/>
          <w:sz w:val="22"/>
          <w:lang w:val="en-GB"/>
        </w:rPr>
        <w:t>educational services.</w:t>
      </w:r>
    </w:p>
    <w:p w14:paraId="4E9941F5" w14:textId="1E3BC91C" w:rsidR="00FE2970" w:rsidRDefault="00DC55C8"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Accreditation bodies such as the European Consortium for Accreditation (ECA) have contributed to the quantification of quality in internationalisation. In partnership with the Accreditation Organisation of the Netherlands and Flanders (NVAO), the ECA developed the </w:t>
      </w:r>
      <w:r w:rsidRPr="00E45751">
        <w:rPr>
          <w:rFonts w:asciiTheme="majorHAnsi" w:hAnsiTheme="majorHAnsi" w:cstheme="majorHAnsi"/>
          <w:b/>
          <w:sz w:val="22"/>
          <w:lang w:val="en-GB"/>
        </w:rPr>
        <w:t>Certificate for Quality in Internationalisation (</w:t>
      </w:r>
      <w:proofErr w:type="spellStart"/>
      <w:r w:rsidRPr="00E45751">
        <w:rPr>
          <w:rFonts w:asciiTheme="majorHAnsi" w:hAnsiTheme="majorHAnsi" w:cstheme="majorHAnsi"/>
          <w:b/>
          <w:sz w:val="22"/>
          <w:lang w:val="en-GB"/>
        </w:rPr>
        <w:t>CeQuInt</w:t>
      </w:r>
      <w:proofErr w:type="spellEnd"/>
      <w:r w:rsidRPr="00E45751">
        <w:rPr>
          <w:rFonts w:asciiTheme="majorHAnsi" w:hAnsiTheme="majorHAnsi" w:cstheme="majorHAnsi"/>
          <w:b/>
          <w:sz w:val="22"/>
          <w:lang w:val="en-GB"/>
        </w:rPr>
        <w:t>)</w:t>
      </w:r>
      <w:r w:rsidRPr="00E45751">
        <w:rPr>
          <w:rFonts w:asciiTheme="majorHAnsi" w:hAnsiTheme="majorHAnsi" w:cstheme="majorHAnsi"/>
          <w:sz w:val="22"/>
          <w:lang w:val="en-GB"/>
        </w:rPr>
        <w:t xml:space="preserve">, which determines quality of internationalisation at the programme or </w:t>
      </w:r>
      <w:r w:rsidRPr="00E45751">
        <w:rPr>
          <w:rFonts w:asciiTheme="majorHAnsi" w:hAnsiTheme="majorHAnsi" w:cstheme="majorHAnsi"/>
          <w:sz w:val="22"/>
          <w:lang w:val="en-GB"/>
        </w:rPr>
        <w:lastRenderedPageBreak/>
        <w:t>institutional level.</w:t>
      </w:r>
      <w:r w:rsidRPr="00E45751">
        <w:rPr>
          <w:rFonts w:asciiTheme="majorHAnsi" w:hAnsiTheme="majorHAnsi" w:cstheme="majorHAnsi"/>
          <w:sz w:val="22"/>
          <w:vertAlign w:val="superscript"/>
          <w:lang w:val="en-GB"/>
        </w:rPr>
        <w:footnoteReference w:id="28"/>
      </w:r>
      <w:r w:rsidRPr="00E45751">
        <w:rPr>
          <w:rFonts w:asciiTheme="majorHAnsi" w:hAnsiTheme="majorHAnsi" w:cstheme="majorHAnsi"/>
          <w:sz w:val="22"/>
          <w:lang w:val="en-GB"/>
        </w:rPr>
        <w:t xml:space="preserve"> Receiving this certificate</w:t>
      </w:r>
      <w:r w:rsidR="00340861" w:rsidRPr="00E45751">
        <w:rPr>
          <w:rFonts w:asciiTheme="majorHAnsi" w:hAnsiTheme="majorHAnsi" w:cstheme="majorHAnsi"/>
          <w:sz w:val="22"/>
          <w:lang w:val="en-GB"/>
        </w:rPr>
        <w:t xml:space="preserve"> (or a similar international accreditation)</w:t>
      </w:r>
      <w:r w:rsidRPr="00E45751">
        <w:rPr>
          <w:rFonts w:asciiTheme="majorHAnsi" w:hAnsiTheme="majorHAnsi" w:cstheme="majorHAnsi"/>
          <w:sz w:val="22"/>
          <w:lang w:val="en-GB"/>
        </w:rPr>
        <w:t xml:space="preserve"> </w:t>
      </w:r>
      <w:r w:rsidR="00C4787D" w:rsidRPr="00E45751">
        <w:rPr>
          <w:rFonts w:asciiTheme="majorHAnsi" w:hAnsiTheme="majorHAnsi" w:cstheme="majorHAnsi"/>
          <w:sz w:val="22"/>
          <w:lang w:val="en-GB"/>
        </w:rPr>
        <w:t>acts as a stamp of approval that assures international students will receive a certain level of education and educational services, automatically increasing the attractiveness of an HEI.</w:t>
      </w:r>
    </w:p>
    <w:p w14:paraId="5D7A05F7" w14:textId="4F9C06BA" w:rsidR="003A4F1D" w:rsidRPr="009F1CB5" w:rsidRDefault="003A4F1D" w:rsidP="00216257">
      <w:pPr>
        <w:spacing w:after="120"/>
        <w:jc w:val="both"/>
        <w:rPr>
          <w:rFonts w:asciiTheme="majorHAnsi" w:hAnsiTheme="majorHAnsi" w:cstheme="majorHAnsi"/>
          <w:sz w:val="22"/>
        </w:rPr>
      </w:pPr>
      <w:r>
        <w:rPr>
          <w:rFonts w:asciiTheme="majorHAnsi" w:hAnsiTheme="majorHAnsi" w:cstheme="majorHAnsi"/>
          <w:sz w:val="22"/>
          <w:lang w:val="en-GB"/>
        </w:rPr>
        <w:t xml:space="preserve">Finally, the development of </w:t>
      </w:r>
      <w:r w:rsidRPr="009F1CB5">
        <w:rPr>
          <w:rFonts w:asciiTheme="majorHAnsi" w:hAnsiTheme="majorHAnsi" w:cstheme="majorHAnsi"/>
          <w:b/>
          <w:sz w:val="22"/>
          <w:lang w:val="en-GB"/>
        </w:rPr>
        <w:t>regional QA frameworks</w:t>
      </w:r>
      <w:r>
        <w:rPr>
          <w:rFonts w:asciiTheme="majorHAnsi" w:hAnsiTheme="majorHAnsi" w:cstheme="majorHAnsi"/>
          <w:sz w:val="22"/>
          <w:lang w:val="en-GB"/>
        </w:rPr>
        <w:t xml:space="preserve"> allows the definition, application and certification of standards across countries that may have varying national </w:t>
      </w:r>
      <w:r w:rsidR="009F1CB5">
        <w:rPr>
          <w:rFonts w:asciiTheme="majorHAnsi" w:hAnsiTheme="majorHAnsi" w:cstheme="majorHAnsi"/>
          <w:sz w:val="22"/>
          <w:lang w:val="en-GB"/>
        </w:rPr>
        <w:t>criteria. QA of joint programmes between countries with different standards makes credit transfer and degree recognition difficult and cumbersome, and developing a regional framework with significant partners increases attractiveness for stude</w:t>
      </w:r>
      <w:r w:rsidR="009F1CB5" w:rsidRPr="009F1CB5">
        <w:rPr>
          <w:rFonts w:asciiTheme="majorHAnsi" w:hAnsiTheme="majorHAnsi" w:cstheme="majorHAnsi"/>
          <w:sz w:val="22"/>
          <w:lang w:val="en-GB"/>
        </w:rPr>
        <w:t>nts by decreasing this burden. The European Approach for Quality Assurance of Joint Programmes</w:t>
      </w:r>
      <w:r w:rsidR="009F1CB5">
        <w:rPr>
          <w:rFonts w:asciiTheme="majorHAnsi" w:hAnsiTheme="majorHAnsi" w:cstheme="majorHAnsi"/>
          <w:sz w:val="22"/>
          <w:lang w:val="en-GB"/>
        </w:rPr>
        <w:t xml:space="preserve">, approved in 2015 by EHEA Ministers, developed </w:t>
      </w:r>
      <w:r w:rsidR="009F1CB5" w:rsidRPr="009F1CB5">
        <w:rPr>
          <w:rFonts w:asciiTheme="majorHAnsi" w:hAnsiTheme="majorHAnsi" w:cstheme="majorHAnsi"/>
          <w:b/>
          <w:sz w:val="22"/>
          <w:lang w:val="en-GB"/>
        </w:rPr>
        <w:t>European accreditation for joint programmes</w:t>
      </w:r>
      <w:r w:rsidR="009F1CB5">
        <w:rPr>
          <w:rFonts w:asciiTheme="majorHAnsi" w:hAnsiTheme="majorHAnsi" w:cstheme="majorHAnsi"/>
          <w:sz w:val="22"/>
          <w:lang w:val="en-GB"/>
        </w:rPr>
        <w:t xml:space="preserve"> and therefore facilitates international student exchange.</w:t>
      </w:r>
      <w:r w:rsidR="009F1CB5">
        <w:rPr>
          <w:rStyle w:val="FootnoteReference"/>
          <w:rFonts w:asciiTheme="majorHAnsi" w:hAnsiTheme="majorHAnsi" w:cstheme="majorHAnsi"/>
          <w:sz w:val="22"/>
          <w:lang w:val="en-GB"/>
        </w:rPr>
        <w:footnoteReference w:id="29"/>
      </w:r>
    </w:p>
    <w:p w14:paraId="49964C49" w14:textId="6C81D0C5" w:rsidR="001076DE" w:rsidRDefault="009F1CB5" w:rsidP="00216257">
      <w:pPr>
        <w:spacing w:after="120"/>
        <w:jc w:val="both"/>
        <w:rPr>
          <w:rFonts w:asciiTheme="majorHAnsi" w:hAnsiTheme="majorHAnsi" w:cstheme="majorHAnsi"/>
          <w:sz w:val="22"/>
          <w:lang w:val="en-GB"/>
        </w:rPr>
      </w:pPr>
      <w:r>
        <w:rPr>
          <w:rFonts w:asciiTheme="majorHAnsi" w:hAnsiTheme="majorHAnsi" w:cstheme="majorHAnsi"/>
          <w:sz w:val="22"/>
          <w:lang w:val="en-GB"/>
        </w:rPr>
        <w:t>Additionally, r</w:t>
      </w:r>
      <w:r w:rsidR="001076DE" w:rsidRPr="00E45751">
        <w:rPr>
          <w:rFonts w:asciiTheme="majorHAnsi" w:hAnsiTheme="majorHAnsi" w:cstheme="majorHAnsi"/>
          <w:sz w:val="22"/>
          <w:lang w:val="en-GB"/>
        </w:rPr>
        <w:t>ecent developments aimed at adapting ESG to the specifici</w:t>
      </w:r>
      <w:r w:rsidR="00010DFB">
        <w:rPr>
          <w:rFonts w:asciiTheme="majorHAnsi" w:hAnsiTheme="majorHAnsi" w:cstheme="majorHAnsi"/>
          <w:sz w:val="22"/>
          <w:lang w:val="en-GB"/>
        </w:rPr>
        <w:t>ties of internationalisation are</w:t>
      </w:r>
      <w:r w:rsidR="001076DE" w:rsidRPr="00E45751">
        <w:rPr>
          <w:rFonts w:asciiTheme="majorHAnsi" w:hAnsiTheme="majorHAnsi" w:cstheme="majorHAnsi"/>
          <w:sz w:val="22"/>
          <w:lang w:val="en-GB"/>
        </w:rPr>
        <w:t xml:space="preserve"> featured below. </w:t>
      </w:r>
    </w:p>
    <w:p w14:paraId="6E1F9183" w14:textId="20D89417" w:rsidR="00010DFB" w:rsidRPr="00E45751" w:rsidRDefault="00010DFB" w:rsidP="00216257">
      <w:pPr>
        <w:spacing w:after="120"/>
        <w:jc w:val="both"/>
        <w:rPr>
          <w:rFonts w:asciiTheme="majorHAnsi" w:hAnsiTheme="majorHAnsi" w:cstheme="majorHAnsi"/>
          <w:sz w:val="22"/>
          <w:lang w:val="en-GB"/>
        </w:rPr>
      </w:pPr>
    </w:p>
    <w:p w14:paraId="3A74106E" w14:textId="006B0C3A" w:rsidR="001076DE" w:rsidRPr="00E45751" w:rsidRDefault="009F1CB5" w:rsidP="00216257">
      <w:pPr>
        <w:shd w:val="clear" w:color="auto" w:fill="FDE9D9" w:themeFill="accent6" w:themeFillTint="33"/>
        <w:spacing w:after="120"/>
        <w:ind w:left="851"/>
        <w:jc w:val="both"/>
        <w:rPr>
          <w:rFonts w:asciiTheme="majorHAnsi" w:hAnsiTheme="majorHAnsi" w:cstheme="majorHAnsi"/>
          <w:b/>
          <w:bCs/>
          <w:sz w:val="22"/>
          <w:lang w:val="en-GB"/>
        </w:rPr>
      </w:pPr>
      <w:r w:rsidRPr="00E45751">
        <w:rPr>
          <w:rFonts w:asciiTheme="majorHAnsi" w:hAnsiTheme="majorHAnsi" w:cstheme="majorHAnsi"/>
          <w:b/>
          <w:bCs/>
          <w:noProof/>
          <w:sz w:val="22"/>
        </w:rPr>
        <w:drawing>
          <wp:anchor distT="0" distB="0" distL="114300" distR="114300" simplePos="0" relativeHeight="251658240" behindDoc="0" locked="0" layoutInCell="1" allowOverlap="1" wp14:anchorId="20970449" wp14:editId="013E0F83">
            <wp:simplePos x="0" y="0"/>
            <wp:positionH relativeFrom="margin">
              <wp:posOffset>3879850</wp:posOffset>
            </wp:positionH>
            <wp:positionV relativeFrom="margin">
              <wp:posOffset>1424940</wp:posOffset>
            </wp:positionV>
            <wp:extent cx="1720850" cy="2216150"/>
            <wp:effectExtent l="0" t="0" r="635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3-28 à 08.51.25.png"/>
                    <pic:cNvPicPr/>
                  </pic:nvPicPr>
                  <pic:blipFill>
                    <a:blip r:embed="rId18"/>
                    <a:stretch>
                      <a:fillRect/>
                    </a:stretch>
                  </pic:blipFill>
                  <pic:spPr>
                    <a:xfrm>
                      <a:off x="0" y="0"/>
                      <a:ext cx="1720850" cy="2216150"/>
                    </a:xfrm>
                    <a:prstGeom prst="rect">
                      <a:avLst/>
                    </a:prstGeom>
                  </pic:spPr>
                </pic:pic>
              </a:graphicData>
            </a:graphic>
            <wp14:sizeRelH relativeFrom="margin">
              <wp14:pctWidth>0</wp14:pctWidth>
            </wp14:sizeRelH>
            <wp14:sizeRelV relativeFrom="margin">
              <wp14:pctHeight>0</wp14:pctHeight>
            </wp14:sizeRelV>
          </wp:anchor>
        </w:drawing>
      </w:r>
      <w:r w:rsidR="001076DE" w:rsidRPr="00E45751">
        <w:rPr>
          <w:rFonts w:asciiTheme="majorHAnsi" w:hAnsiTheme="majorHAnsi" w:cstheme="majorHAnsi"/>
          <w:b/>
          <w:bCs/>
          <w:sz w:val="22"/>
          <w:lang w:val="en-GB"/>
        </w:rPr>
        <w:t>Key considerations for cross-border QA</w:t>
      </w:r>
    </w:p>
    <w:p w14:paraId="44481F60" w14:textId="14223C2B" w:rsidR="00751B0E" w:rsidRPr="00E45751" w:rsidRDefault="001076DE" w:rsidP="00216257">
      <w:pPr>
        <w:shd w:val="clear" w:color="auto" w:fill="FDE9D9" w:themeFill="accent6" w:themeFillTint="33"/>
        <w:spacing w:after="120"/>
        <w:ind w:left="851"/>
        <w:jc w:val="both"/>
        <w:rPr>
          <w:rFonts w:asciiTheme="majorHAnsi" w:hAnsiTheme="majorHAnsi" w:cstheme="majorHAnsi"/>
          <w:sz w:val="20"/>
          <w:lang w:val="en-GB"/>
        </w:rPr>
      </w:pPr>
      <w:r w:rsidRPr="00E45751">
        <w:rPr>
          <w:rFonts w:asciiTheme="majorHAnsi" w:hAnsiTheme="majorHAnsi" w:cstheme="majorHAnsi"/>
          <w:sz w:val="20"/>
          <w:lang w:val="en-GB"/>
        </w:rPr>
        <w:t>In 2017, ENQA, ESU, EUA, EURASHE and EQAR set up an ad-hoc working group to develop considerations that would guide stakeholders engaging in cross-border QA. The document aims to provide information and support considering cross-border QA activities for higher education institutions planning to engage in cross-border QA and quality assurance agencies when initiating new procedures across borders. The document may also be a useful reference for governments to review and adapt their legal frameworks to allow for the use of cross-border QA with a suitable EQAR-registered agency for fulfilling requirements of national mandatory QA.</w:t>
      </w:r>
    </w:p>
    <w:p w14:paraId="5F79D0EC" w14:textId="69E9826D" w:rsidR="001076DE" w:rsidRPr="00E45751" w:rsidRDefault="00260AC2" w:rsidP="00216257">
      <w:pPr>
        <w:shd w:val="clear" w:color="auto" w:fill="FDE9D9" w:themeFill="accent6" w:themeFillTint="33"/>
        <w:spacing w:after="120"/>
        <w:ind w:left="851"/>
        <w:jc w:val="both"/>
        <w:rPr>
          <w:rFonts w:asciiTheme="majorHAnsi" w:hAnsiTheme="majorHAnsi" w:cstheme="majorHAnsi"/>
          <w:sz w:val="20"/>
          <w:lang w:val="en-GB"/>
        </w:rPr>
      </w:pPr>
      <w:hyperlink r:id="rId19" w:history="1">
        <w:r w:rsidR="00216257" w:rsidRPr="00E45751">
          <w:rPr>
            <w:rFonts w:asciiTheme="majorHAnsi" w:hAnsiTheme="majorHAnsi" w:cstheme="majorHAnsi"/>
            <w:b/>
            <w:color w:val="4F81BD" w:themeColor="accent1"/>
            <w:sz w:val="20"/>
            <w:lang w:val="en-GB"/>
          </w:rPr>
          <w:t>https://www.eqar.eu/kb/cross-border-qa/key-considerations</w:t>
        </w:r>
      </w:hyperlink>
      <w:r w:rsidR="00216257" w:rsidRPr="00E45751">
        <w:rPr>
          <w:rFonts w:asciiTheme="majorHAnsi" w:hAnsiTheme="majorHAnsi" w:cstheme="majorHAnsi"/>
          <w:sz w:val="20"/>
          <w:lang w:val="en-GB"/>
        </w:rPr>
        <w:t xml:space="preserve">  </w:t>
      </w:r>
      <w:r w:rsidR="001076DE" w:rsidRPr="00E45751">
        <w:rPr>
          <w:rFonts w:asciiTheme="majorHAnsi" w:hAnsiTheme="majorHAnsi" w:cstheme="majorHAnsi"/>
          <w:sz w:val="20"/>
          <w:lang w:val="en-GB"/>
        </w:rPr>
        <w:t xml:space="preserve"> </w:t>
      </w:r>
      <w:r w:rsidR="007E35B8" w:rsidRPr="00E45751">
        <w:rPr>
          <w:rFonts w:asciiTheme="majorHAnsi" w:hAnsiTheme="majorHAnsi" w:cstheme="majorHAnsi"/>
          <w:sz w:val="20"/>
          <w:lang w:val="en-GB"/>
        </w:rPr>
        <w:t xml:space="preserve"> </w:t>
      </w:r>
      <w:r w:rsidR="001076DE" w:rsidRPr="00E45751">
        <w:rPr>
          <w:rFonts w:asciiTheme="majorHAnsi" w:hAnsiTheme="majorHAnsi" w:cstheme="majorHAnsi"/>
          <w:sz w:val="20"/>
          <w:lang w:val="en-GB"/>
        </w:rPr>
        <w:t xml:space="preserve"> </w:t>
      </w:r>
    </w:p>
    <w:p w14:paraId="77865F85" w14:textId="62659543" w:rsidR="001076DE" w:rsidRPr="00E45751" w:rsidRDefault="001076DE" w:rsidP="00216257">
      <w:pPr>
        <w:spacing w:after="120"/>
        <w:jc w:val="both"/>
        <w:rPr>
          <w:rFonts w:asciiTheme="majorHAnsi" w:hAnsiTheme="majorHAnsi" w:cstheme="majorHAnsi"/>
          <w:sz w:val="22"/>
          <w:lang w:val="en-GB"/>
        </w:rPr>
      </w:pPr>
    </w:p>
    <w:p w14:paraId="7B3F822D" w14:textId="5DCBE1E7" w:rsidR="005B276D" w:rsidRPr="00E45751" w:rsidRDefault="005B276D" w:rsidP="001113F4">
      <w:pPr>
        <w:pStyle w:val="Heading2"/>
        <w:numPr>
          <w:ilvl w:val="1"/>
          <w:numId w:val="46"/>
        </w:numPr>
        <w:spacing w:after="120"/>
        <w:jc w:val="both"/>
        <w:rPr>
          <w:rFonts w:cstheme="majorHAnsi"/>
          <w:lang w:val="en-GB"/>
        </w:rPr>
      </w:pPr>
      <w:bookmarkStart w:id="34" w:name="_Toc416471901"/>
      <w:r w:rsidRPr="00E45751">
        <w:rPr>
          <w:rFonts w:cstheme="majorHAnsi"/>
          <w:lang w:val="en-GB"/>
        </w:rPr>
        <w:t>Measuring Mobility</w:t>
      </w:r>
      <w:r w:rsidR="008221AE" w:rsidRPr="00E45751">
        <w:rPr>
          <w:rFonts w:cstheme="majorHAnsi"/>
          <w:lang w:val="en-GB"/>
        </w:rPr>
        <w:t xml:space="preserve"> to ensure effectiveness of internationalisation and safeguard its quality</w:t>
      </w:r>
      <w:bookmarkEnd w:id="34"/>
    </w:p>
    <w:p w14:paraId="711CF5FE" w14:textId="17786422" w:rsidR="00E97A8E" w:rsidRPr="00E45751" w:rsidRDefault="00FD5D5F"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 xml:space="preserve">Finally, </w:t>
      </w:r>
      <w:r w:rsidR="007068CA" w:rsidRPr="00E45751">
        <w:rPr>
          <w:rFonts w:asciiTheme="majorHAnsi" w:hAnsiTheme="majorHAnsi" w:cstheme="majorHAnsi"/>
          <w:sz w:val="22"/>
          <w:lang w:val="en-GB"/>
        </w:rPr>
        <w:t xml:space="preserve">monitoring and evaluation of any internationalisation strategy is a key determinant of successful efforts. Determining effectiveness of the strategy is done primarily through the </w:t>
      </w:r>
      <w:r w:rsidR="007068CA" w:rsidRPr="00E45751">
        <w:rPr>
          <w:rFonts w:asciiTheme="majorHAnsi" w:hAnsiTheme="majorHAnsi" w:cstheme="majorHAnsi"/>
          <w:b/>
          <w:sz w:val="22"/>
          <w:lang w:val="en-GB"/>
        </w:rPr>
        <w:t>definition and measurement of concrete indicators</w:t>
      </w:r>
      <w:r w:rsidR="007068CA" w:rsidRPr="00E45751">
        <w:rPr>
          <w:rFonts w:asciiTheme="majorHAnsi" w:hAnsiTheme="majorHAnsi" w:cstheme="majorHAnsi"/>
          <w:sz w:val="22"/>
          <w:lang w:val="en-GB"/>
        </w:rPr>
        <w:t>.</w:t>
      </w:r>
    </w:p>
    <w:p w14:paraId="1674608A" w14:textId="28C0180D" w:rsidR="0037391F" w:rsidRPr="00E45751" w:rsidRDefault="0037391F"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The International Association of Universities, for example, produces the Global Survey on Internationalization, which includes a list of indicators to measure internationalisation. These include:</w:t>
      </w:r>
      <w:r w:rsidRPr="00E45751">
        <w:rPr>
          <w:rFonts w:asciiTheme="majorHAnsi" w:hAnsiTheme="majorHAnsi" w:cstheme="majorHAnsi"/>
          <w:i/>
          <w:sz w:val="22"/>
          <w:lang w:val="en-GB"/>
        </w:rPr>
        <w:t xml:space="preserve"> internationalisation is mentioned in institutional plan, there is a budgetary allowance for internationalisation and there is a monitoring/evaluation process to oversee progress, </w:t>
      </w:r>
      <w:r w:rsidRPr="00E45751">
        <w:rPr>
          <w:rFonts w:asciiTheme="majorHAnsi" w:hAnsiTheme="majorHAnsi" w:cstheme="majorHAnsi"/>
          <w:sz w:val="22"/>
          <w:lang w:val="en-GB"/>
        </w:rPr>
        <w:t>among others</w:t>
      </w:r>
      <w:r w:rsidRPr="00E45751">
        <w:rPr>
          <w:rFonts w:asciiTheme="majorHAnsi" w:hAnsiTheme="majorHAnsi" w:cstheme="majorHAnsi"/>
          <w:i/>
          <w:sz w:val="22"/>
          <w:lang w:val="en-GB"/>
        </w:rPr>
        <w:t>.</w:t>
      </w:r>
    </w:p>
    <w:p w14:paraId="4E71F374" w14:textId="2D17DA80" w:rsidR="005B276D" w:rsidRPr="00E45751" w:rsidRDefault="0037391F"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T</w:t>
      </w:r>
      <w:r w:rsidR="005B276D" w:rsidRPr="00E45751">
        <w:rPr>
          <w:rFonts w:asciiTheme="majorHAnsi" w:hAnsiTheme="majorHAnsi" w:cstheme="majorHAnsi"/>
          <w:sz w:val="22"/>
          <w:lang w:val="en-GB"/>
        </w:rPr>
        <w:t xml:space="preserve">he Academic Cooperation Association </w:t>
      </w:r>
      <w:r w:rsidRPr="00E45751">
        <w:rPr>
          <w:rFonts w:asciiTheme="majorHAnsi" w:hAnsiTheme="majorHAnsi" w:cstheme="majorHAnsi"/>
          <w:sz w:val="22"/>
          <w:lang w:val="en-GB"/>
        </w:rPr>
        <w:t xml:space="preserve">has also </w:t>
      </w:r>
      <w:r w:rsidR="005B276D" w:rsidRPr="00E45751">
        <w:rPr>
          <w:rFonts w:asciiTheme="majorHAnsi" w:hAnsiTheme="majorHAnsi" w:cstheme="majorHAnsi"/>
          <w:sz w:val="22"/>
          <w:lang w:val="en-GB"/>
        </w:rPr>
        <w:t xml:space="preserve">produced </w:t>
      </w:r>
      <w:r w:rsidRPr="00E45751">
        <w:rPr>
          <w:rFonts w:asciiTheme="majorHAnsi" w:hAnsiTheme="majorHAnsi" w:cstheme="majorHAnsi"/>
          <w:sz w:val="22"/>
          <w:lang w:val="en-GB"/>
        </w:rPr>
        <w:t>a list of evaluation criteria, knows as the Indicators Mapping and Profiling I</w:t>
      </w:r>
      <w:r w:rsidR="005B276D" w:rsidRPr="00E45751">
        <w:rPr>
          <w:rFonts w:asciiTheme="majorHAnsi" w:hAnsiTheme="majorHAnsi" w:cstheme="majorHAnsi"/>
          <w:sz w:val="22"/>
          <w:lang w:val="en-GB"/>
        </w:rPr>
        <w:t>nternationalisation (IMPI)</w:t>
      </w:r>
      <w:r w:rsidRPr="00E45751">
        <w:rPr>
          <w:rFonts w:asciiTheme="majorHAnsi" w:hAnsiTheme="majorHAnsi" w:cstheme="majorHAnsi"/>
          <w:sz w:val="22"/>
          <w:lang w:val="en-GB"/>
        </w:rPr>
        <w:t>. These include:</w:t>
      </w:r>
      <w:r w:rsidR="005B276D" w:rsidRPr="00E45751">
        <w:rPr>
          <w:rFonts w:asciiTheme="majorHAnsi" w:hAnsiTheme="majorHAnsi" w:cstheme="majorHAnsi"/>
          <w:i/>
          <w:sz w:val="22"/>
          <w:lang w:val="en-GB"/>
        </w:rPr>
        <w:t xml:space="preserve"> percentage change in number of international students over time, maintenance of international alumni database,</w:t>
      </w:r>
      <w:r w:rsidRPr="00E45751">
        <w:rPr>
          <w:rFonts w:asciiTheme="majorHAnsi" w:hAnsiTheme="majorHAnsi" w:cstheme="majorHAnsi"/>
          <w:i/>
          <w:sz w:val="22"/>
          <w:lang w:val="en-GB"/>
        </w:rPr>
        <w:t xml:space="preserve"> and</w:t>
      </w:r>
      <w:r w:rsidR="005B276D" w:rsidRPr="00E45751">
        <w:rPr>
          <w:rFonts w:asciiTheme="majorHAnsi" w:hAnsiTheme="majorHAnsi" w:cstheme="majorHAnsi"/>
          <w:i/>
          <w:sz w:val="22"/>
          <w:lang w:val="en-GB"/>
        </w:rPr>
        <w:t xml:space="preserve"> satisfaction of international students, </w:t>
      </w:r>
      <w:r w:rsidRPr="00E45751">
        <w:rPr>
          <w:rFonts w:asciiTheme="majorHAnsi" w:hAnsiTheme="majorHAnsi" w:cstheme="majorHAnsi"/>
          <w:sz w:val="22"/>
          <w:lang w:val="en-GB"/>
        </w:rPr>
        <w:t>among others.</w:t>
      </w:r>
    </w:p>
    <w:p w14:paraId="738C4027" w14:textId="21CD74E0" w:rsidR="0037391F" w:rsidRDefault="0037391F" w:rsidP="00216257">
      <w:pPr>
        <w:spacing w:after="120"/>
        <w:jc w:val="both"/>
        <w:rPr>
          <w:rFonts w:asciiTheme="majorHAnsi" w:hAnsiTheme="majorHAnsi" w:cstheme="majorHAnsi"/>
          <w:sz w:val="22"/>
          <w:lang w:val="en-GB"/>
        </w:rPr>
      </w:pPr>
      <w:r w:rsidRPr="00E45751">
        <w:rPr>
          <w:rFonts w:asciiTheme="majorHAnsi" w:hAnsiTheme="majorHAnsi" w:cstheme="majorHAnsi"/>
          <w:sz w:val="22"/>
          <w:lang w:val="en-GB"/>
        </w:rPr>
        <w:t>As with quality assurance, using internationally recognised indicators for monitoring and evaluation and having a transparent evaluation process ensure legitimacy of the system and increase international student mobility.</w:t>
      </w:r>
    </w:p>
    <w:p w14:paraId="47C4CE8C" w14:textId="0699749E" w:rsidR="00010DFB" w:rsidRDefault="00010DFB" w:rsidP="00216257">
      <w:pPr>
        <w:spacing w:after="120"/>
        <w:jc w:val="both"/>
        <w:rPr>
          <w:rFonts w:asciiTheme="majorHAnsi" w:hAnsiTheme="majorHAnsi" w:cstheme="majorHAnsi"/>
          <w:sz w:val="22"/>
          <w:lang w:val="en-GB"/>
        </w:rPr>
      </w:pPr>
    </w:p>
    <w:p w14:paraId="64349CFC" w14:textId="77777777" w:rsidR="00010DFB" w:rsidRDefault="00010DFB" w:rsidP="00216257">
      <w:pPr>
        <w:spacing w:after="120"/>
        <w:jc w:val="both"/>
        <w:rPr>
          <w:rFonts w:asciiTheme="majorHAnsi" w:hAnsiTheme="majorHAnsi" w:cstheme="majorHAnsi"/>
          <w:sz w:val="22"/>
          <w:lang w:val="en-GB"/>
        </w:rPr>
      </w:pPr>
    </w:p>
    <w:p w14:paraId="0519315B" w14:textId="77777777" w:rsidR="00010DFB" w:rsidRDefault="00010DFB" w:rsidP="00216257">
      <w:pPr>
        <w:spacing w:after="120"/>
        <w:jc w:val="both"/>
        <w:rPr>
          <w:rFonts w:asciiTheme="majorHAnsi" w:hAnsiTheme="majorHAnsi" w:cstheme="majorHAnsi"/>
          <w:sz w:val="22"/>
          <w:lang w:val="en-GB"/>
        </w:rPr>
      </w:pPr>
    </w:p>
    <w:p w14:paraId="32871E5E" w14:textId="77777777" w:rsidR="00010DFB" w:rsidRPr="00E45751" w:rsidRDefault="00010DFB" w:rsidP="00216257">
      <w:pPr>
        <w:spacing w:after="120"/>
        <w:jc w:val="both"/>
        <w:rPr>
          <w:rFonts w:asciiTheme="majorHAnsi" w:hAnsiTheme="majorHAnsi" w:cstheme="majorHAnsi"/>
          <w:sz w:val="22"/>
          <w:lang w:val="en-GB"/>
        </w:rPr>
      </w:pPr>
    </w:p>
    <w:p w14:paraId="40EF072D" w14:textId="26965315" w:rsidR="00FF484F" w:rsidRPr="00E45751" w:rsidRDefault="00FF484F" w:rsidP="00216257">
      <w:pPr>
        <w:shd w:val="clear" w:color="auto" w:fill="FDE9D9" w:themeFill="accent6" w:themeFillTint="33"/>
        <w:ind w:left="851"/>
        <w:jc w:val="both"/>
        <w:rPr>
          <w:rFonts w:asciiTheme="majorHAnsi" w:hAnsiTheme="majorHAnsi" w:cstheme="majorHAnsi"/>
          <w:b/>
          <w:sz w:val="22"/>
          <w:szCs w:val="20"/>
          <w:lang w:val="en-GB"/>
        </w:rPr>
      </w:pPr>
      <w:r w:rsidRPr="00E45751">
        <w:rPr>
          <w:rFonts w:asciiTheme="majorHAnsi" w:hAnsiTheme="majorHAnsi" w:cstheme="majorHAnsi"/>
          <w:b/>
          <w:sz w:val="22"/>
          <w:szCs w:val="20"/>
          <w:lang w:val="en-GB"/>
        </w:rPr>
        <w:t xml:space="preserve">IMPI project – Indicators for Mapping and Profiling Internationalisation. </w:t>
      </w:r>
    </w:p>
    <w:p w14:paraId="726F847C" w14:textId="5DCCCBE8" w:rsidR="00BD4525" w:rsidRPr="00E45751" w:rsidRDefault="00BD4525" w:rsidP="00216257">
      <w:pPr>
        <w:shd w:val="clear" w:color="auto" w:fill="FDE9D9" w:themeFill="accent6" w:themeFillTint="33"/>
        <w:ind w:left="851"/>
        <w:jc w:val="both"/>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In the years 2010-2011, European universities and policy makers realized that despite the development of student mobility across Europe and the world, there was no European-wide approach to measure internationalisation. Transparency and accountability in internationalisation were not in place. To this end, a toolbox of indicators and related objectives and activities has been developed for European higher education institutions which would allow HEI’s to individually define a level of internationality corresponding with their institutional goals. It provides options for comparison on the one hand but also offers opportunities for HEIs to choose their individual profile of internationalization. The project core partners were six institutions, SIU, NUFFIC, ACA, Campus France, </w:t>
      </w:r>
      <w:proofErr w:type="spellStart"/>
      <w:r w:rsidRPr="00E45751">
        <w:rPr>
          <w:rFonts w:asciiTheme="majorHAnsi" w:hAnsiTheme="majorHAnsi" w:cstheme="majorHAnsi"/>
          <w:sz w:val="20"/>
          <w:szCs w:val="20"/>
          <w:lang w:val="en-GB"/>
        </w:rPr>
        <w:t>Perspektywy</w:t>
      </w:r>
      <w:proofErr w:type="spellEnd"/>
      <w:r w:rsidRPr="00E45751">
        <w:rPr>
          <w:rFonts w:asciiTheme="majorHAnsi" w:hAnsiTheme="majorHAnsi" w:cstheme="majorHAnsi"/>
          <w:sz w:val="20"/>
          <w:szCs w:val="20"/>
          <w:lang w:val="en-GB"/>
        </w:rPr>
        <w:t xml:space="preserve"> and CHE Consult. The set of indicators has been co-developed by HEIs </w:t>
      </w:r>
      <w:proofErr w:type="gramStart"/>
      <w:r w:rsidRPr="00E45751">
        <w:rPr>
          <w:rFonts w:asciiTheme="majorHAnsi" w:hAnsiTheme="majorHAnsi" w:cstheme="majorHAnsi"/>
          <w:sz w:val="20"/>
          <w:szCs w:val="20"/>
          <w:lang w:val="en-GB"/>
        </w:rPr>
        <w:t>in order to</w:t>
      </w:r>
      <w:proofErr w:type="gramEnd"/>
      <w:r w:rsidRPr="00E45751">
        <w:rPr>
          <w:rFonts w:asciiTheme="majorHAnsi" w:hAnsiTheme="majorHAnsi" w:cstheme="majorHAnsi"/>
          <w:sz w:val="20"/>
          <w:szCs w:val="20"/>
          <w:lang w:val="en-GB"/>
        </w:rPr>
        <w:t xml:space="preserve"> ensure both relevance and acceptance in the community. The milestones of the project </w:t>
      </w:r>
      <w:proofErr w:type="gramStart"/>
      <w:r w:rsidRPr="00E45751">
        <w:rPr>
          <w:rFonts w:asciiTheme="majorHAnsi" w:hAnsiTheme="majorHAnsi" w:cstheme="majorHAnsi"/>
          <w:sz w:val="20"/>
          <w:szCs w:val="20"/>
          <w:lang w:val="en-GB"/>
        </w:rPr>
        <w:t>was</w:t>
      </w:r>
      <w:proofErr w:type="gramEnd"/>
      <w:r w:rsidRPr="00E45751">
        <w:rPr>
          <w:rFonts w:asciiTheme="majorHAnsi" w:hAnsiTheme="majorHAnsi" w:cstheme="majorHAnsi"/>
          <w:sz w:val="20"/>
          <w:szCs w:val="20"/>
          <w:lang w:val="en-GB"/>
        </w:rPr>
        <w:t xml:space="preserve"> a toolbox for HEIs to profile their internationalization. The list of indicators </w:t>
      </w:r>
      <w:proofErr w:type="gramStart"/>
      <w:r w:rsidRPr="00E45751">
        <w:rPr>
          <w:rFonts w:asciiTheme="majorHAnsi" w:hAnsiTheme="majorHAnsi" w:cstheme="majorHAnsi"/>
          <w:sz w:val="20"/>
          <w:szCs w:val="20"/>
          <w:lang w:val="en-GB"/>
        </w:rPr>
        <w:t>are</w:t>
      </w:r>
      <w:proofErr w:type="gramEnd"/>
      <w:r w:rsidRPr="00E45751">
        <w:rPr>
          <w:rFonts w:asciiTheme="majorHAnsi" w:hAnsiTheme="majorHAnsi" w:cstheme="majorHAnsi"/>
          <w:sz w:val="20"/>
          <w:szCs w:val="20"/>
          <w:lang w:val="en-GB"/>
        </w:rPr>
        <w:t xml:space="preserve"> downloadable </w:t>
      </w:r>
      <w:hyperlink r:id="rId20" w:history="1">
        <w:r w:rsidRPr="00E45751">
          <w:rPr>
            <w:rFonts w:asciiTheme="majorHAnsi" w:hAnsiTheme="majorHAnsi" w:cstheme="majorHAnsi"/>
            <w:sz w:val="20"/>
            <w:szCs w:val="20"/>
            <w:lang w:val="en-GB"/>
          </w:rPr>
          <w:t>here</w:t>
        </w:r>
      </w:hyperlink>
      <w:r w:rsidRPr="00E45751">
        <w:rPr>
          <w:rFonts w:asciiTheme="majorHAnsi" w:hAnsiTheme="majorHAnsi" w:cstheme="majorHAnsi"/>
          <w:sz w:val="20"/>
          <w:szCs w:val="20"/>
          <w:lang w:val="en-GB"/>
        </w:rPr>
        <w:t xml:space="preserve">. </w:t>
      </w:r>
      <w:r w:rsidR="000C7272" w:rsidRPr="00E45751">
        <w:rPr>
          <w:rFonts w:asciiTheme="majorHAnsi" w:hAnsiTheme="majorHAnsi" w:cstheme="majorHAnsi"/>
          <w:sz w:val="20"/>
          <w:szCs w:val="20"/>
          <w:lang w:val="en-GB"/>
        </w:rPr>
        <w:t>To create an account and acce</w:t>
      </w:r>
      <w:r w:rsidR="00FF484F" w:rsidRPr="00E45751">
        <w:rPr>
          <w:rFonts w:asciiTheme="majorHAnsi" w:hAnsiTheme="majorHAnsi" w:cstheme="majorHAnsi"/>
          <w:sz w:val="20"/>
          <w:szCs w:val="20"/>
          <w:lang w:val="en-GB"/>
        </w:rPr>
        <w:t>s</w:t>
      </w:r>
      <w:r w:rsidR="000C7272" w:rsidRPr="00E45751">
        <w:rPr>
          <w:rFonts w:asciiTheme="majorHAnsi" w:hAnsiTheme="majorHAnsi" w:cstheme="majorHAnsi"/>
          <w:sz w:val="20"/>
          <w:szCs w:val="20"/>
          <w:lang w:val="en-GB"/>
        </w:rPr>
        <w:t xml:space="preserve">s the toolbox: </w:t>
      </w:r>
      <w:hyperlink r:id="rId21" w:history="1">
        <w:r w:rsidR="000C7272" w:rsidRPr="00E45751">
          <w:rPr>
            <w:rStyle w:val="Hyperlink"/>
            <w:rFonts w:asciiTheme="majorHAnsi" w:hAnsiTheme="majorHAnsi" w:cstheme="majorHAnsi"/>
            <w:sz w:val="20"/>
            <w:szCs w:val="20"/>
            <w:lang w:val="en-GB"/>
          </w:rPr>
          <w:t>here</w:t>
        </w:r>
      </w:hyperlink>
      <w:r w:rsidR="000C7272" w:rsidRPr="00E45751">
        <w:rPr>
          <w:rFonts w:asciiTheme="majorHAnsi" w:hAnsiTheme="majorHAnsi" w:cstheme="majorHAnsi"/>
          <w:sz w:val="20"/>
          <w:szCs w:val="20"/>
          <w:lang w:val="en-GB"/>
        </w:rPr>
        <w:t>.</w:t>
      </w:r>
    </w:p>
    <w:p w14:paraId="7FFD59AB" w14:textId="25197089" w:rsidR="00751B0E" w:rsidRPr="00E45751" w:rsidRDefault="00751B0E" w:rsidP="00216257">
      <w:pPr>
        <w:shd w:val="clear" w:color="auto" w:fill="FDE9D9" w:themeFill="accent6" w:themeFillTint="33"/>
        <w:ind w:left="851"/>
        <w:jc w:val="both"/>
        <w:rPr>
          <w:rFonts w:asciiTheme="majorHAnsi" w:hAnsiTheme="majorHAnsi" w:cstheme="majorHAnsi"/>
          <w:sz w:val="20"/>
          <w:szCs w:val="20"/>
          <w:lang w:val="en-GB"/>
        </w:rPr>
      </w:pPr>
      <w:r w:rsidRPr="00E45751">
        <w:rPr>
          <w:rFonts w:asciiTheme="majorHAnsi" w:hAnsiTheme="majorHAnsi" w:cstheme="majorHAnsi"/>
          <w:noProof/>
          <w:sz w:val="20"/>
          <w:szCs w:val="20"/>
        </w:rPr>
        <w:drawing>
          <wp:inline distT="0" distB="0" distL="0" distR="0" wp14:anchorId="5BFF0E63" wp14:editId="234FE501">
            <wp:extent cx="5209082" cy="631170"/>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9-03-28 à 09.02.57.png"/>
                    <pic:cNvPicPr/>
                  </pic:nvPicPr>
                  <pic:blipFill>
                    <a:blip r:embed="rId22"/>
                    <a:stretch>
                      <a:fillRect/>
                    </a:stretch>
                  </pic:blipFill>
                  <pic:spPr>
                    <a:xfrm>
                      <a:off x="0" y="0"/>
                      <a:ext cx="5259723" cy="637306"/>
                    </a:xfrm>
                    <a:prstGeom prst="rect">
                      <a:avLst/>
                    </a:prstGeom>
                  </pic:spPr>
                </pic:pic>
              </a:graphicData>
            </a:graphic>
          </wp:inline>
        </w:drawing>
      </w:r>
    </w:p>
    <w:p w14:paraId="0D416ED0" w14:textId="545BE3D6" w:rsidR="007E35B8" w:rsidRPr="00E45751" w:rsidRDefault="007E35B8" w:rsidP="00216257">
      <w:pPr>
        <w:pStyle w:val="Heading1"/>
        <w:spacing w:before="0"/>
        <w:ind w:left="720"/>
        <w:jc w:val="both"/>
        <w:rPr>
          <w:rFonts w:eastAsiaTheme="minorEastAsia" w:cstheme="majorHAnsi"/>
          <w:bCs w:val="0"/>
          <w:color w:val="C00000"/>
          <w:sz w:val="22"/>
          <w:szCs w:val="24"/>
          <w:lang w:val="en-GB"/>
        </w:rPr>
      </w:pPr>
    </w:p>
    <w:p w14:paraId="64406F78" w14:textId="77777777" w:rsidR="007E35B8" w:rsidRPr="00E45751" w:rsidRDefault="007E35B8" w:rsidP="00216257">
      <w:pPr>
        <w:jc w:val="both"/>
        <w:rPr>
          <w:rFonts w:asciiTheme="majorHAnsi" w:hAnsiTheme="majorHAnsi" w:cstheme="majorHAnsi"/>
          <w:lang w:val="en-GB"/>
        </w:rPr>
      </w:pPr>
    </w:p>
    <w:p w14:paraId="21425E40" w14:textId="2244E66C" w:rsidR="008221AE" w:rsidRPr="00E45751" w:rsidRDefault="00786B36" w:rsidP="00216257">
      <w:pPr>
        <w:pStyle w:val="Heading1"/>
        <w:numPr>
          <w:ilvl w:val="0"/>
          <w:numId w:val="14"/>
        </w:numPr>
        <w:jc w:val="both"/>
        <w:rPr>
          <w:rFonts w:cstheme="majorHAnsi"/>
          <w:lang w:val="en-GB"/>
        </w:rPr>
      </w:pPr>
      <w:bookmarkStart w:id="35" w:name="_Toc416471902"/>
      <w:r w:rsidRPr="00E45751">
        <w:rPr>
          <w:rFonts w:cstheme="majorHAnsi"/>
          <w:lang w:val="en-GB"/>
        </w:rPr>
        <w:t xml:space="preserve">Internationalisation strategy </w:t>
      </w:r>
      <w:r w:rsidR="000A4020" w:rsidRPr="00E45751">
        <w:rPr>
          <w:rFonts w:cstheme="majorHAnsi"/>
          <w:lang w:val="en-GB"/>
        </w:rPr>
        <w:t>at a glance</w:t>
      </w:r>
      <w:bookmarkEnd w:id="35"/>
    </w:p>
    <w:p w14:paraId="45AA4D80" w14:textId="195301C4" w:rsidR="00786B36" w:rsidRPr="00E45751" w:rsidRDefault="001F101E"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This section presents several country case studies, which highlight successful government and institutional policy changes that led to significant increases in incoming student mobility.</w:t>
      </w:r>
      <w:r w:rsidR="0093175E" w:rsidRPr="00E45751">
        <w:rPr>
          <w:rFonts w:asciiTheme="majorHAnsi" w:hAnsiTheme="majorHAnsi" w:cstheme="majorHAnsi"/>
          <w:sz w:val="22"/>
          <w:szCs w:val="22"/>
          <w:lang w:val="en-GB"/>
        </w:rPr>
        <w:t xml:space="preserve"> Upon examining country </w:t>
      </w:r>
      <w:proofErr w:type="gramStart"/>
      <w:r w:rsidR="0093175E" w:rsidRPr="00E45751">
        <w:rPr>
          <w:rFonts w:asciiTheme="majorHAnsi" w:hAnsiTheme="majorHAnsi" w:cstheme="majorHAnsi"/>
          <w:sz w:val="22"/>
          <w:szCs w:val="22"/>
          <w:lang w:val="en-GB"/>
        </w:rPr>
        <w:t>strategy as a whole, the</w:t>
      </w:r>
      <w:proofErr w:type="gramEnd"/>
      <w:r w:rsidR="0093175E" w:rsidRPr="00E45751">
        <w:rPr>
          <w:rFonts w:asciiTheme="majorHAnsi" w:hAnsiTheme="majorHAnsi" w:cstheme="majorHAnsi"/>
          <w:sz w:val="22"/>
          <w:szCs w:val="22"/>
          <w:lang w:val="en-GB"/>
        </w:rPr>
        <w:t xml:space="preserve"> importance of a coherent internationalisation strategy at all levels becomes even more evident.</w:t>
      </w:r>
    </w:p>
    <w:p w14:paraId="5DEF6295" w14:textId="4C39ECA4" w:rsidR="0083709F" w:rsidRDefault="0083709F" w:rsidP="001113F4">
      <w:pPr>
        <w:pStyle w:val="Heading2"/>
        <w:numPr>
          <w:ilvl w:val="1"/>
          <w:numId w:val="47"/>
        </w:numPr>
        <w:spacing w:after="120"/>
        <w:jc w:val="both"/>
        <w:rPr>
          <w:rFonts w:cstheme="majorHAnsi"/>
          <w:lang w:val="en-GB"/>
        </w:rPr>
      </w:pPr>
      <w:bookmarkStart w:id="36" w:name="_Toc416471903"/>
      <w:r>
        <w:rPr>
          <w:rFonts w:cstheme="majorHAnsi"/>
          <w:lang w:val="en-GB"/>
        </w:rPr>
        <w:t>Argentina</w:t>
      </w:r>
      <w:bookmarkEnd w:id="36"/>
    </w:p>
    <w:p w14:paraId="43A5D71B" w14:textId="1E54ECA7" w:rsidR="0083709F" w:rsidRDefault="0083709F" w:rsidP="00E36A38">
      <w:pPr>
        <w:spacing w:after="120"/>
        <w:rPr>
          <w:rFonts w:asciiTheme="majorHAnsi" w:hAnsiTheme="majorHAnsi" w:cstheme="majorHAnsi"/>
          <w:sz w:val="22"/>
          <w:szCs w:val="22"/>
          <w:lang w:val="en-GB"/>
        </w:rPr>
      </w:pPr>
      <w:r w:rsidRPr="00E36A38">
        <w:rPr>
          <w:rFonts w:asciiTheme="majorHAnsi" w:hAnsiTheme="majorHAnsi" w:cstheme="majorHAnsi"/>
          <w:sz w:val="22"/>
          <w:szCs w:val="22"/>
          <w:lang w:val="en-GB"/>
        </w:rPr>
        <w:t>The number of foreign students studying in Argentina doubled between 2006 and 2013</w:t>
      </w:r>
      <w:r w:rsidR="00E36A38" w:rsidRPr="00E36A38">
        <w:rPr>
          <w:rFonts w:asciiTheme="majorHAnsi" w:hAnsiTheme="majorHAnsi" w:cstheme="majorHAnsi"/>
          <w:sz w:val="22"/>
          <w:szCs w:val="22"/>
          <w:lang w:val="en-GB"/>
        </w:rPr>
        <w:t xml:space="preserve">, largely due to prioritisation of internationalisation and global engagement by the government, resulting in the </w:t>
      </w:r>
      <w:r w:rsidR="00E36A38" w:rsidRPr="00C41296">
        <w:rPr>
          <w:rFonts w:asciiTheme="majorHAnsi" w:hAnsiTheme="majorHAnsi" w:cstheme="majorHAnsi"/>
          <w:b/>
          <w:sz w:val="22"/>
          <w:szCs w:val="22"/>
          <w:lang w:val="en-GB"/>
        </w:rPr>
        <w:t>creation of international networks</w:t>
      </w:r>
      <w:r w:rsidR="00E36A38" w:rsidRPr="00E36A38">
        <w:rPr>
          <w:rFonts w:asciiTheme="majorHAnsi" w:hAnsiTheme="majorHAnsi" w:cstheme="majorHAnsi"/>
          <w:sz w:val="22"/>
          <w:szCs w:val="22"/>
          <w:lang w:val="en-GB"/>
        </w:rPr>
        <w:t xml:space="preserve"> and </w:t>
      </w:r>
      <w:r w:rsidR="00E36A38" w:rsidRPr="00C41296">
        <w:rPr>
          <w:rFonts w:asciiTheme="majorHAnsi" w:hAnsiTheme="majorHAnsi" w:cstheme="majorHAnsi"/>
          <w:b/>
          <w:sz w:val="22"/>
          <w:szCs w:val="22"/>
          <w:lang w:val="en-GB"/>
        </w:rPr>
        <w:t>cooperation agreements with foreign universities</w:t>
      </w:r>
      <w:r w:rsidR="00C41296">
        <w:rPr>
          <w:rFonts w:asciiTheme="majorHAnsi" w:hAnsiTheme="majorHAnsi" w:cstheme="majorHAnsi"/>
          <w:sz w:val="22"/>
          <w:szCs w:val="22"/>
          <w:lang w:val="en-GB"/>
        </w:rPr>
        <w:t>.</w:t>
      </w:r>
      <w:r w:rsidR="00C41296">
        <w:rPr>
          <w:rStyle w:val="FootnoteReference"/>
          <w:rFonts w:asciiTheme="majorHAnsi" w:hAnsiTheme="majorHAnsi" w:cstheme="majorHAnsi"/>
          <w:sz w:val="22"/>
          <w:szCs w:val="22"/>
          <w:lang w:val="en-GB"/>
        </w:rPr>
        <w:footnoteReference w:id="30"/>
      </w:r>
    </w:p>
    <w:p w14:paraId="1A0A0F3B" w14:textId="2F4D0A3B" w:rsidR="00E36A38" w:rsidRDefault="00E36A38" w:rsidP="00E36A38">
      <w:pPr>
        <w:spacing w:after="120"/>
        <w:rPr>
          <w:rFonts w:asciiTheme="majorHAnsi" w:hAnsiTheme="majorHAnsi" w:cstheme="majorHAnsi"/>
          <w:sz w:val="22"/>
          <w:szCs w:val="22"/>
          <w:lang w:val="en-GB"/>
        </w:rPr>
      </w:pPr>
      <w:r>
        <w:rPr>
          <w:rFonts w:asciiTheme="majorHAnsi" w:hAnsiTheme="majorHAnsi" w:cstheme="majorHAnsi"/>
          <w:sz w:val="22"/>
          <w:szCs w:val="22"/>
          <w:lang w:val="en-GB"/>
        </w:rPr>
        <w:t>At the national level, the government of Argentina provides significant incentives to attract foreign students. First, the “</w:t>
      </w:r>
      <w:r w:rsidRPr="00C41296">
        <w:rPr>
          <w:rFonts w:asciiTheme="majorHAnsi" w:hAnsiTheme="majorHAnsi" w:cstheme="majorHAnsi"/>
          <w:b/>
          <w:sz w:val="22"/>
          <w:szCs w:val="22"/>
          <w:lang w:val="en-GB"/>
        </w:rPr>
        <w:t>quality of higher education is generally high</w:t>
      </w:r>
      <w:r w:rsidRPr="00E36A38">
        <w:rPr>
          <w:rFonts w:asciiTheme="majorHAnsi" w:hAnsiTheme="majorHAnsi" w:cstheme="majorHAnsi"/>
          <w:sz w:val="22"/>
          <w:szCs w:val="22"/>
          <w:lang w:val="en-GB"/>
        </w:rPr>
        <w:t xml:space="preserve">, and the country’s public institutions offer </w:t>
      </w:r>
      <w:r w:rsidRPr="00C41296">
        <w:rPr>
          <w:rFonts w:asciiTheme="majorHAnsi" w:hAnsiTheme="majorHAnsi" w:cstheme="majorHAnsi"/>
          <w:b/>
          <w:sz w:val="22"/>
          <w:szCs w:val="22"/>
          <w:lang w:val="en-GB"/>
        </w:rPr>
        <w:t>free undergraduate education</w:t>
      </w:r>
      <w:r w:rsidRPr="00E36A38">
        <w:rPr>
          <w:rFonts w:asciiTheme="majorHAnsi" w:hAnsiTheme="majorHAnsi" w:cstheme="majorHAnsi"/>
          <w:sz w:val="22"/>
          <w:szCs w:val="22"/>
          <w:lang w:val="en-GB"/>
        </w:rPr>
        <w:t>.</w:t>
      </w:r>
      <w:r>
        <w:rPr>
          <w:rFonts w:asciiTheme="majorHAnsi" w:hAnsiTheme="majorHAnsi" w:cstheme="majorHAnsi"/>
          <w:sz w:val="22"/>
          <w:szCs w:val="22"/>
          <w:lang w:val="en-GB"/>
        </w:rPr>
        <w:t>” Additionally, “</w:t>
      </w:r>
      <w:r w:rsidRPr="00C41296">
        <w:rPr>
          <w:rFonts w:asciiTheme="majorHAnsi" w:hAnsiTheme="majorHAnsi" w:cstheme="majorHAnsi"/>
          <w:b/>
          <w:sz w:val="22"/>
          <w:szCs w:val="22"/>
          <w:lang w:val="en-GB"/>
        </w:rPr>
        <w:t>health care throughout the country is also free</w:t>
      </w:r>
      <w:r w:rsidRPr="00E36A38">
        <w:rPr>
          <w:rFonts w:asciiTheme="majorHAnsi" w:hAnsiTheme="majorHAnsi" w:cstheme="majorHAnsi"/>
          <w:sz w:val="22"/>
          <w:szCs w:val="22"/>
          <w:lang w:val="en-GB"/>
        </w:rPr>
        <w:t xml:space="preserve">, and foreign students who stay for at least two years and wish to continue their studies can obtain a </w:t>
      </w:r>
      <w:r w:rsidRPr="00C41296">
        <w:rPr>
          <w:rFonts w:asciiTheme="majorHAnsi" w:hAnsiTheme="majorHAnsi" w:cstheme="majorHAnsi"/>
          <w:b/>
          <w:sz w:val="22"/>
          <w:szCs w:val="22"/>
          <w:lang w:val="en-GB"/>
        </w:rPr>
        <w:t>resident visa that allows for employment</w:t>
      </w:r>
      <w:r w:rsidRPr="00E36A38">
        <w:rPr>
          <w:rFonts w:asciiTheme="majorHAnsi" w:hAnsiTheme="majorHAnsi" w:cstheme="majorHAnsi"/>
          <w:sz w:val="22"/>
          <w:szCs w:val="22"/>
          <w:lang w:val="en-GB"/>
        </w:rPr>
        <w:t xml:space="preserve">. International students and others from abroad generally find </w:t>
      </w:r>
      <w:r w:rsidRPr="00C41296">
        <w:rPr>
          <w:rFonts w:asciiTheme="majorHAnsi" w:hAnsiTheme="majorHAnsi" w:cstheme="majorHAnsi"/>
          <w:b/>
          <w:sz w:val="22"/>
          <w:szCs w:val="22"/>
          <w:lang w:val="en-GB"/>
        </w:rPr>
        <w:t>easy acceptance in Argentine culture</w:t>
      </w:r>
      <w:r w:rsidRPr="00E36A38">
        <w:rPr>
          <w:rFonts w:asciiTheme="majorHAnsi" w:hAnsiTheme="majorHAnsi" w:cstheme="majorHAnsi"/>
          <w:sz w:val="22"/>
          <w:szCs w:val="22"/>
          <w:lang w:val="en-GB"/>
        </w:rPr>
        <w:t>; and in response to</w:t>
      </w:r>
      <w:r w:rsidR="00AC2F16">
        <w:rPr>
          <w:rFonts w:asciiTheme="majorHAnsi" w:hAnsiTheme="majorHAnsi" w:cstheme="majorHAnsi"/>
          <w:sz w:val="22"/>
          <w:szCs w:val="22"/>
          <w:lang w:val="en-GB"/>
        </w:rPr>
        <w:t xml:space="preserve"> increasing international enrol</w:t>
      </w:r>
      <w:r w:rsidRPr="00E36A38">
        <w:rPr>
          <w:rFonts w:asciiTheme="majorHAnsi" w:hAnsiTheme="majorHAnsi" w:cstheme="majorHAnsi"/>
          <w:sz w:val="22"/>
          <w:szCs w:val="22"/>
          <w:lang w:val="en-GB"/>
        </w:rPr>
        <w:t xml:space="preserve">ments in recent years, many universities are focusing more attention on </w:t>
      </w:r>
      <w:r w:rsidRPr="00C41296">
        <w:rPr>
          <w:rFonts w:asciiTheme="majorHAnsi" w:hAnsiTheme="majorHAnsi" w:cstheme="majorHAnsi"/>
          <w:b/>
          <w:sz w:val="22"/>
          <w:szCs w:val="22"/>
          <w:lang w:val="en-GB"/>
        </w:rPr>
        <w:t>enhanced teaching methods</w:t>
      </w:r>
      <w:r w:rsidRPr="00E36A38">
        <w:rPr>
          <w:rFonts w:asciiTheme="majorHAnsi" w:hAnsiTheme="majorHAnsi" w:cstheme="majorHAnsi"/>
          <w:sz w:val="22"/>
          <w:szCs w:val="22"/>
          <w:lang w:val="en-GB"/>
        </w:rPr>
        <w:t xml:space="preserve"> and other strategies to create a </w:t>
      </w:r>
      <w:r w:rsidRPr="00C41296">
        <w:rPr>
          <w:rFonts w:asciiTheme="majorHAnsi" w:hAnsiTheme="majorHAnsi" w:cstheme="majorHAnsi"/>
          <w:b/>
          <w:sz w:val="22"/>
          <w:szCs w:val="22"/>
          <w:lang w:val="en-GB"/>
        </w:rPr>
        <w:t>positive learning experience for students from diverse backgrounds</w:t>
      </w:r>
      <w:r>
        <w:rPr>
          <w:rFonts w:asciiTheme="majorHAnsi" w:hAnsiTheme="majorHAnsi" w:cstheme="majorHAnsi"/>
          <w:sz w:val="22"/>
          <w:szCs w:val="22"/>
          <w:lang w:val="en-GB"/>
        </w:rPr>
        <w:t>.”</w:t>
      </w:r>
      <w:r>
        <w:rPr>
          <w:rStyle w:val="FootnoteReference"/>
          <w:rFonts w:asciiTheme="majorHAnsi" w:hAnsiTheme="majorHAnsi" w:cstheme="majorHAnsi"/>
          <w:sz w:val="22"/>
          <w:szCs w:val="22"/>
          <w:lang w:val="en-GB"/>
        </w:rPr>
        <w:footnoteReference w:id="31"/>
      </w:r>
    </w:p>
    <w:p w14:paraId="1564B18D" w14:textId="76FA1A09" w:rsidR="00E36A38" w:rsidRPr="00AC2F16" w:rsidRDefault="00E36A38" w:rsidP="00E36A38">
      <w:pPr>
        <w:spacing w:after="120"/>
        <w:rPr>
          <w:rFonts w:asciiTheme="majorHAnsi" w:hAnsiTheme="majorHAnsi" w:cstheme="majorHAnsi"/>
          <w:sz w:val="22"/>
          <w:szCs w:val="22"/>
          <w:lang w:val="en-GB"/>
        </w:rPr>
      </w:pPr>
      <w:r>
        <w:rPr>
          <w:rFonts w:asciiTheme="majorHAnsi" w:hAnsiTheme="majorHAnsi" w:cstheme="majorHAnsi"/>
          <w:sz w:val="22"/>
          <w:szCs w:val="22"/>
          <w:lang w:val="en-GB"/>
        </w:rPr>
        <w:lastRenderedPageBreak/>
        <w:t xml:space="preserve">Furthermore, the Argentine government </w:t>
      </w:r>
      <w:r w:rsidRPr="00C41296">
        <w:rPr>
          <w:rFonts w:asciiTheme="majorHAnsi" w:hAnsiTheme="majorHAnsi" w:cstheme="majorHAnsi"/>
          <w:b/>
          <w:sz w:val="22"/>
          <w:szCs w:val="22"/>
          <w:lang w:val="en-GB"/>
        </w:rPr>
        <w:t>encourages movement of scholars</w:t>
      </w:r>
      <w:r w:rsidR="00C41296">
        <w:rPr>
          <w:rFonts w:asciiTheme="majorHAnsi" w:hAnsiTheme="majorHAnsi" w:cstheme="majorHAnsi"/>
          <w:sz w:val="22"/>
          <w:szCs w:val="22"/>
          <w:lang w:val="en-GB"/>
        </w:rPr>
        <w:t xml:space="preserve"> in order to increase attractiveness of the HE system</w:t>
      </w:r>
      <w:r>
        <w:rPr>
          <w:rFonts w:asciiTheme="majorHAnsi" w:hAnsiTheme="majorHAnsi" w:cstheme="majorHAnsi"/>
          <w:sz w:val="22"/>
          <w:szCs w:val="22"/>
          <w:lang w:val="en-GB"/>
        </w:rPr>
        <w:t>, especially “</w:t>
      </w:r>
      <w:r w:rsidRPr="00C41296">
        <w:rPr>
          <w:rFonts w:asciiTheme="majorHAnsi" w:hAnsiTheme="majorHAnsi" w:cstheme="majorHAnsi"/>
          <w:b/>
          <w:sz w:val="22"/>
          <w:szCs w:val="22"/>
          <w:lang w:val="en-GB"/>
        </w:rPr>
        <w:t>repatriation of scientists</w:t>
      </w:r>
      <w:r w:rsidRPr="00E36A38">
        <w:rPr>
          <w:rFonts w:asciiTheme="majorHAnsi" w:hAnsiTheme="majorHAnsi" w:cstheme="majorHAnsi"/>
          <w:sz w:val="22"/>
          <w:szCs w:val="22"/>
          <w:lang w:val="en-GB"/>
        </w:rPr>
        <w:t xml:space="preserve"> who left the country during the 2001–2002</w:t>
      </w:r>
      <w:r>
        <w:rPr>
          <w:rFonts w:asciiTheme="majorHAnsi" w:hAnsiTheme="majorHAnsi" w:cstheme="majorHAnsi"/>
          <w:sz w:val="22"/>
          <w:szCs w:val="22"/>
          <w:lang w:val="en-GB"/>
        </w:rPr>
        <w:t xml:space="preserve"> </w:t>
      </w:r>
      <w:r w:rsidRPr="00E36A38">
        <w:rPr>
          <w:rFonts w:asciiTheme="majorHAnsi" w:hAnsiTheme="majorHAnsi" w:cstheme="majorHAnsi"/>
          <w:sz w:val="22"/>
          <w:szCs w:val="22"/>
          <w:lang w:val="en-GB"/>
        </w:rPr>
        <w:t>social and economic crisis</w:t>
      </w:r>
      <w:r>
        <w:rPr>
          <w:rFonts w:asciiTheme="majorHAnsi" w:hAnsiTheme="majorHAnsi" w:cstheme="majorHAnsi"/>
          <w:sz w:val="22"/>
          <w:szCs w:val="22"/>
          <w:lang w:val="en-GB"/>
        </w:rPr>
        <w:t>” with the aim of reintegrating them “</w:t>
      </w:r>
      <w:r w:rsidRPr="00E36A38">
        <w:rPr>
          <w:rFonts w:asciiTheme="majorHAnsi" w:hAnsiTheme="majorHAnsi" w:cstheme="majorHAnsi"/>
          <w:sz w:val="22"/>
          <w:szCs w:val="22"/>
          <w:lang w:val="en-GB"/>
        </w:rPr>
        <w:t>into the</w:t>
      </w:r>
      <w:r>
        <w:rPr>
          <w:rFonts w:asciiTheme="majorHAnsi" w:hAnsiTheme="majorHAnsi" w:cstheme="majorHAnsi"/>
          <w:sz w:val="22"/>
          <w:szCs w:val="22"/>
          <w:lang w:val="en-GB"/>
        </w:rPr>
        <w:t xml:space="preserve"> </w:t>
      </w:r>
      <w:r w:rsidRPr="00E36A38">
        <w:rPr>
          <w:rFonts w:asciiTheme="majorHAnsi" w:hAnsiTheme="majorHAnsi" w:cstheme="majorHAnsi"/>
          <w:sz w:val="22"/>
          <w:szCs w:val="22"/>
          <w:lang w:val="en-GB"/>
        </w:rPr>
        <w:t>country’s science and technology infrastructure</w:t>
      </w:r>
      <w:r>
        <w:rPr>
          <w:rFonts w:asciiTheme="majorHAnsi" w:hAnsiTheme="majorHAnsi" w:cstheme="majorHAnsi"/>
          <w:sz w:val="22"/>
          <w:szCs w:val="22"/>
          <w:lang w:val="en-GB"/>
        </w:rPr>
        <w:t>” in key fields such as “</w:t>
      </w:r>
      <w:r w:rsidRPr="00E36A38">
        <w:rPr>
          <w:rFonts w:asciiTheme="majorHAnsi" w:hAnsiTheme="majorHAnsi" w:cstheme="majorHAnsi"/>
          <w:sz w:val="22"/>
          <w:szCs w:val="22"/>
          <w:lang w:val="en-GB"/>
        </w:rPr>
        <w:t>agroindustry, energy, health, social development, sustainable development, and others identified in the National</w:t>
      </w:r>
      <w:r>
        <w:rPr>
          <w:rFonts w:asciiTheme="majorHAnsi" w:hAnsiTheme="majorHAnsi" w:cstheme="majorHAnsi"/>
          <w:sz w:val="22"/>
          <w:szCs w:val="22"/>
          <w:lang w:val="en-GB"/>
        </w:rPr>
        <w:t xml:space="preserve"> </w:t>
      </w:r>
      <w:r w:rsidRPr="00E36A38">
        <w:rPr>
          <w:rFonts w:asciiTheme="majorHAnsi" w:hAnsiTheme="majorHAnsi" w:cstheme="majorHAnsi"/>
          <w:sz w:val="22"/>
          <w:szCs w:val="22"/>
          <w:lang w:val="en-GB"/>
        </w:rPr>
        <w:t xml:space="preserve">Plan of Science, </w:t>
      </w:r>
      <w:r w:rsidRPr="00AC2F16">
        <w:rPr>
          <w:rFonts w:asciiTheme="majorHAnsi" w:hAnsiTheme="majorHAnsi" w:cstheme="majorHAnsi"/>
          <w:sz w:val="22"/>
          <w:szCs w:val="22"/>
          <w:lang w:val="en-GB"/>
        </w:rPr>
        <w:t xml:space="preserve">Technology, and Innovation as strategic priorities for the country.” This was done through the creation of the </w:t>
      </w:r>
      <w:r w:rsidRPr="00AC2F16">
        <w:rPr>
          <w:rFonts w:asciiTheme="majorHAnsi" w:hAnsiTheme="majorHAnsi" w:cstheme="majorHAnsi"/>
          <w:b/>
          <w:sz w:val="22"/>
          <w:szCs w:val="22"/>
          <w:lang w:val="en-GB"/>
        </w:rPr>
        <w:t>Network for Argentine Researchers and Scientists Abroad (RAICES</w:t>
      </w:r>
      <w:proofErr w:type="gramStart"/>
      <w:r w:rsidRPr="00AC2F16">
        <w:rPr>
          <w:rFonts w:asciiTheme="majorHAnsi" w:hAnsiTheme="majorHAnsi" w:cstheme="majorHAnsi"/>
          <w:b/>
          <w:sz w:val="22"/>
          <w:szCs w:val="22"/>
          <w:lang w:val="en-GB"/>
        </w:rPr>
        <w:t>)</w:t>
      </w:r>
      <w:r w:rsidR="00C41296" w:rsidRPr="00AC2F16">
        <w:rPr>
          <w:rFonts w:asciiTheme="majorHAnsi" w:hAnsiTheme="majorHAnsi" w:cstheme="majorHAnsi"/>
          <w:sz w:val="22"/>
          <w:szCs w:val="22"/>
          <w:lang w:val="en-GB"/>
        </w:rPr>
        <w:t>, and</w:t>
      </w:r>
      <w:proofErr w:type="gramEnd"/>
      <w:r w:rsidR="00C41296" w:rsidRPr="00AC2F16">
        <w:rPr>
          <w:rFonts w:asciiTheme="majorHAnsi" w:hAnsiTheme="majorHAnsi" w:cstheme="majorHAnsi"/>
          <w:sz w:val="22"/>
          <w:szCs w:val="22"/>
          <w:lang w:val="en-GB"/>
        </w:rPr>
        <w:t xml:space="preserve"> had repatriated 1000 scholars within the first 6 years of its existence.</w:t>
      </w:r>
      <w:r w:rsidR="00C41296" w:rsidRPr="00AC2F16">
        <w:rPr>
          <w:rStyle w:val="FootnoteReference"/>
          <w:rFonts w:asciiTheme="majorHAnsi" w:hAnsiTheme="majorHAnsi" w:cstheme="majorHAnsi"/>
          <w:sz w:val="22"/>
          <w:szCs w:val="22"/>
          <w:lang w:val="en-GB"/>
        </w:rPr>
        <w:footnoteReference w:id="32"/>
      </w:r>
    </w:p>
    <w:p w14:paraId="2DDB617B" w14:textId="5C79FF32" w:rsidR="00E36A38" w:rsidRPr="00AC2F16" w:rsidRDefault="00C41296" w:rsidP="00E36A38">
      <w:pPr>
        <w:spacing w:after="120"/>
        <w:rPr>
          <w:rFonts w:asciiTheme="majorHAnsi" w:hAnsiTheme="majorHAnsi" w:cstheme="majorHAnsi"/>
          <w:sz w:val="22"/>
          <w:szCs w:val="22"/>
          <w:lang w:val="en-GB"/>
        </w:rPr>
      </w:pPr>
      <w:r w:rsidRPr="00AC2F16">
        <w:rPr>
          <w:rFonts w:asciiTheme="majorHAnsi" w:hAnsiTheme="majorHAnsi" w:cstheme="majorHAnsi"/>
          <w:sz w:val="22"/>
          <w:szCs w:val="22"/>
          <w:lang w:val="en-GB"/>
        </w:rPr>
        <w:t xml:space="preserve">Internationalisation of the HE system and attraction of international students is also done at the institutional level, as “many Argentine colleges and universities are </w:t>
      </w:r>
      <w:r w:rsidRPr="00AC2F16">
        <w:rPr>
          <w:rFonts w:asciiTheme="majorHAnsi" w:hAnsiTheme="majorHAnsi" w:cstheme="majorHAnsi"/>
          <w:b/>
          <w:sz w:val="22"/>
          <w:szCs w:val="22"/>
          <w:lang w:val="en-GB"/>
        </w:rPr>
        <w:t>introducing initiatives to promote faculty exchange</w:t>
      </w:r>
      <w:r w:rsidRPr="00AC2F16">
        <w:rPr>
          <w:rFonts w:asciiTheme="majorHAnsi" w:hAnsiTheme="majorHAnsi" w:cstheme="majorHAnsi"/>
          <w:sz w:val="22"/>
          <w:szCs w:val="22"/>
          <w:lang w:val="en-GB"/>
        </w:rPr>
        <w:t xml:space="preserve"> and </w:t>
      </w:r>
      <w:r w:rsidRPr="00AC2F16">
        <w:rPr>
          <w:rFonts w:asciiTheme="majorHAnsi" w:hAnsiTheme="majorHAnsi" w:cstheme="majorHAnsi"/>
          <w:b/>
          <w:sz w:val="22"/>
          <w:szCs w:val="22"/>
          <w:lang w:val="en-GB"/>
        </w:rPr>
        <w:t>engagement in international research networks</w:t>
      </w:r>
      <w:r w:rsidRPr="00AC2F16">
        <w:rPr>
          <w:rFonts w:asciiTheme="majorHAnsi" w:hAnsiTheme="majorHAnsi" w:cstheme="majorHAnsi"/>
          <w:sz w:val="22"/>
          <w:szCs w:val="22"/>
          <w:lang w:val="en-GB"/>
        </w:rPr>
        <w:t xml:space="preserve">. An increasing number of institutions, for example, are </w:t>
      </w:r>
      <w:r w:rsidRPr="00AC2F16">
        <w:rPr>
          <w:rFonts w:asciiTheme="majorHAnsi" w:hAnsiTheme="majorHAnsi" w:cstheme="majorHAnsi"/>
          <w:b/>
          <w:sz w:val="22"/>
          <w:szCs w:val="22"/>
          <w:lang w:val="en-GB"/>
        </w:rPr>
        <w:t>creating “international cooperation departments”</w:t>
      </w:r>
      <w:r w:rsidRPr="00AC2F16">
        <w:rPr>
          <w:rFonts w:asciiTheme="majorHAnsi" w:hAnsiTheme="majorHAnsi" w:cstheme="majorHAnsi"/>
          <w:sz w:val="22"/>
          <w:szCs w:val="22"/>
          <w:lang w:val="en-GB"/>
        </w:rPr>
        <w:t xml:space="preserve"> to </w:t>
      </w:r>
      <w:r w:rsidRPr="00AC2F16">
        <w:rPr>
          <w:rFonts w:asciiTheme="majorHAnsi" w:hAnsiTheme="majorHAnsi" w:cstheme="majorHAnsi"/>
          <w:b/>
          <w:sz w:val="22"/>
          <w:szCs w:val="22"/>
          <w:lang w:val="en-GB"/>
        </w:rPr>
        <w:t>facilitate connections</w:t>
      </w:r>
      <w:r w:rsidRPr="00AC2F16">
        <w:rPr>
          <w:rFonts w:asciiTheme="majorHAnsi" w:hAnsiTheme="majorHAnsi" w:cstheme="majorHAnsi"/>
          <w:sz w:val="22"/>
          <w:szCs w:val="22"/>
          <w:lang w:val="en-GB"/>
        </w:rPr>
        <w:t xml:space="preserve">. The new </w:t>
      </w:r>
      <w:r w:rsidRPr="00AC2F16">
        <w:rPr>
          <w:rFonts w:asciiTheme="majorHAnsi" w:hAnsiTheme="majorHAnsi" w:cstheme="majorHAnsi"/>
          <w:b/>
          <w:sz w:val="22"/>
          <w:szCs w:val="22"/>
          <w:lang w:val="en-GB"/>
        </w:rPr>
        <w:t>FAEI (Argentine Forum for International Education)</w:t>
      </w:r>
      <w:r w:rsidRPr="00AC2F16">
        <w:rPr>
          <w:rFonts w:asciiTheme="majorHAnsi" w:hAnsiTheme="majorHAnsi" w:cstheme="majorHAnsi"/>
          <w:sz w:val="22"/>
          <w:szCs w:val="22"/>
          <w:lang w:val="en-GB"/>
        </w:rPr>
        <w:t xml:space="preserve"> aims to bring together Argentine institutions to </w:t>
      </w:r>
      <w:r w:rsidRPr="00AC2F16">
        <w:rPr>
          <w:rFonts w:asciiTheme="majorHAnsi" w:hAnsiTheme="majorHAnsi" w:cstheme="majorHAnsi"/>
          <w:b/>
          <w:sz w:val="22"/>
          <w:szCs w:val="22"/>
          <w:lang w:val="en-GB"/>
        </w:rPr>
        <w:t>promote international education within Argentina and abroad</w:t>
      </w:r>
      <w:r w:rsidRPr="00AC2F16">
        <w:rPr>
          <w:rFonts w:asciiTheme="majorHAnsi" w:hAnsiTheme="majorHAnsi" w:cstheme="majorHAnsi"/>
          <w:sz w:val="22"/>
          <w:szCs w:val="22"/>
          <w:lang w:val="en-GB"/>
        </w:rPr>
        <w:t>.”</w:t>
      </w:r>
      <w:r w:rsidRPr="00AC2F16">
        <w:rPr>
          <w:rStyle w:val="FootnoteReference"/>
          <w:rFonts w:asciiTheme="majorHAnsi" w:hAnsiTheme="majorHAnsi" w:cstheme="majorHAnsi"/>
          <w:sz w:val="22"/>
          <w:szCs w:val="22"/>
          <w:lang w:val="en-GB"/>
        </w:rPr>
        <w:footnoteReference w:id="33"/>
      </w:r>
    </w:p>
    <w:p w14:paraId="57696D75" w14:textId="42C8C4C6" w:rsidR="000A4020" w:rsidRPr="00E45751" w:rsidRDefault="004B024D" w:rsidP="001113F4">
      <w:pPr>
        <w:pStyle w:val="Heading2"/>
        <w:numPr>
          <w:ilvl w:val="1"/>
          <w:numId w:val="47"/>
        </w:numPr>
        <w:spacing w:after="120"/>
        <w:jc w:val="both"/>
        <w:rPr>
          <w:rFonts w:cstheme="majorHAnsi"/>
          <w:lang w:val="en-GB"/>
        </w:rPr>
      </w:pPr>
      <w:bookmarkStart w:id="37" w:name="_Toc416471904"/>
      <w:r w:rsidRPr="00E45751">
        <w:rPr>
          <w:rFonts w:cstheme="majorHAnsi"/>
          <w:lang w:val="en-GB"/>
        </w:rPr>
        <w:t>Australia</w:t>
      </w:r>
      <w:bookmarkEnd w:id="37"/>
    </w:p>
    <w:p w14:paraId="0497A0E3" w14:textId="23B8F8B8" w:rsidR="004B024D" w:rsidRPr="00E45751" w:rsidRDefault="004B024D"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International Education (of which higher education is the largest part) is Australia’s “largest service export and its third largest export industry, earning $28.6 billion in 2016-17</w:t>
      </w:r>
      <w:r w:rsidR="006806B1" w:rsidRPr="00E45751">
        <w:rPr>
          <w:rFonts w:asciiTheme="majorHAnsi" w:hAnsiTheme="majorHAnsi" w:cstheme="majorHAnsi"/>
          <w:sz w:val="22"/>
          <w:szCs w:val="22"/>
          <w:lang w:val="en-GB"/>
        </w:rPr>
        <w:t>.</w:t>
      </w:r>
      <w:r w:rsidRPr="00E45751">
        <w:rPr>
          <w:rFonts w:asciiTheme="majorHAnsi" w:hAnsiTheme="majorHAnsi" w:cstheme="majorHAnsi"/>
          <w:sz w:val="22"/>
          <w:szCs w:val="22"/>
          <w:lang w:val="en-GB"/>
        </w:rPr>
        <w:t xml:space="preserve">” </w:t>
      </w:r>
      <w:r w:rsidR="006806B1" w:rsidRPr="00E45751">
        <w:rPr>
          <w:rFonts w:asciiTheme="majorHAnsi" w:hAnsiTheme="majorHAnsi" w:cstheme="majorHAnsi"/>
          <w:sz w:val="22"/>
          <w:szCs w:val="22"/>
          <w:lang w:val="en-GB"/>
        </w:rPr>
        <w:t>Australia has more than 300,000 international students in its HEIs, and international students make up 26% of the total student body, which is the largest proportion of international to domestic students in the world.</w:t>
      </w:r>
      <w:r w:rsidR="006806B1" w:rsidRPr="00E45751">
        <w:rPr>
          <w:rStyle w:val="FootnoteReference"/>
          <w:rFonts w:asciiTheme="majorHAnsi" w:hAnsiTheme="majorHAnsi" w:cstheme="majorHAnsi"/>
          <w:sz w:val="22"/>
          <w:szCs w:val="22"/>
          <w:lang w:val="en-GB"/>
        </w:rPr>
        <w:footnoteReference w:id="34"/>
      </w:r>
    </w:p>
    <w:p w14:paraId="59E77966" w14:textId="00FD24B5" w:rsidR="006806B1" w:rsidRPr="00E45751" w:rsidRDefault="006806B1"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A major element of internationalisation policy has been </w:t>
      </w:r>
      <w:r w:rsidRPr="00E45751">
        <w:rPr>
          <w:rFonts w:asciiTheme="majorHAnsi" w:hAnsiTheme="majorHAnsi" w:cstheme="majorHAnsi"/>
          <w:b/>
          <w:sz w:val="22"/>
          <w:szCs w:val="22"/>
          <w:lang w:val="en-GB"/>
        </w:rPr>
        <w:t xml:space="preserve">making links between Australian universities and universities </w:t>
      </w:r>
      <w:r w:rsidR="002906A4" w:rsidRPr="00E45751">
        <w:rPr>
          <w:rFonts w:asciiTheme="majorHAnsi" w:hAnsiTheme="majorHAnsi" w:cstheme="majorHAnsi"/>
          <w:b/>
          <w:sz w:val="22"/>
          <w:szCs w:val="22"/>
          <w:lang w:val="en-GB"/>
        </w:rPr>
        <w:t>of</w:t>
      </w:r>
      <w:r w:rsidRPr="00E45751">
        <w:rPr>
          <w:rFonts w:asciiTheme="majorHAnsi" w:hAnsiTheme="majorHAnsi" w:cstheme="majorHAnsi"/>
          <w:b/>
          <w:sz w:val="22"/>
          <w:szCs w:val="22"/>
          <w:lang w:val="en-GB"/>
        </w:rPr>
        <w:t xml:space="preserve"> regional neighbours and historical partners</w:t>
      </w:r>
      <w:r w:rsidRPr="00E45751">
        <w:rPr>
          <w:rFonts w:asciiTheme="majorHAnsi" w:hAnsiTheme="majorHAnsi" w:cstheme="majorHAnsi"/>
          <w:sz w:val="22"/>
          <w:szCs w:val="22"/>
          <w:lang w:val="en-GB"/>
        </w:rPr>
        <w:t xml:space="preserve"> (such as the UK). In addition, the establishment of </w:t>
      </w:r>
      <w:r w:rsidRPr="00E45751">
        <w:rPr>
          <w:rFonts w:asciiTheme="majorHAnsi" w:hAnsiTheme="majorHAnsi" w:cstheme="majorHAnsi"/>
          <w:b/>
          <w:sz w:val="22"/>
          <w:szCs w:val="22"/>
          <w:lang w:val="en-GB"/>
        </w:rPr>
        <w:t>branch campuses of Australian universities</w:t>
      </w:r>
      <w:r w:rsidRPr="00E45751">
        <w:rPr>
          <w:rFonts w:asciiTheme="majorHAnsi" w:hAnsiTheme="majorHAnsi" w:cstheme="majorHAnsi"/>
          <w:sz w:val="22"/>
          <w:szCs w:val="22"/>
          <w:lang w:val="en-GB"/>
        </w:rPr>
        <w:t xml:space="preserve"> in neighbouring countries has increased communication between Australian institutions and foreign governments, international companies and local communities.</w:t>
      </w:r>
      <w:r w:rsidR="002906A4" w:rsidRPr="00E45751">
        <w:rPr>
          <w:rStyle w:val="FootnoteReference"/>
          <w:rFonts w:asciiTheme="majorHAnsi" w:hAnsiTheme="majorHAnsi" w:cstheme="majorHAnsi"/>
          <w:sz w:val="22"/>
          <w:szCs w:val="22"/>
          <w:lang w:val="en-GB"/>
        </w:rPr>
        <w:footnoteReference w:id="35"/>
      </w:r>
    </w:p>
    <w:p w14:paraId="2AD80ACB" w14:textId="08368AFE" w:rsidR="006806B1" w:rsidRPr="00E45751" w:rsidRDefault="006806B1" w:rsidP="00216257">
      <w:p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Government policy encouraging immigration and engagement in the Asia-Pacific region</w:t>
      </w:r>
      <w:r w:rsidRPr="00E45751">
        <w:rPr>
          <w:rFonts w:asciiTheme="majorHAnsi" w:hAnsiTheme="majorHAnsi" w:cstheme="majorHAnsi"/>
          <w:sz w:val="22"/>
          <w:szCs w:val="22"/>
          <w:lang w:val="en-GB"/>
        </w:rPr>
        <w:t xml:space="preserve"> has worked in tandem with universities to ensure the wide internationalisation of HE.</w:t>
      </w:r>
      <w:r w:rsidR="002906A4" w:rsidRPr="00E45751">
        <w:rPr>
          <w:rFonts w:asciiTheme="majorHAnsi" w:hAnsiTheme="majorHAnsi" w:cstheme="majorHAnsi"/>
          <w:sz w:val="22"/>
          <w:szCs w:val="22"/>
          <w:lang w:val="en-GB"/>
        </w:rPr>
        <w:t xml:space="preserve"> Government policy has welcomed international students and allowed them to stay after their studies to live and work in Australia. These </w:t>
      </w:r>
      <w:r w:rsidR="002906A4" w:rsidRPr="00E45751">
        <w:rPr>
          <w:rFonts w:asciiTheme="majorHAnsi" w:hAnsiTheme="majorHAnsi" w:cstheme="majorHAnsi"/>
          <w:b/>
          <w:sz w:val="22"/>
          <w:szCs w:val="22"/>
          <w:lang w:val="en-GB"/>
        </w:rPr>
        <w:t>relatively open borders</w:t>
      </w:r>
      <w:r w:rsidR="002906A4" w:rsidRPr="00E45751">
        <w:rPr>
          <w:rFonts w:asciiTheme="majorHAnsi" w:hAnsiTheme="majorHAnsi" w:cstheme="majorHAnsi"/>
          <w:sz w:val="22"/>
          <w:szCs w:val="22"/>
          <w:lang w:val="en-GB"/>
        </w:rPr>
        <w:t xml:space="preserve"> have been instrumental in attracting high quality students and academics that in turn support and contribute to high quality higher education in the country.</w:t>
      </w:r>
      <w:r w:rsidRPr="00E45751">
        <w:rPr>
          <w:rFonts w:asciiTheme="majorHAnsi" w:hAnsiTheme="majorHAnsi" w:cstheme="majorHAnsi"/>
          <w:sz w:val="22"/>
          <w:szCs w:val="22"/>
          <w:lang w:val="en-GB"/>
        </w:rPr>
        <w:t xml:space="preserve"> Thanks to this governmental outlook, </w:t>
      </w:r>
      <w:proofErr w:type="gramStart"/>
      <w:r w:rsidR="002906A4" w:rsidRPr="00E45751">
        <w:rPr>
          <w:rFonts w:asciiTheme="majorHAnsi" w:hAnsiTheme="majorHAnsi" w:cstheme="majorHAnsi"/>
          <w:sz w:val="22"/>
          <w:szCs w:val="22"/>
          <w:lang w:val="en-GB"/>
        </w:rPr>
        <w:t>the majority of</w:t>
      </w:r>
      <w:proofErr w:type="gramEnd"/>
      <w:r w:rsidR="002906A4" w:rsidRPr="00E45751">
        <w:rPr>
          <w:rFonts w:asciiTheme="majorHAnsi" w:hAnsiTheme="majorHAnsi" w:cstheme="majorHAnsi"/>
          <w:sz w:val="22"/>
          <w:szCs w:val="22"/>
          <w:lang w:val="en-GB"/>
        </w:rPr>
        <w:t xml:space="preserve"> Australians remain convinced that immigration and multiculturalism are good for the country, despite a worldwide decrease in popular opinion on these issues.</w:t>
      </w:r>
      <w:r w:rsidR="002906A4" w:rsidRPr="00E45751">
        <w:rPr>
          <w:rStyle w:val="FootnoteReference"/>
          <w:rFonts w:asciiTheme="majorHAnsi" w:hAnsiTheme="majorHAnsi" w:cstheme="majorHAnsi"/>
          <w:sz w:val="22"/>
          <w:szCs w:val="22"/>
          <w:lang w:val="en-GB"/>
        </w:rPr>
        <w:footnoteReference w:id="36"/>
      </w:r>
    </w:p>
    <w:p w14:paraId="1E30A108" w14:textId="6311E6F0" w:rsidR="00313701" w:rsidRPr="00E45751" w:rsidRDefault="00313701"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Specific government policy changes during the 1980s and 1990s developed Australia as a major exporter of higher education services. These included “decisions to actively recruit foreign students on a commercial basis, to actively encourage higher education institutions to raise more of their own </w:t>
      </w:r>
      <w:r w:rsidRPr="00E45751">
        <w:rPr>
          <w:rFonts w:asciiTheme="majorHAnsi" w:hAnsiTheme="majorHAnsi" w:cstheme="majorHAnsi"/>
          <w:sz w:val="22"/>
          <w:szCs w:val="22"/>
          <w:lang w:val="en-GB"/>
        </w:rPr>
        <w:lastRenderedPageBreak/>
        <w:t>revenue, and to restructure the economy encouraging a broadening of the formerly narrow export base to include specialized services.”</w:t>
      </w:r>
      <w:r w:rsidRPr="00E45751">
        <w:rPr>
          <w:rStyle w:val="FootnoteReference"/>
          <w:rFonts w:asciiTheme="majorHAnsi" w:hAnsiTheme="majorHAnsi" w:cstheme="majorHAnsi"/>
          <w:sz w:val="22"/>
          <w:szCs w:val="22"/>
          <w:lang w:val="en-GB"/>
        </w:rPr>
        <w:footnoteReference w:id="37"/>
      </w:r>
    </w:p>
    <w:p w14:paraId="0FB871DE" w14:textId="5FFE7935" w:rsidR="003C4F71" w:rsidRPr="00E45751" w:rsidRDefault="00835523"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W</w:t>
      </w:r>
      <w:r w:rsidR="00313701" w:rsidRPr="00E45751">
        <w:rPr>
          <w:rFonts w:asciiTheme="majorHAnsi" w:hAnsiTheme="majorHAnsi" w:cstheme="majorHAnsi"/>
          <w:sz w:val="22"/>
          <w:szCs w:val="22"/>
          <w:lang w:val="en-GB"/>
        </w:rPr>
        <w:t xml:space="preserve">ith respect to trade, Australia made commitments to </w:t>
      </w:r>
      <w:r w:rsidR="00313701" w:rsidRPr="00E45751">
        <w:rPr>
          <w:rFonts w:asciiTheme="majorHAnsi" w:hAnsiTheme="majorHAnsi" w:cstheme="majorHAnsi"/>
          <w:b/>
          <w:sz w:val="22"/>
          <w:szCs w:val="22"/>
          <w:lang w:val="en-GB"/>
        </w:rPr>
        <w:t>decrease trade barriers in trade in educational services</w:t>
      </w:r>
      <w:r w:rsidR="00313701" w:rsidRPr="00E45751">
        <w:rPr>
          <w:rFonts w:asciiTheme="majorHAnsi" w:hAnsiTheme="majorHAnsi" w:cstheme="majorHAnsi"/>
          <w:sz w:val="22"/>
          <w:szCs w:val="22"/>
          <w:lang w:val="en-GB"/>
        </w:rPr>
        <w:t>, which are included its GATS schedule in the WTO.</w:t>
      </w:r>
      <w:r w:rsidR="00313701" w:rsidRPr="00E45751">
        <w:rPr>
          <w:rStyle w:val="FootnoteReference"/>
          <w:rFonts w:asciiTheme="majorHAnsi" w:hAnsiTheme="majorHAnsi" w:cstheme="majorHAnsi"/>
          <w:sz w:val="22"/>
          <w:szCs w:val="22"/>
          <w:lang w:val="en-GB"/>
        </w:rPr>
        <w:footnoteReference w:id="38"/>
      </w:r>
      <w:r w:rsidR="003C4F71" w:rsidRPr="00E45751">
        <w:rPr>
          <w:rFonts w:asciiTheme="majorHAnsi" w:hAnsiTheme="majorHAnsi" w:cstheme="majorHAnsi"/>
          <w:sz w:val="22"/>
          <w:szCs w:val="22"/>
          <w:lang w:val="en-GB"/>
        </w:rPr>
        <w:t xml:space="preserve">  The policy shift from development programmes in higher education to trade and export of HE as a service was important in promoting internationalisation of the Australia higher education system.</w:t>
      </w:r>
    </w:p>
    <w:p w14:paraId="407CE0C3" w14:textId="59378789" w:rsidR="00835523" w:rsidRPr="00E45751" w:rsidRDefault="00835523"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Measures undertaken by HEIs have also contributed to successful and continued attraction of international students. </w:t>
      </w:r>
      <w:r w:rsidRPr="00E45751">
        <w:rPr>
          <w:rFonts w:asciiTheme="majorHAnsi" w:hAnsiTheme="majorHAnsi" w:cstheme="majorHAnsi"/>
          <w:b/>
          <w:sz w:val="22"/>
          <w:szCs w:val="22"/>
          <w:lang w:val="en-GB"/>
        </w:rPr>
        <w:t>Supporting learning in English</w:t>
      </w:r>
      <w:r w:rsidRPr="00E45751">
        <w:rPr>
          <w:rFonts w:asciiTheme="majorHAnsi" w:hAnsiTheme="majorHAnsi" w:cstheme="majorHAnsi"/>
          <w:sz w:val="22"/>
          <w:szCs w:val="22"/>
          <w:lang w:val="en-GB"/>
        </w:rPr>
        <w:t xml:space="preserve"> is important, and “several universities have experimented with a variety of methodologies in developing English language skills, including the Reflective Practice Method and the use of computers.”</w:t>
      </w:r>
      <w:r w:rsidRPr="00E45751">
        <w:rPr>
          <w:rStyle w:val="FootnoteReference"/>
          <w:rFonts w:asciiTheme="majorHAnsi" w:hAnsiTheme="majorHAnsi" w:cstheme="majorHAnsi"/>
          <w:sz w:val="22"/>
          <w:szCs w:val="22"/>
          <w:lang w:val="en-GB"/>
        </w:rPr>
        <w:footnoteReference w:id="39"/>
      </w:r>
      <w:r w:rsidRPr="00E45751">
        <w:rPr>
          <w:rFonts w:asciiTheme="majorHAnsi" w:hAnsiTheme="majorHAnsi" w:cstheme="majorHAnsi"/>
          <w:sz w:val="22"/>
          <w:szCs w:val="22"/>
          <w:lang w:val="en-GB"/>
        </w:rPr>
        <w:t xml:space="preserve"> This and the attempt to internationalise the curriculum and include internationalisation policies in HEI strategy have been instrumental. Nevertheless, while Australia has had great success in expansion of export </w:t>
      </w:r>
      <w:proofErr w:type="gramStart"/>
      <w:r w:rsidRPr="00E45751">
        <w:rPr>
          <w:rFonts w:asciiTheme="majorHAnsi" w:hAnsiTheme="majorHAnsi" w:cstheme="majorHAnsi"/>
          <w:sz w:val="22"/>
          <w:szCs w:val="22"/>
          <w:lang w:val="en-GB"/>
        </w:rPr>
        <w:t>education,  “</w:t>
      </w:r>
      <w:proofErr w:type="gramEnd"/>
      <w:r w:rsidRPr="00E45751">
        <w:rPr>
          <w:rFonts w:asciiTheme="majorHAnsi" w:hAnsiTheme="majorHAnsi" w:cstheme="majorHAnsi"/>
          <w:sz w:val="22"/>
          <w:szCs w:val="22"/>
          <w:lang w:val="en-GB"/>
        </w:rPr>
        <w:t>achievements in the internationalization of courses and capturing the benefits of internationalization for domestic students have been more limited.”</w:t>
      </w:r>
      <w:r w:rsidRPr="00E45751">
        <w:rPr>
          <w:rStyle w:val="FootnoteReference"/>
          <w:rFonts w:asciiTheme="majorHAnsi" w:hAnsiTheme="majorHAnsi" w:cstheme="majorHAnsi"/>
          <w:sz w:val="22"/>
          <w:szCs w:val="22"/>
          <w:lang w:val="en-GB"/>
        </w:rPr>
        <w:footnoteReference w:id="40"/>
      </w:r>
    </w:p>
    <w:p w14:paraId="1C37039B" w14:textId="760DED87" w:rsidR="00024633" w:rsidRPr="00E45751" w:rsidRDefault="0093175E" w:rsidP="001113F4">
      <w:pPr>
        <w:pStyle w:val="Heading2"/>
        <w:numPr>
          <w:ilvl w:val="1"/>
          <w:numId w:val="47"/>
        </w:numPr>
        <w:spacing w:after="120"/>
        <w:jc w:val="both"/>
        <w:rPr>
          <w:rFonts w:cstheme="majorHAnsi"/>
          <w:lang w:val="en-GB"/>
        </w:rPr>
      </w:pPr>
      <w:bookmarkStart w:id="38" w:name="_Toc416471905"/>
      <w:r w:rsidRPr="00E45751">
        <w:rPr>
          <w:rFonts w:cstheme="majorHAnsi"/>
          <w:lang w:val="en-GB"/>
        </w:rPr>
        <w:t>China</w:t>
      </w:r>
      <w:bookmarkEnd w:id="38"/>
    </w:p>
    <w:p w14:paraId="45334D17" w14:textId="1E1F3796" w:rsidR="00EC46A6" w:rsidRPr="00E45751" w:rsidRDefault="00EC46A6" w:rsidP="00216257">
      <w:p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China</w:t>
      </w:r>
      <w:r w:rsidRPr="00E45751">
        <w:rPr>
          <w:rFonts w:asciiTheme="majorHAnsi" w:hAnsiTheme="majorHAnsi" w:cstheme="majorHAnsi"/>
          <w:sz w:val="22"/>
          <w:szCs w:val="22"/>
          <w:lang w:val="en-GB"/>
        </w:rPr>
        <w:t xml:space="preserve"> has also </w:t>
      </w:r>
      <w:r w:rsidR="00EB49AA" w:rsidRPr="00E45751">
        <w:rPr>
          <w:rFonts w:asciiTheme="majorHAnsi" w:hAnsiTheme="majorHAnsi" w:cstheme="majorHAnsi"/>
          <w:sz w:val="22"/>
          <w:szCs w:val="22"/>
          <w:lang w:val="en-GB"/>
        </w:rPr>
        <w:t xml:space="preserve">pivoted its focus over the past 10 years </w:t>
      </w:r>
      <w:proofErr w:type="gramStart"/>
      <w:r w:rsidR="00EB49AA" w:rsidRPr="00E45751">
        <w:rPr>
          <w:rFonts w:asciiTheme="majorHAnsi" w:hAnsiTheme="majorHAnsi" w:cstheme="majorHAnsi"/>
          <w:sz w:val="22"/>
          <w:szCs w:val="22"/>
          <w:lang w:val="en-GB"/>
        </w:rPr>
        <w:t>in order</w:t>
      </w:r>
      <w:r w:rsidRPr="00E45751">
        <w:rPr>
          <w:rFonts w:asciiTheme="majorHAnsi" w:hAnsiTheme="majorHAnsi" w:cstheme="majorHAnsi"/>
          <w:sz w:val="22"/>
          <w:szCs w:val="22"/>
          <w:lang w:val="en-GB"/>
        </w:rPr>
        <w:t xml:space="preserve"> to</w:t>
      </w:r>
      <w:proofErr w:type="gramEnd"/>
      <w:r w:rsidRPr="00E45751">
        <w:rPr>
          <w:rFonts w:asciiTheme="majorHAnsi" w:hAnsiTheme="majorHAnsi" w:cstheme="majorHAnsi"/>
          <w:sz w:val="22"/>
          <w:szCs w:val="22"/>
          <w:lang w:val="en-GB"/>
        </w:rPr>
        <w:t xml:space="preserve"> attract</w:t>
      </w:r>
      <w:r w:rsidR="00EB49AA" w:rsidRPr="00E45751">
        <w:rPr>
          <w:rFonts w:asciiTheme="majorHAnsi" w:hAnsiTheme="majorHAnsi" w:cstheme="majorHAnsi"/>
          <w:sz w:val="22"/>
          <w:szCs w:val="22"/>
          <w:lang w:val="en-GB"/>
        </w:rPr>
        <w:t xml:space="preserve"> more</w:t>
      </w:r>
      <w:r w:rsidRPr="00E45751">
        <w:rPr>
          <w:rFonts w:asciiTheme="majorHAnsi" w:hAnsiTheme="majorHAnsi" w:cstheme="majorHAnsi"/>
          <w:sz w:val="22"/>
          <w:szCs w:val="22"/>
          <w:lang w:val="en-GB"/>
        </w:rPr>
        <w:t xml:space="preserve"> international students</w:t>
      </w:r>
      <w:r w:rsidR="00EB49AA" w:rsidRPr="00E45751">
        <w:rPr>
          <w:rFonts w:asciiTheme="majorHAnsi" w:hAnsiTheme="majorHAnsi" w:cstheme="majorHAnsi"/>
          <w:sz w:val="22"/>
          <w:szCs w:val="22"/>
          <w:lang w:val="en-GB"/>
        </w:rPr>
        <w:t xml:space="preserve"> and increase its standing as a destination for international students</w:t>
      </w:r>
      <w:r w:rsidRPr="00E45751">
        <w:rPr>
          <w:rFonts w:asciiTheme="majorHAnsi" w:hAnsiTheme="majorHAnsi" w:cstheme="majorHAnsi"/>
          <w:sz w:val="22"/>
          <w:szCs w:val="22"/>
          <w:lang w:val="en-GB"/>
        </w:rPr>
        <w:t xml:space="preserve">. In Africa, for example, China has invested in the construction of five Confucius Institutes </w:t>
      </w:r>
      <w:proofErr w:type="gramStart"/>
      <w:r w:rsidRPr="00E45751">
        <w:rPr>
          <w:rFonts w:asciiTheme="majorHAnsi" w:hAnsiTheme="majorHAnsi" w:cstheme="majorHAnsi"/>
          <w:sz w:val="22"/>
          <w:szCs w:val="22"/>
          <w:lang w:val="en-GB"/>
        </w:rPr>
        <w:t>in order to</w:t>
      </w:r>
      <w:proofErr w:type="gramEnd"/>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encourage Chinese language learning</w:t>
      </w:r>
      <w:r w:rsidRPr="00E45751">
        <w:rPr>
          <w:rFonts w:asciiTheme="majorHAnsi" w:hAnsiTheme="majorHAnsi" w:cstheme="majorHAnsi"/>
          <w:sz w:val="22"/>
          <w:szCs w:val="22"/>
          <w:lang w:val="en-GB"/>
        </w:rPr>
        <w:t>.</w:t>
      </w:r>
      <w:r w:rsidR="00243401" w:rsidRPr="00E45751">
        <w:rPr>
          <w:rFonts w:asciiTheme="majorHAnsi" w:hAnsiTheme="majorHAnsi" w:cstheme="majorHAnsi"/>
          <w:sz w:val="22"/>
          <w:szCs w:val="22"/>
          <w:lang w:val="en-GB"/>
        </w:rPr>
        <w:t xml:space="preserve"> Increasing the number and quality of Confucius Institutes is mentioned in the National Plan for medium and long-term education reform and development 2010-2020 under the heading of upgrading exchanges and cooperation.</w:t>
      </w:r>
      <w:r w:rsidR="00243401" w:rsidRPr="00E45751">
        <w:rPr>
          <w:rStyle w:val="FootnoteReference"/>
          <w:rFonts w:asciiTheme="majorHAnsi" w:hAnsiTheme="majorHAnsi" w:cstheme="majorHAnsi"/>
          <w:sz w:val="22"/>
          <w:szCs w:val="22"/>
          <w:lang w:val="en-GB"/>
        </w:rPr>
        <w:footnoteReference w:id="41"/>
      </w:r>
      <w:r w:rsidRPr="00E45751">
        <w:rPr>
          <w:rFonts w:asciiTheme="majorHAnsi" w:hAnsiTheme="majorHAnsi" w:cstheme="majorHAnsi"/>
          <w:sz w:val="22"/>
          <w:szCs w:val="22"/>
          <w:lang w:val="en-GB"/>
        </w:rPr>
        <w:t xml:space="preserve"> Although the principle goal</w:t>
      </w:r>
      <w:r w:rsidR="00243401" w:rsidRPr="00E45751">
        <w:rPr>
          <w:rFonts w:asciiTheme="majorHAnsi" w:hAnsiTheme="majorHAnsi" w:cstheme="majorHAnsi"/>
          <w:sz w:val="22"/>
          <w:szCs w:val="22"/>
          <w:lang w:val="en-GB"/>
        </w:rPr>
        <w:t xml:space="preserve"> of these Institutes</w:t>
      </w:r>
      <w:r w:rsidR="0086741C" w:rsidRPr="00E45751">
        <w:rPr>
          <w:rFonts w:asciiTheme="majorHAnsi" w:hAnsiTheme="majorHAnsi" w:cstheme="majorHAnsi"/>
          <w:sz w:val="22"/>
          <w:szCs w:val="22"/>
          <w:lang w:val="en-GB"/>
        </w:rPr>
        <w:t xml:space="preserve"> is enhancing and popularizing Chinese language learning</w:t>
      </w:r>
      <w:r w:rsidRPr="00E45751">
        <w:rPr>
          <w:rFonts w:asciiTheme="majorHAnsi" w:hAnsiTheme="majorHAnsi" w:cstheme="majorHAnsi"/>
          <w:sz w:val="22"/>
          <w:szCs w:val="22"/>
          <w:lang w:val="en-GB"/>
        </w:rPr>
        <w:t>, this</w:t>
      </w:r>
      <w:r w:rsidR="00243401" w:rsidRPr="00E45751">
        <w:rPr>
          <w:rFonts w:asciiTheme="majorHAnsi" w:hAnsiTheme="majorHAnsi" w:cstheme="majorHAnsi"/>
          <w:sz w:val="22"/>
          <w:szCs w:val="22"/>
          <w:lang w:val="en-GB"/>
        </w:rPr>
        <w:t xml:space="preserve"> investment</w:t>
      </w:r>
      <w:r w:rsidRPr="00E45751">
        <w:rPr>
          <w:rFonts w:asciiTheme="majorHAnsi" w:hAnsiTheme="majorHAnsi" w:cstheme="majorHAnsi"/>
          <w:sz w:val="22"/>
          <w:szCs w:val="22"/>
          <w:lang w:val="en-GB"/>
        </w:rPr>
        <w:t xml:space="preserve"> has resulted in an increase in African students attending Chinese universities.</w:t>
      </w:r>
      <w:r w:rsidRPr="00E45751">
        <w:rPr>
          <w:rFonts w:asciiTheme="majorHAnsi" w:hAnsiTheme="majorHAnsi" w:cstheme="majorHAnsi"/>
          <w:sz w:val="22"/>
          <w:szCs w:val="22"/>
          <w:vertAlign w:val="superscript"/>
          <w:lang w:val="en-GB"/>
        </w:rPr>
        <w:footnoteReference w:id="42"/>
      </w:r>
      <w:r w:rsidRPr="00E45751">
        <w:rPr>
          <w:rFonts w:asciiTheme="majorHAnsi" w:hAnsiTheme="majorHAnsi" w:cstheme="majorHAnsi"/>
          <w:sz w:val="22"/>
          <w:szCs w:val="22"/>
          <w:lang w:val="en-GB"/>
        </w:rPr>
        <w:t xml:space="preserve"> </w:t>
      </w:r>
      <w:r w:rsidR="00931E1F" w:rsidRPr="00E45751">
        <w:rPr>
          <w:rFonts w:asciiTheme="majorHAnsi" w:hAnsiTheme="majorHAnsi" w:cstheme="majorHAnsi"/>
          <w:sz w:val="22"/>
          <w:szCs w:val="22"/>
          <w:lang w:val="en-GB"/>
        </w:rPr>
        <w:t xml:space="preserve"> Increasing Chinese language proficiency has also been accomplished through the launch of a Chinese proficiency test “in an effort to better serve international learne</w:t>
      </w:r>
      <w:r w:rsidR="005107E8" w:rsidRPr="00E45751">
        <w:rPr>
          <w:rFonts w:asciiTheme="majorHAnsi" w:hAnsiTheme="majorHAnsi" w:cstheme="majorHAnsi"/>
          <w:sz w:val="22"/>
          <w:szCs w:val="22"/>
          <w:lang w:val="en-GB"/>
        </w:rPr>
        <w:t>rs and boost international enro</w:t>
      </w:r>
      <w:r w:rsidR="00931E1F" w:rsidRPr="00E45751">
        <w:rPr>
          <w:rFonts w:asciiTheme="majorHAnsi" w:hAnsiTheme="majorHAnsi" w:cstheme="majorHAnsi"/>
          <w:sz w:val="22"/>
          <w:szCs w:val="22"/>
          <w:lang w:val="en-GB"/>
        </w:rPr>
        <w:t>lments at Chinese higher education institutions.”</w:t>
      </w:r>
      <w:r w:rsidR="00931E1F" w:rsidRPr="00E45751">
        <w:rPr>
          <w:rStyle w:val="FootnoteReference"/>
          <w:rFonts w:asciiTheme="majorHAnsi" w:hAnsiTheme="majorHAnsi" w:cstheme="majorHAnsi"/>
          <w:sz w:val="22"/>
          <w:szCs w:val="22"/>
          <w:lang w:val="en-GB"/>
        </w:rPr>
        <w:footnoteReference w:id="43"/>
      </w:r>
    </w:p>
    <w:p w14:paraId="25AAA0FE" w14:textId="61C58E28" w:rsidR="008D5758" w:rsidRPr="00E45751" w:rsidRDefault="00EC46A6"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This </w:t>
      </w:r>
      <w:r w:rsidRPr="00E45751">
        <w:rPr>
          <w:rFonts w:asciiTheme="majorHAnsi" w:hAnsiTheme="majorHAnsi" w:cstheme="majorHAnsi"/>
          <w:b/>
          <w:sz w:val="22"/>
          <w:szCs w:val="22"/>
          <w:lang w:val="en-GB"/>
        </w:rPr>
        <w:t>international investment</w:t>
      </w:r>
      <w:r w:rsidRPr="00E45751">
        <w:rPr>
          <w:rFonts w:asciiTheme="majorHAnsi" w:hAnsiTheme="majorHAnsi" w:cstheme="majorHAnsi"/>
          <w:sz w:val="22"/>
          <w:szCs w:val="22"/>
          <w:lang w:val="en-GB"/>
        </w:rPr>
        <w:t xml:space="preserve"> is paired with </w:t>
      </w:r>
      <w:r w:rsidRPr="00E45751">
        <w:rPr>
          <w:rFonts w:asciiTheme="majorHAnsi" w:hAnsiTheme="majorHAnsi" w:cstheme="majorHAnsi"/>
          <w:b/>
          <w:sz w:val="22"/>
          <w:szCs w:val="22"/>
          <w:lang w:val="en-GB"/>
        </w:rPr>
        <w:t>internal reforms</w:t>
      </w:r>
      <w:r w:rsidRPr="00E45751">
        <w:rPr>
          <w:rFonts w:asciiTheme="majorHAnsi" w:hAnsiTheme="majorHAnsi" w:cstheme="majorHAnsi"/>
          <w:sz w:val="22"/>
          <w:szCs w:val="22"/>
          <w:lang w:val="en-GB"/>
        </w:rPr>
        <w:t>, reflected in the National Plan for the Reform and Development of Education in China 2010-2020, which is focused on the modernisation and internationalisation of Chinese universities in order to elevate them in the global ranking, and in the 2015-2017 Action Plan for Outgoing and Incoming Mobility.</w:t>
      </w:r>
      <w:r w:rsidRPr="00E45751">
        <w:rPr>
          <w:rFonts w:asciiTheme="majorHAnsi" w:hAnsiTheme="majorHAnsi" w:cstheme="majorHAnsi"/>
          <w:sz w:val="22"/>
          <w:szCs w:val="22"/>
          <w:vertAlign w:val="superscript"/>
          <w:lang w:val="en-GB"/>
        </w:rPr>
        <w:footnoteReference w:id="44"/>
      </w:r>
      <w:r w:rsidR="00831AD3" w:rsidRPr="00E45751">
        <w:rPr>
          <w:rFonts w:asciiTheme="majorHAnsi" w:hAnsiTheme="majorHAnsi" w:cstheme="majorHAnsi"/>
          <w:sz w:val="22"/>
          <w:szCs w:val="22"/>
          <w:lang w:val="en-GB"/>
        </w:rPr>
        <w:t xml:space="preserve"> China aims to receive 500,000 students by 2020, and </w:t>
      </w:r>
      <w:r w:rsidR="008D5758" w:rsidRPr="00E45751">
        <w:rPr>
          <w:rFonts w:asciiTheme="majorHAnsi" w:hAnsiTheme="majorHAnsi" w:cstheme="majorHAnsi"/>
          <w:sz w:val="22"/>
          <w:szCs w:val="22"/>
          <w:lang w:val="en-GB"/>
        </w:rPr>
        <w:t>has bypassed</w:t>
      </w:r>
      <w:r w:rsidR="00831AD3" w:rsidRPr="00E45751">
        <w:rPr>
          <w:rFonts w:asciiTheme="majorHAnsi" w:hAnsiTheme="majorHAnsi" w:cstheme="majorHAnsi"/>
          <w:sz w:val="22"/>
          <w:szCs w:val="22"/>
          <w:lang w:val="en-GB"/>
        </w:rPr>
        <w:t xml:space="preserve"> Australia, France and Germany to become the third most popular destination country for international students after the US and the UK.</w:t>
      </w:r>
      <w:r w:rsidR="00831AD3" w:rsidRPr="00E45751">
        <w:rPr>
          <w:rStyle w:val="FootnoteReference"/>
          <w:rFonts w:asciiTheme="majorHAnsi" w:hAnsiTheme="majorHAnsi" w:cstheme="majorHAnsi"/>
          <w:sz w:val="22"/>
          <w:szCs w:val="22"/>
          <w:lang w:val="en-GB"/>
        </w:rPr>
        <w:footnoteReference w:id="45"/>
      </w:r>
      <w:r w:rsidR="008D5758" w:rsidRPr="00E45751">
        <w:rPr>
          <w:rFonts w:asciiTheme="majorHAnsi" w:hAnsiTheme="majorHAnsi" w:cstheme="majorHAnsi"/>
          <w:sz w:val="22"/>
          <w:szCs w:val="22"/>
          <w:lang w:val="en-GB"/>
        </w:rPr>
        <w:t xml:space="preserve"> Increasing the number of international students in Chinese HEIs as well as the number of students who stay after graduation is now an important policy directive at the national level, the regional level and the institutional level.</w:t>
      </w:r>
    </w:p>
    <w:p w14:paraId="64B905DF" w14:textId="2A16425A" w:rsidR="00E36198" w:rsidRPr="00E45751" w:rsidRDefault="00E36198"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lastRenderedPageBreak/>
        <w:t>The</w:t>
      </w:r>
      <w:r w:rsidRPr="00E45751">
        <w:rPr>
          <w:rFonts w:asciiTheme="majorHAnsi" w:hAnsiTheme="majorHAnsi" w:cstheme="majorHAnsi"/>
          <w:b/>
          <w:sz w:val="22"/>
          <w:szCs w:val="22"/>
          <w:lang w:val="en-GB"/>
        </w:rPr>
        <w:t xml:space="preserve"> </w:t>
      </w:r>
      <w:r w:rsidRPr="00E45751">
        <w:rPr>
          <w:rFonts w:asciiTheme="majorHAnsi" w:hAnsiTheme="majorHAnsi" w:cstheme="majorHAnsi"/>
          <w:sz w:val="22"/>
          <w:szCs w:val="22"/>
          <w:lang w:val="en-GB"/>
        </w:rPr>
        <w:t>Chinese</w:t>
      </w:r>
      <w:r w:rsidRPr="00E45751">
        <w:rPr>
          <w:rFonts w:asciiTheme="majorHAnsi" w:hAnsiTheme="majorHAnsi" w:cstheme="majorHAnsi"/>
          <w:b/>
          <w:sz w:val="22"/>
          <w:szCs w:val="22"/>
          <w:lang w:val="en-GB"/>
        </w:rPr>
        <w:t xml:space="preserve"> </w:t>
      </w:r>
      <w:r w:rsidR="00DE1554" w:rsidRPr="00E45751">
        <w:rPr>
          <w:rFonts w:asciiTheme="majorHAnsi" w:hAnsiTheme="majorHAnsi" w:cstheme="majorHAnsi"/>
          <w:b/>
          <w:sz w:val="22"/>
          <w:szCs w:val="22"/>
          <w:lang w:val="en-GB"/>
        </w:rPr>
        <w:t>National P</w:t>
      </w:r>
      <w:r w:rsidRPr="00E45751">
        <w:rPr>
          <w:rFonts w:asciiTheme="majorHAnsi" w:hAnsiTheme="majorHAnsi" w:cstheme="majorHAnsi"/>
          <w:b/>
          <w:sz w:val="22"/>
          <w:szCs w:val="22"/>
          <w:lang w:val="en-GB"/>
        </w:rPr>
        <w:t>lan for medium and long-term education reform and development 2010-2020</w:t>
      </w:r>
      <w:r w:rsidRPr="00E45751">
        <w:rPr>
          <w:rFonts w:asciiTheme="majorHAnsi" w:hAnsiTheme="majorHAnsi" w:cstheme="majorHAnsi"/>
          <w:sz w:val="22"/>
          <w:szCs w:val="22"/>
          <w:lang w:val="en-GB"/>
        </w:rPr>
        <w:t xml:space="preserve"> underlines the importance of increasing student mobility. In its planned reform of the HE </w:t>
      </w:r>
      <w:proofErr w:type="gramStart"/>
      <w:r w:rsidRPr="00E45751">
        <w:rPr>
          <w:rFonts w:asciiTheme="majorHAnsi" w:hAnsiTheme="majorHAnsi" w:cstheme="majorHAnsi"/>
          <w:sz w:val="22"/>
          <w:szCs w:val="22"/>
          <w:lang w:val="en-GB"/>
        </w:rPr>
        <w:t>sector</w:t>
      </w:r>
      <w:proofErr w:type="gramEnd"/>
      <w:r w:rsidRPr="00E45751">
        <w:rPr>
          <w:rFonts w:asciiTheme="majorHAnsi" w:hAnsiTheme="majorHAnsi" w:cstheme="majorHAnsi"/>
          <w:sz w:val="22"/>
          <w:szCs w:val="22"/>
          <w:lang w:val="en-GB"/>
        </w:rPr>
        <w:t>, “higher educational institutions [are] urged to open their best faculties to the world</w:t>
      </w:r>
      <w:r w:rsidR="00DE1554" w:rsidRPr="00E45751">
        <w:rPr>
          <w:rFonts w:asciiTheme="majorHAnsi" w:hAnsiTheme="majorHAnsi" w:cstheme="majorHAnsi"/>
          <w:sz w:val="22"/>
          <w:szCs w:val="22"/>
          <w:lang w:val="en-GB"/>
        </w:rPr>
        <w:t>.</w:t>
      </w:r>
      <w:r w:rsidRPr="00E45751">
        <w:rPr>
          <w:rFonts w:asciiTheme="majorHAnsi" w:hAnsiTheme="majorHAnsi" w:cstheme="majorHAnsi"/>
          <w:sz w:val="22"/>
          <w:szCs w:val="22"/>
          <w:lang w:val="en-GB"/>
        </w:rPr>
        <w:t>”</w:t>
      </w:r>
      <w:r w:rsidR="00DE1554" w:rsidRPr="00E45751">
        <w:rPr>
          <w:rFonts w:asciiTheme="majorHAnsi" w:hAnsiTheme="majorHAnsi" w:cstheme="majorHAnsi"/>
          <w:sz w:val="22"/>
          <w:szCs w:val="22"/>
          <w:lang w:val="en-GB"/>
        </w:rPr>
        <w:t xml:space="preserve"> This includes, first and foremost, reforming “education by opening it to the outside world, carrying out education exchanges and collaboration at multiple levels and in a broad scope, and raising education’s internationalization level.” The National Plan includes directives on </w:t>
      </w:r>
      <w:r w:rsidR="00DE1554" w:rsidRPr="00E45751">
        <w:rPr>
          <w:rFonts w:asciiTheme="majorHAnsi" w:hAnsiTheme="majorHAnsi" w:cstheme="majorHAnsi"/>
          <w:b/>
          <w:sz w:val="22"/>
          <w:szCs w:val="22"/>
          <w:lang w:val="en-GB"/>
        </w:rPr>
        <w:t>increasing mutual recognition of credits and degrees, promoting the creation of joint/dual degrees and encouraging research collaboration</w:t>
      </w:r>
      <w:r w:rsidR="00DE1554" w:rsidRPr="00E45751">
        <w:rPr>
          <w:rFonts w:asciiTheme="majorHAnsi" w:hAnsiTheme="majorHAnsi" w:cstheme="majorHAnsi"/>
          <w:sz w:val="22"/>
          <w:szCs w:val="22"/>
          <w:lang w:val="en-GB"/>
        </w:rPr>
        <w:t xml:space="preserve"> between Chinese and foreign HEIs </w:t>
      </w:r>
      <w:proofErr w:type="gramStart"/>
      <w:r w:rsidR="00DE1554" w:rsidRPr="00E45751">
        <w:rPr>
          <w:rFonts w:asciiTheme="majorHAnsi" w:hAnsiTheme="majorHAnsi" w:cstheme="majorHAnsi"/>
          <w:sz w:val="22"/>
          <w:szCs w:val="22"/>
          <w:lang w:val="en-GB"/>
        </w:rPr>
        <w:t>in order to</w:t>
      </w:r>
      <w:proofErr w:type="gramEnd"/>
      <w:r w:rsidR="00DE1554" w:rsidRPr="00E45751">
        <w:rPr>
          <w:rFonts w:asciiTheme="majorHAnsi" w:hAnsiTheme="majorHAnsi" w:cstheme="majorHAnsi"/>
          <w:sz w:val="22"/>
          <w:szCs w:val="22"/>
          <w:lang w:val="en-GB"/>
        </w:rPr>
        <w:t xml:space="preserve"> stimulate student mobility.</w:t>
      </w:r>
      <w:r w:rsidR="00DE1554" w:rsidRPr="00E45751">
        <w:rPr>
          <w:rStyle w:val="FootnoteReference"/>
          <w:rFonts w:asciiTheme="majorHAnsi" w:hAnsiTheme="majorHAnsi" w:cstheme="majorHAnsi"/>
          <w:sz w:val="22"/>
          <w:szCs w:val="22"/>
          <w:lang w:val="en-GB"/>
        </w:rPr>
        <w:footnoteReference w:id="46"/>
      </w:r>
      <w:r w:rsidR="00243401" w:rsidRPr="00E45751">
        <w:rPr>
          <w:rFonts w:asciiTheme="majorHAnsi" w:hAnsiTheme="majorHAnsi" w:cstheme="majorHAnsi"/>
          <w:sz w:val="22"/>
          <w:szCs w:val="22"/>
          <w:lang w:val="en-GB"/>
        </w:rPr>
        <w:t xml:space="preserve"> The best Chinese HEIs are also encouraged to </w:t>
      </w:r>
      <w:r w:rsidR="00243401" w:rsidRPr="00E45751">
        <w:rPr>
          <w:rFonts w:asciiTheme="majorHAnsi" w:hAnsiTheme="majorHAnsi" w:cstheme="majorHAnsi"/>
          <w:b/>
          <w:sz w:val="22"/>
          <w:szCs w:val="22"/>
          <w:lang w:val="en-GB"/>
        </w:rPr>
        <w:t>open branches overseas</w:t>
      </w:r>
      <w:r w:rsidR="00243401" w:rsidRPr="00E45751">
        <w:rPr>
          <w:rFonts w:asciiTheme="majorHAnsi" w:hAnsiTheme="majorHAnsi" w:cstheme="majorHAnsi"/>
          <w:sz w:val="22"/>
          <w:szCs w:val="22"/>
          <w:lang w:val="en-GB"/>
        </w:rPr>
        <w:t>, which will increase the number of international students in Chinese HEIs and further promote the export of Chinese higher education.</w:t>
      </w:r>
    </w:p>
    <w:p w14:paraId="5997D121" w14:textId="77777777" w:rsidR="00633247" w:rsidRPr="00E45751" w:rsidRDefault="00EB49AA"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The Chinese government also outlines its intention to play a part in the attraction and facilitation of international students studying in China. It commits to </w:t>
      </w:r>
      <w:r w:rsidRPr="00E45751">
        <w:rPr>
          <w:rFonts w:asciiTheme="majorHAnsi" w:hAnsiTheme="majorHAnsi" w:cstheme="majorHAnsi"/>
          <w:b/>
          <w:sz w:val="22"/>
          <w:szCs w:val="22"/>
          <w:lang w:val="en-GB"/>
        </w:rPr>
        <w:t>admitting more international students into the country, increasing government scholarships for these students, offering financial assistance to students from developing countries, ensuring that more disciplines be taught in foreign languages and increasing education</w:t>
      </w:r>
      <w:r w:rsidRPr="00E45751">
        <w:rPr>
          <w:rFonts w:asciiTheme="majorHAnsi" w:hAnsiTheme="majorHAnsi" w:cstheme="majorHAnsi"/>
          <w:sz w:val="22"/>
          <w:szCs w:val="22"/>
          <w:lang w:val="en-GB"/>
        </w:rPr>
        <w:t xml:space="preserve"> </w:t>
      </w:r>
      <w:r w:rsidR="009E092F" w:rsidRPr="00E45751">
        <w:rPr>
          <w:rFonts w:asciiTheme="majorHAnsi" w:hAnsiTheme="majorHAnsi" w:cstheme="majorHAnsi"/>
          <w:b/>
          <w:sz w:val="22"/>
          <w:szCs w:val="22"/>
          <w:lang w:val="en-GB"/>
        </w:rPr>
        <w:t>quality</w:t>
      </w:r>
      <w:r w:rsidR="009E092F" w:rsidRPr="00E45751">
        <w:rPr>
          <w:rFonts w:asciiTheme="majorHAnsi" w:hAnsiTheme="majorHAnsi" w:cstheme="majorHAnsi"/>
          <w:sz w:val="22"/>
          <w:szCs w:val="22"/>
          <w:lang w:val="en-GB"/>
        </w:rPr>
        <w:t>.</w:t>
      </w:r>
      <w:r w:rsidR="009E092F" w:rsidRPr="00E45751">
        <w:rPr>
          <w:rStyle w:val="FootnoteReference"/>
          <w:rFonts w:asciiTheme="majorHAnsi" w:hAnsiTheme="majorHAnsi" w:cstheme="majorHAnsi"/>
          <w:sz w:val="22"/>
          <w:szCs w:val="22"/>
          <w:lang w:val="en-GB"/>
        </w:rPr>
        <w:footnoteReference w:id="47"/>
      </w:r>
      <w:r w:rsidR="00620ED9" w:rsidRPr="00E45751">
        <w:rPr>
          <w:rFonts w:asciiTheme="majorHAnsi" w:hAnsiTheme="majorHAnsi" w:cstheme="majorHAnsi"/>
          <w:sz w:val="22"/>
          <w:szCs w:val="22"/>
          <w:lang w:val="en-GB"/>
        </w:rPr>
        <w:t xml:space="preserve"> </w:t>
      </w:r>
      <w:r w:rsidR="00931E1F" w:rsidRPr="00E45751">
        <w:rPr>
          <w:rFonts w:asciiTheme="majorHAnsi" w:hAnsiTheme="majorHAnsi" w:cstheme="majorHAnsi"/>
          <w:sz w:val="22"/>
          <w:szCs w:val="22"/>
          <w:lang w:val="en-GB"/>
        </w:rPr>
        <w:t xml:space="preserve">Scholarship support to students from developing countries is especially important in creating incentives to study in China, and China has “created </w:t>
      </w:r>
      <w:r w:rsidR="00931E1F" w:rsidRPr="00E45751">
        <w:rPr>
          <w:rFonts w:asciiTheme="majorHAnsi" w:hAnsiTheme="majorHAnsi" w:cstheme="majorHAnsi"/>
          <w:b/>
          <w:sz w:val="22"/>
          <w:szCs w:val="22"/>
          <w:lang w:val="en-GB"/>
        </w:rPr>
        <w:t>large and attractive scholarship projects</w:t>
      </w:r>
      <w:r w:rsidR="00931E1F" w:rsidRPr="00E45751">
        <w:rPr>
          <w:rFonts w:asciiTheme="majorHAnsi" w:hAnsiTheme="majorHAnsi" w:cstheme="majorHAnsi"/>
          <w:sz w:val="22"/>
          <w:szCs w:val="22"/>
          <w:lang w:val="en-GB"/>
        </w:rPr>
        <w:t xml:space="preserve"> at different levels including the central government, local governments, Confucius Institutes, multilateral developmen</w:t>
      </w:r>
      <w:r w:rsidR="001D4BA6" w:rsidRPr="00E45751">
        <w:rPr>
          <w:rFonts w:asciiTheme="majorHAnsi" w:hAnsiTheme="majorHAnsi" w:cstheme="majorHAnsi"/>
          <w:sz w:val="22"/>
          <w:szCs w:val="22"/>
          <w:lang w:val="en-GB"/>
        </w:rPr>
        <w:t>t initiatives, and universities</w:t>
      </w:r>
      <w:r w:rsidR="00931E1F" w:rsidRPr="00E45751">
        <w:rPr>
          <w:rFonts w:asciiTheme="majorHAnsi" w:hAnsiTheme="majorHAnsi" w:cstheme="majorHAnsi"/>
          <w:sz w:val="22"/>
          <w:szCs w:val="22"/>
          <w:lang w:val="en-GB"/>
        </w:rPr>
        <w:t>.”</w:t>
      </w:r>
      <w:r w:rsidR="00931E1F" w:rsidRPr="00E45751">
        <w:rPr>
          <w:rStyle w:val="FootnoteReference"/>
          <w:rFonts w:asciiTheme="majorHAnsi" w:hAnsiTheme="majorHAnsi" w:cstheme="majorHAnsi"/>
          <w:sz w:val="22"/>
          <w:szCs w:val="22"/>
          <w:lang w:val="en-GB"/>
        </w:rPr>
        <w:footnoteReference w:id="48"/>
      </w:r>
    </w:p>
    <w:p w14:paraId="1DEEF5BC" w14:textId="71456EAF" w:rsidR="008D5758" w:rsidRPr="00E45751" w:rsidRDefault="008D5758" w:rsidP="00216257">
      <w:p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Intergovernmental cooperation projects</w:t>
      </w:r>
      <w:r w:rsidRPr="00E45751">
        <w:rPr>
          <w:rFonts w:asciiTheme="majorHAnsi" w:hAnsiTheme="majorHAnsi" w:cstheme="majorHAnsi"/>
          <w:sz w:val="22"/>
          <w:szCs w:val="22"/>
          <w:lang w:val="en-GB"/>
        </w:rPr>
        <w:t xml:space="preserve"> have </w:t>
      </w:r>
      <w:r w:rsidR="00633247" w:rsidRPr="00E45751">
        <w:rPr>
          <w:rFonts w:asciiTheme="majorHAnsi" w:hAnsiTheme="majorHAnsi" w:cstheme="majorHAnsi"/>
          <w:sz w:val="22"/>
          <w:szCs w:val="22"/>
          <w:lang w:val="en-GB"/>
        </w:rPr>
        <w:t xml:space="preserve">also </w:t>
      </w:r>
      <w:r w:rsidRPr="00E45751">
        <w:rPr>
          <w:rFonts w:asciiTheme="majorHAnsi" w:hAnsiTheme="majorHAnsi" w:cstheme="majorHAnsi"/>
          <w:sz w:val="22"/>
          <w:szCs w:val="22"/>
          <w:lang w:val="en-GB"/>
        </w:rPr>
        <w:t>stimulated higher education cooperation through bilateral agreements.</w:t>
      </w:r>
      <w:r w:rsidRPr="00E45751">
        <w:rPr>
          <w:rStyle w:val="FootnoteReference"/>
          <w:rFonts w:asciiTheme="majorHAnsi" w:hAnsiTheme="majorHAnsi" w:cstheme="majorHAnsi"/>
          <w:sz w:val="22"/>
          <w:szCs w:val="22"/>
          <w:lang w:val="en-GB"/>
        </w:rPr>
        <w:footnoteReference w:id="49"/>
      </w:r>
      <w:r w:rsidR="00080493" w:rsidRPr="00E45751">
        <w:rPr>
          <w:rFonts w:asciiTheme="majorHAnsi" w:hAnsiTheme="majorHAnsi" w:cstheme="majorHAnsi"/>
          <w:sz w:val="22"/>
          <w:szCs w:val="22"/>
          <w:lang w:val="en-GB"/>
        </w:rPr>
        <w:t xml:space="preserve"> The Chinese Belt and Road Initiative, for example, has an academic arm that supports educational development through joint research and student and teacher exchange. This </w:t>
      </w:r>
      <w:r w:rsidR="00080493" w:rsidRPr="00E45751">
        <w:rPr>
          <w:rFonts w:asciiTheme="majorHAnsi" w:hAnsiTheme="majorHAnsi" w:cstheme="majorHAnsi"/>
          <w:b/>
          <w:sz w:val="22"/>
          <w:szCs w:val="22"/>
          <w:lang w:val="en-GB"/>
        </w:rPr>
        <w:t xml:space="preserve">network </w:t>
      </w:r>
      <w:r w:rsidR="00080493" w:rsidRPr="00E45751">
        <w:rPr>
          <w:rFonts w:asciiTheme="majorHAnsi" w:hAnsiTheme="majorHAnsi" w:cstheme="majorHAnsi"/>
          <w:sz w:val="22"/>
          <w:szCs w:val="22"/>
          <w:lang w:val="en-GB"/>
        </w:rPr>
        <w:t>of HEIs includes institutions from all over the world, and is meant to promote cross-cultural understanding, openness and cooperation in HE.</w:t>
      </w:r>
      <w:r w:rsidR="00080493" w:rsidRPr="00E45751">
        <w:rPr>
          <w:rStyle w:val="FootnoteReference"/>
          <w:rFonts w:asciiTheme="majorHAnsi" w:hAnsiTheme="majorHAnsi" w:cstheme="majorHAnsi"/>
          <w:sz w:val="22"/>
          <w:szCs w:val="22"/>
          <w:lang w:val="en-GB"/>
        </w:rPr>
        <w:footnoteReference w:id="50"/>
      </w:r>
      <w:r w:rsidR="009E092F" w:rsidRPr="00E45751">
        <w:rPr>
          <w:rFonts w:asciiTheme="majorHAnsi" w:hAnsiTheme="majorHAnsi" w:cstheme="majorHAnsi"/>
          <w:sz w:val="22"/>
          <w:szCs w:val="22"/>
          <w:lang w:val="en-GB"/>
        </w:rPr>
        <w:t xml:space="preserve"> China has also </w:t>
      </w:r>
      <w:r w:rsidR="009E092F" w:rsidRPr="00E45751">
        <w:rPr>
          <w:rFonts w:asciiTheme="majorHAnsi" w:hAnsiTheme="majorHAnsi" w:cstheme="majorHAnsi"/>
          <w:b/>
          <w:sz w:val="22"/>
          <w:szCs w:val="22"/>
          <w:lang w:val="en-GB"/>
        </w:rPr>
        <w:t xml:space="preserve">increased its cooperation with UNESCO and other international organisations </w:t>
      </w:r>
      <w:r w:rsidR="009E092F" w:rsidRPr="00E45751">
        <w:rPr>
          <w:rFonts w:asciiTheme="majorHAnsi" w:hAnsiTheme="majorHAnsi" w:cstheme="majorHAnsi"/>
          <w:sz w:val="22"/>
          <w:szCs w:val="22"/>
          <w:lang w:val="en-GB"/>
        </w:rPr>
        <w:t xml:space="preserve">and taken a more active part in bilateral, multilateral, regional and global cooperation with a special focus on </w:t>
      </w:r>
      <w:r w:rsidR="009E092F" w:rsidRPr="00E45751">
        <w:rPr>
          <w:rFonts w:asciiTheme="majorHAnsi" w:hAnsiTheme="majorHAnsi" w:cstheme="majorHAnsi"/>
          <w:b/>
          <w:sz w:val="22"/>
          <w:szCs w:val="22"/>
          <w:lang w:val="en-GB"/>
        </w:rPr>
        <w:t>participation in the creation of educational policies, rules regulations and standards</w:t>
      </w:r>
      <w:r w:rsidR="009E092F" w:rsidRPr="00E45751">
        <w:rPr>
          <w:rFonts w:asciiTheme="majorHAnsi" w:hAnsiTheme="majorHAnsi" w:cstheme="majorHAnsi"/>
          <w:sz w:val="22"/>
          <w:szCs w:val="22"/>
          <w:lang w:val="en-GB"/>
        </w:rPr>
        <w:t xml:space="preserve"> of these international organisations and </w:t>
      </w:r>
      <w:proofErr w:type="spellStart"/>
      <w:r w:rsidR="009E092F" w:rsidRPr="00E45751">
        <w:rPr>
          <w:rFonts w:asciiTheme="majorHAnsi" w:hAnsiTheme="majorHAnsi" w:cstheme="majorHAnsi"/>
          <w:sz w:val="22"/>
          <w:szCs w:val="22"/>
          <w:lang w:val="en-GB"/>
        </w:rPr>
        <w:t>cooperations</w:t>
      </w:r>
      <w:proofErr w:type="spellEnd"/>
      <w:r w:rsidR="009E092F" w:rsidRPr="00E45751">
        <w:rPr>
          <w:rFonts w:asciiTheme="majorHAnsi" w:hAnsiTheme="majorHAnsi" w:cstheme="majorHAnsi"/>
          <w:sz w:val="22"/>
          <w:szCs w:val="22"/>
          <w:lang w:val="en-GB"/>
        </w:rPr>
        <w:t>.</w:t>
      </w:r>
      <w:r w:rsidR="009E092F" w:rsidRPr="00E45751">
        <w:rPr>
          <w:rStyle w:val="FootnoteReference"/>
          <w:rFonts w:asciiTheme="majorHAnsi" w:hAnsiTheme="majorHAnsi" w:cstheme="majorHAnsi"/>
          <w:sz w:val="22"/>
          <w:szCs w:val="22"/>
          <w:lang w:val="en-GB"/>
        </w:rPr>
        <w:footnoteReference w:id="51"/>
      </w:r>
    </w:p>
    <w:p w14:paraId="6D1C73A7" w14:textId="3AD051DB" w:rsidR="00313701" w:rsidRPr="00E45751" w:rsidRDefault="00633247"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Scholars note the success of these new policies in rapidly increasing the number of international students in China in recent years, but also underline key </w:t>
      </w:r>
      <w:r w:rsidRPr="00E45751">
        <w:rPr>
          <w:rFonts w:asciiTheme="majorHAnsi" w:hAnsiTheme="majorHAnsi" w:cstheme="majorHAnsi"/>
          <w:b/>
          <w:sz w:val="22"/>
          <w:szCs w:val="22"/>
          <w:lang w:val="en-GB"/>
        </w:rPr>
        <w:t>areas for improvement</w:t>
      </w:r>
      <w:r w:rsidRPr="00E45751">
        <w:rPr>
          <w:rFonts w:asciiTheme="majorHAnsi" w:hAnsiTheme="majorHAnsi" w:cstheme="majorHAnsi"/>
          <w:sz w:val="22"/>
          <w:szCs w:val="22"/>
          <w:lang w:val="en-GB"/>
        </w:rPr>
        <w:t xml:space="preserve">. These include </w:t>
      </w:r>
      <w:r w:rsidRPr="00E45751">
        <w:rPr>
          <w:rFonts w:asciiTheme="majorHAnsi" w:hAnsiTheme="majorHAnsi" w:cstheme="majorHAnsi"/>
          <w:b/>
          <w:sz w:val="22"/>
          <w:szCs w:val="22"/>
          <w:lang w:val="en-GB"/>
        </w:rPr>
        <w:t>developing more courses in English</w:t>
      </w:r>
      <w:r w:rsidRPr="00E45751">
        <w:rPr>
          <w:rFonts w:asciiTheme="majorHAnsi" w:hAnsiTheme="majorHAnsi" w:cstheme="majorHAnsi"/>
          <w:sz w:val="22"/>
          <w:szCs w:val="22"/>
          <w:lang w:val="en-GB"/>
        </w:rPr>
        <w:t xml:space="preserve"> to cater to students completing short-term mobilities (more than half of international students in China); </w:t>
      </w:r>
      <w:r w:rsidRPr="00E45751">
        <w:rPr>
          <w:rFonts w:asciiTheme="majorHAnsi" w:hAnsiTheme="majorHAnsi" w:cstheme="majorHAnsi"/>
          <w:b/>
          <w:sz w:val="22"/>
          <w:szCs w:val="22"/>
          <w:lang w:val="en-GB"/>
        </w:rPr>
        <w:t>allowing HEIs more freedom to determine tuition fee levels</w:t>
      </w:r>
      <w:r w:rsidRPr="00E45751">
        <w:rPr>
          <w:rFonts w:asciiTheme="majorHAnsi" w:hAnsiTheme="majorHAnsi" w:cstheme="majorHAnsi"/>
          <w:sz w:val="22"/>
          <w:szCs w:val="22"/>
          <w:lang w:val="en-GB"/>
        </w:rPr>
        <w:t xml:space="preserve"> in order to stimulate investment in quality and services that attract foreign students; </w:t>
      </w:r>
      <w:r w:rsidRPr="00E45751">
        <w:rPr>
          <w:rFonts w:asciiTheme="majorHAnsi" w:hAnsiTheme="majorHAnsi" w:cstheme="majorHAnsi"/>
          <w:b/>
          <w:sz w:val="22"/>
          <w:szCs w:val="22"/>
          <w:lang w:val="en-GB"/>
        </w:rPr>
        <w:t>developing services</w:t>
      </w:r>
      <w:r w:rsidRPr="00E45751">
        <w:rPr>
          <w:rFonts w:asciiTheme="majorHAnsi" w:hAnsiTheme="majorHAnsi" w:cstheme="majorHAnsi"/>
          <w:sz w:val="22"/>
          <w:szCs w:val="22"/>
          <w:lang w:val="en-GB"/>
        </w:rPr>
        <w:t xml:space="preserve"> such as “</w:t>
      </w:r>
      <w:r w:rsidRPr="00E45751">
        <w:rPr>
          <w:rFonts w:asciiTheme="majorHAnsi" w:hAnsiTheme="majorHAnsi" w:cstheme="majorHAnsi"/>
          <w:b/>
          <w:sz w:val="22"/>
          <w:szCs w:val="22"/>
          <w:lang w:val="en-GB"/>
        </w:rPr>
        <w:t xml:space="preserve">websites with information in foreign languages, library services, club activities, and psychological </w:t>
      </w:r>
      <w:r w:rsidR="005107E8" w:rsidRPr="00E45751">
        <w:rPr>
          <w:rFonts w:asciiTheme="majorHAnsi" w:hAnsiTheme="majorHAnsi" w:cstheme="majorHAnsi"/>
          <w:b/>
          <w:sz w:val="22"/>
          <w:szCs w:val="22"/>
          <w:lang w:val="en-GB"/>
        </w:rPr>
        <w:t>counselling</w:t>
      </w:r>
      <w:r w:rsidRPr="00E45751">
        <w:rPr>
          <w:rFonts w:asciiTheme="majorHAnsi" w:hAnsiTheme="majorHAnsi" w:cstheme="majorHAnsi"/>
          <w:sz w:val="22"/>
          <w:szCs w:val="22"/>
          <w:lang w:val="en-GB"/>
        </w:rPr>
        <w:t xml:space="preserve">” that cater to international students; </w:t>
      </w:r>
      <w:r w:rsidRPr="00E45751">
        <w:rPr>
          <w:rFonts w:asciiTheme="majorHAnsi" w:hAnsiTheme="majorHAnsi" w:cstheme="majorHAnsi"/>
          <w:b/>
          <w:sz w:val="22"/>
          <w:szCs w:val="22"/>
          <w:lang w:val="en-GB"/>
        </w:rPr>
        <w:t xml:space="preserve">encouraging interaction between Chinese and international students through shared housing; </w:t>
      </w:r>
      <w:r w:rsidRPr="00E45751">
        <w:rPr>
          <w:rFonts w:asciiTheme="majorHAnsi" w:hAnsiTheme="majorHAnsi" w:cstheme="majorHAnsi"/>
          <w:sz w:val="22"/>
          <w:szCs w:val="22"/>
          <w:lang w:val="en-GB"/>
        </w:rPr>
        <w:t xml:space="preserve">and </w:t>
      </w:r>
      <w:r w:rsidRPr="00E45751">
        <w:rPr>
          <w:rFonts w:asciiTheme="majorHAnsi" w:hAnsiTheme="majorHAnsi" w:cstheme="majorHAnsi"/>
          <w:b/>
          <w:sz w:val="22"/>
          <w:szCs w:val="22"/>
          <w:lang w:val="en-GB"/>
        </w:rPr>
        <w:t>expanding visa, immigration and employment policies</w:t>
      </w:r>
      <w:r w:rsidRPr="00E45751">
        <w:rPr>
          <w:rFonts w:asciiTheme="majorHAnsi" w:hAnsiTheme="majorHAnsi" w:cstheme="majorHAnsi"/>
          <w:sz w:val="22"/>
          <w:szCs w:val="22"/>
          <w:lang w:val="en-GB"/>
        </w:rPr>
        <w:t xml:space="preserve"> across the country.</w:t>
      </w:r>
      <w:r w:rsidRPr="00E45751">
        <w:rPr>
          <w:rStyle w:val="FootnoteReference"/>
          <w:rFonts w:asciiTheme="majorHAnsi" w:hAnsiTheme="majorHAnsi" w:cstheme="majorHAnsi"/>
          <w:sz w:val="22"/>
          <w:szCs w:val="22"/>
          <w:lang w:val="en-GB"/>
        </w:rPr>
        <w:footnoteReference w:id="52"/>
      </w:r>
    </w:p>
    <w:p w14:paraId="4803E19C" w14:textId="138F7794" w:rsidR="004B024D" w:rsidRPr="00E45751" w:rsidRDefault="0093175E" w:rsidP="001113F4">
      <w:pPr>
        <w:pStyle w:val="Heading2"/>
        <w:numPr>
          <w:ilvl w:val="1"/>
          <w:numId w:val="47"/>
        </w:numPr>
        <w:spacing w:after="120"/>
        <w:jc w:val="both"/>
        <w:rPr>
          <w:rFonts w:cstheme="majorHAnsi"/>
          <w:lang w:val="en-GB"/>
        </w:rPr>
      </w:pPr>
      <w:bookmarkStart w:id="39" w:name="_Toc416471906"/>
      <w:r w:rsidRPr="00E45751">
        <w:rPr>
          <w:rFonts w:cstheme="majorHAnsi"/>
          <w:lang w:val="en-GB"/>
        </w:rPr>
        <w:lastRenderedPageBreak/>
        <w:t>Poland</w:t>
      </w:r>
      <w:bookmarkEnd w:id="39"/>
    </w:p>
    <w:p w14:paraId="35CE276C" w14:textId="55AABF52" w:rsidR="00EB2B01" w:rsidRPr="00E45751" w:rsidRDefault="00EB2B01"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In 2015</w:t>
      </w:r>
      <w:r w:rsidRPr="00E45751">
        <w:rPr>
          <w:rFonts w:asciiTheme="majorHAnsi" w:hAnsiTheme="majorHAnsi" w:cstheme="majorHAnsi"/>
          <w:b/>
          <w:sz w:val="22"/>
          <w:szCs w:val="22"/>
          <w:lang w:val="en-GB"/>
        </w:rPr>
        <w:t xml:space="preserve">, the Polish </w:t>
      </w:r>
      <w:r w:rsidR="00076AA6" w:rsidRPr="00E45751">
        <w:rPr>
          <w:rFonts w:asciiTheme="majorHAnsi" w:hAnsiTheme="majorHAnsi" w:cstheme="majorHAnsi"/>
          <w:sz w:val="22"/>
          <w:szCs w:val="22"/>
          <w:lang w:val="en-GB"/>
        </w:rPr>
        <w:t>Ministry of Science</w:t>
      </w:r>
      <w:r w:rsidRPr="00E45751">
        <w:rPr>
          <w:rFonts w:asciiTheme="majorHAnsi" w:hAnsiTheme="majorHAnsi" w:cstheme="majorHAnsi"/>
          <w:sz w:val="22"/>
          <w:szCs w:val="22"/>
          <w:lang w:val="en-GB"/>
        </w:rPr>
        <w:t xml:space="preserve"> and Higher Education</w:t>
      </w:r>
      <w:r w:rsidR="008E766B" w:rsidRPr="00E45751">
        <w:rPr>
          <w:rFonts w:asciiTheme="majorHAnsi" w:hAnsiTheme="majorHAnsi" w:cstheme="majorHAnsi"/>
          <w:b/>
          <w:sz w:val="22"/>
          <w:szCs w:val="22"/>
          <w:lang w:val="en-GB"/>
        </w:rPr>
        <w:t xml:space="preserve"> </w:t>
      </w:r>
      <w:r w:rsidR="00CA3496" w:rsidRPr="00E45751">
        <w:rPr>
          <w:rFonts w:asciiTheme="majorHAnsi" w:hAnsiTheme="majorHAnsi" w:cstheme="majorHAnsi"/>
          <w:sz w:val="22"/>
          <w:szCs w:val="22"/>
          <w:lang w:val="en-GB"/>
        </w:rPr>
        <w:t>adopted the Higher Education Internationalisation P</w:t>
      </w:r>
      <w:r w:rsidRPr="00E45751">
        <w:rPr>
          <w:rFonts w:asciiTheme="majorHAnsi" w:hAnsiTheme="majorHAnsi" w:cstheme="majorHAnsi"/>
          <w:sz w:val="22"/>
          <w:szCs w:val="22"/>
          <w:lang w:val="en-GB"/>
        </w:rPr>
        <w:t>rogramme aimed at increasing the competitiveness and attractiveness of Polish uni</w:t>
      </w:r>
      <w:r w:rsidR="00BE309B" w:rsidRPr="00E45751">
        <w:rPr>
          <w:rFonts w:asciiTheme="majorHAnsi" w:hAnsiTheme="majorHAnsi" w:cstheme="majorHAnsi"/>
          <w:sz w:val="22"/>
          <w:szCs w:val="22"/>
          <w:lang w:val="en-GB"/>
        </w:rPr>
        <w:t>versities on the global stage. At the institutional level, t</w:t>
      </w:r>
      <w:r w:rsidRPr="00E45751">
        <w:rPr>
          <w:rFonts w:asciiTheme="majorHAnsi" w:hAnsiTheme="majorHAnsi" w:cstheme="majorHAnsi"/>
          <w:sz w:val="22"/>
          <w:szCs w:val="22"/>
          <w:lang w:val="en-GB"/>
        </w:rPr>
        <w:t xml:space="preserve">his programme aims </w:t>
      </w:r>
      <w:r w:rsidR="00076AA6" w:rsidRPr="00E45751">
        <w:rPr>
          <w:rFonts w:asciiTheme="majorHAnsi" w:hAnsiTheme="majorHAnsi" w:cstheme="majorHAnsi"/>
          <w:sz w:val="22"/>
          <w:szCs w:val="22"/>
          <w:lang w:val="en-GB"/>
        </w:rPr>
        <w:t xml:space="preserve">first </w:t>
      </w:r>
      <w:r w:rsidRPr="00E45751">
        <w:rPr>
          <w:rFonts w:asciiTheme="majorHAnsi" w:hAnsiTheme="majorHAnsi" w:cstheme="majorHAnsi"/>
          <w:sz w:val="22"/>
          <w:szCs w:val="22"/>
          <w:lang w:val="en-GB"/>
        </w:rPr>
        <w:t xml:space="preserve">at </w:t>
      </w:r>
      <w:r w:rsidRPr="00E45751">
        <w:rPr>
          <w:rFonts w:asciiTheme="majorHAnsi" w:hAnsiTheme="majorHAnsi" w:cstheme="majorHAnsi"/>
          <w:b/>
          <w:sz w:val="22"/>
          <w:szCs w:val="22"/>
          <w:lang w:val="en-GB"/>
        </w:rPr>
        <w:t>acquiring international accreditations</w:t>
      </w:r>
      <w:r w:rsidRPr="00E45751">
        <w:rPr>
          <w:rFonts w:asciiTheme="majorHAnsi" w:hAnsiTheme="majorHAnsi" w:cstheme="majorHAnsi"/>
          <w:sz w:val="22"/>
          <w:szCs w:val="22"/>
          <w:lang w:val="en-GB"/>
        </w:rPr>
        <w:t xml:space="preserve"> for higher education institutions or individual education programs</w:t>
      </w:r>
      <w:r w:rsidR="00076AA6" w:rsidRPr="00E45751">
        <w:rPr>
          <w:rFonts w:asciiTheme="majorHAnsi" w:hAnsiTheme="majorHAnsi" w:cstheme="majorHAnsi"/>
          <w:sz w:val="22"/>
          <w:szCs w:val="22"/>
          <w:lang w:val="en-GB"/>
        </w:rPr>
        <w:t xml:space="preserve"> through</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increasing the number of degree programs in foreign languages</w:t>
      </w:r>
      <w:r w:rsidRPr="00E45751">
        <w:rPr>
          <w:rFonts w:asciiTheme="majorHAnsi" w:hAnsiTheme="majorHAnsi" w:cstheme="majorHAnsi"/>
          <w:sz w:val="22"/>
          <w:szCs w:val="22"/>
          <w:lang w:val="en-GB"/>
        </w:rPr>
        <w:t xml:space="preserve"> ​​as well as the number </w:t>
      </w:r>
      <w:r w:rsidRPr="00E45751">
        <w:rPr>
          <w:rFonts w:asciiTheme="majorHAnsi" w:hAnsiTheme="majorHAnsi" w:cstheme="majorHAnsi"/>
          <w:b/>
          <w:sz w:val="22"/>
          <w:szCs w:val="22"/>
          <w:lang w:val="en-GB"/>
        </w:rPr>
        <w:t>of joint educational projects</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building</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doctoral programs on an international scale</w:t>
      </w:r>
      <w:r w:rsidRPr="00E45751">
        <w:rPr>
          <w:rFonts w:asciiTheme="majorHAnsi" w:hAnsiTheme="majorHAnsi" w:cstheme="majorHAnsi"/>
          <w:sz w:val="22"/>
          <w:szCs w:val="22"/>
          <w:lang w:val="en-GB"/>
        </w:rPr>
        <w:t xml:space="preserve"> and </w:t>
      </w:r>
      <w:r w:rsidRPr="00E45751">
        <w:rPr>
          <w:rFonts w:asciiTheme="majorHAnsi" w:hAnsiTheme="majorHAnsi" w:cstheme="majorHAnsi"/>
          <w:b/>
          <w:sz w:val="22"/>
          <w:szCs w:val="22"/>
          <w:lang w:val="en-GB"/>
        </w:rPr>
        <w:t>developing career paths for post-doctoral candidates</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increasing the number of foreign scientists involved in teaching and scientific work in Poland</w:t>
      </w:r>
      <w:r w:rsidRPr="00E45751">
        <w:rPr>
          <w:rFonts w:asciiTheme="majorHAnsi" w:hAnsiTheme="majorHAnsi" w:cstheme="majorHAnsi"/>
          <w:sz w:val="22"/>
          <w:szCs w:val="22"/>
          <w:lang w:val="en-GB"/>
        </w:rPr>
        <w:t xml:space="preserve">, and </w:t>
      </w:r>
      <w:r w:rsidR="00076AA6" w:rsidRPr="00E45751">
        <w:rPr>
          <w:rFonts w:asciiTheme="majorHAnsi" w:hAnsiTheme="majorHAnsi" w:cstheme="majorHAnsi"/>
          <w:b/>
          <w:sz w:val="22"/>
          <w:szCs w:val="22"/>
          <w:lang w:val="en-GB"/>
        </w:rPr>
        <w:t>increasing the offer of e-learning programmes</w:t>
      </w:r>
      <w:r w:rsidR="00076AA6" w:rsidRPr="00E45751">
        <w:rPr>
          <w:rFonts w:asciiTheme="majorHAnsi" w:hAnsiTheme="majorHAnsi" w:cstheme="majorHAnsi"/>
          <w:sz w:val="22"/>
          <w:szCs w:val="22"/>
          <w:lang w:val="en-GB"/>
        </w:rPr>
        <w:t xml:space="preserve"> such as MOOCs.</w:t>
      </w:r>
      <w:r w:rsidR="00076AA6" w:rsidRPr="00E45751">
        <w:rPr>
          <w:rStyle w:val="FootnoteReference"/>
          <w:rFonts w:asciiTheme="majorHAnsi" w:hAnsiTheme="majorHAnsi" w:cstheme="majorHAnsi"/>
          <w:sz w:val="22"/>
          <w:szCs w:val="22"/>
          <w:lang w:val="en-GB"/>
        </w:rPr>
        <w:footnoteReference w:id="53"/>
      </w:r>
    </w:p>
    <w:p w14:paraId="509E95FD" w14:textId="1C92C608" w:rsidR="00076AA6" w:rsidRPr="00E45751" w:rsidRDefault="00076AA6"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Second, the programme </w:t>
      </w:r>
      <w:r w:rsidR="00B76223" w:rsidRPr="00E45751">
        <w:rPr>
          <w:rFonts w:asciiTheme="majorHAnsi" w:hAnsiTheme="majorHAnsi" w:cstheme="majorHAnsi"/>
          <w:sz w:val="22"/>
          <w:szCs w:val="22"/>
          <w:lang w:val="en-GB"/>
        </w:rPr>
        <w:t>instructs</w:t>
      </w:r>
      <w:r w:rsidRPr="00E45751">
        <w:rPr>
          <w:rFonts w:asciiTheme="majorHAnsi" w:hAnsiTheme="majorHAnsi" w:cstheme="majorHAnsi"/>
          <w:sz w:val="22"/>
          <w:szCs w:val="22"/>
          <w:lang w:val="en-GB"/>
        </w:rPr>
        <w:t xml:space="preserve"> </w:t>
      </w:r>
      <w:r w:rsidR="00B76223" w:rsidRPr="00E45751">
        <w:rPr>
          <w:rFonts w:asciiTheme="majorHAnsi" w:hAnsiTheme="majorHAnsi" w:cstheme="majorHAnsi"/>
          <w:sz w:val="22"/>
          <w:szCs w:val="22"/>
          <w:lang w:val="en-GB"/>
        </w:rPr>
        <w:t xml:space="preserve">HEIs </w:t>
      </w:r>
      <w:r w:rsidRPr="00E45751">
        <w:rPr>
          <w:rFonts w:asciiTheme="majorHAnsi" w:hAnsiTheme="majorHAnsi" w:cstheme="majorHAnsi"/>
          <w:sz w:val="22"/>
          <w:szCs w:val="22"/>
          <w:lang w:val="en-GB"/>
        </w:rPr>
        <w:t xml:space="preserve">to </w:t>
      </w:r>
      <w:r w:rsidRPr="00E45751">
        <w:rPr>
          <w:rFonts w:asciiTheme="majorHAnsi" w:hAnsiTheme="majorHAnsi" w:cstheme="majorHAnsi"/>
          <w:b/>
          <w:sz w:val="22"/>
          <w:szCs w:val="22"/>
          <w:lang w:val="en-GB"/>
        </w:rPr>
        <w:t>adjust service</w:t>
      </w:r>
      <w:r w:rsidR="00BE309B" w:rsidRPr="00E45751">
        <w:rPr>
          <w:rFonts w:asciiTheme="majorHAnsi" w:hAnsiTheme="majorHAnsi" w:cstheme="majorHAnsi"/>
          <w:b/>
          <w:sz w:val="22"/>
          <w:szCs w:val="22"/>
          <w:lang w:val="en-GB"/>
        </w:rPr>
        <w:t>s</w:t>
      </w:r>
      <w:r w:rsidRPr="00E45751">
        <w:rPr>
          <w:rFonts w:asciiTheme="majorHAnsi" w:hAnsiTheme="majorHAnsi" w:cstheme="majorHAnsi"/>
          <w:sz w:val="22"/>
          <w:szCs w:val="22"/>
          <w:lang w:val="en-GB"/>
        </w:rPr>
        <w:t xml:space="preserve"> to the needs for foreign students and extend the skills of its university staff through </w:t>
      </w:r>
      <w:r w:rsidRPr="00E45751">
        <w:rPr>
          <w:rFonts w:asciiTheme="majorHAnsi" w:hAnsiTheme="majorHAnsi" w:cstheme="majorHAnsi"/>
          <w:b/>
          <w:sz w:val="22"/>
          <w:szCs w:val="22"/>
          <w:lang w:val="en-GB"/>
        </w:rPr>
        <w:t>developing services for international students</w:t>
      </w:r>
      <w:r w:rsidRPr="00E45751">
        <w:rPr>
          <w:rFonts w:asciiTheme="majorHAnsi" w:hAnsiTheme="majorHAnsi" w:cstheme="majorHAnsi"/>
          <w:sz w:val="22"/>
          <w:szCs w:val="22"/>
          <w:lang w:val="en-GB"/>
        </w:rPr>
        <w:t xml:space="preserve"> and </w:t>
      </w:r>
      <w:r w:rsidR="00B76223" w:rsidRPr="00E45751">
        <w:rPr>
          <w:rFonts w:asciiTheme="majorHAnsi" w:hAnsiTheme="majorHAnsi" w:cstheme="majorHAnsi"/>
          <w:b/>
          <w:sz w:val="22"/>
          <w:szCs w:val="22"/>
          <w:lang w:val="en-GB"/>
        </w:rPr>
        <w:t>increasing</w:t>
      </w:r>
      <w:r w:rsidRPr="00E45751">
        <w:rPr>
          <w:rFonts w:asciiTheme="majorHAnsi" w:hAnsiTheme="majorHAnsi" w:cstheme="majorHAnsi"/>
          <w:b/>
          <w:sz w:val="22"/>
          <w:szCs w:val="22"/>
          <w:lang w:val="en-GB"/>
        </w:rPr>
        <w:t xml:space="preserve"> competencies of administrative employees</w:t>
      </w:r>
      <w:r w:rsidRPr="00E45751">
        <w:rPr>
          <w:rFonts w:asciiTheme="majorHAnsi" w:hAnsiTheme="majorHAnsi" w:cstheme="majorHAnsi"/>
          <w:sz w:val="22"/>
          <w:szCs w:val="22"/>
          <w:lang w:val="en-GB"/>
        </w:rPr>
        <w:t xml:space="preserve"> in key areas such as </w:t>
      </w:r>
      <w:r w:rsidRPr="00E45751">
        <w:rPr>
          <w:rFonts w:asciiTheme="majorHAnsi" w:hAnsiTheme="majorHAnsi" w:cstheme="majorHAnsi"/>
          <w:b/>
          <w:sz w:val="22"/>
          <w:szCs w:val="22"/>
          <w:lang w:val="en-GB"/>
        </w:rPr>
        <w:t>language abilities</w:t>
      </w:r>
      <w:r w:rsidRPr="00E45751">
        <w:rPr>
          <w:rFonts w:asciiTheme="majorHAnsi" w:hAnsiTheme="majorHAnsi" w:cstheme="majorHAnsi"/>
          <w:sz w:val="22"/>
          <w:szCs w:val="22"/>
          <w:lang w:val="en-GB"/>
        </w:rPr>
        <w:t>.</w:t>
      </w:r>
      <w:r w:rsidRPr="00E45751">
        <w:rPr>
          <w:rStyle w:val="FootnoteReference"/>
          <w:rFonts w:asciiTheme="majorHAnsi" w:hAnsiTheme="majorHAnsi" w:cstheme="majorHAnsi"/>
          <w:sz w:val="22"/>
          <w:szCs w:val="22"/>
          <w:lang w:val="en-GB"/>
        </w:rPr>
        <w:footnoteReference w:id="54"/>
      </w:r>
    </w:p>
    <w:p w14:paraId="4BA72667" w14:textId="42BF1BF1" w:rsidR="008E766B" w:rsidRPr="00E45751" w:rsidRDefault="00076AA6"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The programme also aims to create a system that</w:t>
      </w:r>
      <w:r w:rsidR="00395C67" w:rsidRPr="00E45751">
        <w:rPr>
          <w:rFonts w:asciiTheme="majorHAnsi" w:hAnsiTheme="majorHAnsi" w:cstheme="majorHAnsi"/>
          <w:sz w:val="22"/>
          <w:szCs w:val="22"/>
          <w:lang w:val="en-GB"/>
        </w:rPr>
        <w:t xml:space="preserve"> encourages HEIs to</w:t>
      </w:r>
      <w:r w:rsidRPr="00E45751">
        <w:rPr>
          <w:rFonts w:asciiTheme="majorHAnsi" w:hAnsiTheme="majorHAnsi" w:cstheme="majorHAnsi"/>
          <w:sz w:val="22"/>
          <w:szCs w:val="22"/>
          <w:lang w:val="en-GB"/>
        </w:rPr>
        <w:t xml:space="preserve"> </w:t>
      </w:r>
      <w:r w:rsidR="00395C67" w:rsidRPr="00E45751">
        <w:rPr>
          <w:rFonts w:asciiTheme="majorHAnsi" w:hAnsiTheme="majorHAnsi" w:cstheme="majorHAnsi"/>
          <w:b/>
          <w:sz w:val="22"/>
          <w:szCs w:val="22"/>
          <w:lang w:val="en-GB"/>
        </w:rPr>
        <w:t>support</w:t>
      </w:r>
      <w:r w:rsidRPr="00E45751">
        <w:rPr>
          <w:rFonts w:asciiTheme="majorHAnsi" w:hAnsiTheme="majorHAnsi" w:cstheme="majorHAnsi"/>
          <w:b/>
          <w:sz w:val="22"/>
          <w:szCs w:val="22"/>
          <w:lang w:val="en-GB"/>
        </w:rPr>
        <w:t xml:space="preserve"> the</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involvement of university employees in international scientific programmes and networks</w:t>
      </w:r>
      <w:r w:rsidRPr="00E45751">
        <w:rPr>
          <w:rFonts w:asciiTheme="majorHAnsi" w:hAnsiTheme="majorHAnsi" w:cstheme="majorHAnsi"/>
          <w:sz w:val="22"/>
          <w:szCs w:val="22"/>
          <w:lang w:val="en-GB"/>
        </w:rPr>
        <w:t xml:space="preserve">, thereby increasing the visibility of Polish universities internationally, as well as the </w:t>
      </w:r>
      <w:r w:rsidRPr="00E45751">
        <w:rPr>
          <w:rFonts w:asciiTheme="majorHAnsi" w:hAnsiTheme="majorHAnsi" w:cstheme="majorHAnsi"/>
          <w:b/>
          <w:sz w:val="22"/>
          <w:szCs w:val="22"/>
          <w:lang w:val="en-GB"/>
        </w:rPr>
        <w:t>movement of Polish students and academic staff abroad</w:t>
      </w:r>
      <w:r w:rsidRPr="00E45751">
        <w:rPr>
          <w:rFonts w:asciiTheme="majorHAnsi" w:hAnsiTheme="majorHAnsi" w:cstheme="majorHAnsi"/>
          <w:sz w:val="22"/>
          <w:szCs w:val="22"/>
          <w:lang w:val="en-GB"/>
        </w:rPr>
        <w:t xml:space="preserve"> </w:t>
      </w:r>
      <w:proofErr w:type="gramStart"/>
      <w:r w:rsidRPr="00E45751">
        <w:rPr>
          <w:rFonts w:asciiTheme="majorHAnsi" w:hAnsiTheme="majorHAnsi" w:cstheme="majorHAnsi"/>
          <w:sz w:val="22"/>
          <w:szCs w:val="22"/>
          <w:lang w:val="en-GB"/>
        </w:rPr>
        <w:t>in order to</w:t>
      </w:r>
      <w:proofErr w:type="gramEnd"/>
      <w:r w:rsidRPr="00E45751">
        <w:rPr>
          <w:rFonts w:asciiTheme="majorHAnsi" w:hAnsiTheme="majorHAnsi" w:cstheme="majorHAnsi"/>
          <w:sz w:val="22"/>
          <w:szCs w:val="22"/>
          <w:lang w:val="en-GB"/>
        </w:rPr>
        <w:t xml:space="preserve"> develop language competencies and recognition of Polish achievements in education.</w:t>
      </w:r>
      <w:r w:rsidRPr="00E45751">
        <w:rPr>
          <w:rStyle w:val="FootnoteReference"/>
          <w:rFonts w:asciiTheme="majorHAnsi" w:hAnsiTheme="majorHAnsi" w:cstheme="majorHAnsi"/>
          <w:sz w:val="22"/>
          <w:szCs w:val="22"/>
          <w:lang w:val="en-GB"/>
        </w:rPr>
        <w:footnoteReference w:id="55"/>
      </w:r>
    </w:p>
    <w:p w14:paraId="389FBCF3" w14:textId="07D1D9B4" w:rsidR="00395C67" w:rsidRPr="00E45751" w:rsidRDefault="00395C67"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At the Ministerial level, the programme proposes to </w:t>
      </w:r>
      <w:r w:rsidRPr="00E45751">
        <w:rPr>
          <w:rFonts w:asciiTheme="majorHAnsi" w:hAnsiTheme="majorHAnsi" w:cstheme="majorHAnsi"/>
          <w:b/>
          <w:sz w:val="22"/>
          <w:szCs w:val="22"/>
          <w:lang w:val="en-GB"/>
        </w:rPr>
        <w:t>create a more active scholarship policy that takes into account geographical and thematic priorities of the country</w:t>
      </w:r>
      <w:r w:rsidRPr="00E45751">
        <w:rPr>
          <w:rFonts w:asciiTheme="majorHAnsi" w:hAnsiTheme="majorHAnsi" w:cstheme="majorHAnsi"/>
          <w:sz w:val="22"/>
          <w:szCs w:val="22"/>
          <w:lang w:val="en-GB"/>
        </w:rPr>
        <w:t xml:space="preserve"> (Eastern Partnership; strategic markets like China, India, Vietnam, Indonesia, Brazil; Middle East; Africa) as well as the interests of Polish companies, </w:t>
      </w:r>
      <w:r w:rsidRPr="00E45751">
        <w:rPr>
          <w:rFonts w:asciiTheme="majorHAnsi" w:hAnsiTheme="majorHAnsi" w:cstheme="majorHAnsi"/>
          <w:b/>
          <w:sz w:val="22"/>
          <w:szCs w:val="22"/>
          <w:lang w:val="en-GB"/>
        </w:rPr>
        <w:t>develop scholarship offers co-financed with private partners</w:t>
      </w:r>
      <w:r w:rsidRPr="00E45751">
        <w:rPr>
          <w:rFonts w:asciiTheme="majorHAnsi" w:hAnsiTheme="majorHAnsi" w:cstheme="majorHAnsi"/>
          <w:sz w:val="22"/>
          <w:szCs w:val="22"/>
          <w:lang w:val="en-GB"/>
        </w:rPr>
        <w:t xml:space="preserve">, </w:t>
      </w:r>
      <w:r w:rsidR="00846ADD" w:rsidRPr="00E45751">
        <w:rPr>
          <w:rFonts w:asciiTheme="majorHAnsi" w:hAnsiTheme="majorHAnsi" w:cstheme="majorHAnsi"/>
          <w:b/>
          <w:sz w:val="22"/>
          <w:szCs w:val="22"/>
          <w:lang w:val="en-GB"/>
        </w:rPr>
        <w:t>create a scholarship fund for joint study programs</w:t>
      </w:r>
      <w:r w:rsidR="00846ADD" w:rsidRPr="00E45751">
        <w:rPr>
          <w:rFonts w:asciiTheme="majorHAnsi" w:hAnsiTheme="majorHAnsi" w:cstheme="majorHAnsi"/>
          <w:sz w:val="22"/>
          <w:szCs w:val="22"/>
          <w:lang w:val="en-GB"/>
        </w:rPr>
        <w:t xml:space="preserve"> between Polish universities and international partners and </w:t>
      </w:r>
      <w:r w:rsidR="00846ADD" w:rsidRPr="00E45751">
        <w:rPr>
          <w:rFonts w:asciiTheme="majorHAnsi" w:hAnsiTheme="majorHAnsi" w:cstheme="majorHAnsi"/>
          <w:b/>
          <w:sz w:val="22"/>
          <w:szCs w:val="22"/>
          <w:lang w:val="en-GB"/>
        </w:rPr>
        <w:t xml:space="preserve">develop </w:t>
      </w:r>
      <w:r w:rsidR="004A2761" w:rsidRPr="00E45751">
        <w:rPr>
          <w:rFonts w:asciiTheme="majorHAnsi" w:hAnsiTheme="majorHAnsi" w:cstheme="majorHAnsi"/>
          <w:b/>
          <w:sz w:val="22"/>
          <w:szCs w:val="22"/>
          <w:lang w:val="en-GB"/>
        </w:rPr>
        <w:t>a searchable database of all scholarship offers</w:t>
      </w:r>
      <w:r w:rsidR="004A2761" w:rsidRPr="00E45751">
        <w:rPr>
          <w:rFonts w:asciiTheme="majorHAnsi" w:hAnsiTheme="majorHAnsi" w:cstheme="majorHAnsi"/>
          <w:sz w:val="22"/>
          <w:szCs w:val="22"/>
          <w:lang w:val="en-GB"/>
        </w:rPr>
        <w:t>. These measures are important for developing Poland’s reputation abroad and for attracting international students to Polish HEIs.</w:t>
      </w:r>
      <w:r w:rsidR="00F746B7" w:rsidRPr="00E45751">
        <w:rPr>
          <w:rStyle w:val="FootnoteReference"/>
          <w:rFonts w:asciiTheme="majorHAnsi" w:hAnsiTheme="majorHAnsi" w:cstheme="majorHAnsi"/>
          <w:sz w:val="22"/>
          <w:szCs w:val="22"/>
          <w:lang w:val="en-GB"/>
        </w:rPr>
        <w:footnoteReference w:id="56"/>
      </w:r>
    </w:p>
    <w:p w14:paraId="3A5D1B8A" w14:textId="1F0E6CE0" w:rsidR="007E18C0" w:rsidRPr="00E45751" w:rsidRDefault="007E18C0"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In addition, the Ministry plans organizational and legal changes </w:t>
      </w:r>
      <w:proofErr w:type="gramStart"/>
      <w:r w:rsidRPr="00E45751">
        <w:rPr>
          <w:rFonts w:asciiTheme="majorHAnsi" w:hAnsiTheme="majorHAnsi" w:cstheme="majorHAnsi"/>
          <w:sz w:val="22"/>
          <w:szCs w:val="22"/>
          <w:lang w:val="en-GB"/>
        </w:rPr>
        <w:t>in order to</w:t>
      </w:r>
      <w:proofErr w:type="gramEnd"/>
      <w:r w:rsidRPr="00E45751">
        <w:rPr>
          <w:rFonts w:asciiTheme="majorHAnsi" w:hAnsiTheme="majorHAnsi" w:cstheme="majorHAnsi"/>
          <w:sz w:val="22"/>
          <w:szCs w:val="22"/>
          <w:lang w:val="en-GB"/>
        </w:rPr>
        <w:t xml:space="preserve"> promote internationalisation and student mobility. </w:t>
      </w:r>
      <w:r w:rsidR="00246E3E" w:rsidRPr="00E45751">
        <w:rPr>
          <w:rFonts w:asciiTheme="majorHAnsi" w:hAnsiTheme="majorHAnsi" w:cstheme="majorHAnsi"/>
          <w:sz w:val="22"/>
          <w:szCs w:val="22"/>
          <w:lang w:val="en-GB"/>
        </w:rPr>
        <w:t>One strategy is</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developing international contacts</w:t>
      </w:r>
      <w:r w:rsidRPr="00E45751">
        <w:rPr>
          <w:rFonts w:asciiTheme="majorHAnsi" w:hAnsiTheme="majorHAnsi" w:cstheme="majorHAnsi"/>
          <w:sz w:val="22"/>
          <w:szCs w:val="22"/>
          <w:lang w:val="en-GB"/>
        </w:rPr>
        <w:t xml:space="preserve"> at the minist</w:t>
      </w:r>
      <w:r w:rsidR="00246E3E" w:rsidRPr="00E45751">
        <w:rPr>
          <w:rFonts w:asciiTheme="majorHAnsi" w:hAnsiTheme="majorHAnsi" w:cstheme="majorHAnsi"/>
          <w:sz w:val="22"/>
          <w:szCs w:val="22"/>
          <w:lang w:val="en-GB"/>
        </w:rPr>
        <w:t xml:space="preserve">erial and institutional levels. The Ministry of Science and Higher Education has signed </w:t>
      </w:r>
      <w:r w:rsidR="00BB0267" w:rsidRPr="00E45751">
        <w:rPr>
          <w:rFonts w:asciiTheme="majorHAnsi" w:hAnsiTheme="majorHAnsi" w:cstheme="majorHAnsi"/>
          <w:b/>
          <w:sz w:val="22"/>
          <w:szCs w:val="22"/>
          <w:lang w:val="en-GB"/>
        </w:rPr>
        <w:t xml:space="preserve">bilateral </w:t>
      </w:r>
      <w:r w:rsidR="00246E3E" w:rsidRPr="00E45751">
        <w:rPr>
          <w:rFonts w:asciiTheme="majorHAnsi" w:hAnsiTheme="majorHAnsi" w:cstheme="majorHAnsi"/>
          <w:b/>
          <w:sz w:val="22"/>
          <w:szCs w:val="22"/>
          <w:lang w:val="en-GB"/>
        </w:rPr>
        <w:t>agreements</w:t>
      </w:r>
      <w:r w:rsidR="00246E3E" w:rsidRPr="00E45751">
        <w:rPr>
          <w:rFonts w:asciiTheme="majorHAnsi" w:hAnsiTheme="majorHAnsi" w:cstheme="majorHAnsi"/>
          <w:sz w:val="22"/>
          <w:szCs w:val="22"/>
          <w:lang w:val="en-GB"/>
        </w:rPr>
        <w:t xml:space="preserve"> with the UAE, Oman, Malaysia and China to attract more of their students to Polish universities.</w:t>
      </w:r>
      <w:r w:rsidR="00BB0267" w:rsidRPr="00E45751">
        <w:rPr>
          <w:rStyle w:val="FootnoteReference"/>
          <w:rFonts w:asciiTheme="majorHAnsi" w:hAnsiTheme="majorHAnsi" w:cstheme="majorHAnsi"/>
          <w:sz w:val="22"/>
          <w:szCs w:val="22"/>
          <w:lang w:val="en-GB"/>
        </w:rPr>
        <w:footnoteReference w:id="57"/>
      </w:r>
      <w:r w:rsidR="00BB0267" w:rsidRPr="00E45751">
        <w:rPr>
          <w:rFonts w:asciiTheme="majorHAnsi" w:hAnsiTheme="majorHAnsi" w:cstheme="majorHAnsi"/>
          <w:sz w:val="22"/>
          <w:szCs w:val="22"/>
          <w:lang w:val="en-GB"/>
        </w:rPr>
        <w:t xml:space="preserve"> Further changes include </w:t>
      </w:r>
      <w:r w:rsidRPr="00E45751">
        <w:rPr>
          <w:rFonts w:asciiTheme="majorHAnsi" w:hAnsiTheme="majorHAnsi" w:cstheme="majorHAnsi"/>
          <w:b/>
          <w:sz w:val="22"/>
          <w:szCs w:val="22"/>
          <w:lang w:val="en-GB"/>
        </w:rPr>
        <w:t>expanding the system for monitoring graduates</w:t>
      </w:r>
      <w:r w:rsidRPr="00E45751">
        <w:rPr>
          <w:rFonts w:asciiTheme="majorHAnsi" w:hAnsiTheme="majorHAnsi" w:cstheme="majorHAnsi"/>
          <w:sz w:val="22"/>
          <w:szCs w:val="22"/>
          <w:lang w:val="en-GB"/>
        </w:rPr>
        <w:t xml:space="preserve"> of Polish universities and</w:t>
      </w:r>
      <w:r w:rsidR="003861DD" w:rsidRPr="00E45751">
        <w:rPr>
          <w:rFonts w:asciiTheme="majorHAnsi" w:hAnsiTheme="majorHAnsi" w:cstheme="majorHAnsi"/>
          <w:sz w:val="22"/>
          <w:szCs w:val="22"/>
          <w:lang w:val="en-GB"/>
        </w:rPr>
        <w:t xml:space="preserve"> </w:t>
      </w:r>
      <w:r w:rsidR="003861DD" w:rsidRPr="00E45751">
        <w:rPr>
          <w:rFonts w:asciiTheme="majorHAnsi" w:hAnsiTheme="majorHAnsi" w:cstheme="majorHAnsi"/>
          <w:b/>
          <w:sz w:val="22"/>
          <w:szCs w:val="22"/>
          <w:lang w:val="en-GB"/>
        </w:rPr>
        <w:t>creating a system to monitor</w:t>
      </w:r>
      <w:r w:rsidRPr="00E45751">
        <w:rPr>
          <w:rFonts w:asciiTheme="majorHAnsi" w:hAnsiTheme="majorHAnsi" w:cstheme="majorHAnsi"/>
          <w:b/>
          <w:sz w:val="22"/>
          <w:szCs w:val="22"/>
          <w:lang w:val="en-GB"/>
        </w:rPr>
        <w:t xml:space="preserve"> international students in Poland</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monitoring regulations governing foreigners studying in Poland</w:t>
      </w:r>
      <w:r w:rsidRPr="00E45751">
        <w:rPr>
          <w:rFonts w:asciiTheme="majorHAnsi" w:hAnsiTheme="majorHAnsi" w:cstheme="majorHAnsi"/>
          <w:sz w:val="22"/>
          <w:szCs w:val="22"/>
          <w:lang w:val="en-GB"/>
        </w:rPr>
        <w:t xml:space="preserve"> (decreasing </w:t>
      </w:r>
      <w:r w:rsidR="003861DD" w:rsidRPr="00E45751">
        <w:rPr>
          <w:rFonts w:asciiTheme="majorHAnsi" w:hAnsiTheme="majorHAnsi" w:cstheme="majorHAnsi"/>
          <w:sz w:val="22"/>
          <w:szCs w:val="22"/>
          <w:lang w:val="en-GB"/>
        </w:rPr>
        <w:t xml:space="preserve">legal barriers (visa) to studying in Poland), </w:t>
      </w:r>
      <w:r w:rsidR="003861DD" w:rsidRPr="00E45751">
        <w:rPr>
          <w:rFonts w:asciiTheme="majorHAnsi" w:hAnsiTheme="majorHAnsi" w:cstheme="majorHAnsi"/>
          <w:b/>
          <w:sz w:val="22"/>
          <w:szCs w:val="22"/>
          <w:lang w:val="en-GB"/>
        </w:rPr>
        <w:t>distributing a guide of good practices to HEIs</w:t>
      </w:r>
      <w:r w:rsidR="009673C2" w:rsidRPr="00E45751">
        <w:rPr>
          <w:rFonts w:asciiTheme="majorHAnsi" w:hAnsiTheme="majorHAnsi" w:cstheme="majorHAnsi"/>
          <w:sz w:val="22"/>
          <w:szCs w:val="22"/>
          <w:lang w:val="en-GB"/>
        </w:rPr>
        <w:t xml:space="preserve"> and </w:t>
      </w:r>
      <w:r w:rsidR="003861DD" w:rsidRPr="00E45751">
        <w:rPr>
          <w:rFonts w:asciiTheme="majorHAnsi" w:hAnsiTheme="majorHAnsi" w:cstheme="majorHAnsi"/>
          <w:b/>
          <w:sz w:val="22"/>
          <w:szCs w:val="22"/>
          <w:lang w:val="en-GB"/>
        </w:rPr>
        <w:t>creating a knowledge base of foreign educational markets and good practices in HE</w:t>
      </w:r>
      <w:r w:rsidR="009673C2" w:rsidRPr="00E45751">
        <w:rPr>
          <w:rFonts w:asciiTheme="majorHAnsi" w:hAnsiTheme="majorHAnsi" w:cstheme="majorHAnsi"/>
          <w:sz w:val="22"/>
          <w:szCs w:val="22"/>
          <w:lang w:val="en-GB"/>
        </w:rPr>
        <w:t>.</w:t>
      </w:r>
      <w:r w:rsidR="00F746B7" w:rsidRPr="00E45751">
        <w:rPr>
          <w:rStyle w:val="FootnoteReference"/>
          <w:rFonts w:asciiTheme="majorHAnsi" w:hAnsiTheme="majorHAnsi" w:cstheme="majorHAnsi"/>
          <w:sz w:val="22"/>
          <w:szCs w:val="22"/>
          <w:lang w:val="en-GB"/>
        </w:rPr>
        <w:footnoteReference w:id="58"/>
      </w:r>
    </w:p>
    <w:p w14:paraId="550601FE" w14:textId="426D271C" w:rsidR="009673C2" w:rsidRPr="00E45751" w:rsidRDefault="009673C2"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Finally, the Polish Ministry has taken certain measures to support internationalisation in HEIs through </w:t>
      </w:r>
      <w:r w:rsidRPr="00E45751">
        <w:rPr>
          <w:rFonts w:asciiTheme="majorHAnsi" w:hAnsiTheme="majorHAnsi" w:cstheme="majorHAnsi"/>
          <w:b/>
          <w:sz w:val="22"/>
          <w:szCs w:val="22"/>
          <w:lang w:val="en-GB"/>
        </w:rPr>
        <w:t>creating a support system for universities in organising their internationalisation</w:t>
      </w:r>
      <w:r w:rsidRPr="00E45751">
        <w:rPr>
          <w:rFonts w:asciiTheme="majorHAnsi" w:hAnsiTheme="majorHAnsi" w:cstheme="majorHAnsi"/>
          <w:sz w:val="22"/>
          <w:szCs w:val="22"/>
          <w:lang w:val="en-GB"/>
        </w:rPr>
        <w:t xml:space="preserve"> and </w:t>
      </w:r>
      <w:r w:rsidRPr="00E45751">
        <w:rPr>
          <w:rFonts w:asciiTheme="majorHAnsi" w:hAnsiTheme="majorHAnsi" w:cstheme="majorHAnsi"/>
          <w:b/>
          <w:sz w:val="22"/>
          <w:szCs w:val="22"/>
          <w:lang w:val="en-GB"/>
        </w:rPr>
        <w:t>transferring global best practices</w:t>
      </w:r>
      <w:r w:rsidRPr="00E45751">
        <w:rPr>
          <w:rFonts w:asciiTheme="majorHAnsi" w:hAnsiTheme="majorHAnsi" w:cstheme="majorHAnsi"/>
          <w:sz w:val="22"/>
          <w:szCs w:val="22"/>
          <w:lang w:val="en-GB"/>
        </w:rPr>
        <w:t xml:space="preserve"> in this domain. Most importantly, however, has been the </w:t>
      </w:r>
      <w:r w:rsidRPr="00E45751">
        <w:rPr>
          <w:rFonts w:asciiTheme="majorHAnsi" w:hAnsiTheme="majorHAnsi" w:cstheme="majorHAnsi"/>
          <w:b/>
          <w:sz w:val="22"/>
          <w:szCs w:val="22"/>
          <w:lang w:val="en-GB"/>
        </w:rPr>
        <w:t>promotion abroad</w:t>
      </w:r>
      <w:r w:rsidRPr="00E45751">
        <w:rPr>
          <w:rFonts w:asciiTheme="majorHAnsi" w:hAnsiTheme="majorHAnsi" w:cstheme="majorHAnsi"/>
          <w:sz w:val="22"/>
          <w:szCs w:val="22"/>
          <w:lang w:val="en-GB"/>
        </w:rPr>
        <w:t xml:space="preserve"> of the Polish internationalisation campaign: </w:t>
      </w:r>
      <w:r w:rsidRPr="00E45751">
        <w:rPr>
          <w:rFonts w:asciiTheme="majorHAnsi" w:hAnsiTheme="majorHAnsi" w:cstheme="majorHAnsi"/>
          <w:i/>
          <w:sz w:val="22"/>
          <w:szCs w:val="22"/>
          <w:lang w:val="en-GB"/>
        </w:rPr>
        <w:t>Ready, Study, Go! Poland.</w:t>
      </w:r>
      <w:r w:rsidR="00F746B7" w:rsidRPr="00E45751">
        <w:rPr>
          <w:rFonts w:asciiTheme="majorHAnsi" w:hAnsiTheme="majorHAnsi" w:cstheme="majorHAnsi"/>
          <w:i/>
          <w:sz w:val="22"/>
          <w:szCs w:val="22"/>
          <w:lang w:val="en-GB"/>
        </w:rPr>
        <w:t xml:space="preserve"> </w:t>
      </w:r>
      <w:r w:rsidR="00F746B7" w:rsidRPr="00E45751">
        <w:rPr>
          <w:rFonts w:asciiTheme="majorHAnsi" w:hAnsiTheme="majorHAnsi" w:cstheme="majorHAnsi"/>
          <w:sz w:val="22"/>
          <w:szCs w:val="22"/>
          <w:lang w:val="en-GB"/>
        </w:rPr>
        <w:t xml:space="preserve">The Ministry supports universities in </w:t>
      </w:r>
      <w:r w:rsidR="00F746B7" w:rsidRPr="00E45751">
        <w:rPr>
          <w:rFonts w:asciiTheme="majorHAnsi" w:hAnsiTheme="majorHAnsi" w:cstheme="majorHAnsi"/>
          <w:b/>
          <w:sz w:val="22"/>
          <w:szCs w:val="22"/>
          <w:lang w:val="en-GB"/>
        </w:rPr>
        <w:t>organising Polish stands at international fairs and educational conferences</w:t>
      </w:r>
      <w:r w:rsidR="00F746B7" w:rsidRPr="00E45751">
        <w:rPr>
          <w:rFonts w:asciiTheme="majorHAnsi" w:hAnsiTheme="majorHAnsi" w:cstheme="majorHAnsi"/>
          <w:sz w:val="22"/>
          <w:szCs w:val="22"/>
          <w:lang w:val="en-GB"/>
        </w:rPr>
        <w:t xml:space="preserve">, </w:t>
      </w:r>
      <w:r w:rsidR="00F746B7" w:rsidRPr="00E45751">
        <w:rPr>
          <w:rFonts w:asciiTheme="majorHAnsi" w:hAnsiTheme="majorHAnsi" w:cstheme="majorHAnsi"/>
          <w:b/>
          <w:sz w:val="22"/>
          <w:szCs w:val="22"/>
          <w:lang w:val="en-GB"/>
        </w:rPr>
        <w:t>running a multilingual website</w:t>
      </w:r>
      <w:r w:rsidR="00F746B7" w:rsidRPr="00E45751">
        <w:rPr>
          <w:rFonts w:asciiTheme="majorHAnsi" w:hAnsiTheme="majorHAnsi" w:cstheme="majorHAnsi"/>
          <w:sz w:val="22"/>
          <w:szCs w:val="22"/>
          <w:lang w:val="en-GB"/>
        </w:rPr>
        <w:t xml:space="preserve"> that will become the official source of information on studying in Poland (www.go-poland.pl) and </w:t>
      </w:r>
      <w:r w:rsidR="00F746B7" w:rsidRPr="00E45751">
        <w:rPr>
          <w:rFonts w:asciiTheme="majorHAnsi" w:hAnsiTheme="majorHAnsi" w:cstheme="majorHAnsi"/>
          <w:b/>
          <w:sz w:val="22"/>
          <w:szCs w:val="22"/>
          <w:lang w:val="en-GB"/>
        </w:rPr>
        <w:t>publishing publications</w:t>
      </w:r>
      <w:r w:rsidR="00F746B7" w:rsidRPr="00E45751">
        <w:rPr>
          <w:rFonts w:asciiTheme="majorHAnsi" w:hAnsiTheme="majorHAnsi" w:cstheme="majorHAnsi"/>
          <w:sz w:val="22"/>
          <w:szCs w:val="22"/>
          <w:lang w:val="en-GB"/>
        </w:rPr>
        <w:t>.</w:t>
      </w:r>
      <w:r w:rsidR="00F746B7" w:rsidRPr="00E45751">
        <w:rPr>
          <w:rStyle w:val="FootnoteReference"/>
          <w:rFonts w:asciiTheme="majorHAnsi" w:hAnsiTheme="majorHAnsi" w:cstheme="majorHAnsi"/>
          <w:sz w:val="22"/>
          <w:szCs w:val="22"/>
          <w:lang w:val="en-GB"/>
        </w:rPr>
        <w:footnoteReference w:id="59"/>
      </w:r>
      <w:r w:rsidR="00BB0267" w:rsidRPr="00E45751">
        <w:rPr>
          <w:rFonts w:asciiTheme="majorHAnsi" w:hAnsiTheme="majorHAnsi" w:cstheme="majorHAnsi"/>
          <w:sz w:val="22"/>
          <w:szCs w:val="22"/>
          <w:lang w:val="en-GB"/>
        </w:rPr>
        <w:t xml:space="preserve"> The Ministry has also recently initiated the “</w:t>
      </w:r>
      <w:proofErr w:type="spellStart"/>
      <w:r w:rsidR="00BB0267" w:rsidRPr="00E45751">
        <w:rPr>
          <w:rFonts w:asciiTheme="majorHAnsi" w:hAnsiTheme="majorHAnsi" w:cstheme="majorHAnsi"/>
          <w:sz w:val="22"/>
          <w:szCs w:val="22"/>
          <w:lang w:val="en-GB"/>
        </w:rPr>
        <w:t>Uczelnie</w:t>
      </w:r>
      <w:proofErr w:type="spellEnd"/>
      <w:r w:rsidR="00BB0267" w:rsidRPr="00E45751">
        <w:rPr>
          <w:rFonts w:asciiTheme="majorHAnsi" w:hAnsiTheme="majorHAnsi" w:cstheme="majorHAnsi"/>
          <w:sz w:val="22"/>
          <w:szCs w:val="22"/>
          <w:lang w:val="en-GB"/>
        </w:rPr>
        <w:t xml:space="preserve"> </w:t>
      </w:r>
      <w:proofErr w:type="spellStart"/>
      <w:r w:rsidR="00BB0267" w:rsidRPr="00E45751">
        <w:rPr>
          <w:rFonts w:asciiTheme="majorHAnsi" w:hAnsiTheme="majorHAnsi" w:cstheme="majorHAnsi"/>
          <w:sz w:val="22"/>
          <w:szCs w:val="22"/>
          <w:lang w:val="en-GB"/>
        </w:rPr>
        <w:t>Przyszłości</w:t>
      </w:r>
      <w:proofErr w:type="spellEnd"/>
      <w:r w:rsidR="00BB0267" w:rsidRPr="00E45751">
        <w:rPr>
          <w:rFonts w:asciiTheme="majorHAnsi" w:hAnsiTheme="majorHAnsi" w:cstheme="majorHAnsi"/>
          <w:sz w:val="22"/>
          <w:szCs w:val="22"/>
          <w:lang w:val="en-GB"/>
        </w:rPr>
        <w:t xml:space="preserve">” </w:t>
      </w:r>
      <w:r w:rsidR="00BB0267" w:rsidRPr="00E45751">
        <w:rPr>
          <w:rFonts w:asciiTheme="majorHAnsi" w:hAnsiTheme="majorHAnsi" w:cstheme="majorHAnsi"/>
          <w:sz w:val="22"/>
          <w:szCs w:val="22"/>
          <w:lang w:val="en-GB"/>
        </w:rPr>
        <w:lastRenderedPageBreak/>
        <w:t>(Universities of the future) programme, giving €75 million to HEIs for internationalisation</w:t>
      </w:r>
      <w:r w:rsidR="00EF133A" w:rsidRPr="00E45751">
        <w:rPr>
          <w:rFonts w:asciiTheme="majorHAnsi" w:hAnsiTheme="majorHAnsi" w:cstheme="majorHAnsi"/>
          <w:sz w:val="22"/>
          <w:szCs w:val="22"/>
          <w:lang w:val="en-GB"/>
        </w:rPr>
        <w:t xml:space="preserve"> efforts including accreditation, lectures by foreign professors and degree programmes in English.</w:t>
      </w:r>
      <w:r w:rsidR="00EF133A" w:rsidRPr="00E45751">
        <w:rPr>
          <w:rStyle w:val="FootnoteReference"/>
          <w:rFonts w:asciiTheme="majorHAnsi" w:hAnsiTheme="majorHAnsi" w:cstheme="majorHAnsi"/>
          <w:sz w:val="22"/>
          <w:szCs w:val="22"/>
          <w:lang w:val="en-GB"/>
        </w:rPr>
        <w:footnoteReference w:id="60"/>
      </w:r>
    </w:p>
    <w:p w14:paraId="7F057F54" w14:textId="7042DBDE" w:rsidR="004F3565" w:rsidRPr="00E45751" w:rsidRDefault="004F3565" w:rsidP="00216257">
      <w:pPr>
        <w:spacing w:after="120"/>
        <w:jc w:val="both"/>
        <w:rPr>
          <w:rFonts w:asciiTheme="majorHAnsi" w:hAnsiTheme="majorHAnsi" w:cstheme="majorHAnsi"/>
          <w:sz w:val="22"/>
          <w:szCs w:val="22"/>
          <w:lang w:val="en-GB"/>
        </w:rPr>
      </w:pPr>
      <w:proofErr w:type="gramStart"/>
      <w:r w:rsidRPr="00E45751">
        <w:rPr>
          <w:rFonts w:asciiTheme="majorHAnsi" w:hAnsiTheme="majorHAnsi" w:cstheme="majorHAnsi"/>
          <w:sz w:val="22"/>
          <w:szCs w:val="22"/>
          <w:lang w:val="en-GB"/>
        </w:rPr>
        <w:t>Simila</w:t>
      </w:r>
      <w:r w:rsidR="004120A2" w:rsidRPr="00E45751">
        <w:rPr>
          <w:rFonts w:asciiTheme="majorHAnsi" w:hAnsiTheme="majorHAnsi" w:cstheme="majorHAnsi"/>
          <w:sz w:val="22"/>
          <w:szCs w:val="22"/>
          <w:lang w:val="en-GB"/>
        </w:rPr>
        <w:t>rly</w:t>
      </w:r>
      <w:proofErr w:type="gramEnd"/>
      <w:r w:rsidR="004120A2" w:rsidRPr="00E45751">
        <w:rPr>
          <w:rFonts w:asciiTheme="majorHAnsi" w:hAnsiTheme="majorHAnsi" w:cstheme="majorHAnsi"/>
          <w:sz w:val="22"/>
          <w:szCs w:val="22"/>
          <w:lang w:val="en-GB"/>
        </w:rPr>
        <w:t xml:space="preserve"> to the Confucius Institutes, the Polish Ministry of Science and Higher Education has also been involved in the </w:t>
      </w:r>
      <w:r w:rsidR="004120A2" w:rsidRPr="00E45751">
        <w:rPr>
          <w:rFonts w:asciiTheme="majorHAnsi" w:hAnsiTheme="majorHAnsi" w:cstheme="majorHAnsi"/>
          <w:b/>
          <w:sz w:val="22"/>
          <w:szCs w:val="22"/>
          <w:lang w:val="en-GB"/>
        </w:rPr>
        <w:t>dissemination of the Polish language</w:t>
      </w:r>
      <w:r w:rsidR="004120A2" w:rsidRPr="00E45751">
        <w:rPr>
          <w:rFonts w:asciiTheme="majorHAnsi" w:hAnsiTheme="majorHAnsi" w:cstheme="majorHAnsi"/>
          <w:sz w:val="22"/>
          <w:szCs w:val="22"/>
          <w:lang w:val="en-GB"/>
        </w:rPr>
        <w:t xml:space="preserve">. The Ministry </w:t>
      </w:r>
      <w:r w:rsidR="004120A2" w:rsidRPr="00E45751">
        <w:rPr>
          <w:rFonts w:asciiTheme="majorHAnsi" w:hAnsiTheme="majorHAnsi" w:cstheme="majorHAnsi"/>
          <w:b/>
          <w:sz w:val="22"/>
          <w:szCs w:val="22"/>
          <w:lang w:val="en-GB"/>
        </w:rPr>
        <w:t>finances</w:t>
      </w:r>
      <w:r w:rsidR="004120A2" w:rsidRPr="00E45751">
        <w:rPr>
          <w:rFonts w:asciiTheme="majorHAnsi" w:hAnsiTheme="majorHAnsi" w:cstheme="majorHAnsi"/>
          <w:sz w:val="22"/>
          <w:szCs w:val="22"/>
          <w:lang w:val="en-GB"/>
        </w:rPr>
        <w:t xml:space="preserve"> </w:t>
      </w:r>
      <w:r w:rsidR="004120A2" w:rsidRPr="00E45751">
        <w:rPr>
          <w:rFonts w:asciiTheme="majorHAnsi" w:hAnsiTheme="majorHAnsi" w:cstheme="majorHAnsi"/>
          <w:b/>
          <w:sz w:val="22"/>
          <w:szCs w:val="22"/>
          <w:lang w:val="en-GB"/>
        </w:rPr>
        <w:t>Polish language teachers at 103 universities outside Poland</w:t>
      </w:r>
      <w:r w:rsidR="004120A2" w:rsidRPr="00E45751">
        <w:rPr>
          <w:rFonts w:asciiTheme="majorHAnsi" w:hAnsiTheme="majorHAnsi" w:cstheme="majorHAnsi"/>
          <w:sz w:val="22"/>
          <w:szCs w:val="22"/>
          <w:lang w:val="en-GB"/>
        </w:rPr>
        <w:t xml:space="preserve">, </w:t>
      </w:r>
      <w:r w:rsidR="000F14A6" w:rsidRPr="00E45751">
        <w:rPr>
          <w:rFonts w:asciiTheme="majorHAnsi" w:hAnsiTheme="majorHAnsi" w:cstheme="majorHAnsi"/>
          <w:sz w:val="22"/>
          <w:szCs w:val="22"/>
          <w:lang w:val="en-GB"/>
        </w:rPr>
        <w:t>which necessarily attracts international students to Polish universities for short and long-term studies.</w:t>
      </w:r>
      <w:r w:rsidR="00201BF7" w:rsidRPr="00E45751">
        <w:rPr>
          <w:rFonts w:asciiTheme="majorHAnsi" w:hAnsiTheme="majorHAnsi" w:cstheme="majorHAnsi"/>
          <w:sz w:val="22"/>
          <w:szCs w:val="22"/>
          <w:lang w:val="en-GB"/>
        </w:rPr>
        <w:t xml:space="preserve"> The Ministry has also </w:t>
      </w:r>
      <w:r w:rsidR="00201BF7" w:rsidRPr="00E45751">
        <w:rPr>
          <w:rFonts w:asciiTheme="majorHAnsi" w:hAnsiTheme="majorHAnsi" w:cstheme="majorHAnsi"/>
          <w:b/>
          <w:sz w:val="22"/>
          <w:szCs w:val="22"/>
          <w:lang w:val="en-GB"/>
        </w:rPr>
        <w:t>adjusted language programmes to include relevant language modules</w:t>
      </w:r>
      <w:r w:rsidR="00201BF7" w:rsidRPr="00E45751">
        <w:rPr>
          <w:rFonts w:asciiTheme="majorHAnsi" w:hAnsiTheme="majorHAnsi" w:cstheme="majorHAnsi"/>
          <w:sz w:val="22"/>
          <w:szCs w:val="22"/>
          <w:lang w:val="en-GB"/>
        </w:rPr>
        <w:t xml:space="preserve"> (modern business and law), </w:t>
      </w:r>
      <w:r w:rsidR="00201BF7" w:rsidRPr="00E45751">
        <w:rPr>
          <w:rFonts w:asciiTheme="majorHAnsi" w:hAnsiTheme="majorHAnsi" w:cstheme="majorHAnsi"/>
          <w:b/>
          <w:sz w:val="22"/>
          <w:szCs w:val="22"/>
          <w:lang w:val="en-GB"/>
        </w:rPr>
        <w:t>introduced language proficiency exams adapted to international standards</w:t>
      </w:r>
      <w:r w:rsidR="00201BF7" w:rsidRPr="00E45751">
        <w:rPr>
          <w:rFonts w:asciiTheme="majorHAnsi" w:hAnsiTheme="majorHAnsi" w:cstheme="majorHAnsi"/>
          <w:sz w:val="22"/>
          <w:szCs w:val="22"/>
          <w:lang w:val="en-GB"/>
        </w:rPr>
        <w:t xml:space="preserve">, </w:t>
      </w:r>
      <w:r w:rsidR="00201BF7" w:rsidRPr="00E45751">
        <w:rPr>
          <w:rFonts w:asciiTheme="majorHAnsi" w:hAnsiTheme="majorHAnsi" w:cstheme="majorHAnsi"/>
          <w:b/>
          <w:sz w:val="22"/>
          <w:szCs w:val="22"/>
          <w:lang w:val="en-GB"/>
        </w:rPr>
        <w:t>developed a promotion campaign</w:t>
      </w:r>
      <w:r w:rsidR="00201BF7" w:rsidRPr="00E45751">
        <w:rPr>
          <w:rFonts w:asciiTheme="majorHAnsi" w:hAnsiTheme="majorHAnsi" w:cstheme="majorHAnsi"/>
          <w:sz w:val="22"/>
          <w:szCs w:val="22"/>
          <w:lang w:val="en-GB"/>
        </w:rPr>
        <w:t xml:space="preserve"> for traditional and online Polish language courses, </w:t>
      </w:r>
      <w:r w:rsidR="00201BF7" w:rsidRPr="00E45751">
        <w:rPr>
          <w:rFonts w:asciiTheme="majorHAnsi" w:hAnsiTheme="majorHAnsi" w:cstheme="majorHAnsi"/>
          <w:b/>
          <w:sz w:val="22"/>
          <w:szCs w:val="22"/>
          <w:lang w:val="en-GB"/>
        </w:rPr>
        <w:t>expanded Polish language courses in strategically important countries</w:t>
      </w:r>
      <w:r w:rsidR="00201BF7" w:rsidRPr="00E45751">
        <w:rPr>
          <w:rFonts w:asciiTheme="majorHAnsi" w:hAnsiTheme="majorHAnsi" w:cstheme="majorHAnsi"/>
          <w:sz w:val="22"/>
          <w:szCs w:val="22"/>
          <w:lang w:val="en-GB"/>
        </w:rPr>
        <w:t xml:space="preserve"> and </w:t>
      </w:r>
      <w:r w:rsidR="00201BF7" w:rsidRPr="00E45751">
        <w:rPr>
          <w:rFonts w:asciiTheme="majorHAnsi" w:hAnsiTheme="majorHAnsi" w:cstheme="majorHAnsi"/>
          <w:b/>
          <w:sz w:val="22"/>
          <w:szCs w:val="22"/>
          <w:lang w:val="en-GB"/>
        </w:rPr>
        <w:t>linked Polish language courses with summer and annual scholarship offers</w:t>
      </w:r>
      <w:r w:rsidR="00201BF7" w:rsidRPr="00E45751">
        <w:rPr>
          <w:rFonts w:asciiTheme="majorHAnsi" w:hAnsiTheme="majorHAnsi" w:cstheme="majorHAnsi"/>
          <w:sz w:val="22"/>
          <w:szCs w:val="22"/>
          <w:lang w:val="en-GB"/>
        </w:rPr>
        <w:t>.</w:t>
      </w:r>
      <w:r w:rsidR="00B76223" w:rsidRPr="00E45751">
        <w:rPr>
          <w:rStyle w:val="FootnoteReference"/>
          <w:rFonts w:asciiTheme="majorHAnsi" w:hAnsiTheme="majorHAnsi" w:cstheme="majorHAnsi"/>
          <w:sz w:val="22"/>
          <w:szCs w:val="22"/>
          <w:lang w:val="en-GB"/>
        </w:rPr>
        <w:footnoteReference w:id="61"/>
      </w:r>
    </w:p>
    <w:p w14:paraId="7BAAD92B" w14:textId="0C28825A" w:rsidR="007F54F9" w:rsidRPr="00E45751" w:rsidRDefault="00D64653"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In addition to Ministry and HEI efforts, the </w:t>
      </w:r>
      <w:proofErr w:type="spellStart"/>
      <w:r w:rsidRPr="00E45751">
        <w:rPr>
          <w:rFonts w:asciiTheme="majorHAnsi" w:hAnsiTheme="majorHAnsi" w:cstheme="majorHAnsi"/>
          <w:b/>
          <w:sz w:val="22"/>
          <w:szCs w:val="22"/>
          <w:lang w:val="en-GB"/>
        </w:rPr>
        <w:t>Perspektywy</w:t>
      </w:r>
      <w:proofErr w:type="spellEnd"/>
      <w:r w:rsidRPr="00E45751">
        <w:rPr>
          <w:rFonts w:asciiTheme="majorHAnsi" w:hAnsiTheme="majorHAnsi" w:cstheme="majorHAnsi"/>
          <w:b/>
          <w:sz w:val="22"/>
          <w:szCs w:val="22"/>
          <w:lang w:val="en-GB"/>
        </w:rPr>
        <w:t xml:space="preserve"> Education Foundation, </w:t>
      </w:r>
      <w:r w:rsidRPr="00E45751">
        <w:rPr>
          <w:rFonts w:asciiTheme="majorHAnsi" w:hAnsiTheme="majorHAnsi" w:cstheme="majorHAnsi"/>
          <w:sz w:val="22"/>
          <w:szCs w:val="22"/>
          <w:lang w:val="en-GB"/>
        </w:rPr>
        <w:t>a non-profit, works to promote Polish higher education internationally through a promotion program called “Study in Poland,” and publishes a newsletter that includes progress on internationalisation.</w:t>
      </w:r>
      <w:r w:rsidRPr="00E45751">
        <w:rPr>
          <w:rFonts w:asciiTheme="majorHAnsi" w:hAnsiTheme="majorHAnsi" w:cstheme="majorHAnsi"/>
          <w:sz w:val="22"/>
          <w:szCs w:val="22"/>
          <w:vertAlign w:val="superscript"/>
          <w:lang w:val="en-GB"/>
        </w:rPr>
        <w:footnoteReference w:id="62"/>
      </w:r>
      <w:r w:rsidR="006D1941" w:rsidRPr="00E45751">
        <w:rPr>
          <w:rFonts w:asciiTheme="majorHAnsi" w:hAnsiTheme="majorHAnsi" w:cstheme="majorHAnsi"/>
          <w:sz w:val="22"/>
          <w:szCs w:val="22"/>
          <w:lang w:val="en-GB"/>
        </w:rPr>
        <w:t xml:space="preserve"> This programme aims to </w:t>
      </w:r>
      <w:r w:rsidR="006D1941" w:rsidRPr="00E45751">
        <w:rPr>
          <w:rFonts w:asciiTheme="majorHAnsi" w:hAnsiTheme="majorHAnsi" w:cstheme="majorHAnsi"/>
          <w:b/>
          <w:sz w:val="22"/>
          <w:szCs w:val="22"/>
          <w:lang w:val="en-GB"/>
        </w:rPr>
        <w:t>promote Polish educational offerings at home and abroad</w:t>
      </w:r>
      <w:r w:rsidR="006D1941" w:rsidRPr="00E45751">
        <w:rPr>
          <w:rFonts w:asciiTheme="majorHAnsi" w:hAnsiTheme="majorHAnsi" w:cstheme="majorHAnsi"/>
          <w:sz w:val="22"/>
          <w:szCs w:val="22"/>
          <w:lang w:val="en-GB"/>
        </w:rPr>
        <w:t xml:space="preserve">, </w:t>
      </w:r>
      <w:r w:rsidR="006D1941" w:rsidRPr="00E45751">
        <w:rPr>
          <w:rFonts w:asciiTheme="majorHAnsi" w:hAnsiTheme="majorHAnsi" w:cstheme="majorHAnsi"/>
          <w:b/>
          <w:sz w:val="22"/>
          <w:szCs w:val="22"/>
          <w:lang w:val="en-GB"/>
        </w:rPr>
        <w:t>organise and support quality evaluation of schools and universities</w:t>
      </w:r>
      <w:r w:rsidR="006D1941" w:rsidRPr="00E45751">
        <w:rPr>
          <w:rFonts w:asciiTheme="majorHAnsi" w:hAnsiTheme="majorHAnsi" w:cstheme="majorHAnsi"/>
          <w:sz w:val="22"/>
          <w:szCs w:val="22"/>
          <w:lang w:val="en-GB"/>
        </w:rPr>
        <w:t xml:space="preserve">, </w:t>
      </w:r>
      <w:r w:rsidR="006D1941" w:rsidRPr="00E45751">
        <w:rPr>
          <w:rFonts w:asciiTheme="majorHAnsi" w:hAnsiTheme="majorHAnsi" w:cstheme="majorHAnsi"/>
          <w:b/>
          <w:sz w:val="22"/>
          <w:szCs w:val="22"/>
          <w:lang w:val="en-GB"/>
        </w:rPr>
        <w:t>provide information on scholarships</w:t>
      </w:r>
      <w:r w:rsidR="006D1941" w:rsidRPr="00E45751">
        <w:rPr>
          <w:rFonts w:asciiTheme="majorHAnsi" w:hAnsiTheme="majorHAnsi" w:cstheme="majorHAnsi"/>
          <w:sz w:val="22"/>
          <w:szCs w:val="22"/>
          <w:lang w:val="en-GB"/>
        </w:rPr>
        <w:t xml:space="preserve"> (establishment, funding, availability) and </w:t>
      </w:r>
      <w:r w:rsidR="006D1941" w:rsidRPr="00E45751">
        <w:rPr>
          <w:rFonts w:asciiTheme="majorHAnsi" w:hAnsiTheme="majorHAnsi" w:cstheme="majorHAnsi"/>
          <w:b/>
          <w:sz w:val="22"/>
          <w:szCs w:val="22"/>
          <w:lang w:val="en-GB"/>
        </w:rPr>
        <w:t>cooperate with other foundations, associations and international networks</w:t>
      </w:r>
      <w:r w:rsidR="006D1941" w:rsidRPr="00E45751">
        <w:rPr>
          <w:rFonts w:asciiTheme="majorHAnsi" w:hAnsiTheme="majorHAnsi" w:cstheme="majorHAnsi"/>
          <w:sz w:val="22"/>
          <w:szCs w:val="22"/>
          <w:lang w:val="en-GB"/>
        </w:rPr>
        <w:t xml:space="preserve"> in the field of education.</w:t>
      </w:r>
      <w:r w:rsidR="006D1941" w:rsidRPr="00E45751">
        <w:rPr>
          <w:rStyle w:val="FootnoteReference"/>
          <w:rFonts w:asciiTheme="majorHAnsi" w:hAnsiTheme="majorHAnsi" w:cstheme="majorHAnsi"/>
          <w:sz w:val="22"/>
          <w:szCs w:val="22"/>
          <w:lang w:val="en-GB"/>
        </w:rPr>
        <w:footnoteReference w:id="63"/>
      </w:r>
      <w:r w:rsidR="00BD75E3" w:rsidRPr="00E45751">
        <w:rPr>
          <w:rFonts w:asciiTheme="majorHAnsi" w:hAnsiTheme="majorHAnsi" w:cstheme="majorHAnsi"/>
          <w:sz w:val="22"/>
          <w:szCs w:val="22"/>
          <w:lang w:val="en-GB"/>
        </w:rPr>
        <w:t xml:space="preserve"> </w:t>
      </w:r>
      <w:r w:rsidR="007F54F9" w:rsidRPr="00E45751">
        <w:rPr>
          <w:rFonts w:asciiTheme="majorHAnsi" w:hAnsiTheme="majorHAnsi" w:cstheme="majorHAnsi"/>
          <w:sz w:val="22"/>
          <w:szCs w:val="22"/>
          <w:lang w:val="en-GB"/>
        </w:rPr>
        <w:t>Promotion of national higher education systems by independent non-profit organisations may lend an extra layer of legitimacy and coherence to Ministerial and institutional internationalisation strategies.</w:t>
      </w:r>
    </w:p>
    <w:p w14:paraId="3282D53D" w14:textId="5252DCBB" w:rsidR="00D64653" w:rsidRPr="00E45751" w:rsidRDefault="00BD75E3" w:rsidP="00216257">
      <w:pPr>
        <w:spacing w:after="120"/>
        <w:jc w:val="both"/>
        <w:rPr>
          <w:rFonts w:asciiTheme="majorHAnsi" w:hAnsiTheme="majorHAnsi" w:cstheme="majorHAnsi"/>
          <w:sz w:val="22"/>
          <w:szCs w:val="22"/>
          <w:lang w:val="en-GB"/>
        </w:rPr>
      </w:pPr>
      <w:proofErr w:type="spellStart"/>
      <w:r w:rsidRPr="00E45751">
        <w:rPr>
          <w:rFonts w:asciiTheme="majorHAnsi" w:hAnsiTheme="majorHAnsi" w:cstheme="majorHAnsi"/>
          <w:sz w:val="22"/>
          <w:szCs w:val="22"/>
          <w:lang w:val="en-GB"/>
        </w:rPr>
        <w:t>Perspektywy</w:t>
      </w:r>
      <w:proofErr w:type="spellEnd"/>
      <w:r w:rsidRPr="00E45751">
        <w:rPr>
          <w:rFonts w:asciiTheme="majorHAnsi" w:hAnsiTheme="majorHAnsi" w:cstheme="majorHAnsi"/>
          <w:sz w:val="22"/>
          <w:szCs w:val="22"/>
          <w:lang w:val="en-GB"/>
        </w:rPr>
        <w:t xml:space="preserve"> is a</w:t>
      </w:r>
      <w:r w:rsidR="007F54F9" w:rsidRPr="00E45751">
        <w:rPr>
          <w:rFonts w:asciiTheme="majorHAnsi" w:hAnsiTheme="majorHAnsi" w:cstheme="majorHAnsi"/>
          <w:sz w:val="22"/>
          <w:szCs w:val="22"/>
          <w:lang w:val="en-GB"/>
        </w:rPr>
        <w:t>lso a</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 xml:space="preserve">member of the </w:t>
      </w:r>
      <w:r w:rsidR="007F54F9" w:rsidRPr="00E45751">
        <w:rPr>
          <w:rFonts w:asciiTheme="majorHAnsi" w:hAnsiTheme="majorHAnsi" w:cstheme="majorHAnsi"/>
          <w:b/>
          <w:sz w:val="22"/>
          <w:szCs w:val="22"/>
          <w:lang w:val="en-GB"/>
        </w:rPr>
        <w:t>Institute of International Education (IIE) network</w:t>
      </w:r>
      <w:r w:rsidR="007F54F9" w:rsidRPr="00E45751">
        <w:rPr>
          <w:rFonts w:asciiTheme="majorHAnsi" w:hAnsiTheme="majorHAnsi" w:cstheme="majorHAnsi"/>
          <w:sz w:val="22"/>
          <w:szCs w:val="22"/>
          <w:lang w:val="en-GB"/>
        </w:rPr>
        <w:t>, which focuses on advancing scholarship, building economies and promoting access to opportunity through collaboration between students, scholars and institutions across the world and international exchange.</w:t>
      </w:r>
      <w:r w:rsidR="007F54F9" w:rsidRPr="00E45751">
        <w:rPr>
          <w:rStyle w:val="FootnoteReference"/>
          <w:rFonts w:asciiTheme="majorHAnsi" w:hAnsiTheme="majorHAnsi" w:cstheme="majorHAnsi"/>
          <w:sz w:val="22"/>
          <w:szCs w:val="22"/>
          <w:lang w:val="en-GB"/>
        </w:rPr>
        <w:footnoteReference w:id="64"/>
      </w:r>
      <w:r w:rsidR="007F54F9" w:rsidRPr="00E45751">
        <w:rPr>
          <w:rFonts w:asciiTheme="majorHAnsi" w:hAnsiTheme="majorHAnsi" w:cstheme="majorHAnsi"/>
          <w:sz w:val="22"/>
          <w:szCs w:val="22"/>
          <w:lang w:val="en-GB"/>
        </w:rPr>
        <w:t xml:space="preserve"> </w:t>
      </w:r>
      <w:r w:rsidR="007F54F9" w:rsidRPr="00E45751">
        <w:rPr>
          <w:rFonts w:asciiTheme="majorHAnsi" w:hAnsiTheme="majorHAnsi" w:cstheme="majorHAnsi"/>
          <w:b/>
          <w:sz w:val="22"/>
          <w:szCs w:val="22"/>
          <w:lang w:val="en-GB"/>
        </w:rPr>
        <w:t>Membership in international networks</w:t>
      </w:r>
      <w:r w:rsidR="007F54F9" w:rsidRPr="00E45751">
        <w:rPr>
          <w:rFonts w:asciiTheme="majorHAnsi" w:hAnsiTheme="majorHAnsi" w:cstheme="majorHAnsi"/>
          <w:sz w:val="22"/>
          <w:szCs w:val="22"/>
          <w:lang w:val="en-GB"/>
        </w:rPr>
        <w:t xml:space="preserve"> (of HEIs and non-profit organisations alike) opens doors to further international student exchange through partnerships and scholarships</w:t>
      </w:r>
      <w:r w:rsidR="002A2F92" w:rsidRPr="00E45751">
        <w:rPr>
          <w:rFonts w:asciiTheme="majorHAnsi" w:hAnsiTheme="majorHAnsi" w:cstheme="majorHAnsi"/>
          <w:sz w:val="22"/>
          <w:szCs w:val="22"/>
          <w:lang w:val="en-GB"/>
        </w:rPr>
        <w:t xml:space="preserve">, and </w:t>
      </w:r>
      <w:r w:rsidR="001C0916" w:rsidRPr="00E45751">
        <w:rPr>
          <w:rFonts w:asciiTheme="majorHAnsi" w:hAnsiTheme="majorHAnsi" w:cstheme="majorHAnsi"/>
          <w:sz w:val="22"/>
          <w:szCs w:val="22"/>
          <w:lang w:val="en-GB"/>
        </w:rPr>
        <w:t>acts as a promotional strategy in itself.</w:t>
      </w:r>
    </w:p>
    <w:p w14:paraId="7DC05B80" w14:textId="5B336609" w:rsidR="008E766B" w:rsidRPr="00E45751" w:rsidRDefault="00CE3CEE" w:rsidP="00216257">
      <w:pPr>
        <w:spacing w:after="120"/>
        <w:jc w:val="both"/>
        <w:rPr>
          <w:rFonts w:asciiTheme="majorHAnsi" w:hAnsiTheme="majorHAnsi" w:cstheme="majorHAnsi"/>
          <w:sz w:val="22"/>
          <w:szCs w:val="22"/>
          <w:lang w:val="en-GB"/>
        </w:rPr>
      </w:pPr>
      <w:proofErr w:type="gramStart"/>
      <w:r w:rsidRPr="00E45751">
        <w:rPr>
          <w:rFonts w:asciiTheme="majorHAnsi" w:hAnsiTheme="majorHAnsi" w:cstheme="majorHAnsi"/>
          <w:sz w:val="22"/>
          <w:szCs w:val="22"/>
          <w:lang w:val="en-GB"/>
        </w:rPr>
        <w:t>As a result of</w:t>
      </w:r>
      <w:proofErr w:type="gramEnd"/>
      <w:r w:rsidRPr="00E45751">
        <w:rPr>
          <w:rFonts w:asciiTheme="majorHAnsi" w:hAnsiTheme="majorHAnsi" w:cstheme="majorHAnsi"/>
          <w:sz w:val="22"/>
          <w:szCs w:val="22"/>
          <w:lang w:val="en-GB"/>
        </w:rPr>
        <w:t xml:space="preserve"> internationalisation efforts, b</w:t>
      </w:r>
      <w:r w:rsidR="00543E38" w:rsidRPr="00E45751">
        <w:rPr>
          <w:rFonts w:asciiTheme="majorHAnsi" w:hAnsiTheme="majorHAnsi" w:cstheme="majorHAnsi"/>
          <w:sz w:val="22"/>
          <w:szCs w:val="22"/>
          <w:lang w:val="en-GB"/>
        </w:rPr>
        <w:t xml:space="preserve">etween the </w:t>
      </w:r>
      <w:r w:rsidR="00961304" w:rsidRPr="00E45751">
        <w:rPr>
          <w:rFonts w:asciiTheme="majorHAnsi" w:hAnsiTheme="majorHAnsi" w:cstheme="majorHAnsi"/>
          <w:sz w:val="22"/>
          <w:szCs w:val="22"/>
          <w:lang w:val="en-GB"/>
        </w:rPr>
        <w:t xml:space="preserve">2014/2015, </w:t>
      </w:r>
      <w:r w:rsidR="00543E38" w:rsidRPr="00E45751">
        <w:rPr>
          <w:rFonts w:asciiTheme="majorHAnsi" w:hAnsiTheme="majorHAnsi" w:cstheme="majorHAnsi"/>
          <w:sz w:val="22"/>
          <w:szCs w:val="22"/>
          <w:lang w:val="en-GB"/>
        </w:rPr>
        <w:t>2015/2016 and 2016/17 school years, the number of international students</w:t>
      </w:r>
      <w:r w:rsidR="00961304" w:rsidRPr="00E45751">
        <w:rPr>
          <w:rFonts w:asciiTheme="majorHAnsi" w:hAnsiTheme="majorHAnsi" w:cstheme="majorHAnsi"/>
          <w:sz w:val="22"/>
          <w:szCs w:val="22"/>
          <w:lang w:val="en-GB"/>
        </w:rPr>
        <w:t xml:space="preserve"> studying in Poland rose by about 11</w:t>
      </w:r>
      <w:r w:rsidR="00543E38" w:rsidRPr="00E45751">
        <w:rPr>
          <w:rFonts w:asciiTheme="majorHAnsi" w:hAnsiTheme="majorHAnsi" w:cstheme="majorHAnsi"/>
          <w:sz w:val="22"/>
          <w:szCs w:val="22"/>
          <w:lang w:val="en-GB"/>
        </w:rPr>
        <w:t>%</w:t>
      </w:r>
      <w:r w:rsidR="00961304" w:rsidRPr="00E45751">
        <w:rPr>
          <w:rFonts w:asciiTheme="majorHAnsi" w:hAnsiTheme="majorHAnsi" w:cstheme="majorHAnsi"/>
          <w:sz w:val="22"/>
          <w:szCs w:val="22"/>
          <w:lang w:val="en-GB"/>
        </w:rPr>
        <w:t xml:space="preserve"> each year</w:t>
      </w:r>
      <w:r w:rsidR="00543E38" w:rsidRPr="00E45751">
        <w:rPr>
          <w:rFonts w:asciiTheme="majorHAnsi" w:hAnsiTheme="majorHAnsi" w:cstheme="majorHAnsi"/>
          <w:sz w:val="22"/>
          <w:szCs w:val="22"/>
          <w:lang w:val="en-GB"/>
        </w:rPr>
        <w:t xml:space="preserve">, from </w:t>
      </w:r>
      <w:r w:rsidR="00961304" w:rsidRPr="00E45751">
        <w:rPr>
          <w:rFonts w:asciiTheme="majorHAnsi" w:hAnsiTheme="majorHAnsi" w:cstheme="majorHAnsi"/>
          <w:sz w:val="22"/>
          <w:szCs w:val="22"/>
          <w:lang w:val="en-GB"/>
        </w:rPr>
        <w:t xml:space="preserve">46,101 students to </w:t>
      </w:r>
      <w:r w:rsidR="00543E38" w:rsidRPr="00E45751">
        <w:rPr>
          <w:rFonts w:asciiTheme="majorHAnsi" w:hAnsiTheme="majorHAnsi" w:cstheme="majorHAnsi"/>
          <w:sz w:val="22"/>
          <w:szCs w:val="22"/>
          <w:lang w:val="en-GB"/>
        </w:rPr>
        <w:t>57,119 to 65,096.</w:t>
      </w:r>
      <w:r w:rsidRPr="00E45751">
        <w:rPr>
          <w:rFonts w:asciiTheme="majorHAnsi" w:hAnsiTheme="majorHAnsi" w:cstheme="majorHAnsi"/>
          <w:sz w:val="22"/>
          <w:szCs w:val="22"/>
          <w:lang w:val="en-GB"/>
        </w:rPr>
        <w:t xml:space="preserve"> The “Study in Poland” promotion campaign began in 2005, and the </w:t>
      </w:r>
      <w:proofErr w:type="gramStart"/>
      <w:r w:rsidRPr="00E45751">
        <w:rPr>
          <w:rFonts w:asciiTheme="majorHAnsi" w:hAnsiTheme="majorHAnsi" w:cstheme="majorHAnsi"/>
          <w:sz w:val="22"/>
          <w:szCs w:val="22"/>
          <w:lang w:val="en-GB"/>
        </w:rPr>
        <w:t>longer term</w:t>
      </w:r>
      <w:proofErr w:type="gramEnd"/>
      <w:r w:rsidRPr="00E45751">
        <w:rPr>
          <w:rFonts w:asciiTheme="majorHAnsi" w:hAnsiTheme="majorHAnsi" w:cstheme="majorHAnsi"/>
          <w:sz w:val="22"/>
          <w:szCs w:val="22"/>
          <w:lang w:val="en-GB"/>
        </w:rPr>
        <w:t xml:space="preserve"> numbers are equally impressive: the number of international students in Poland has risen from only 10,000 in 2005 to 65,000 in 2017.</w:t>
      </w:r>
      <w:r w:rsidRPr="00E45751">
        <w:rPr>
          <w:rStyle w:val="FootnoteReference"/>
          <w:rFonts w:asciiTheme="majorHAnsi" w:hAnsiTheme="majorHAnsi" w:cstheme="majorHAnsi"/>
          <w:sz w:val="22"/>
          <w:szCs w:val="22"/>
          <w:lang w:val="en-GB"/>
        </w:rPr>
        <w:footnoteReference w:id="65"/>
      </w:r>
      <w:r w:rsidR="00C058B3" w:rsidRPr="00E45751">
        <w:rPr>
          <w:rFonts w:asciiTheme="majorHAnsi" w:hAnsiTheme="majorHAnsi" w:cstheme="majorHAnsi"/>
          <w:sz w:val="22"/>
          <w:szCs w:val="22"/>
          <w:lang w:val="en-GB"/>
        </w:rPr>
        <w:t xml:space="preserve"> Between 2012 and 2015, the percentage of international students to domestic students has risen from 1.3% to 5.4%.</w:t>
      </w:r>
      <w:r w:rsidR="00C058B3" w:rsidRPr="00E45751">
        <w:rPr>
          <w:rStyle w:val="FootnoteReference"/>
          <w:rFonts w:asciiTheme="majorHAnsi" w:hAnsiTheme="majorHAnsi" w:cstheme="majorHAnsi"/>
          <w:sz w:val="22"/>
          <w:szCs w:val="22"/>
          <w:lang w:val="en-GB"/>
        </w:rPr>
        <w:footnoteReference w:id="66"/>
      </w:r>
    </w:p>
    <w:p w14:paraId="57833037" w14:textId="34176EA7" w:rsidR="008E766B" w:rsidRPr="00E45751" w:rsidRDefault="0093175E" w:rsidP="001113F4">
      <w:pPr>
        <w:pStyle w:val="Heading2"/>
        <w:numPr>
          <w:ilvl w:val="1"/>
          <w:numId w:val="47"/>
        </w:numPr>
        <w:spacing w:after="120"/>
        <w:jc w:val="both"/>
        <w:rPr>
          <w:rFonts w:cstheme="majorHAnsi"/>
          <w:lang w:val="en-GB"/>
        </w:rPr>
      </w:pPr>
      <w:bookmarkStart w:id="40" w:name="_Toc416471907"/>
      <w:r w:rsidRPr="00E45751">
        <w:rPr>
          <w:rFonts w:cstheme="majorHAnsi"/>
          <w:lang w:val="en-GB"/>
        </w:rPr>
        <w:t>South Africa</w:t>
      </w:r>
      <w:bookmarkEnd w:id="40"/>
    </w:p>
    <w:p w14:paraId="765EFE3F" w14:textId="2565CDD1" w:rsidR="00DD32D3" w:rsidRPr="00E45751" w:rsidRDefault="00DD32D3" w:rsidP="00216257">
      <w:p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 xml:space="preserve">South Africa </w:t>
      </w:r>
      <w:r w:rsidR="00EC5C74" w:rsidRPr="00E45751">
        <w:rPr>
          <w:rFonts w:asciiTheme="majorHAnsi" w:hAnsiTheme="majorHAnsi" w:cstheme="majorHAnsi"/>
          <w:sz w:val="22"/>
          <w:szCs w:val="22"/>
          <w:lang w:val="en-GB"/>
        </w:rPr>
        <w:t>is in the process of adopting</w:t>
      </w:r>
      <w:r w:rsidRPr="00E45751">
        <w:rPr>
          <w:rFonts w:asciiTheme="majorHAnsi" w:hAnsiTheme="majorHAnsi" w:cstheme="majorHAnsi"/>
          <w:sz w:val="22"/>
          <w:szCs w:val="22"/>
          <w:lang w:val="en-GB"/>
        </w:rPr>
        <w:t xml:space="preserve"> </w:t>
      </w:r>
      <w:r w:rsidR="00EC5C74" w:rsidRPr="00E45751">
        <w:rPr>
          <w:rFonts w:asciiTheme="majorHAnsi" w:hAnsiTheme="majorHAnsi" w:cstheme="majorHAnsi"/>
          <w:sz w:val="22"/>
          <w:szCs w:val="22"/>
          <w:lang w:val="en-GB"/>
        </w:rPr>
        <w:t xml:space="preserve">a new framework for the internationalisation of higher education. </w:t>
      </w:r>
      <w:r w:rsidR="00345A59" w:rsidRPr="00E45751">
        <w:rPr>
          <w:rFonts w:asciiTheme="majorHAnsi" w:hAnsiTheme="majorHAnsi" w:cstheme="majorHAnsi"/>
          <w:sz w:val="22"/>
          <w:szCs w:val="22"/>
          <w:lang w:val="en-GB"/>
        </w:rPr>
        <w:t xml:space="preserve">In this policy framework, the </w:t>
      </w:r>
      <w:r w:rsidR="003C2662" w:rsidRPr="00E45751">
        <w:rPr>
          <w:rFonts w:asciiTheme="majorHAnsi" w:hAnsiTheme="majorHAnsi" w:cstheme="majorHAnsi"/>
          <w:sz w:val="22"/>
          <w:szCs w:val="22"/>
          <w:lang w:val="en-GB"/>
        </w:rPr>
        <w:t>Department</w:t>
      </w:r>
      <w:r w:rsidR="00345A59" w:rsidRPr="00E45751">
        <w:rPr>
          <w:rFonts w:asciiTheme="majorHAnsi" w:hAnsiTheme="majorHAnsi" w:cstheme="majorHAnsi"/>
          <w:sz w:val="22"/>
          <w:szCs w:val="22"/>
          <w:lang w:val="en-GB"/>
        </w:rPr>
        <w:t xml:space="preserve"> of Higher Education and Training reiterates its goal of attracting talented and highly qualified people to South African HEIs</w:t>
      </w:r>
      <w:r w:rsidR="003C2662" w:rsidRPr="00E45751">
        <w:rPr>
          <w:rFonts w:asciiTheme="majorHAnsi" w:hAnsiTheme="majorHAnsi" w:cstheme="majorHAnsi"/>
          <w:sz w:val="22"/>
          <w:szCs w:val="22"/>
          <w:lang w:val="en-GB"/>
        </w:rPr>
        <w:t>.</w:t>
      </w:r>
      <w:r w:rsidR="003C2662" w:rsidRPr="00E45751">
        <w:rPr>
          <w:rStyle w:val="FootnoteReference"/>
          <w:rFonts w:asciiTheme="majorHAnsi" w:hAnsiTheme="majorHAnsi" w:cstheme="majorHAnsi"/>
          <w:sz w:val="22"/>
          <w:szCs w:val="22"/>
          <w:lang w:val="en-GB"/>
        </w:rPr>
        <w:footnoteReference w:id="67"/>
      </w:r>
    </w:p>
    <w:p w14:paraId="354CB7D7" w14:textId="0C739C45" w:rsidR="00DD32D3" w:rsidRPr="00E45751" w:rsidRDefault="009B236D"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lastRenderedPageBreak/>
        <w:t xml:space="preserve">Government involvement in the internationalisation process is restricted to principles and </w:t>
      </w:r>
      <w:proofErr w:type="gramStart"/>
      <w:r w:rsidRPr="00E45751">
        <w:rPr>
          <w:rFonts w:asciiTheme="majorHAnsi" w:hAnsiTheme="majorHAnsi" w:cstheme="majorHAnsi"/>
          <w:sz w:val="22"/>
          <w:szCs w:val="22"/>
          <w:lang w:val="en-GB"/>
        </w:rPr>
        <w:t>guidelines, and</w:t>
      </w:r>
      <w:proofErr w:type="gramEnd"/>
      <w:r w:rsidRPr="00E45751">
        <w:rPr>
          <w:rFonts w:asciiTheme="majorHAnsi" w:hAnsiTheme="majorHAnsi" w:cstheme="majorHAnsi"/>
          <w:sz w:val="22"/>
          <w:szCs w:val="22"/>
          <w:lang w:val="en-GB"/>
        </w:rPr>
        <w:t xml:space="preserve"> does not involve direct steering of HEIs. The government does take measures, however, to support and facilitate internationalisation by HEIs. These measures include a </w:t>
      </w:r>
      <w:r w:rsidRPr="00E45751">
        <w:rPr>
          <w:rFonts w:asciiTheme="majorHAnsi" w:hAnsiTheme="majorHAnsi" w:cstheme="majorHAnsi"/>
          <w:b/>
          <w:sz w:val="22"/>
          <w:szCs w:val="22"/>
          <w:lang w:val="en-GB"/>
        </w:rPr>
        <w:t>s</w:t>
      </w:r>
      <w:r w:rsidR="003C2662" w:rsidRPr="00E45751">
        <w:rPr>
          <w:rFonts w:asciiTheme="majorHAnsi" w:hAnsiTheme="majorHAnsi" w:cstheme="majorHAnsi"/>
          <w:b/>
          <w:sz w:val="22"/>
          <w:szCs w:val="22"/>
          <w:lang w:val="en-GB"/>
        </w:rPr>
        <w:t>treamlined visa application and approval process</w:t>
      </w:r>
      <w:r w:rsidRPr="00E45751">
        <w:rPr>
          <w:rFonts w:asciiTheme="majorHAnsi" w:hAnsiTheme="majorHAnsi" w:cstheme="majorHAnsi"/>
          <w:sz w:val="22"/>
          <w:szCs w:val="22"/>
          <w:lang w:val="en-GB"/>
        </w:rPr>
        <w:t xml:space="preserve">, </w:t>
      </w:r>
      <w:r w:rsidRPr="00E45751">
        <w:rPr>
          <w:rFonts w:asciiTheme="majorHAnsi" w:hAnsiTheme="majorHAnsi" w:cstheme="majorHAnsi"/>
          <w:b/>
          <w:sz w:val="22"/>
          <w:szCs w:val="22"/>
          <w:lang w:val="en-GB"/>
        </w:rPr>
        <w:t>clear articulation of national strategy and policies</w:t>
      </w:r>
      <w:r w:rsidRPr="00E45751">
        <w:rPr>
          <w:rFonts w:asciiTheme="majorHAnsi" w:hAnsiTheme="majorHAnsi" w:cstheme="majorHAnsi"/>
          <w:sz w:val="22"/>
          <w:szCs w:val="22"/>
          <w:lang w:val="en-GB"/>
        </w:rPr>
        <w:t xml:space="preserve"> and the commitment to </w:t>
      </w:r>
      <w:proofErr w:type="gramStart"/>
      <w:r w:rsidRPr="00E45751">
        <w:rPr>
          <w:rFonts w:asciiTheme="majorHAnsi" w:hAnsiTheme="majorHAnsi" w:cstheme="majorHAnsi"/>
          <w:b/>
          <w:sz w:val="22"/>
          <w:szCs w:val="22"/>
          <w:lang w:val="en-GB"/>
        </w:rPr>
        <w:t>enter into</w:t>
      </w:r>
      <w:proofErr w:type="gramEnd"/>
      <w:r w:rsidRPr="00E45751">
        <w:rPr>
          <w:rFonts w:asciiTheme="majorHAnsi" w:hAnsiTheme="majorHAnsi" w:cstheme="majorHAnsi"/>
          <w:b/>
          <w:sz w:val="22"/>
          <w:szCs w:val="22"/>
          <w:lang w:val="en-GB"/>
        </w:rPr>
        <w:t xml:space="preserve"> strategic alliances with other countries</w:t>
      </w:r>
      <w:r w:rsidRPr="00E45751">
        <w:rPr>
          <w:rFonts w:asciiTheme="majorHAnsi" w:hAnsiTheme="majorHAnsi" w:cstheme="majorHAnsi"/>
          <w:sz w:val="22"/>
          <w:szCs w:val="22"/>
          <w:lang w:val="en-GB"/>
        </w:rPr>
        <w:t>.</w:t>
      </w:r>
      <w:r w:rsidR="00DB2990" w:rsidRPr="00E45751">
        <w:rPr>
          <w:rStyle w:val="FootnoteReference"/>
          <w:rFonts w:asciiTheme="majorHAnsi" w:hAnsiTheme="majorHAnsi" w:cstheme="majorHAnsi"/>
          <w:sz w:val="22"/>
          <w:szCs w:val="22"/>
          <w:lang w:val="en-GB"/>
        </w:rPr>
        <w:footnoteReference w:id="68"/>
      </w:r>
    </w:p>
    <w:p w14:paraId="5B357DCF" w14:textId="7E86FF80" w:rsidR="00DD32D3" w:rsidRPr="00E45751" w:rsidRDefault="009B236D"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HEI strategy is the main driver of internationalisation and attraction of foreign students in South Africa. This is done through </w:t>
      </w:r>
      <w:r w:rsidRPr="00E45751">
        <w:rPr>
          <w:rFonts w:asciiTheme="majorHAnsi" w:hAnsiTheme="majorHAnsi" w:cstheme="majorHAnsi"/>
          <w:b/>
          <w:sz w:val="22"/>
          <w:szCs w:val="22"/>
          <w:lang w:val="en-GB"/>
        </w:rPr>
        <w:t>setting up support services</w:t>
      </w:r>
      <w:r w:rsidRPr="00E45751">
        <w:rPr>
          <w:rFonts w:asciiTheme="majorHAnsi" w:hAnsiTheme="majorHAnsi" w:cstheme="majorHAnsi"/>
          <w:sz w:val="22"/>
          <w:szCs w:val="22"/>
          <w:lang w:val="en-GB"/>
        </w:rPr>
        <w:t xml:space="preserve"> for international students (visa support, </w:t>
      </w:r>
      <w:r w:rsidR="00263275" w:rsidRPr="00E45751">
        <w:rPr>
          <w:rFonts w:asciiTheme="majorHAnsi" w:hAnsiTheme="majorHAnsi" w:cstheme="majorHAnsi"/>
          <w:sz w:val="22"/>
          <w:szCs w:val="22"/>
          <w:lang w:val="en-GB"/>
        </w:rPr>
        <w:t xml:space="preserve">on-campus administrative support), </w:t>
      </w:r>
      <w:r w:rsidR="00D91E67" w:rsidRPr="00E45751">
        <w:rPr>
          <w:rFonts w:asciiTheme="majorHAnsi" w:hAnsiTheme="majorHAnsi" w:cstheme="majorHAnsi"/>
          <w:b/>
          <w:sz w:val="22"/>
          <w:szCs w:val="22"/>
          <w:lang w:val="en-GB"/>
        </w:rPr>
        <w:t>internationalising curricula</w:t>
      </w:r>
      <w:r w:rsidR="00D91E67" w:rsidRPr="00E45751">
        <w:rPr>
          <w:rFonts w:asciiTheme="majorHAnsi" w:hAnsiTheme="majorHAnsi" w:cstheme="majorHAnsi"/>
          <w:sz w:val="22"/>
          <w:szCs w:val="22"/>
          <w:lang w:val="en-GB"/>
        </w:rPr>
        <w:t xml:space="preserve"> and </w:t>
      </w:r>
      <w:r w:rsidR="00D91E67" w:rsidRPr="00E45751">
        <w:rPr>
          <w:rFonts w:asciiTheme="majorHAnsi" w:hAnsiTheme="majorHAnsi" w:cstheme="majorHAnsi"/>
          <w:b/>
          <w:sz w:val="22"/>
          <w:szCs w:val="22"/>
          <w:lang w:val="en-GB"/>
        </w:rPr>
        <w:t>joining consortia</w:t>
      </w:r>
      <w:r w:rsidR="00D91E67" w:rsidRPr="00E45751">
        <w:rPr>
          <w:rFonts w:asciiTheme="majorHAnsi" w:hAnsiTheme="majorHAnsi" w:cstheme="majorHAnsi"/>
          <w:sz w:val="22"/>
          <w:szCs w:val="22"/>
          <w:lang w:val="en-GB"/>
        </w:rPr>
        <w:t xml:space="preserve"> aimed at enhancement of internationalisation.</w:t>
      </w:r>
      <w:r w:rsidR="00DB2990" w:rsidRPr="00E45751">
        <w:rPr>
          <w:rStyle w:val="FootnoteReference"/>
          <w:rFonts w:asciiTheme="majorHAnsi" w:hAnsiTheme="majorHAnsi" w:cstheme="majorHAnsi"/>
          <w:sz w:val="22"/>
          <w:szCs w:val="22"/>
          <w:lang w:val="en-GB"/>
        </w:rPr>
        <w:footnoteReference w:id="69"/>
      </w:r>
    </w:p>
    <w:p w14:paraId="7691B9F4" w14:textId="673BDC80" w:rsidR="00620910" w:rsidRPr="00E45751" w:rsidRDefault="00620910"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A significant incentive for international students is the </w:t>
      </w:r>
      <w:r w:rsidRPr="00E45751">
        <w:rPr>
          <w:rFonts w:asciiTheme="majorHAnsi" w:hAnsiTheme="majorHAnsi" w:cstheme="majorHAnsi"/>
          <w:b/>
          <w:sz w:val="22"/>
          <w:szCs w:val="22"/>
          <w:lang w:val="en-GB"/>
        </w:rPr>
        <w:t>equal subsidies for domestic and international students</w:t>
      </w:r>
      <w:r w:rsidRPr="00E45751">
        <w:rPr>
          <w:rFonts w:asciiTheme="majorHAnsi" w:hAnsiTheme="majorHAnsi" w:cstheme="majorHAnsi"/>
          <w:sz w:val="22"/>
          <w:szCs w:val="22"/>
          <w:lang w:val="en-GB"/>
        </w:rPr>
        <w:t xml:space="preserve"> enrolled in HEIs in degree seeking programmes. An additional incentive </w:t>
      </w:r>
      <w:r w:rsidR="00FD20B0" w:rsidRPr="00E45751">
        <w:rPr>
          <w:rFonts w:asciiTheme="majorHAnsi" w:hAnsiTheme="majorHAnsi" w:cstheme="majorHAnsi"/>
          <w:sz w:val="22"/>
          <w:szCs w:val="22"/>
          <w:lang w:val="en-GB"/>
        </w:rPr>
        <w:t xml:space="preserve">that encourages regional mobility </w:t>
      </w:r>
      <w:proofErr w:type="gramStart"/>
      <w:r w:rsidR="00FD20B0" w:rsidRPr="00E45751">
        <w:rPr>
          <w:rFonts w:asciiTheme="majorHAnsi" w:hAnsiTheme="majorHAnsi" w:cstheme="majorHAnsi"/>
          <w:sz w:val="22"/>
          <w:szCs w:val="22"/>
          <w:lang w:val="en-GB"/>
        </w:rPr>
        <w:t>in particular is</w:t>
      </w:r>
      <w:proofErr w:type="gramEnd"/>
      <w:r w:rsidR="00FD20B0" w:rsidRPr="00E45751">
        <w:rPr>
          <w:rFonts w:asciiTheme="majorHAnsi" w:hAnsiTheme="majorHAnsi" w:cstheme="majorHAnsi"/>
          <w:sz w:val="22"/>
          <w:szCs w:val="22"/>
          <w:lang w:val="en-GB"/>
        </w:rPr>
        <w:t xml:space="preserve"> the </w:t>
      </w:r>
      <w:r w:rsidR="00FD20B0" w:rsidRPr="00E45751">
        <w:rPr>
          <w:rFonts w:asciiTheme="majorHAnsi" w:hAnsiTheme="majorHAnsi" w:cstheme="majorHAnsi"/>
          <w:b/>
          <w:sz w:val="22"/>
          <w:szCs w:val="22"/>
          <w:lang w:val="en-GB"/>
        </w:rPr>
        <w:t xml:space="preserve">equal tuition requirement </w:t>
      </w:r>
      <w:r w:rsidRPr="00E45751">
        <w:rPr>
          <w:rFonts w:asciiTheme="majorHAnsi" w:hAnsiTheme="majorHAnsi" w:cstheme="majorHAnsi"/>
          <w:b/>
          <w:sz w:val="22"/>
          <w:szCs w:val="22"/>
          <w:lang w:val="en-GB"/>
        </w:rPr>
        <w:t>for students from South African Development Community (SADC) countries</w:t>
      </w:r>
      <w:r w:rsidRPr="00E45751">
        <w:rPr>
          <w:rFonts w:asciiTheme="majorHAnsi" w:hAnsiTheme="majorHAnsi" w:cstheme="majorHAnsi"/>
          <w:sz w:val="22"/>
          <w:szCs w:val="22"/>
          <w:lang w:val="en-GB"/>
        </w:rPr>
        <w:t>. HEIs can charge higher fees for students coming from non-</w:t>
      </w:r>
      <w:r w:rsidR="00FD20B0" w:rsidRPr="00E45751">
        <w:rPr>
          <w:rFonts w:asciiTheme="majorHAnsi" w:hAnsiTheme="majorHAnsi" w:cstheme="majorHAnsi"/>
          <w:sz w:val="22"/>
          <w:szCs w:val="22"/>
          <w:lang w:val="en-GB"/>
        </w:rPr>
        <w:t>SADC countries. This has increased regional mobility to South African HEIs.</w:t>
      </w:r>
      <w:r w:rsidR="00DB2990" w:rsidRPr="00E45751">
        <w:rPr>
          <w:rStyle w:val="FootnoteReference"/>
          <w:rFonts w:asciiTheme="majorHAnsi" w:hAnsiTheme="majorHAnsi" w:cstheme="majorHAnsi"/>
          <w:sz w:val="22"/>
          <w:szCs w:val="22"/>
          <w:lang w:val="en-GB"/>
        </w:rPr>
        <w:footnoteReference w:id="70"/>
      </w:r>
    </w:p>
    <w:p w14:paraId="140E2A61" w14:textId="7CDBA6AC" w:rsidR="00620910" w:rsidRPr="00E45751" w:rsidRDefault="000B22C1" w:rsidP="001113F4">
      <w:pPr>
        <w:pStyle w:val="Heading2"/>
        <w:numPr>
          <w:ilvl w:val="1"/>
          <w:numId w:val="47"/>
        </w:numPr>
        <w:spacing w:after="120"/>
        <w:jc w:val="both"/>
        <w:rPr>
          <w:rFonts w:cstheme="majorHAnsi"/>
          <w:lang w:val="en-GB"/>
        </w:rPr>
      </w:pPr>
      <w:bookmarkStart w:id="41" w:name="_Toc416471908"/>
      <w:r w:rsidRPr="00E45751">
        <w:rPr>
          <w:rFonts w:cstheme="majorHAnsi"/>
          <w:lang w:val="en-GB"/>
        </w:rPr>
        <w:t>Other countries</w:t>
      </w:r>
      <w:bookmarkEnd w:id="41"/>
    </w:p>
    <w:p w14:paraId="16B46572" w14:textId="1DE51DE8" w:rsidR="00E45751" w:rsidRDefault="00E45751" w:rsidP="00D8551E">
      <w:pPr>
        <w:spacing w:after="120"/>
        <w:rPr>
          <w:rFonts w:asciiTheme="majorHAnsi" w:hAnsiTheme="majorHAnsi" w:cstheme="majorHAnsi"/>
          <w:sz w:val="22"/>
          <w:szCs w:val="22"/>
          <w:lang w:val="en-GB"/>
        </w:rPr>
      </w:pPr>
      <w:r w:rsidRPr="00E45751">
        <w:rPr>
          <w:rFonts w:asciiTheme="majorHAnsi" w:hAnsiTheme="majorHAnsi" w:cstheme="majorHAnsi"/>
          <w:sz w:val="22"/>
          <w:szCs w:val="22"/>
          <w:lang w:val="en-GB"/>
        </w:rPr>
        <w:t>Germany’s Ministry of Education and Research has recently updated the Strategy of the Federal Government for the Internationalisation of Education, Science and Research.</w:t>
      </w:r>
      <w:r>
        <w:rPr>
          <w:rFonts w:asciiTheme="majorHAnsi" w:hAnsiTheme="majorHAnsi" w:cstheme="majorHAnsi"/>
          <w:sz w:val="22"/>
          <w:szCs w:val="22"/>
          <w:lang w:val="en-GB"/>
        </w:rPr>
        <w:t xml:space="preserve"> One of the main goals of the strategy is to strengthen Germany’s attractiveness as a </w:t>
      </w:r>
      <w:r w:rsidR="008B4652">
        <w:rPr>
          <w:rFonts w:asciiTheme="majorHAnsi" w:hAnsiTheme="majorHAnsi" w:cstheme="majorHAnsi"/>
          <w:sz w:val="22"/>
          <w:szCs w:val="22"/>
          <w:lang w:val="en-GB"/>
        </w:rPr>
        <w:t xml:space="preserve">research and innovation centre. While Germany is already an attractive destination for students and researchers, these numbers are increasing. The number of foreign researchers at German universities increased by 84% between 2006 and 2014. In 2015, the number of international students in the German HE system was 320,000, and this number is projected to </w:t>
      </w:r>
      <w:r w:rsidR="00D8551E">
        <w:rPr>
          <w:rFonts w:asciiTheme="majorHAnsi" w:hAnsiTheme="majorHAnsi" w:cstheme="majorHAnsi"/>
          <w:sz w:val="22"/>
          <w:szCs w:val="22"/>
          <w:lang w:val="en-GB"/>
        </w:rPr>
        <w:t>increase</w:t>
      </w:r>
      <w:r w:rsidR="008B4652">
        <w:rPr>
          <w:rFonts w:asciiTheme="majorHAnsi" w:hAnsiTheme="majorHAnsi" w:cstheme="majorHAnsi"/>
          <w:sz w:val="22"/>
          <w:szCs w:val="22"/>
          <w:lang w:val="en-GB"/>
        </w:rPr>
        <w:t xml:space="preserve"> to 350,000 (a 10% increase) by 2020.</w:t>
      </w:r>
      <w:r w:rsidR="008B4652">
        <w:rPr>
          <w:rStyle w:val="FootnoteReference"/>
          <w:rFonts w:asciiTheme="majorHAnsi" w:hAnsiTheme="majorHAnsi" w:cstheme="majorHAnsi"/>
          <w:sz w:val="22"/>
          <w:szCs w:val="22"/>
          <w:lang w:val="en-GB"/>
        </w:rPr>
        <w:footnoteReference w:id="71"/>
      </w:r>
    </w:p>
    <w:p w14:paraId="330AB0A5" w14:textId="3FFE9FDE" w:rsidR="00C839AD" w:rsidRPr="00C839AD" w:rsidRDefault="00D8551E" w:rsidP="00C839AD">
      <w:pPr>
        <w:spacing w:after="120"/>
        <w:rPr>
          <w:rFonts w:asciiTheme="majorHAnsi" w:hAnsiTheme="majorHAnsi" w:cstheme="majorHAnsi"/>
          <w:sz w:val="22"/>
          <w:szCs w:val="22"/>
          <w:lang w:val="en-GB"/>
        </w:rPr>
      </w:pPr>
      <w:r w:rsidRPr="00C839AD">
        <w:rPr>
          <w:rFonts w:asciiTheme="majorHAnsi" w:hAnsiTheme="majorHAnsi" w:cstheme="majorHAnsi"/>
          <w:sz w:val="22"/>
          <w:szCs w:val="22"/>
          <w:lang w:val="en-GB"/>
        </w:rPr>
        <w:t xml:space="preserve">The current Internationalisation Strategy updates the Strategy defined in 2008, </w:t>
      </w:r>
      <w:proofErr w:type="gramStart"/>
      <w:r w:rsidRPr="00C839AD">
        <w:rPr>
          <w:rFonts w:asciiTheme="majorHAnsi" w:hAnsiTheme="majorHAnsi" w:cstheme="majorHAnsi"/>
          <w:sz w:val="22"/>
          <w:szCs w:val="22"/>
          <w:lang w:val="en-GB"/>
        </w:rPr>
        <w:t>taking into account</w:t>
      </w:r>
      <w:proofErr w:type="gramEnd"/>
      <w:r w:rsidRPr="00C839AD">
        <w:rPr>
          <w:rFonts w:asciiTheme="majorHAnsi" w:hAnsiTheme="majorHAnsi" w:cstheme="majorHAnsi"/>
          <w:sz w:val="22"/>
          <w:szCs w:val="22"/>
          <w:lang w:val="en-GB"/>
        </w:rPr>
        <w:t xml:space="preserve"> new tren</w:t>
      </w:r>
      <w:r w:rsidR="00C839AD" w:rsidRPr="00C839AD">
        <w:rPr>
          <w:rFonts w:asciiTheme="majorHAnsi" w:hAnsiTheme="majorHAnsi" w:cstheme="majorHAnsi"/>
          <w:sz w:val="22"/>
          <w:szCs w:val="22"/>
          <w:lang w:val="en-GB"/>
        </w:rPr>
        <w:t>ds and challenges. The first strategic objective is Strengthening Excellence Through Worldwide Cooperation. Concretely, this includes “</w:t>
      </w:r>
      <w:r w:rsidR="00C839AD" w:rsidRPr="00C839AD">
        <w:rPr>
          <w:rFonts w:asciiTheme="majorHAnsi" w:hAnsiTheme="majorHAnsi" w:cstheme="majorHAnsi"/>
          <w:b/>
          <w:sz w:val="22"/>
          <w:szCs w:val="22"/>
          <w:lang w:val="en-GB"/>
        </w:rPr>
        <w:t>taking measures to further consolidate Germany’s position as an attractive destination for students and researchers</w:t>
      </w:r>
      <w:r w:rsidR="00C839AD" w:rsidRPr="00C839AD">
        <w:rPr>
          <w:rFonts w:asciiTheme="majorHAnsi" w:hAnsiTheme="majorHAnsi" w:cstheme="majorHAnsi"/>
          <w:sz w:val="22"/>
          <w:szCs w:val="22"/>
          <w:lang w:val="en-GB"/>
        </w:rPr>
        <w:t xml:space="preserve">…. [and] </w:t>
      </w:r>
      <w:r w:rsidR="00C839AD" w:rsidRPr="00C839AD">
        <w:rPr>
          <w:rFonts w:asciiTheme="majorHAnsi" w:hAnsiTheme="majorHAnsi" w:cstheme="majorHAnsi"/>
          <w:b/>
          <w:sz w:val="22"/>
          <w:szCs w:val="22"/>
          <w:lang w:val="en-GB"/>
        </w:rPr>
        <w:t>continuing to remove barriers</w:t>
      </w:r>
      <w:r w:rsidR="00C839AD" w:rsidRPr="00C839AD">
        <w:rPr>
          <w:rFonts w:asciiTheme="majorHAnsi" w:hAnsiTheme="majorHAnsi" w:cstheme="majorHAnsi"/>
          <w:sz w:val="22"/>
          <w:szCs w:val="22"/>
          <w:lang w:val="en-GB"/>
        </w:rPr>
        <w:t xml:space="preserve"> to the international mobility of scientists,”</w:t>
      </w:r>
      <w:r w:rsidR="00C839AD" w:rsidRPr="00C839AD">
        <w:rPr>
          <w:rStyle w:val="FootnoteReference"/>
          <w:rFonts w:asciiTheme="majorHAnsi" w:hAnsiTheme="majorHAnsi" w:cstheme="majorHAnsi"/>
          <w:sz w:val="22"/>
          <w:szCs w:val="22"/>
          <w:lang w:val="en-GB"/>
        </w:rPr>
        <w:footnoteReference w:id="72"/>
      </w:r>
      <w:r w:rsidR="00C839AD" w:rsidRPr="00C839AD">
        <w:rPr>
          <w:rFonts w:asciiTheme="majorHAnsi" w:hAnsiTheme="majorHAnsi" w:cstheme="majorHAnsi"/>
          <w:sz w:val="22"/>
          <w:szCs w:val="22"/>
          <w:lang w:val="en-GB"/>
        </w:rPr>
        <w:t xml:space="preserve"> with a special focus on the European region.</w:t>
      </w:r>
    </w:p>
    <w:p w14:paraId="1BF62051" w14:textId="73D153C7" w:rsidR="00C839AD" w:rsidRDefault="00C839AD" w:rsidP="00C839AD">
      <w:pPr>
        <w:spacing w:after="120"/>
        <w:rPr>
          <w:rFonts w:asciiTheme="majorHAnsi" w:hAnsiTheme="majorHAnsi" w:cstheme="majorHAnsi"/>
          <w:sz w:val="22"/>
          <w:szCs w:val="22"/>
          <w:lang w:val="en-GB"/>
        </w:rPr>
      </w:pPr>
      <w:r w:rsidRPr="00C839AD">
        <w:rPr>
          <w:rFonts w:asciiTheme="majorHAnsi" w:hAnsiTheme="majorHAnsi" w:cstheme="majorHAnsi"/>
          <w:sz w:val="22"/>
          <w:szCs w:val="22"/>
          <w:lang w:val="en-GB"/>
        </w:rPr>
        <w:t>Germany’s government is also funding “</w:t>
      </w:r>
      <w:r w:rsidRPr="00C839AD">
        <w:rPr>
          <w:rFonts w:asciiTheme="majorHAnsi" w:hAnsiTheme="majorHAnsi" w:cstheme="majorHAnsi"/>
          <w:b/>
          <w:sz w:val="22"/>
          <w:szCs w:val="22"/>
          <w:lang w:val="en-GB"/>
        </w:rPr>
        <w:t>international networking activities</w:t>
      </w:r>
      <w:r w:rsidRPr="00C839AD">
        <w:rPr>
          <w:rFonts w:asciiTheme="majorHAnsi" w:hAnsiTheme="majorHAnsi" w:cstheme="majorHAnsi"/>
          <w:sz w:val="22"/>
          <w:szCs w:val="22"/>
          <w:lang w:val="en-GB"/>
        </w:rPr>
        <w:t xml:space="preserve">, particularly those </w:t>
      </w:r>
      <w:r w:rsidRPr="00C839AD">
        <w:rPr>
          <w:rFonts w:asciiTheme="majorHAnsi" w:hAnsiTheme="majorHAnsi" w:cstheme="majorHAnsi"/>
          <w:b/>
          <w:sz w:val="22"/>
          <w:szCs w:val="22"/>
          <w:lang w:val="en-GB"/>
        </w:rPr>
        <w:t>involving small and medium-sized enterprises</w:t>
      </w:r>
      <w:r w:rsidRPr="00C839AD">
        <w:rPr>
          <w:rFonts w:asciiTheme="majorHAnsi" w:hAnsiTheme="majorHAnsi" w:cstheme="majorHAnsi"/>
          <w:sz w:val="22"/>
          <w:szCs w:val="22"/>
          <w:lang w:val="en-GB"/>
        </w:rPr>
        <w:t>” in an attempt to solidify Germany’s position as a location for high tech activities in higher education and research.</w:t>
      </w:r>
      <w:r w:rsidRPr="00C839AD">
        <w:rPr>
          <w:rStyle w:val="FootnoteReference"/>
          <w:rFonts w:asciiTheme="majorHAnsi" w:hAnsiTheme="majorHAnsi" w:cstheme="majorHAnsi"/>
          <w:sz w:val="22"/>
          <w:szCs w:val="22"/>
          <w:lang w:val="en-GB"/>
        </w:rPr>
        <w:footnoteReference w:id="73"/>
      </w:r>
      <w:r w:rsidRPr="00C839AD">
        <w:rPr>
          <w:rFonts w:asciiTheme="majorHAnsi" w:hAnsiTheme="majorHAnsi" w:cstheme="majorHAnsi"/>
          <w:sz w:val="22"/>
          <w:szCs w:val="22"/>
          <w:lang w:val="en-GB"/>
        </w:rPr>
        <w:t xml:space="preserve"> These measures aim at further increasing attractiveness of German universities to internationally mobile students and researchers, and the new strategy demonstrates that the most successful countries (Germany is the 5</w:t>
      </w:r>
      <w:r w:rsidRPr="00C839AD">
        <w:rPr>
          <w:rFonts w:asciiTheme="majorHAnsi" w:hAnsiTheme="majorHAnsi" w:cstheme="majorHAnsi"/>
          <w:sz w:val="22"/>
          <w:szCs w:val="22"/>
          <w:vertAlign w:val="superscript"/>
          <w:lang w:val="en-GB"/>
        </w:rPr>
        <w:t>th</w:t>
      </w:r>
      <w:r w:rsidRPr="00C839AD">
        <w:rPr>
          <w:rFonts w:asciiTheme="majorHAnsi" w:hAnsiTheme="majorHAnsi" w:cstheme="majorHAnsi"/>
          <w:sz w:val="22"/>
          <w:szCs w:val="22"/>
          <w:lang w:val="en-GB"/>
        </w:rPr>
        <w:t xml:space="preserve"> most popular destination for students globally) </w:t>
      </w:r>
      <w:r w:rsidRPr="00C839AD">
        <w:rPr>
          <w:rFonts w:asciiTheme="majorHAnsi" w:hAnsiTheme="majorHAnsi" w:cstheme="majorHAnsi"/>
          <w:b/>
          <w:sz w:val="22"/>
          <w:szCs w:val="22"/>
          <w:lang w:val="en-GB"/>
        </w:rPr>
        <w:t>constantly adapt their internationalisation strategies</w:t>
      </w:r>
      <w:r w:rsidRPr="00C839AD">
        <w:rPr>
          <w:rFonts w:asciiTheme="majorHAnsi" w:hAnsiTheme="majorHAnsi" w:cstheme="majorHAnsi"/>
          <w:sz w:val="22"/>
          <w:szCs w:val="22"/>
          <w:lang w:val="en-GB"/>
        </w:rPr>
        <w:t xml:space="preserve"> to global trends and challenges.</w:t>
      </w:r>
    </w:p>
    <w:p w14:paraId="65C55BFC" w14:textId="74DAA3AA" w:rsidR="00873733" w:rsidRDefault="00873733" w:rsidP="00C839AD">
      <w:pPr>
        <w:spacing w:after="120"/>
        <w:rPr>
          <w:rFonts w:asciiTheme="majorHAnsi" w:hAnsiTheme="majorHAnsi" w:cstheme="majorHAnsi"/>
          <w:sz w:val="22"/>
          <w:szCs w:val="22"/>
          <w:lang w:val="en-GB"/>
        </w:rPr>
      </w:pPr>
      <w:r>
        <w:rPr>
          <w:rFonts w:asciiTheme="majorHAnsi" w:hAnsiTheme="majorHAnsi" w:cstheme="majorHAnsi"/>
          <w:sz w:val="22"/>
          <w:szCs w:val="22"/>
          <w:lang w:val="en-GB"/>
        </w:rPr>
        <w:t>Furthermore, the German Academic Exchange Service (DAAD) is an association of German HEIs and student organisations, which “</w:t>
      </w:r>
      <w:r w:rsidRPr="00873733">
        <w:rPr>
          <w:rFonts w:asciiTheme="majorHAnsi" w:hAnsiTheme="majorHAnsi" w:cstheme="majorHAnsi"/>
          <w:sz w:val="22"/>
          <w:szCs w:val="22"/>
          <w:lang w:val="en-GB"/>
        </w:rPr>
        <w:t xml:space="preserve">supports the internationalisation of German universities, promotes German studies and the German language abroad, assists developing countries in establishing effective universities and advises decision makers on matters of cultural, education and </w:t>
      </w:r>
      <w:r w:rsidRPr="00873733">
        <w:rPr>
          <w:rFonts w:asciiTheme="majorHAnsi" w:hAnsiTheme="majorHAnsi" w:cstheme="majorHAnsi"/>
          <w:sz w:val="22"/>
          <w:szCs w:val="22"/>
          <w:lang w:val="en-GB"/>
        </w:rPr>
        <w:lastRenderedPageBreak/>
        <w:t>development policy.</w:t>
      </w:r>
      <w:r>
        <w:rPr>
          <w:rFonts w:asciiTheme="majorHAnsi" w:hAnsiTheme="majorHAnsi" w:cstheme="majorHAnsi"/>
          <w:sz w:val="22"/>
          <w:szCs w:val="22"/>
          <w:lang w:val="en-GB"/>
        </w:rPr>
        <w:t>”</w:t>
      </w:r>
      <w:r>
        <w:rPr>
          <w:rStyle w:val="FootnoteReference"/>
          <w:rFonts w:asciiTheme="majorHAnsi" w:hAnsiTheme="majorHAnsi" w:cstheme="majorHAnsi"/>
          <w:sz w:val="22"/>
          <w:szCs w:val="22"/>
          <w:lang w:val="en-GB"/>
        </w:rPr>
        <w:footnoteReference w:id="74"/>
      </w:r>
      <w:r>
        <w:rPr>
          <w:rFonts w:asciiTheme="majorHAnsi" w:hAnsiTheme="majorHAnsi" w:cstheme="majorHAnsi"/>
          <w:sz w:val="22"/>
          <w:szCs w:val="22"/>
          <w:lang w:val="en-GB"/>
        </w:rPr>
        <w:t xml:space="preserve"> The DAAD is primarily funded by the German government, but also receives funding from the EU, private enterprises, organisations and foreign governments. In addition to funding study abroad </w:t>
      </w:r>
      <w:r w:rsidR="00F86BE5">
        <w:rPr>
          <w:rFonts w:asciiTheme="majorHAnsi" w:hAnsiTheme="majorHAnsi" w:cstheme="majorHAnsi"/>
          <w:sz w:val="22"/>
          <w:szCs w:val="22"/>
          <w:lang w:val="en-GB"/>
        </w:rPr>
        <w:t>programmes and scholarships</w:t>
      </w:r>
      <w:r>
        <w:rPr>
          <w:rFonts w:asciiTheme="majorHAnsi" w:hAnsiTheme="majorHAnsi" w:cstheme="majorHAnsi"/>
          <w:sz w:val="22"/>
          <w:szCs w:val="22"/>
          <w:lang w:val="en-GB"/>
        </w:rPr>
        <w:t>, the DAAD “</w:t>
      </w:r>
      <w:r w:rsidRPr="00873733">
        <w:rPr>
          <w:rFonts w:asciiTheme="majorHAnsi" w:hAnsiTheme="majorHAnsi" w:cstheme="majorHAnsi"/>
          <w:sz w:val="22"/>
          <w:szCs w:val="22"/>
          <w:lang w:val="en-GB"/>
        </w:rPr>
        <w:t xml:space="preserve">supports the international activities of German institutions of higher education through </w:t>
      </w:r>
      <w:r w:rsidRPr="00873733">
        <w:rPr>
          <w:rFonts w:asciiTheme="majorHAnsi" w:hAnsiTheme="majorHAnsi" w:cstheme="majorHAnsi"/>
          <w:b/>
          <w:sz w:val="22"/>
          <w:szCs w:val="22"/>
          <w:lang w:val="en-GB"/>
        </w:rPr>
        <w:t>marketing services, publications, the staging of events and training courses.</w:t>
      </w:r>
      <w:r>
        <w:rPr>
          <w:rFonts w:asciiTheme="majorHAnsi" w:hAnsiTheme="majorHAnsi" w:cstheme="majorHAnsi"/>
          <w:sz w:val="22"/>
          <w:szCs w:val="22"/>
          <w:lang w:val="en-GB"/>
        </w:rPr>
        <w:t>”</w:t>
      </w:r>
      <w:r>
        <w:rPr>
          <w:rStyle w:val="FootnoteReference"/>
          <w:rFonts w:asciiTheme="majorHAnsi" w:hAnsiTheme="majorHAnsi" w:cstheme="majorHAnsi"/>
          <w:sz w:val="22"/>
          <w:szCs w:val="22"/>
          <w:lang w:val="en-GB"/>
        </w:rPr>
        <w:footnoteReference w:id="75"/>
      </w:r>
      <w:r>
        <w:rPr>
          <w:rFonts w:asciiTheme="majorHAnsi" w:hAnsiTheme="majorHAnsi" w:cstheme="majorHAnsi"/>
          <w:sz w:val="22"/>
          <w:szCs w:val="22"/>
          <w:lang w:val="en-GB"/>
        </w:rPr>
        <w:t xml:space="preserve"> This organisation, as well as similar bodies such as </w:t>
      </w:r>
      <w:r w:rsidRPr="00873733">
        <w:rPr>
          <w:rFonts w:asciiTheme="majorHAnsi" w:hAnsiTheme="majorHAnsi" w:cstheme="majorHAnsi"/>
          <w:b/>
          <w:sz w:val="22"/>
          <w:szCs w:val="22"/>
          <w:lang w:val="en-GB"/>
        </w:rPr>
        <w:t>Campus France in France, NUFFIC in the Netherlands and the British Council in England</w:t>
      </w:r>
      <w:r>
        <w:rPr>
          <w:rFonts w:asciiTheme="majorHAnsi" w:hAnsiTheme="majorHAnsi" w:cstheme="majorHAnsi"/>
          <w:sz w:val="22"/>
          <w:szCs w:val="22"/>
          <w:lang w:val="en-GB"/>
        </w:rPr>
        <w:t xml:space="preserve"> all contribute to internationalisation at the national and institutional levels in their respective countries.</w:t>
      </w:r>
    </w:p>
    <w:p w14:paraId="02C5A460" w14:textId="71992170" w:rsidR="00F86BE5" w:rsidRDefault="003C44E0" w:rsidP="00C839AD">
      <w:pPr>
        <w:spacing w:after="120"/>
        <w:rPr>
          <w:rFonts w:asciiTheme="majorHAnsi" w:hAnsiTheme="majorHAnsi" w:cstheme="majorHAnsi"/>
          <w:sz w:val="22"/>
          <w:szCs w:val="22"/>
          <w:lang w:val="en-GB"/>
        </w:rPr>
      </w:pPr>
      <w:r>
        <w:rPr>
          <w:rFonts w:asciiTheme="majorHAnsi" w:hAnsiTheme="majorHAnsi" w:cstheme="majorHAnsi"/>
          <w:sz w:val="22"/>
          <w:szCs w:val="22"/>
          <w:lang w:val="en-GB"/>
        </w:rPr>
        <w:t>A few common points between these organisations:</w:t>
      </w:r>
    </w:p>
    <w:p w14:paraId="09C8A61B" w14:textId="04B1DB87" w:rsidR="003C44E0" w:rsidRDefault="003C44E0" w:rsidP="003C44E0">
      <w:pPr>
        <w:pStyle w:val="ListParagraph"/>
        <w:numPr>
          <w:ilvl w:val="0"/>
          <w:numId w:val="49"/>
        </w:numPr>
        <w:spacing w:after="120"/>
        <w:rPr>
          <w:rFonts w:asciiTheme="majorHAnsi" w:hAnsiTheme="majorHAnsi" w:cstheme="majorHAnsi"/>
          <w:sz w:val="22"/>
          <w:szCs w:val="22"/>
          <w:lang w:val="en-GB"/>
        </w:rPr>
      </w:pPr>
      <w:r>
        <w:rPr>
          <w:rFonts w:asciiTheme="majorHAnsi" w:hAnsiTheme="majorHAnsi" w:cstheme="majorHAnsi"/>
          <w:sz w:val="22"/>
          <w:szCs w:val="22"/>
          <w:lang w:val="en-GB"/>
        </w:rPr>
        <w:t>Promotion of national HE system and national universities abroad</w:t>
      </w:r>
    </w:p>
    <w:p w14:paraId="66B68FA7" w14:textId="7053FEAB" w:rsidR="003C44E0" w:rsidRDefault="000627EF" w:rsidP="003C44E0">
      <w:pPr>
        <w:pStyle w:val="ListParagraph"/>
        <w:numPr>
          <w:ilvl w:val="0"/>
          <w:numId w:val="49"/>
        </w:numPr>
        <w:spacing w:after="120"/>
        <w:rPr>
          <w:rFonts w:asciiTheme="majorHAnsi" w:hAnsiTheme="majorHAnsi" w:cstheme="majorHAnsi"/>
          <w:sz w:val="22"/>
          <w:szCs w:val="22"/>
          <w:lang w:val="en-GB"/>
        </w:rPr>
      </w:pPr>
      <w:r>
        <w:rPr>
          <w:rFonts w:asciiTheme="majorHAnsi" w:hAnsiTheme="majorHAnsi" w:cstheme="majorHAnsi"/>
          <w:sz w:val="22"/>
          <w:szCs w:val="22"/>
          <w:lang w:val="en-GB"/>
        </w:rPr>
        <w:t>Administrative i</w:t>
      </w:r>
      <w:r w:rsidR="003C44E0">
        <w:rPr>
          <w:rFonts w:asciiTheme="majorHAnsi" w:hAnsiTheme="majorHAnsi" w:cstheme="majorHAnsi"/>
          <w:sz w:val="22"/>
          <w:szCs w:val="22"/>
          <w:lang w:val="en-GB"/>
        </w:rPr>
        <w:t>nformation</w:t>
      </w:r>
      <w:r>
        <w:rPr>
          <w:rFonts w:asciiTheme="majorHAnsi" w:hAnsiTheme="majorHAnsi" w:cstheme="majorHAnsi"/>
          <w:sz w:val="22"/>
          <w:szCs w:val="22"/>
          <w:lang w:val="en-GB"/>
        </w:rPr>
        <w:t xml:space="preserve"> including advice on visas, housing, medical insurance, and other questions</w:t>
      </w:r>
    </w:p>
    <w:p w14:paraId="28154E51" w14:textId="615DCBB9" w:rsidR="000627EF" w:rsidRDefault="000627EF" w:rsidP="003C44E0">
      <w:pPr>
        <w:pStyle w:val="ListParagraph"/>
        <w:numPr>
          <w:ilvl w:val="0"/>
          <w:numId w:val="49"/>
        </w:numPr>
        <w:spacing w:after="120"/>
        <w:rPr>
          <w:rFonts w:asciiTheme="majorHAnsi" w:hAnsiTheme="majorHAnsi" w:cstheme="majorHAnsi"/>
          <w:sz w:val="22"/>
          <w:szCs w:val="22"/>
          <w:lang w:val="en-GB"/>
        </w:rPr>
      </w:pPr>
      <w:r>
        <w:rPr>
          <w:rFonts w:asciiTheme="majorHAnsi" w:hAnsiTheme="majorHAnsi" w:cstheme="majorHAnsi"/>
          <w:sz w:val="22"/>
          <w:szCs w:val="22"/>
          <w:lang w:val="en-GB"/>
        </w:rPr>
        <w:t>Information on programme offerings</w:t>
      </w:r>
    </w:p>
    <w:p w14:paraId="665D5DBC" w14:textId="40895B3D" w:rsidR="000627EF" w:rsidRDefault="000627EF" w:rsidP="003C44E0">
      <w:pPr>
        <w:pStyle w:val="ListParagraph"/>
        <w:numPr>
          <w:ilvl w:val="0"/>
          <w:numId w:val="49"/>
        </w:numPr>
        <w:spacing w:after="120"/>
        <w:rPr>
          <w:rFonts w:asciiTheme="majorHAnsi" w:hAnsiTheme="majorHAnsi" w:cstheme="majorHAnsi"/>
          <w:sz w:val="22"/>
          <w:szCs w:val="22"/>
          <w:lang w:val="en-GB"/>
        </w:rPr>
      </w:pPr>
      <w:r>
        <w:rPr>
          <w:rFonts w:asciiTheme="majorHAnsi" w:hAnsiTheme="majorHAnsi" w:cstheme="majorHAnsi"/>
          <w:sz w:val="22"/>
          <w:szCs w:val="22"/>
          <w:lang w:val="en-GB"/>
        </w:rPr>
        <w:t>Non-academic information to promote a positive study abroad experience</w:t>
      </w:r>
    </w:p>
    <w:p w14:paraId="26E1D3DC" w14:textId="44B4CF54" w:rsidR="000627EF" w:rsidRPr="00ED15B4" w:rsidRDefault="000627EF" w:rsidP="000627EF">
      <w:pPr>
        <w:spacing w:after="120"/>
        <w:rPr>
          <w:rFonts w:asciiTheme="majorHAnsi" w:hAnsiTheme="majorHAnsi" w:cstheme="majorHAnsi"/>
          <w:sz w:val="22"/>
          <w:szCs w:val="22"/>
          <w:lang w:val="en-GB"/>
        </w:rPr>
      </w:pPr>
      <w:r>
        <w:rPr>
          <w:rFonts w:asciiTheme="majorHAnsi" w:hAnsiTheme="majorHAnsi" w:cstheme="majorHAnsi"/>
          <w:sz w:val="22"/>
          <w:szCs w:val="22"/>
          <w:lang w:val="en-GB"/>
        </w:rPr>
        <w:t xml:space="preserve">Campus France, NUFFIC, British Council and DAAD serve essentially as international offices at the national level, providing the most useful information for international students in an easily accessible manner. Developing such an office is key for attracting foreign students, as this is likely </w:t>
      </w:r>
      <w:r w:rsidRPr="00ED15B4">
        <w:rPr>
          <w:rFonts w:asciiTheme="majorHAnsi" w:hAnsiTheme="majorHAnsi" w:cstheme="majorHAnsi"/>
          <w:sz w:val="22"/>
          <w:szCs w:val="22"/>
          <w:lang w:val="en-GB"/>
        </w:rPr>
        <w:t xml:space="preserve">the first contact they will have with the HE system </w:t>
      </w:r>
      <w:proofErr w:type="gramStart"/>
      <w:r w:rsidRPr="00ED15B4">
        <w:rPr>
          <w:rFonts w:asciiTheme="majorHAnsi" w:hAnsiTheme="majorHAnsi" w:cstheme="majorHAnsi"/>
          <w:sz w:val="22"/>
          <w:szCs w:val="22"/>
          <w:lang w:val="en-GB"/>
        </w:rPr>
        <w:t>as a whole and</w:t>
      </w:r>
      <w:proofErr w:type="gramEnd"/>
      <w:r w:rsidRPr="00ED15B4">
        <w:rPr>
          <w:rFonts w:asciiTheme="majorHAnsi" w:hAnsiTheme="majorHAnsi" w:cstheme="majorHAnsi"/>
          <w:sz w:val="22"/>
          <w:szCs w:val="22"/>
          <w:lang w:val="en-GB"/>
        </w:rPr>
        <w:t xml:space="preserve"> first impressions matter.</w:t>
      </w:r>
    </w:p>
    <w:p w14:paraId="3FE870B6" w14:textId="116C1ED3" w:rsidR="00ED15B4" w:rsidRPr="00956FBF" w:rsidRDefault="00ED15B4" w:rsidP="00C839AD">
      <w:pPr>
        <w:spacing w:after="120"/>
        <w:rPr>
          <w:rFonts w:asciiTheme="majorHAnsi" w:hAnsiTheme="majorHAnsi" w:cstheme="majorHAnsi"/>
          <w:sz w:val="22"/>
          <w:szCs w:val="22"/>
          <w:lang w:val="en-GB"/>
        </w:rPr>
      </w:pPr>
      <w:r w:rsidRPr="00ED15B4">
        <w:rPr>
          <w:rFonts w:asciiTheme="majorHAnsi" w:hAnsiTheme="majorHAnsi" w:cstheme="majorHAnsi"/>
          <w:sz w:val="22"/>
          <w:szCs w:val="22"/>
          <w:lang w:val="en-GB"/>
        </w:rPr>
        <w:t xml:space="preserve">Denmark has also focused on increasing the number of international students in Danish universities over the past </w:t>
      </w:r>
      <w:proofErr w:type="gramStart"/>
      <w:r w:rsidRPr="00ED15B4">
        <w:rPr>
          <w:rFonts w:asciiTheme="majorHAnsi" w:hAnsiTheme="majorHAnsi" w:cstheme="majorHAnsi"/>
          <w:sz w:val="22"/>
          <w:szCs w:val="22"/>
          <w:lang w:val="en-GB"/>
        </w:rPr>
        <w:t>decade, and</w:t>
      </w:r>
      <w:proofErr w:type="gramEnd"/>
      <w:r w:rsidRPr="00ED15B4">
        <w:rPr>
          <w:rFonts w:asciiTheme="majorHAnsi" w:hAnsiTheme="majorHAnsi" w:cstheme="majorHAnsi"/>
          <w:sz w:val="22"/>
          <w:szCs w:val="22"/>
          <w:lang w:val="en-GB"/>
        </w:rPr>
        <w:t xml:space="preserve"> used several innovative policies. </w:t>
      </w:r>
      <w:r>
        <w:rPr>
          <w:rFonts w:asciiTheme="majorHAnsi" w:hAnsiTheme="majorHAnsi" w:cstheme="majorHAnsi"/>
          <w:sz w:val="22"/>
          <w:szCs w:val="22"/>
          <w:lang w:val="en-GB"/>
        </w:rPr>
        <w:t>At the national level, the introduction of a “</w:t>
      </w:r>
      <w:r w:rsidRPr="0083783E">
        <w:rPr>
          <w:rFonts w:asciiTheme="majorHAnsi" w:hAnsiTheme="majorHAnsi" w:cstheme="majorHAnsi"/>
          <w:b/>
          <w:sz w:val="22"/>
          <w:szCs w:val="22"/>
          <w:lang w:val="en-GB"/>
        </w:rPr>
        <w:t xml:space="preserve">Diploma Supplement, ECTS and </w:t>
      </w:r>
      <w:r w:rsidR="002C624D" w:rsidRPr="0083783E">
        <w:rPr>
          <w:rFonts w:asciiTheme="majorHAnsi" w:hAnsiTheme="majorHAnsi" w:cstheme="majorHAnsi"/>
          <w:b/>
          <w:sz w:val="22"/>
          <w:szCs w:val="22"/>
          <w:lang w:val="en-GB"/>
        </w:rPr>
        <w:t>[a]</w:t>
      </w:r>
      <w:r w:rsidRPr="0083783E">
        <w:rPr>
          <w:rFonts w:asciiTheme="majorHAnsi" w:hAnsiTheme="majorHAnsi" w:cstheme="majorHAnsi"/>
          <w:b/>
          <w:sz w:val="22"/>
          <w:szCs w:val="22"/>
          <w:lang w:val="en-GB"/>
        </w:rPr>
        <w:t xml:space="preserve"> professional bachelor degree at University College level</w:t>
      </w:r>
      <w:r w:rsidR="002C624D">
        <w:rPr>
          <w:rFonts w:asciiTheme="majorHAnsi" w:hAnsiTheme="majorHAnsi" w:cstheme="majorHAnsi"/>
          <w:sz w:val="22"/>
          <w:szCs w:val="22"/>
          <w:lang w:val="en-GB"/>
        </w:rPr>
        <w:t>” has</w:t>
      </w:r>
      <w:r>
        <w:rPr>
          <w:rFonts w:asciiTheme="majorHAnsi" w:hAnsiTheme="majorHAnsi" w:cstheme="majorHAnsi"/>
          <w:sz w:val="22"/>
          <w:szCs w:val="22"/>
          <w:lang w:val="en-GB"/>
        </w:rPr>
        <w:t xml:space="preserve"> </w:t>
      </w:r>
      <w:r w:rsidR="002C624D">
        <w:rPr>
          <w:rFonts w:asciiTheme="majorHAnsi" w:hAnsiTheme="majorHAnsi" w:cstheme="majorHAnsi"/>
          <w:sz w:val="22"/>
          <w:szCs w:val="22"/>
          <w:lang w:val="en-GB"/>
        </w:rPr>
        <w:t>increased the international profile of Danish HEIs.</w:t>
      </w:r>
      <w:r w:rsidR="002C624D">
        <w:rPr>
          <w:rStyle w:val="FootnoteReference"/>
          <w:rFonts w:asciiTheme="majorHAnsi" w:hAnsiTheme="majorHAnsi" w:cstheme="majorHAnsi"/>
          <w:sz w:val="22"/>
          <w:szCs w:val="22"/>
          <w:lang w:val="en-GB"/>
        </w:rPr>
        <w:footnoteReference w:id="76"/>
      </w:r>
      <w:r w:rsidR="002C624D">
        <w:rPr>
          <w:rFonts w:asciiTheme="majorHAnsi" w:hAnsiTheme="majorHAnsi" w:cstheme="majorHAnsi"/>
          <w:sz w:val="22"/>
          <w:szCs w:val="22"/>
          <w:lang w:val="en-GB"/>
        </w:rPr>
        <w:t xml:space="preserve"> The Danish government additionally advocated “</w:t>
      </w:r>
      <w:r w:rsidR="002C624D" w:rsidRPr="0083783E">
        <w:rPr>
          <w:rFonts w:asciiTheme="majorHAnsi" w:hAnsiTheme="majorHAnsi" w:cstheme="majorHAnsi"/>
          <w:b/>
          <w:sz w:val="22"/>
          <w:szCs w:val="22"/>
          <w:lang w:val="en-GB"/>
        </w:rPr>
        <w:t xml:space="preserve">making strong educational offers which match the needs of the society, [maintaining] the high ambitions for research and innovation… [and </w:t>
      </w:r>
      <w:proofErr w:type="gramStart"/>
      <w:r w:rsidR="002C624D" w:rsidRPr="0083783E">
        <w:rPr>
          <w:rFonts w:asciiTheme="majorHAnsi" w:hAnsiTheme="majorHAnsi" w:cstheme="majorHAnsi"/>
          <w:b/>
          <w:sz w:val="22"/>
          <w:szCs w:val="22"/>
          <w:lang w:val="en-GB"/>
        </w:rPr>
        <w:t>internationalising]…</w:t>
      </w:r>
      <w:proofErr w:type="gramEnd"/>
      <w:r w:rsidR="002C624D" w:rsidRPr="0083783E">
        <w:rPr>
          <w:rFonts w:asciiTheme="majorHAnsi" w:hAnsiTheme="majorHAnsi" w:cstheme="majorHAnsi"/>
          <w:b/>
          <w:sz w:val="22"/>
          <w:szCs w:val="22"/>
          <w:lang w:val="en-GB"/>
        </w:rPr>
        <w:t xml:space="preserve"> Danish research activities and international cooperation</w:t>
      </w:r>
      <w:r w:rsidR="002C624D">
        <w:rPr>
          <w:rFonts w:asciiTheme="majorHAnsi" w:hAnsiTheme="majorHAnsi" w:cstheme="majorHAnsi"/>
          <w:sz w:val="22"/>
          <w:szCs w:val="22"/>
          <w:lang w:val="en-GB"/>
        </w:rPr>
        <w:t xml:space="preserve">.” The Danish government also earmarked funds to </w:t>
      </w:r>
      <w:r w:rsidR="002C624D" w:rsidRPr="00C13BAC">
        <w:rPr>
          <w:rFonts w:asciiTheme="majorHAnsi" w:hAnsiTheme="majorHAnsi" w:cstheme="majorHAnsi"/>
          <w:b/>
          <w:sz w:val="22"/>
          <w:szCs w:val="22"/>
          <w:lang w:val="en-GB"/>
        </w:rPr>
        <w:t>support HEI participation in “international university partnerships and networks</w:t>
      </w:r>
      <w:r w:rsidR="002C624D">
        <w:rPr>
          <w:rFonts w:asciiTheme="majorHAnsi" w:hAnsiTheme="majorHAnsi" w:cstheme="majorHAnsi"/>
          <w:sz w:val="22"/>
          <w:szCs w:val="22"/>
          <w:lang w:val="en-GB"/>
        </w:rPr>
        <w:t>” in order to ensure that Danish HEIs “</w:t>
      </w:r>
      <w:r w:rsidR="002C624D" w:rsidRPr="002C624D">
        <w:rPr>
          <w:rFonts w:asciiTheme="majorHAnsi" w:hAnsiTheme="majorHAnsi" w:cstheme="majorHAnsi"/>
          <w:sz w:val="22"/>
          <w:szCs w:val="22"/>
          <w:lang w:val="en-GB"/>
        </w:rPr>
        <w:t>get access to cooperation with foreign universities which are in the lead internationally</w:t>
      </w:r>
      <w:r w:rsidR="002C624D">
        <w:rPr>
          <w:rFonts w:asciiTheme="majorHAnsi" w:hAnsiTheme="majorHAnsi" w:cstheme="majorHAnsi"/>
          <w:sz w:val="22"/>
          <w:szCs w:val="22"/>
          <w:lang w:val="en-GB"/>
        </w:rPr>
        <w:t>.”</w:t>
      </w:r>
      <w:r w:rsidR="00440EBA">
        <w:rPr>
          <w:rFonts w:asciiTheme="majorHAnsi" w:hAnsiTheme="majorHAnsi" w:cstheme="majorHAnsi"/>
          <w:sz w:val="22"/>
          <w:szCs w:val="22"/>
          <w:lang w:val="en-GB"/>
        </w:rPr>
        <w:t xml:space="preserve"> Finally, </w:t>
      </w:r>
      <w:r w:rsidR="0083783E">
        <w:rPr>
          <w:rFonts w:asciiTheme="majorHAnsi" w:hAnsiTheme="majorHAnsi" w:cstheme="majorHAnsi"/>
          <w:sz w:val="22"/>
          <w:szCs w:val="22"/>
          <w:lang w:val="en-GB"/>
        </w:rPr>
        <w:t xml:space="preserve">Denmark established a </w:t>
      </w:r>
      <w:r w:rsidR="0083783E" w:rsidRPr="00C13BAC">
        <w:rPr>
          <w:rFonts w:asciiTheme="majorHAnsi" w:hAnsiTheme="majorHAnsi" w:cstheme="majorHAnsi"/>
          <w:b/>
          <w:sz w:val="22"/>
          <w:szCs w:val="22"/>
          <w:lang w:val="en-GB"/>
        </w:rPr>
        <w:t>Danish university centre in Beijing</w:t>
      </w:r>
      <w:r w:rsidR="0083783E">
        <w:rPr>
          <w:rFonts w:asciiTheme="majorHAnsi" w:hAnsiTheme="majorHAnsi" w:cstheme="majorHAnsi"/>
          <w:sz w:val="22"/>
          <w:szCs w:val="22"/>
          <w:lang w:val="en-GB"/>
        </w:rPr>
        <w:t xml:space="preserve"> to further incite student exchange.</w:t>
      </w:r>
      <w:r w:rsidR="00C13BAC">
        <w:rPr>
          <w:rFonts w:asciiTheme="majorHAnsi" w:hAnsiTheme="majorHAnsi" w:cstheme="majorHAnsi"/>
          <w:sz w:val="22"/>
          <w:szCs w:val="22"/>
          <w:lang w:val="en-GB"/>
        </w:rPr>
        <w:t xml:space="preserve"> </w:t>
      </w:r>
      <w:r w:rsidRPr="00ED15B4">
        <w:rPr>
          <w:rFonts w:asciiTheme="majorHAnsi" w:hAnsiTheme="majorHAnsi" w:cstheme="majorHAnsi"/>
          <w:sz w:val="22"/>
          <w:szCs w:val="22"/>
          <w:lang w:val="en-GB"/>
        </w:rPr>
        <w:t xml:space="preserve">At the institutional level, Danish universities have </w:t>
      </w:r>
      <w:r w:rsidRPr="00C13BAC">
        <w:rPr>
          <w:rFonts w:asciiTheme="majorHAnsi" w:hAnsiTheme="majorHAnsi" w:cstheme="majorHAnsi"/>
          <w:b/>
          <w:sz w:val="22"/>
          <w:szCs w:val="22"/>
          <w:lang w:val="en-GB"/>
        </w:rPr>
        <w:t>extensive exchange programme cooperation agreements</w:t>
      </w:r>
      <w:r w:rsidRPr="00ED15B4">
        <w:rPr>
          <w:rFonts w:asciiTheme="majorHAnsi" w:hAnsiTheme="majorHAnsi" w:cstheme="majorHAnsi"/>
          <w:sz w:val="22"/>
          <w:szCs w:val="22"/>
          <w:lang w:val="en-GB"/>
        </w:rPr>
        <w:t xml:space="preserve"> wit</w:t>
      </w:r>
      <w:r>
        <w:rPr>
          <w:rFonts w:asciiTheme="majorHAnsi" w:hAnsiTheme="majorHAnsi" w:cstheme="majorHAnsi"/>
          <w:sz w:val="22"/>
          <w:szCs w:val="22"/>
          <w:lang w:val="en-GB"/>
        </w:rPr>
        <w:t>h universities around the world, which increases incoming mobility.</w:t>
      </w:r>
      <w:r w:rsidR="0083783E">
        <w:rPr>
          <w:rStyle w:val="FootnoteReference"/>
          <w:rFonts w:asciiTheme="majorHAnsi" w:hAnsiTheme="majorHAnsi" w:cstheme="majorHAnsi"/>
          <w:sz w:val="22"/>
          <w:szCs w:val="22"/>
          <w:lang w:val="en-GB"/>
        </w:rPr>
        <w:footnoteReference w:id="77"/>
      </w:r>
    </w:p>
    <w:p w14:paraId="3F39A022" w14:textId="7038DF88" w:rsidR="00956FBF" w:rsidRDefault="00C13BAC" w:rsidP="00825A1B">
      <w:pPr>
        <w:spacing w:after="120"/>
        <w:rPr>
          <w:rFonts w:asciiTheme="majorHAnsi" w:hAnsiTheme="majorHAnsi" w:cstheme="majorHAnsi"/>
          <w:sz w:val="22"/>
          <w:szCs w:val="22"/>
          <w:lang w:val="en-GB"/>
        </w:rPr>
      </w:pPr>
      <w:r w:rsidRPr="00956FBF">
        <w:rPr>
          <w:rFonts w:asciiTheme="majorHAnsi" w:hAnsiTheme="majorHAnsi" w:cstheme="majorHAnsi"/>
          <w:sz w:val="22"/>
          <w:szCs w:val="22"/>
          <w:lang w:val="en-GB"/>
        </w:rPr>
        <w:t>Finally, the Finnish Internationalisation strategy 2017-2025, “Better Together for a Bet</w:t>
      </w:r>
      <w:r w:rsidR="00956FBF">
        <w:rPr>
          <w:rFonts w:asciiTheme="majorHAnsi" w:hAnsiTheme="majorHAnsi" w:cstheme="majorHAnsi"/>
          <w:sz w:val="22"/>
          <w:szCs w:val="22"/>
          <w:lang w:val="en-GB"/>
        </w:rPr>
        <w:t>ter World,” can also serve as a comprehensive</w:t>
      </w:r>
      <w:r w:rsidRPr="00956FBF">
        <w:rPr>
          <w:rFonts w:asciiTheme="majorHAnsi" w:hAnsiTheme="majorHAnsi" w:cstheme="majorHAnsi"/>
          <w:sz w:val="22"/>
          <w:szCs w:val="22"/>
          <w:lang w:val="en-GB"/>
        </w:rPr>
        <w:t xml:space="preserve"> example of best practices in attracting foreign students. First, the Ministry of Education and Culture plans to increase international attraction through “</w:t>
      </w:r>
      <w:r w:rsidRPr="00956FBF">
        <w:rPr>
          <w:rFonts w:asciiTheme="majorHAnsi" w:hAnsiTheme="majorHAnsi" w:cstheme="majorHAnsi"/>
          <w:b/>
          <w:sz w:val="22"/>
          <w:szCs w:val="22"/>
          <w:lang w:val="en-GB"/>
        </w:rPr>
        <w:t xml:space="preserve">focusing on the latest science and </w:t>
      </w:r>
      <w:proofErr w:type="gramStart"/>
      <w:r w:rsidRPr="00956FBF">
        <w:rPr>
          <w:rFonts w:asciiTheme="majorHAnsi" w:hAnsiTheme="majorHAnsi" w:cstheme="majorHAnsi"/>
          <w:b/>
          <w:sz w:val="22"/>
          <w:szCs w:val="22"/>
          <w:lang w:val="en-GB"/>
        </w:rPr>
        <w:t>leading edge</w:t>
      </w:r>
      <w:proofErr w:type="gramEnd"/>
      <w:r w:rsidRPr="00956FBF">
        <w:rPr>
          <w:rFonts w:asciiTheme="majorHAnsi" w:hAnsiTheme="majorHAnsi" w:cstheme="majorHAnsi"/>
          <w:b/>
          <w:sz w:val="22"/>
          <w:szCs w:val="22"/>
          <w:lang w:val="en-GB"/>
        </w:rPr>
        <w:t xml:space="preserve"> research.</w:t>
      </w:r>
      <w:r w:rsidRPr="00956FBF">
        <w:rPr>
          <w:rFonts w:asciiTheme="majorHAnsi" w:hAnsiTheme="majorHAnsi" w:cstheme="majorHAnsi"/>
          <w:sz w:val="22"/>
          <w:szCs w:val="22"/>
          <w:lang w:val="en-GB"/>
        </w:rPr>
        <w:t xml:space="preserve">” A flagship programme will </w:t>
      </w:r>
      <w:r w:rsidRPr="00956FBF">
        <w:rPr>
          <w:rFonts w:asciiTheme="majorHAnsi" w:hAnsiTheme="majorHAnsi" w:cstheme="majorHAnsi"/>
          <w:b/>
          <w:sz w:val="22"/>
          <w:szCs w:val="22"/>
          <w:lang w:val="en-GB"/>
        </w:rPr>
        <w:t xml:space="preserve">strengthen and highlight leading areas in science and </w:t>
      </w:r>
      <w:proofErr w:type="gramStart"/>
      <w:r w:rsidRPr="00956FBF">
        <w:rPr>
          <w:rFonts w:asciiTheme="majorHAnsi" w:hAnsiTheme="majorHAnsi" w:cstheme="majorHAnsi"/>
          <w:b/>
          <w:sz w:val="22"/>
          <w:szCs w:val="22"/>
          <w:lang w:val="en-GB"/>
        </w:rPr>
        <w:t>research</w:t>
      </w:r>
      <w:r w:rsidRPr="00956FBF">
        <w:rPr>
          <w:rFonts w:asciiTheme="majorHAnsi" w:hAnsiTheme="majorHAnsi" w:cstheme="majorHAnsi"/>
          <w:sz w:val="22"/>
          <w:szCs w:val="22"/>
          <w:lang w:val="en-GB"/>
        </w:rPr>
        <w:t>, and</w:t>
      </w:r>
      <w:proofErr w:type="gramEnd"/>
      <w:r w:rsidRPr="00956FBF">
        <w:rPr>
          <w:rFonts w:asciiTheme="majorHAnsi" w:hAnsiTheme="majorHAnsi" w:cstheme="majorHAnsi"/>
          <w:sz w:val="22"/>
          <w:szCs w:val="22"/>
          <w:lang w:val="en-GB"/>
        </w:rPr>
        <w:t xml:space="preserve"> </w:t>
      </w:r>
      <w:r w:rsidRPr="00956FBF">
        <w:rPr>
          <w:rFonts w:asciiTheme="majorHAnsi" w:hAnsiTheme="majorHAnsi" w:cstheme="majorHAnsi"/>
          <w:b/>
          <w:sz w:val="22"/>
          <w:szCs w:val="22"/>
          <w:lang w:val="en-GB"/>
        </w:rPr>
        <w:t>increase international interest</w:t>
      </w:r>
      <w:r w:rsidRPr="00956FBF">
        <w:rPr>
          <w:rFonts w:asciiTheme="majorHAnsi" w:hAnsiTheme="majorHAnsi" w:cstheme="majorHAnsi"/>
          <w:sz w:val="22"/>
          <w:szCs w:val="22"/>
          <w:lang w:val="en-GB"/>
        </w:rPr>
        <w:t xml:space="preserve"> in Finnish programmes through </w:t>
      </w:r>
      <w:r w:rsidRPr="00956FBF">
        <w:rPr>
          <w:rFonts w:asciiTheme="majorHAnsi" w:hAnsiTheme="majorHAnsi" w:cstheme="majorHAnsi"/>
          <w:b/>
          <w:sz w:val="22"/>
          <w:szCs w:val="22"/>
          <w:lang w:val="en-GB"/>
        </w:rPr>
        <w:t>profiling of Finnish universities at the n</w:t>
      </w:r>
      <w:r w:rsidR="00825A1B" w:rsidRPr="00956FBF">
        <w:rPr>
          <w:rFonts w:asciiTheme="majorHAnsi" w:hAnsiTheme="majorHAnsi" w:cstheme="majorHAnsi"/>
          <w:b/>
          <w:sz w:val="22"/>
          <w:szCs w:val="22"/>
          <w:lang w:val="en-GB"/>
        </w:rPr>
        <w:t>ational and international levels</w:t>
      </w:r>
      <w:r w:rsidR="00956FBF">
        <w:rPr>
          <w:rFonts w:asciiTheme="majorHAnsi" w:hAnsiTheme="majorHAnsi" w:cstheme="majorHAnsi"/>
          <w:sz w:val="22"/>
          <w:szCs w:val="22"/>
          <w:lang w:val="en-GB"/>
        </w:rPr>
        <w:t>.</w:t>
      </w:r>
      <w:r w:rsidR="00956FBF">
        <w:rPr>
          <w:rStyle w:val="FootnoteReference"/>
          <w:rFonts w:asciiTheme="majorHAnsi" w:hAnsiTheme="majorHAnsi" w:cstheme="majorHAnsi"/>
          <w:sz w:val="22"/>
          <w:szCs w:val="22"/>
          <w:lang w:val="en-GB"/>
        </w:rPr>
        <w:footnoteReference w:id="78"/>
      </w:r>
    </w:p>
    <w:p w14:paraId="077B3B24" w14:textId="4DB24D80" w:rsidR="00825A1B" w:rsidRPr="00956FBF" w:rsidRDefault="00825A1B" w:rsidP="00825A1B">
      <w:pPr>
        <w:spacing w:after="120"/>
        <w:rPr>
          <w:rFonts w:asciiTheme="majorHAnsi" w:hAnsiTheme="majorHAnsi" w:cstheme="majorHAnsi"/>
          <w:sz w:val="22"/>
          <w:szCs w:val="22"/>
          <w:lang w:val="en-GB"/>
        </w:rPr>
      </w:pPr>
      <w:r w:rsidRPr="00956FBF">
        <w:rPr>
          <w:rFonts w:asciiTheme="majorHAnsi" w:hAnsiTheme="majorHAnsi" w:cstheme="majorHAnsi"/>
          <w:sz w:val="22"/>
          <w:szCs w:val="22"/>
          <w:lang w:val="en-GB"/>
        </w:rPr>
        <w:t xml:space="preserve">Next, Finland focuses on </w:t>
      </w:r>
      <w:r w:rsidRPr="00956FBF">
        <w:rPr>
          <w:rFonts w:asciiTheme="majorHAnsi" w:hAnsiTheme="majorHAnsi" w:cstheme="majorHAnsi"/>
          <w:b/>
          <w:sz w:val="22"/>
          <w:szCs w:val="22"/>
          <w:lang w:val="en-GB"/>
        </w:rPr>
        <w:t>providing high quality education</w:t>
      </w:r>
      <w:r w:rsidRPr="00956FBF">
        <w:rPr>
          <w:rFonts w:asciiTheme="majorHAnsi" w:hAnsiTheme="majorHAnsi" w:cstheme="majorHAnsi"/>
          <w:sz w:val="22"/>
          <w:szCs w:val="22"/>
          <w:lang w:val="en-GB"/>
        </w:rPr>
        <w:t xml:space="preserve">, distinguishable from that offered elsewhere, </w:t>
      </w:r>
      <w:proofErr w:type="gramStart"/>
      <w:r w:rsidRPr="00956FBF">
        <w:rPr>
          <w:rFonts w:asciiTheme="majorHAnsi" w:hAnsiTheme="majorHAnsi" w:cstheme="majorHAnsi"/>
          <w:sz w:val="22"/>
          <w:szCs w:val="22"/>
          <w:lang w:val="en-GB"/>
        </w:rPr>
        <w:t>in order to</w:t>
      </w:r>
      <w:proofErr w:type="gramEnd"/>
      <w:r w:rsidRPr="00956FBF">
        <w:rPr>
          <w:rFonts w:asciiTheme="majorHAnsi" w:hAnsiTheme="majorHAnsi" w:cstheme="majorHAnsi"/>
          <w:sz w:val="22"/>
          <w:szCs w:val="22"/>
          <w:lang w:val="en-GB"/>
        </w:rPr>
        <w:t xml:space="preserve"> attract international students. To achieve this, government funding is used to support “</w:t>
      </w:r>
      <w:r w:rsidRPr="00956FBF">
        <w:rPr>
          <w:rFonts w:asciiTheme="majorHAnsi" w:hAnsiTheme="majorHAnsi" w:cstheme="majorHAnsi"/>
          <w:b/>
          <w:sz w:val="22"/>
          <w:szCs w:val="22"/>
          <w:lang w:val="en-GB"/>
        </w:rPr>
        <w:t xml:space="preserve">the development of learning environments, a more student-oriented focus and new </w:t>
      </w:r>
      <w:r w:rsidRPr="00956FBF">
        <w:rPr>
          <w:rFonts w:asciiTheme="majorHAnsi" w:hAnsiTheme="majorHAnsi" w:cstheme="majorHAnsi"/>
          <w:b/>
          <w:sz w:val="22"/>
          <w:szCs w:val="22"/>
          <w:lang w:val="en-GB"/>
        </w:rPr>
        <w:lastRenderedPageBreak/>
        <w:t>forms of cooperation between companies, working life and higher education institutions</w:t>
      </w:r>
      <w:r w:rsidRPr="00956FBF">
        <w:rPr>
          <w:rFonts w:asciiTheme="majorHAnsi" w:hAnsiTheme="majorHAnsi" w:cstheme="majorHAnsi"/>
          <w:sz w:val="22"/>
          <w:szCs w:val="22"/>
          <w:lang w:val="en-GB"/>
        </w:rPr>
        <w:t xml:space="preserve">.” A Finnish study (Global Education Brand Finland) has also </w:t>
      </w:r>
      <w:r w:rsidRPr="00956FBF">
        <w:rPr>
          <w:rFonts w:asciiTheme="majorHAnsi" w:hAnsiTheme="majorHAnsi" w:cstheme="majorHAnsi"/>
          <w:b/>
          <w:sz w:val="22"/>
          <w:szCs w:val="22"/>
          <w:lang w:val="en-GB"/>
        </w:rPr>
        <w:t>identified strengths in the HE system</w:t>
      </w:r>
      <w:r w:rsidRPr="00956FBF">
        <w:rPr>
          <w:rFonts w:asciiTheme="majorHAnsi" w:hAnsiTheme="majorHAnsi" w:cstheme="majorHAnsi"/>
          <w:sz w:val="22"/>
          <w:szCs w:val="22"/>
          <w:lang w:val="en-GB"/>
        </w:rPr>
        <w:t xml:space="preserve"> and examined opportunities and strategies for </w:t>
      </w:r>
      <w:r w:rsidRPr="00956FBF">
        <w:rPr>
          <w:rFonts w:asciiTheme="majorHAnsi" w:hAnsiTheme="majorHAnsi" w:cstheme="majorHAnsi"/>
          <w:b/>
          <w:sz w:val="22"/>
          <w:szCs w:val="22"/>
          <w:lang w:val="en-GB"/>
        </w:rPr>
        <w:t>effective marketing through building a strong Finnish education brand</w:t>
      </w:r>
      <w:r w:rsidRPr="00956FBF">
        <w:rPr>
          <w:rFonts w:asciiTheme="majorHAnsi" w:hAnsiTheme="majorHAnsi" w:cstheme="majorHAnsi"/>
          <w:sz w:val="22"/>
          <w:szCs w:val="22"/>
          <w:lang w:val="en-GB"/>
        </w:rPr>
        <w:t xml:space="preserve">. Furthermore, </w:t>
      </w:r>
      <w:proofErr w:type="gramStart"/>
      <w:r w:rsidRPr="00956FBF">
        <w:rPr>
          <w:rFonts w:asciiTheme="majorHAnsi" w:hAnsiTheme="majorHAnsi" w:cstheme="majorHAnsi"/>
          <w:sz w:val="22"/>
          <w:szCs w:val="22"/>
          <w:lang w:val="en-GB"/>
        </w:rPr>
        <w:t>in order to</w:t>
      </w:r>
      <w:proofErr w:type="gramEnd"/>
      <w:r w:rsidRPr="00956FBF">
        <w:rPr>
          <w:rFonts w:asciiTheme="majorHAnsi" w:hAnsiTheme="majorHAnsi" w:cstheme="majorHAnsi"/>
          <w:sz w:val="22"/>
          <w:szCs w:val="22"/>
          <w:lang w:val="en-GB"/>
        </w:rPr>
        <w:t xml:space="preserve"> increase international demand for Finnish degrees, the Ministry pledges to “enhance the visibility of Finnish higher education and education services through the use of </w:t>
      </w:r>
      <w:r w:rsidRPr="00956FBF">
        <w:rPr>
          <w:rFonts w:asciiTheme="majorHAnsi" w:hAnsiTheme="majorHAnsi" w:cstheme="majorHAnsi"/>
          <w:b/>
          <w:sz w:val="22"/>
          <w:szCs w:val="22"/>
          <w:lang w:val="en-GB"/>
        </w:rPr>
        <w:t>joint marketing</w:t>
      </w:r>
      <w:r w:rsidRPr="00956FBF">
        <w:rPr>
          <w:rFonts w:asciiTheme="majorHAnsi" w:hAnsiTheme="majorHAnsi" w:cstheme="majorHAnsi"/>
          <w:sz w:val="22"/>
          <w:szCs w:val="22"/>
          <w:lang w:val="en-GB"/>
        </w:rPr>
        <w:t xml:space="preserve"> [and] </w:t>
      </w:r>
      <w:r w:rsidRPr="00956FBF">
        <w:rPr>
          <w:rFonts w:asciiTheme="majorHAnsi" w:hAnsiTheme="majorHAnsi" w:cstheme="majorHAnsi"/>
          <w:b/>
          <w:sz w:val="22"/>
          <w:szCs w:val="22"/>
          <w:lang w:val="en-GB"/>
        </w:rPr>
        <w:t>create a new business-based operating model to attract private investment for education export projects and for product development in the sector</w:t>
      </w:r>
      <w:r w:rsidRPr="00956FBF">
        <w:rPr>
          <w:rFonts w:asciiTheme="majorHAnsi" w:hAnsiTheme="majorHAnsi" w:cstheme="majorHAnsi"/>
          <w:sz w:val="22"/>
          <w:szCs w:val="22"/>
          <w:lang w:val="en-GB"/>
        </w:rPr>
        <w:t>.”</w:t>
      </w:r>
      <w:r w:rsidR="00956FBF">
        <w:rPr>
          <w:rStyle w:val="FootnoteReference"/>
          <w:rFonts w:asciiTheme="majorHAnsi" w:hAnsiTheme="majorHAnsi" w:cstheme="majorHAnsi"/>
          <w:sz w:val="22"/>
          <w:szCs w:val="22"/>
          <w:lang w:val="en-GB"/>
        </w:rPr>
        <w:footnoteReference w:id="79"/>
      </w:r>
    </w:p>
    <w:p w14:paraId="1FB4B93B" w14:textId="422FD799" w:rsidR="00461E2B" w:rsidRPr="00956FBF" w:rsidRDefault="00825A1B" w:rsidP="00825A1B">
      <w:pPr>
        <w:spacing w:after="120"/>
        <w:rPr>
          <w:rFonts w:asciiTheme="majorHAnsi" w:hAnsiTheme="majorHAnsi" w:cstheme="majorHAnsi"/>
          <w:sz w:val="22"/>
          <w:szCs w:val="22"/>
          <w:lang w:val="en-GB"/>
        </w:rPr>
      </w:pPr>
      <w:r w:rsidRPr="00956FBF">
        <w:rPr>
          <w:rFonts w:asciiTheme="majorHAnsi" w:hAnsiTheme="majorHAnsi" w:cstheme="majorHAnsi"/>
          <w:sz w:val="22"/>
          <w:szCs w:val="22"/>
          <w:lang w:val="en-GB"/>
        </w:rPr>
        <w:t>In tandem with these measures, Finland also plans to facilitate the arrival of international students in Finland</w:t>
      </w:r>
      <w:r w:rsidR="00956FBF">
        <w:rPr>
          <w:rFonts w:asciiTheme="majorHAnsi" w:hAnsiTheme="majorHAnsi" w:cstheme="majorHAnsi"/>
          <w:sz w:val="22"/>
          <w:szCs w:val="22"/>
          <w:lang w:val="en-GB"/>
        </w:rPr>
        <w:t>, as well as help them stay after the degree programme</w:t>
      </w:r>
      <w:r w:rsidRPr="00956FBF">
        <w:rPr>
          <w:rFonts w:asciiTheme="majorHAnsi" w:hAnsiTheme="majorHAnsi" w:cstheme="majorHAnsi"/>
          <w:sz w:val="22"/>
          <w:szCs w:val="22"/>
          <w:lang w:val="en-GB"/>
        </w:rPr>
        <w:t xml:space="preserve">. The Ministry pledges to “make sure that </w:t>
      </w:r>
      <w:r w:rsidRPr="00956FBF">
        <w:rPr>
          <w:rFonts w:asciiTheme="majorHAnsi" w:hAnsiTheme="majorHAnsi" w:cstheme="majorHAnsi"/>
          <w:b/>
          <w:sz w:val="22"/>
          <w:szCs w:val="22"/>
          <w:lang w:val="en-GB"/>
        </w:rPr>
        <w:t>permits and practices concerning the immigration (incl. return migration) and residence of people with skills that are in deman</w:t>
      </w:r>
      <w:r w:rsidR="00461E2B" w:rsidRPr="00956FBF">
        <w:rPr>
          <w:rFonts w:asciiTheme="majorHAnsi" w:hAnsiTheme="majorHAnsi" w:cstheme="majorHAnsi"/>
          <w:b/>
          <w:sz w:val="22"/>
          <w:szCs w:val="22"/>
          <w:lang w:val="en-GB"/>
        </w:rPr>
        <w:t>d are less onerous to deal with</w:t>
      </w:r>
      <w:r w:rsidR="00461E2B" w:rsidRPr="00956FBF">
        <w:rPr>
          <w:rFonts w:asciiTheme="majorHAnsi" w:hAnsiTheme="majorHAnsi" w:cstheme="majorHAnsi"/>
          <w:sz w:val="22"/>
          <w:szCs w:val="22"/>
          <w:lang w:val="en-GB"/>
        </w:rPr>
        <w:t xml:space="preserve">,” </w:t>
      </w:r>
      <w:proofErr w:type="gramStart"/>
      <w:r w:rsidR="00461E2B" w:rsidRPr="00956FBF">
        <w:rPr>
          <w:rFonts w:asciiTheme="majorHAnsi" w:hAnsiTheme="majorHAnsi" w:cstheme="majorHAnsi"/>
          <w:sz w:val="22"/>
          <w:szCs w:val="22"/>
          <w:lang w:val="en-GB"/>
        </w:rPr>
        <w:t>and also</w:t>
      </w:r>
      <w:proofErr w:type="gramEnd"/>
      <w:r w:rsidR="00461E2B" w:rsidRPr="00956FBF">
        <w:rPr>
          <w:rFonts w:asciiTheme="majorHAnsi" w:hAnsiTheme="majorHAnsi" w:cstheme="majorHAnsi"/>
          <w:sz w:val="22"/>
          <w:szCs w:val="22"/>
          <w:lang w:val="en-GB"/>
        </w:rPr>
        <w:t xml:space="preserve"> </w:t>
      </w:r>
      <w:r w:rsidR="00461E2B" w:rsidRPr="00956FBF">
        <w:rPr>
          <w:rFonts w:asciiTheme="majorHAnsi" w:hAnsiTheme="majorHAnsi" w:cstheme="majorHAnsi"/>
          <w:b/>
          <w:sz w:val="22"/>
          <w:szCs w:val="22"/>
          <w:lang w:val="en-GB"/>
        </w:rPr>
        <w:t>increase regional cooperation in administrative issues</w:t>
      </w:r>
      <w:r w:rsidR="00461E2B" w:rsidRPr="00956FBF">
        <w:rPr>
          <w:rFonts w:asciiTheme="majorHAnsi" w:hAnsiTheme="majorHAnsi" w:cstheme="majorHAnsi"/>
          <w:sz w:val="22"/>
          <w:szCs w:val="22"/>
          <w:lang w:val="en-GB"/>
        </w:rPr>
        <w:t xml:space="preserve">. In addition, Finland is </w:t>
      </w:r>
      <w:r w:rsidR="00461E2B" w:rsidRPr="00956FBF">
        <w:rPr>
          <w:rFonts w:asciiTheme="majorHAnsi" w:hAnsiTheme="majorHAnsi" w:cstheme="majorHAnsi"/>
          <w:b/>
          <w:sz w:val="22"/>
          <w:szCs w:val="22"/>
          <w:lang w:val="en-GB"/>
        </w:rPr>
        <w:t>investing in the attractiveness of cities</w:t>
      </w:r>
      <w:r w:rsidR="00461E2B" w:rsidRPr="00956FBF">
        <w:rPr>
          <w:rFonts w:asciiTheme="majorHAnsi" w:hAnsiTheme="majorHAnsi" w:cstheme="majorHAnsi"/>
          <w:sz w:val="22"/>
          <w:szCs w:val="22"/>
          <w:lang w:val="en-GB"/>
        </w:rPr>
        <w:t xml:space="preserve"> with popular HEIs, which will support internationalisation </w:t>
      </w:r>
      <w:proofErr w:type="gramStart"/>
      <w:r w:rsidR="00461E2B" w:rsidRPr="00956FBF">
        <w:rPr>
          <w:rFonts w:asciiTheme="majorHAnsi" w:hAnsiTheme="majorHAnsi" w:cstheme="majorHAnsi"/>
          <w:sz w:val="22"/>
          <w:szCs w:val="22"/>
          <w:lang w:val="en-GB"/>
        </w:rPr>
        <w:t>and also</w:t>
      </w:r>
      <w:proofErr w:type="gramEnd"/>
      <w:r w:rsidR="00461E2B" w:rsidRPr="00956FBF">
        <w:rPr>
          <w:rFonts w:asciiTheme="majorHAnsi" w:hAnsiTheme="majorHAnsi" w:cstheme="majorHAnsi"/>
          <w:sz w:val="22"/>
          <w:szCs w:val="22"/>
          <w:lang w:val="en-GB"/>
        </w:rPr>
        <w:t xml:space="preserve"> business activity. Additionally, the government plans to work with all necessary stakeholders to increase incentives for foreign students to stay in Finland through increased </w:t>
      </w:r>
      <w:r w:rsidR="00461E2B" w:rsidRPr="00956FBF">
        <w:rPr>
          <w:rFonts w:asciiTheme="majorHAnsi" w:hAnsiTheme="majorHAnsi" w:cstheme="majorHAnsi"/>
          <w:b/>
          <w:sz w:val="22"/>
          <w:szCs w:val="22"/>
          <w:lang w:val="en-GB"/>
        </w:rPr>
        <w:t>attractive employment possibilities</w:t>
      </w:r>
      <w:r w:rsidR="00461E2B" w:rsidRPr="00956FBF">
        <w:rPr>
          <w:rFonts w:asciiTheme="majorHAnsi" w:hAnsiTheme="majorHAnsi" w:cstheme="majorHAnsi"/>
          <w:sz w:val="22"/>
          <w:szCs w:val="22"/>
          <w:lang w:val="en-GB"/>
        </w:rPr>
        <w:t>, “</w:t>
      </w:r>
      <w:r w:rsidR="00461E2B" w:rsidRPr="00956FBF">
        <w:rPr>
          <w:rFonts w:asciiTheme="majorHAnsi" w:hAnsiTheme="majorHAnsi" w:cstheme="majorHAnsi"/>
          <w:b/>
          <w:sz w:val="22"/>
          <w:szCs w:val="22"/>
          <w:lang w:val="en-GB"/>
        </w:rPr>
        <w:t xml:space="preserve">smoother residence permit processes and visa practices </w:t>
      </w:r>
      <w:r w:rsidR="00461E2B" w:rsidRPr="00956FBF">
        <w:rPr>
          <w:rFonts w:asciiTheme="majorHAnsi" w:hAnsiTheme="majorHAnsi" w:cstheme="majorHAnsi"/>
          <w:sz w:val="22"/>
          <w:szCs w:val="22"/>
          <w:lang w:val="en-GB"/>
        </w:rPr>
        <w:t>and</w:t>
      </w:r>
      <w:r w:rsidR="00461E2B" w:rsidRPr="00956FBF">
        <w:rPr>
          <w:rFonts w:asciiTheme="majorHAnsi" w:hAnsiTheme="majorHAnsi" w:cstheme="majorHAnsi"/>
          <w:b/>
          <w:sz w:val="22"/>
          <w:szCs w:val="22"/>
          <w:lang w:val="en-GB"/>
        </w:rPr>
        <w:t>… tax concessions</w:t>
      </w:r>
      <w:r w:rsidR="00461E2B" w:rsidRPr="00956FBF">
        <w:rPr>
          <w:rFonts w:asciiTheme="majorHAnsi" w:hAnsiTheme="majorHAnsi" w:cstheme="majorHAnsi"/>
          <w:sz w:val="22"/>
          <w:szCs w:val="22"/>
          <w:lang w:val="en-GB"/>
        </w:rPr>
        <w:t>.”</w:t>
      </w:r>
      <w:r w:rsidR="00956FBF">
        <w:rPr>
          <w:rStyle w:val="FootnoteReference"/>
          <w:rFonts w:asciiTheme="majorHAnsi" w:hAnsiTheme="majorHAnsi" w:cstheme="majorHAnsi"/>
          <w:sz w:val="22"/>
          <w:szCs w:val="22"/>
          <w:lang w:val="en-GB"/>
        </w:rPr>
        <w:footnoteReference w:id="80"/>
      </w:r>
    </w:p>
    <w:p w14:paraId="4DB920FC" w14:textId="77777777" w:rsidR="00FA1CA8" w:rsidRDefault="00461E2B" w:rsidP="00956FBF">
      <w:pPr>
        <w:spacing w:after="120"/>
        <w:rPr>
          <w:rFonts w:asciiTheme="majorHAnsi" w:hAnsiTheme="majorHAnsi" w:cstheme="majorHAnsi"/>
          <w:sz w:val="22"/>
          <w:szCs w:val="22"/>
          <w:lang w:val="en-GB"/>
        </w:rPr>
      </w:pPr>
      <w:r w:rsidRPr="00956FBF">
        <w:rPr>
          <w:rFonts w:asciiTheme="majorHAnsi" w:hAnsiTheme="majorHAnsi" w:cstheme="majorHAnsi"/>
          <w:sz w:val="22"/>
          <w:szCs w:val="22"/>
          <w:lang w:val="en-GB"/>
        </w:rPr>
        <w:t xml:space="preserve">Finland also plans to </w:t>
      </w:r>
      <w:r w:rsidRPr="00956FBF">
        <w:rPr>
          <w:rFonts w:asciiTheme="majorHAnsi" w:hAnsiTheme="majorHAnsi" w:cstheme="majorHAnsi"/>
          <w:b/>
          <w:sz w:val="22"/>
          <w:szCs w:val="22"/>
          <w:lang w:val="en-GB"/>
        </w:rPr>
        <w:t xml:space="preserve">create its own </w:t>
      </w:r>
      <w:r w:rsidR="00956FBF" w:rsidRPr="00956FBF">
        <w:rPr>
          <w:rFonts w:asciiTheme="majorHAnsi" w:hAnsiTheme="majorHAnsi" w:cstheme="majorHAnsi"/>
          <w:b/>
          <w:sz w:val="22"/>
          <w:szCs w:val="22"/>
          <w:lang w:val="en-GB"/>
        </w:rPr>
        <w:t xml:space="preserve">international </w:t>
      </w:r>
      <w:r w:rsidRPr="00956FBF">
        <w:rPr>
          <w:rFonts w:asciiTheme="majorHAnsi" w:hAnsiTheme="majorHAnsi" w:cstheme="majorHAnsi"/>
          <w:b/>
          <w:sz w:val="22"/>
          <w:szCs w:val="22"/>
          <w:lang w:val="en-GB"/>
        </w:rPr>
        <w:t>network to increase visibility and cooperation</w:t>
      </w:r>
      <w:r w:rsidRPr="00956FBF">
        <w:rPr>
          <w:rFonts w:asciiTheme="majorHAnsi" w:hAnsiTheme="majorHAnsi" w:cstheme="majorHAnsi"/>
          <w:sz w:val="22"/>
          <w:szCs w:val="22"/>
          <w:lang w:val="en-GB"/>
        </w:rPr>
        <w:t>. The Team Finland Knowledge Network, consisting of “</w:t>
      </w:r>
      <w:r w:rsidRPr="00956FBF">
        <w:rPr>
          <w:rFonts w:asciiTheme="majorHAnsi" w:hAnsiTheme="majorHAnsi" w:cstheme="majorHAnsi"/>
          <w:b/>
          <w:sz w:val="22"/>
          <w:szCs w:val="22"/>
          <w:lang w:val="en-GB"/>
        </w:rPr>
        <w:t>support stations for higher education and research</w:t>
      </w:r>
      <w:r w:rsidRPr="00956FBF">
        <w:rPr>
          <w:rFonts w:asciiTheme="majorHAnsi" w:hAnsiTheme="majorHAnsi" w:cstheme="majorHAnsi"/>
          <w:sz w:val="22"/>
          <w:szCs w:val="22"/>
          <w:lang w:val="en-GB"/>
        </w:rPr>
        <w:t xml:space="preserve"> that will supplement and strengthen the Team Finland network in order to expand research visibility and business cooperation in selected countries</w:t>
      </w:r>
      <w:r w:rsidR="00956FBF" w:rsidRPr="00956FBF">
        <w:rPr>
          <w:rFonts w:asciiTheme="majorHAnsi" w:hAnsiTheme="majorHAnsi" w:cstheme="majorHAnsi"/>
          <w:sz w:val="22"/>
          <w:szCs w:val="22"/>
          <w:lang w:val="en-GB"/>
        </w:rPr>
        <w:t>,” will strengthen cross-</w:t>
      </w:r>
      <w:r w:rsidRPr="00956FBF">
        <w:rPr>
          <w:rFonts w:asciiTheme="majorHAnsi" w:hAnsiTheme="majorHAnsi" w:cstheme="majorHAnsi"/>
          <w:sz w:val="22"/>
          <w:szCs w:val="22"/>
          <w:lang w:val="en-GB"/>
        </w:rPr>
        <w:t xml:space="preserve">country cooperation in HE. Concretely, this will be done through </w:t>
      </w:r>
      <w:r w:rsidRPr="00956FBF">
        <w:rPr>
          <w:rFonts w:asciiTheme="majorHAnsi" w:hAnsiTheme="majorHAnsi" w:cstheme="majorHAnsi"/>
          <w:b/>
          <w:sz w:val="22"/>
          <w:szCs w:val="22"/>
          <w:lang w:val="en-GB"/>
        </w:rPr>
        <w:t>joint programmes and collabor</w:t>
      </w:r>
      <w:r w:rsidR="00956FBF" w:rsidRPr="00956FBF">
        <w:rPr>
          <w:rFonts w:asciiTheme="majorHAnsi" w:hAnsiTheme="majorHAnsi" w:cstheme="majorHAnsi"/>
          <w:b/>
          <w:sz w:val="22"/>
          <w:szCs w:val="22"/>
          <w:lang w:val="en-GB"/>
        </w:rPr>
        <w:t>ation in research and education</w:t>
      </w:r>
      <w:r w:rsidR="00956FBF" w:rsidRPr="00956FBF">
        <w:rPr>
          <w:rFonts w:asciiTheme="majorHAnsi" w:hAnsiTheme="majorHAnsi" w:cstheme="majorHAnsi"/>
          <w:sz w:val="22"/>
          <w:szCs w:val="22"/>
          <w:lang w:val="en-GB"/>
        </w:rPr>
        <w:t>.</w:t>
      </w:r>
      <w:r w:rsidR="00956FBF">
        <w:rPr>
          <w:rStyle w:val="FootnoteReference"/>
          <w:rFonts w:asciiTheme="majorHAnsi" w:hAnsiTheme="majorHAnsi" w:cstheme="majorHAnsi"/>
          <w:sz w:val="22"/>
          <w:szCs w:val="22"/>
          <w:lang w:val="en-GB"/>
        </w:rPr>
        <w:footnoteReference w:id="81"/>
      </w:r>
    </w:p>
    <w:p w14:paraId="316BAC62" w14:textId="52334BC5" w:rsidR="00216257" w:rsidRPr="00E45751" w:rsidRDefault="00956FBF" w:rsidP="00956FBF">
      <w:pPr>
        <w:spacing w:after="120"/>
        <w:rPr>
          <w:rFonts w:asciiTheme="majorHAnsi" w:hAnsiTheme="majorHAnsi" w:cstheme="majorHAnsi"/>
          <w:sz w:val="22"/>
          <w:szCs w:val="22"/>
          <w:lang w:val="en-GB"/>
        </w:rPr>
      </w:pPr>
      <w:r w:rsidRPr="00956FBF">
        <w:rPr>
          <w:rFonts w:asciiTheme="majorHAnsi" w:hAnsiTheme="majorHAnsi" w:cstheme="majorHAnsi"/>
          <w:sz w:val="22"/>
          <w:szCs w:val="22"/>
          <w:lang w:val="en-GB"/>
        </w:rPr>
        <w:t xml:space="preserve">Finally, the Ministry of Education plans to </w:t>
      </w:r>
      <w:r w:rsidRPr="00956FBF">
        <w:rPr>
          <w:rFonts w:asciiTheme="majorHAnsi" w:hAnsiTheme="majorHAnsi" w:cstheme="majorHAnsi"/>
          <w:b/>
          <w:sz w:val="22"/>
          <w:szCs w:val="22"/>
          <w:lang w:val="en-GB"/>
        </w:rPr>
        <w:t>create an alumni network</w:t>
      </w:r>
      <w:r w:rsidRPr="00956FBF">
        <w:rPr>
          <w:rFonts w:asciiTheme="majorHAnsi" w:hAnsiTheme="majorHAnsi" w:cstheme="majorHAnsi"/>
          <w:sz w:val="22"/>
          <w:szCs w:val="22"/>
          <w:lang w:val="en-GB"/>
        </w:rPr>
        <w:t xml:space="preserve"> to facilitate creation of contacts between alumni and with the Finnish administration. This network will </w:t>
      </w:r>
      <w:r w:rsidRPr="00956FBF">
        <w:rPr>
          <w:rFonts w:asciiTheme="majorHAnsi" w:hAnsiTheme="majorHAnsi" w:cstheme="majorHAnsi"/>
          <w:b/>
          <w:sz w:val="22"/>
          <w:szCs w:val="22"/>
          <w:lang w:val="en-GB"/>
        </w:rPr>
        <w:t>facilitate return migration</w:t>
      </w:r>
      <w:r w:rsidRPr="00956FBF">
        <w:rPr>
          <w:rFonts w:asciiTheme="majorHAnsi" w:hAnsiTheme="majorHAnsi" w:cstheme="majorHAnsi"/>
          <w:sz w:val="22"/>
          <w:szCs w:val="22"/>
          <w:lang w:val="en-GB"/>
        </w:rPr>
        <w:t xml:space="preserve"> to </w:t>
      </w:r>
      <w:proofErr w:type="gramStart"/>
      <w:r w:rsidRPr="00956FBF">
        <w:rPr>
          <w:rFonts w:asciiTheme="majorHAnsi" w:hAnsiTheme="majorHAnsi" w:cstheme="majorHAnsi"/>
          <w:sz w:val="22"/>
          <w:szCs w:val="22"/>
          <w:lang w:val="en-GB"/>
        </w:rPr>
        <w:t>Finland, and</w:t>
      </w:r>
      <w:proofErr w:type="gramEnd"/>
      <w:r w:rsidRPr="00956FBF">
        <w:rPr>
          <w:rFonts w:asciiTheme="majorHAnsi" w:hAnsiTheme="majorHAnsi" w:cstheme="majorHAnsi"/>
          <w:sz w:val="22"/>
          <w:szCs w:val="22"/>
          <w:lang w:val="en-GB"/>
        </w:rPr>
        <w:t xml:space="preserve"> will contribute to the promotion of Finnish internationalisation.</w:t>
      </w:r>
      <w:r>
        <w:rPr>
          <w:rStyle w:val="FootnoteReference"/>
          <w:rFonts w:asciiTheme="majorHAnsi" w:hAnsiTheme="majorHAnsi" w:cstheme="majorHAnsi"/>
          <w:sz w:val="22"/>
          <w:szCs w:val="22"/>
          <w:lang w:val="en-GB"/>
        </w:rPr>
        <w:footnoteReference w:id="82"/>
      </w:r>
      <w:r w:rsidR="001113F4" w:rsidRPr="00E45751">
        <w:rPr>
          <w:rFonts w:asciiTheme="majorHAnsi" w:hAnsiTheme="majorHAnsi" w:cstheme="majorHAnsi"/>
          <w:sz w:val="22"/>
          <w:szCs w:val="22"/>
          <w:lang w:val="en-GB"/>
        </w:rPr>
        <w:br w:type="page"/>
      </w:r>
    </w:p>
    <w:p w14:paraId="26DFE9CF" w14:textId="55F40C01" w:rsidR="00916F0F" w:rsidRPr="00E45751" w:rsidRDefault="000B22C1" w:rsidP="00216257">
      <w:pPr>
        <w:pStyle w:val="Heading1"/>
        <w:numPr>
          <w:ilvl w:val="0"/>
          <w:numId w:val="14"/>
        </w:numPr>
        <w:jc w:val="both"/>
        <w:rPr>
          <w:rFonts w:cstheme="majorHAnsi"/>
          <w:lang w:val="en-GB"/>
        </w:rPr>
      </w:pPr>
      <w:bookmarkStart w:id="42" w:name="_Toc416471909"/>
      <w:r w:rsidRPr="00E45751">
        <w:rPr>
          <w:rFonts w:cstheme="majorHAnsi"/>
          <w:lang w:val="en-GB"/>
        </w:rPr>
        <w:lastRenderedPageBreak/>
        <w:t>Paving the way for enhanced mobility to Russia</w:t>
      </w:r>
      <w:bookmarkEnd w:id="42"/>
    </w:p>
    <w:p w14:paraId="0E7D5BAD" w14:textId="77777777" w:rsidR="00945608" w:rsidRPr="00E45751" w:rsidRDefault="00945608" w:rsidP="00216257">
      <w:pPr>
        <w:spacing w:after="120"/>
        <w:jc w:val="both"/>
        <w:rPr>
          <w:rFonts w:asciiTheme="majorHAnsi" w:hAnsiTheme="majorHAnsi" w:cstheme="majorHAnsi"/>
          <w:sz w:val="22"/>
          <w:szCs w:val="22"/>
          <w:lang w:val="en-GB"/>
        </w:rPr>
      </w:pPr>
    </w:p>
    <w:p w14:paraId="4DD74112" w14:textId="1F454D2C" w:rsidR="00945608" w:rsidRPr="00E45751" w:rsidRDefault="000B22C1"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The </w:t>
      </w:r>
      <w:r w:rsidR="00945608" w:rsidRPr="00E45751">
        <w:rPr>
          <w:rFonts w:asciiTheme="majorHAnsi" w:hAnsiTheme="majorHAnsi" w:cstheme="majorHAnsi"/>
          <w:sz w:val="22"/>
          <w:szCs w:val="22"/>
          <w:lang w:val="en-GB"/>
        </w:rPr>
        <w:t>following section</w:t>
      </w:r>
      <w:r w:rsidRPr="00E45751">
        <w:rPr>
          <w:rFonts w:asciiTheme="majorHAnsi" w:hAnsiTheme="majorHAnsi" w:cstheme="majorHAnsi"/>
          <w:sz w:val="22"/>
          <w:szCs w:val="22"/>
          <w:lang w:val="en-GB"/>
        </w:rPr>
        <w:t xml:space="preserve"> </w:t>
      </w:r>
      <w:r w:rsidR="00945608" w:rsidRPr="00E45751">
        <w:rPr>
          <w:rFonts w:asciiTheme="majorHAnsi" w:hAnsiTheme="majorHAnsi" w:cstheme="majorHAnsi"/>
          <w:sz w:val="22"/>
          <w:szCs w:val="22"/>
          <w:lang w:val="en-GB"/>
        </w:rPr>
        <w:t>notes</w:t>
      </w:r>
      <w:r w:rsidR="00945608" w:rsidRPr="00E45751">
        <w:rPr>
          <w:rFonts w:asciiTheme="majorHAnsi" w:hAnsiTheme="majorHAnsi" w:cstheme="majorHAnsi"/>
          <w:b/>
          <w:sz w:val="22"/>
          <w:szCs w:val="22"/>
          <w:lang w:val="en-GB"/>
        </w:rPr>
        <w:t xml:space="preserve"> </w:t>
      </w:r>
      <w:r w:rsidR="00945608" w:rsidRPr="00E45751">
        <w:rPr>
          <w:rFonts w:asciiTheme="majorHAnsi" w:hAnsiTheme="majorHAnsi" w:cstheme="majorHAnsi"/>
          <w:sz w:val="22"/>
          <w:szCs w:val="22"/>
          <w:lang w:val="en-GB"/>
        </w:rPr>
        <w:t xml:space="preserve">current challenges to mobility in the Russian context and proposes potential policy levers to increase the strength and attractiveness of the Russian HE system </w:t>
      </w:r>
      <w:r w:rsidR="009E0B8A" w:rsidRPr="00E45751">
        <w:rPr>
          <w:rFonts w:asciiTheme="majorHAnsi" w:hAnsiTheme="majorHAnsi" w:cstheme="majorHAnsi"/>
          <w:sz w:val="22"/>
          <w:szCs w:val="22"/>
          <w:lang w:val="en-GB"/>
        </w:rPr>
        <w:t>and Russian HEIs.</w:t>
      </w:r>
      <w:r w:rsidR="00216257" w:rsidRPr="00E45751">
        <w:rPr>
          <w:rFonts w:asciiTheme="majorHAnsi" w:hAnsiTheme="majorHAnsi" w:cstheme="majorHAnsi"/>
          <w:sz w:val="22"/>
          <w:szCs w:val="22"/>
          <w:lang w:val="en-GB"/>
        </w:rPr>
        <w:t xml:space="preserve"> At this stage, s</w:t>
      </w:r>
      <w:r w:rsidR="00AC2F16">
        <w:rPr>
          <w:rFonts w:asciiTheme="majorHAnsi" w:hAnsiTheme="majorHAnsi" w:cstheme="majorHAnsi"/>
          <w:sz w:val="22"/>
          <w:szCs w:val="22"/>
          <w:lang w:val="en-GB"/>
        </w:rPr>
        <w:t>uggestions are food for thought</w:t>
      </w:r>
      <w:r w:rsidR="00216257" w:rsidRPr="00E45751">
        <w:rPr>
          <w:rFonts w:asciiTheme="majorHAnsi" w:hAnsiTheme="majorHAnsi" w:cstheme="majorHAnsi"/>
          <w:sz w:val="22"/>
          <w:szCs w:val="22"/>
          <w:lang w:val="en-GB"/>
        </w:rPr>
        <w:t xml:space="preserve"> and will require further analysis.</w:t>
      </w:r>
    </w:p>
    <w:p w14:paraId="1F298459" w14:textId="6BF8A482" w:rsidR="00216257" w:rsidRPr="00E45751" w:rsidRDefault="00216257"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The table below is organised as </w:t>
      </w:r>
      <w:r w:rsidR="00AC2F16">
        <w:rPr>
          <w:rFonts w:asciiTheme="majorHAnsi" w:hAnsiTheme="majorHAnsi" w:cstheme="majorHAnsi"/>
          <w:sz w:val="22"/>
          <w:szCs w:val="22"/>
          <w:lang w:val="en-GB"/>
        </w:rPr>
        <w:t>follows</w:t>
      </w:r>
      <w:r w:rsidRPr="00E45751">
        <w:rPr>
          <w:rFonts w:asciiTheme="majorHAnsi" w:hAnsiTheme="majorHAnsi" w:cstheme="majorHAnsi"/>
          <w:sz w:val="22"/>
          <w:szCs w:val="22"/>
          <w:lang w:val="en-GB"/>
        </w:rPr>
        <w:t>:</w:t>
      </w:r>
    </w:p>
    <w:p w14:paraId="59B2F794" w14:textId="5EB7F7FB" w:rsidR="00216257" w:rsidRPr="00E45751" w:rsidRDefault="00216257" w:rsidP="00216257">
      <w:pPr>
        <w:pStyle w:val="ListParagraph"/>
        <w:numPr>
          <w:ilvl w:val="0"/>
          <w:numId w:val="44"/>
        </w:num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Challenges</w:t>
      </w:r>
      <w:r w:rsidRPr="00E45751">
        <w:rPr>
          <w:rFonts w:asciiTheme="majorHAnsi" w:hAnsiTheme="majorHAnsi" w:cstheme="majorHAnsi"/>
          <w:sz w:val="22"/>
          <w:szCs w:val="22"/>
          <w:lang w:val="en-GB"/>
        </w:rPr>
        <w:t xml:space="preserve"> faced in Russia as per mobility and interna</w:t>
      </w:r>
      <w:r w:rsidR="00AC2F16">
        <w:rPr>
          <w:rFonts w:asciiTheme="majorHAnsi" w:hAnsiTheme="majorHAnsi" w:cstheme="majorHAnsi"/>
          <w:sz w:val="22"/>
          <w:szCs w:val="22"/>
          <w:lang w:val="en-GB"/>
        </w:rPr>
        <w:t>tionalisation (global, national</w:t>
      </w:r>
      <w:r w:rsidRPr="00E45751">
        <w:rPr>
          <w:rFonts w:asciiTheme="majorHAnsi" w:hAnsiTheme="majorHAnsi" w:cstheme="majorHAnsi"/>
          <w:sz w:val="22"/>
          <w:szCs w:val="22"/>
          <w:lang w:val="en-GB"/>
        </w:rPr>
        <w:t>, and university-specific challenges);</w:t>
      </w:r>
    </w:p>
    <w:p w14:paraId="0CE55086" w14:textId="52B15430" w:rsidR="00216257" w:rsidRPr="00E45751" w:rsidRDefault="00216257" w:rsidP="00216257">
      <w:pPr>
        <w:pStyle w:val="ListParagraph"/>
        <w:numPr>
          <w:ilvl w:val="0"/>
          <w:numId w:val="44"/>
        </w:num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Policy lever</w:t>
      </w:r>
      <w:r w:rsidRPr="00E45751">
        <w:rPr>
          <w:rFonts w:asciiTheme="majorHAnsi" w:hAnsiTheme="majorHAnsi" w:cstheme="majorHAnsi"/>
          <w:sz w:val="22"/>
          <w:szCs w:val="22"/>
          <w:lang w:val="en-GB"/>
        </w:rPr>
        <w:t>: actions likely to boost student mobility and alleviate obstacles;</w:t>
      </w:r>
    </w:p>
    <w:p w14:paraId="0F14A413" w14:textId="7BC90742" w:rsidR="00216257" w:rsidRPr="00E45751" w:rsidRDefault="00216257" w:rsidP="00216257">
      <w:pPr>
        <w:pStyle w:val="ListParagraph"/>
        <w:numPr>
          <w:ilvl w:val="0"/>
          <w:numId w:val="44"/>
        </w:num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Feasibility</w:t>
      </w:r>
      <w:r w:rsidRPr="00E45751">
        <w:rPr>
          <w:rFonts w:asciiTheme="majorHAnsi" w:hAnsiTheme="majorHAnsi" w:cstheme="majorHAnsi"/>
          <w:sz w:val="22"/>
          <w:szCs w:val="22"/>
          <w:lang w:val="en-GB"/>
        </w:rPr>
        <w:t>: likelihood of policy levers to be implemented in the context of Russian higher education;</w:t>
      </w:r>
    </w:p>
    <w:p w14:paraId="6A286B6E" w14:textId="40E62B58" w:rsidR="00216257" w:rsidRPr="00E45751" w:rsidRDefault="00216257" w:rsidP="00216257">
      <w:pPr>
        <w:pStyle w:val="ListParagraph"/>
        <w:numPr>
          <w:ilvl w:val="0"/>
          <w:numId w:val="44"/>
        </w:numPr>
        <w:spacing w:after="120"/>
        <w:jc w:val="both"/>
        <w:rPr>
          <w:rFonts w:asciiTheme="majorHAnsi" w:hAnsiTheme="majorHAnsi" w:cstheme="majorHAnsi"/>
          <w:sz w:val="22"/>
          <w:szCs w:val="22"/>
          <w:lang w:val="en-GB"/>
        </w:rPr>
      </w:pPr>
      <w:r w:rsidRPr="00E45751">
        <w:rPr>
          <w:rFonts w:asciiTheme="majorHAnsi" w:hAnsiTheme="majorHAnsi" w:cstheme="majorHAnsi"/>
          <w:b/>
          <w:sz w:val="22"/>
          <w:szCs w:val="22"/>
          <w:lang w:val="en-GB"/>
        </w:rPr>
        <w:t>Impact on international mobility</w:t>
      </w:r>
      <w:r w:rsidRPr="00E45751">
        <w:rPr>
          <w:rFonts w:asciiTheme="majorHAnsi" w:hAnsiTheme="majorHAnsi" w:cstheme="majorHAnsi"/>
          <w:sz w:val="22"/>
          <w:szCs w:val="22"/>
          <w:lang w:val="en-GB"/>
        </w:rPr>
        <w:t>: intensity of impacts on international mobility if the policy lever is activated (high, medium and low).</w:t>
      </w:r>
    </w:p>
    <w:p w14:paraId="2054EF68" w14:textId="201968CE" w:rsidR="000B22C1" w:rsidRPr="00E45751" w:rsidRDefault="009E0B8A" w:rsidP="00216257">
      <w:pPr>
        <w:spacing w:after="120"/>
        <w:jc w:val="both"/>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The final section </w:t>
      </w:r>
      <w:r w:rsidR="000B22C1" w:rsidRPr="00E45751">
        <w:rPr>
          <w:rFonts w:asciiTheme="majorHAnsi" w:hAnsiTheme="majorHAnsi" w:cstheme="majorHAnsi"/>
          <w:sz w:val="22"/>
          <w:szCs w:val="22"/>
          <w:lang w:val="en-GB"/>
        </w:rPr>
        <w:t xml:space="preserve">shall construct a short list of best practices, with a specific focus on transferability to the Russian context. </w:t>
      </w:r>
    </w:p>
    <w:p w14:paraId="136D3339" w14:textId="33DE031B" w:rsidR="00F022CB" w:rsidRPr="00E45751" w:rsidRDefault="000B22C1" w:rsidP="00F022CB">
      <w:pPr>
        <w:pStyle w:val="Heading2"/>
        <w:numPr>
          <w:ilvl w:val="1"/>
          <w:numId w:val="48"/>
        </w:numPr>
        <w:spacing w:after="120"/>
        <w:rPr>
          <w:rFonts w:cstheme="majorHAnsi"/>
          <w:lang w:val="en-GB"/>
        </w:rPr>
      </w:pPr>
      <w:bookmarkStart w:id="43" w:name="_Toc416471910"/>
      <w:r w:rsidRPr="00E45751">
        <w:rPr>
          <w:rFonts w:cstheme="majorHAnsi"/>
          <w:lang w:val="en-GB"/>
        </w:rPr>
        <w:t xml:space="preserve">Summary of Russian challenges and potentialities as per </w:t>
      </w:r>
      <w:r w:rsidR="00F022CB" w:rsidRPr="00E45751">
        <w:rPr>
          <w:rFonts w:cstheme="majorHAnsi"/>
          <w:lang w:val="en-GB"/>
        </w:rPr>
        <w:t>internationalisation</w:t>
      </w:r>
      <w:bookmarkEnd w:id="43"/>
    </w:p>
    <w:tbl>
      <w:tblPr>
        <w:tblStyle w:val="ColorfulList-Accent6"/>
        <w:tblW w:w="10890" w:type="dxa"/>
        <w:tblInd w:w="-792" w:type="dxa"/>
        <w:tblLayout w:type="fixed"/>
        <w:tblLook w:val="04A0" w:firstRow="1" w:lastRow="0" w:firstColumn="1" w:lastColumn="0" w:noHBand="0" w:noVBand="1"/>
      </w:tblPr>
      <w:tblGrid>
        <w:gridCol w:w="540"/>
        <w:gridCol w:w="2070"/>
        <w:gridCol w:w="1728"/>
        <w:gridCol w:w="3060"/>
        <w:gridCol w:w="3492"/>
      </w:tblGrid>
      <w:tr w:rsidR="00AB3724" w:rsidRPr="00E45751" w14:paraId="0500724A" w14:textId="77777777" w:rsidTr="00AB3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gridSpan w:val="2"/>
            <w:shd w:val="clear" w:color="auto" w:fill="365F91" w:themeFill="accent1" w:themeFillShade="BF"/>
          </w:tcPr>
          <w:p w14:paraId="14B4D502" w14:textId="77777777" w:rsidR="00216257" w:rsidRPr="00E45751" w:rsidRDefault="00216257" w:rsidP="00216257">
            <w:pPr>
              <w:jc w:val="center"/>
              <w:rPr>
                <w:rFonts w:asciiTheme="majorHAnsi" w:hAnsiTheme="majorHAnsi" w:cstheme="majorHAnsi"/>
                <w:sz w:val="22"/>
                <w:szCs w:val="20"/>
                <w:lang w:val="en-GB"/>
              </w:rPr>
            </w:pPr>
          </w:p>
          <w:p w14:paraId="785C70A2" w14:textId="77777777" w:rsidR="00945608" w:rsidRPr="00E45751" w:rsidRDefault="00945608" w:rsidP="00216257">
            <w:pPr>
              <w:jc w:val="center"/>
              <w:rPr>
                <w:rFonts w:asciiTheme="majorHAnsi" w:hAnsiTheme="majorHAnsi" w:cstheme="majorHAnsi"/>
                <w:sz w:val="22"/>
                <w:szCs w:val="20"/>
                <w:lang w:val="en-GB"/>
              </w:rPr>
            </w:pPr>
            <w:r w:rsidRPr="00E45751">
              <w:rPr>
                <w:rFonts w:asciiTheme="majorHAnsi" w:hAnsiTheme="majorHAnsi" w:cstheme="majorHAnsi"/>
                <w:sz w:val="22"/>
                <w:szCs w:val="20"/>
                <w:lang w:val="en-GB"/>
              </w:rPr>
              <w:t>Challenges</w:t>
            </w:r>
            <w:r w:rsidR="005B6A47" w:rsidRPr="00E45751">
              <w:rPr>
                <w:rStyle w:val="FootnoteReference"/>
                <w:rFonts w:asciiTheme="majorHAnsi" w:hAnsiTheme="majorHAnsi" w:cstheme="majorHAnsi"/>
                <w:sz w:val="22"/>
                <w:szCs w:val="20"/>
                <w:lang w:val="en-GB"/>
              </w:rPr>
              <w:footnoteReference w:id="83"/>
            </w:r>
          </w:p>
          <w:p w14:paraId="19008730" w14:textId="3CB0238D" w:rsidR="00216257" w:rsidRPr="00E45751" w:rsidRDefault="00216257" w:rsidP="00216257">
            <w:pPr>
              <w:jc w:val="center"/>
              <w:rPr>
                <w:rFonts w:asciiTheme="majorHAnsi" w:hAnsiTheme="majorHAnsi" w:cstheme="majorHAnsi"/>
                <w:sz w:val="22"/>
                <w:szCs w:val="20"/>
                <w:lang w:val="en-GB"/>
              </w:rPr>
            </w:pPr>
          </w:p>
        </w:tc>
        <w:tc>
          <w:tcPr>
            <w:tcW w:w="1728" w:type="dxa"/>
            <w:shd w:val="clear" w:color="auto" w:fill="365F91" w:themeFill="accent1" w:themeFillShade="BF"/>
          </w:tcPr>
          <w:p w14:paraId="0D59FEED" w14:textId="77777777" w:rsidR="00216257" w:rsidRPr="00E45751" w:rsidRDefault="00216257" w:rsidP="0021625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0"/>
                <w:lang w:val="en-GB"/>
              </w:rPr>
            </w:pPr>
          </w:p>
          <w:p w14:paraId="444EF875" w14:textId="6EFE4F21" w:rsidR="00945608" w:rsidRPr="00E45751" w:rsidRDefault="00945608" w:rsidP="0021625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0"/>
                <w:lang w:val="en-GB"/>
              </w:rPr>
            </w:pPr>
            <w:r w:rsidRPr="00E45751">
              <w:rPr>
                <w:rFonts w:asciiTheme="majorHAnsi" w:hAnsiTheme="majorHAnsi" w:cstheme="majorHAnsi"/>
                <w:sz w:val="22"/>
                <w:szCs w:val="20"/>
                <w:lang w:val="en-GB"/>
              </w:rPr>
              <w:t>Policy Lever</w:t>
            </w:r>
          </w:p>
        </w:tc>
        <w:tc>
          <w:tcPr>
            <w:tcW w:w="3060" w:type="dxa"/>
            <w:shd w:val="clear" w:color="auto" w:fill="365F91" w:themeFill="accent1" w:themeFillShade="BF"/>
          </w:tcPr>
          <w:p w14:paraId="5095782E" w14:textId="77777777" w:rsidR="00216257" w:rsidRPr="00E45751" w:rsidRDefault="00216257" w:rsidP="0021625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0"/>
                <w:lang w:val="en-GB"/>
              </w:rPr>
            </w:pPr>
          </w:p>
          <w:p w14:paraId="249E66F0" w14:textId="2D2EA3FE" w:rsidR="00945608" w:rsidRPr="00E45751" w:rsidRDefault="00945608" w:rsidP="0021625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0"/>
                <w:lang w:val="en-GB"/>
              </w:rPr>
            </w:pPr>
            <w:r w:rsidRPr="00E45751">
              <w:rPr>
                <w:rFonts w:asciiTheme="majorHAnsi" w:hAnsiTheme="majorHAnsi" w:cstheme="majorHAnsi"/>
                <w:sz w:val="22"/>
                <w:szCs w:val="20"/>
                <w:lang w:val="en-GB"/>
              </w:rPr>
              <w:t>Feasibility</w:t>
            </w:r>
          </w:p>
        </w:tc>
        <w:tc>
          <w:tcPr>
            <w:tcW w:w="3492" w:type="dxa"/>
            <w:shd w:val="clear" w:color="auto" w:fill="365F91" w:themeFill="accent1" w:themeFillShade="BF"/>
          </w:tcPr>
          <w:p w14:paraId="11304B64" w14:textId="77777777" w:rsidR="00216257" w:rsidRPr="00E45751" w:rsidRDefault="00216257" w:rsidP="0021625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0"/>
                <w:lang w:val="en-GB"/>
              </w:rPr>
            </w:pPr>
          </w:p>
          <w:p w14:paraId="6BDFD522" w14:textId="141C1741" w:rsidR="00945608" w:rsidRPr="00E45751" w:rsidRDefault="00945608" w:rsidP="0021625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0"/>
                <w:lang w:val="en-GB"/>
              </w:rPr>
            </w:pPr>
            <w:r w:rsidRPr="00E45751">
              <w:rPr>
                <w:rFonts w:asciiTheme="majorHAnsi" w:hAnsiTheme="majorHAnsi" w:cstheme="majorHAnsi"/>
                <w:sz w:val="22"/>
                <w:szCs w:val="20"/>
                <w:lang w:val="en-GB"/>
              </w:rPr>
              <w:t>Impact</w:t>
            </w:r>
            <w:r w:rsidR="000303EC" w:rsidRPr="00E45751">
              <w:rPr>
                <w:rFonts w:asciiTheme="majorHAnsi" w:hAnsiTheme="majorHAnsi" w:cstheme="majorHAnsi"/>
                <w:sz w:val="22"/>
                <w:szCs w:val="20"/>
                <w:lang w:val="en-GB"/>
              </w:rPr>
              <w:t xml:space="preserve"> on International M</w:t>
            </w:r>
            <w:r w:rsidR="007C5A55" w:rsidRPr="00E45751">
              <w:rPr>
                <w:rFonts w:asciiTheme="majorHAnsi" w:hAnsiTheme="majorHAnsi" w:cstheme="majorHAnsi"/>
                <w:sz w:val="22"/>
                <w:szCs w:val="20"/>
                <w:lang w:val="en-GB"/>
              </w:rPr>
              <w:t>obility</w:t>
            </w:r>
          </w:p>
        </w:tc>
      </w:tr>
      <w:tr w:rsidR="00216257" w:rsidRPr="00E45751" w14:paraId="7FA3EE0E" w14:textId="77777777" w:rsidTr="0021625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FFFFFF" w:themeColor="background1"/>
              <w:right w:val="single" w:sz="4" w:space="0" w:color="FFFFFF" w:themeColor="background1"/>
            </w:tcBorders>
            <w:shd w:val="clear" w:color="auto" w:fill="B8CCE4" w:themeFill="accent1" w:themeFillTint="66"/>
            <w:textDirection w:val="btLr"/>
          </w:tcPr>
          <w:p w14:paraId="57853E92" w14:textId="3526EE26" w:rsidR="00216257" w:rsidRPr="00E45751" w:rsidRDefault="00216257" w:rsidP="00216257">
            <w:pPr>
              <w:ind w:left="113" w:right="113"/>
              <w:jc w:val="center"/>
              <w:rPr>
                <w:rFonts w:asciiTheme="majorHAnsi" w:hAnsiTheme="majorHAnsi" w:cstheme="majorHAnsi"/>
                <w:sz w:val="20"/>
                <w:szCs w:val="20"/>
                <w:lang w:val="en-GB"/>
              </w:rPr>
            </w:pPr>
            <w:r w:rsidRPr="00E45751">
              <w:rPr>
                <w:rFonts w:asciiTheme="majorHAnsi" w:hAnsiTheme="majorHAnsi" w:cstheme="majorHAnsi"/>
                <w:sz w:val="22"/>
                <w:szCs w:val="20"/>
                <w:lang w:val="en-GB"/>
              </w:rPr>
              <w:t>Overall</w:t>
            </w:r>
          </w:p>
        </w:tc>
        <w:tc>
          <w:tcPr>
            <w:tcW w:w="2070" w:type="dxa"/>
            <w:tcBorders>
              <w:top w:val="single" w:sz="12"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D2D3AF3" w14:textId="6B37C180"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Difficulty of </w:t>
            </w:r>
            <w:r w:rsidR="00DE7DA5">
              <w:rPr>
                <w:rFonts w:asciiTheme="majorHAnsi" w:hAnsiTheme="majorHAnsi" w:cstheme="majorHAnsi"/>
                <w:sz w:val="20"/>
                <w:szCs w:val="20"/>
                <w:lang w:val="en-GB"/>
              </w:rPr>
              <w:t xml:space="preserve">mastering </w:t>
            </w:r>
            <w:r w:rsidRPr="00E45751">
              <w:rPr>
                <w:rFonts w:asciiTheme="majorHAnsi" w:hAnsiTheme="majorHAnsi" w:cstheme="majorHAnsi"/>
                <w:sz w:val="20"/>
                <w:szCs w:val="20"/>
                <w:lang w:val="en-GB"/>
              </w:rPr>
              <w:t>Russian language</w:t>
            </w:r>
            <w:r w:rsidRPr="00E45751">
              <w:rPr>
                <w:rStyle w:val="FootnoteReference"/>
                <w:rFonts w:asciiTheme="majorHAnsi" w:hAnsiTheme="majorHAnsi" w:cstheme="majorHAnsi"/>
                <w:sz w:val="20"/>
                <w:szCs w:val="20"/>
                <w:lang w:val="en-GB"/>
              </w:rPr>
              <w:footnoteReference w:id="84"/>
            </w:r>
          </w:p>
        </w:tc>
        <w:tc>
          <w:tcPr>
            <w:tcW w:w="1728"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B3B73B6" w14:textId="16546B25" w:rsidR="00216257" w:rsidRPr="00E45751" w:rsidRDefault="00216257" w:rsidP="00AB3724">
            <w:pPr>
              <w:pStyle w:val="ListParagraph"/>
              <w:numPr>
                <w:ilvl w:val="0"/>
                <w:numId w:val="40"/>
              </w:numPr>
              <w:tabs>
                <w:tab w:val="left" w:pos="117"/>
              </w:tabs>
              <w:ind w:left="117"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Increase Russian language learning centres abroad</w:t>
            </w:r>
          </w:p>
        </w:tc>
        <w:tc>
          <w:tcPr>
            <w:tcW w:w="3060"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2D2FBA3" w14:textId="59D457DC"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Long term: Increase funding, increase interest in Russian language, increase targeted Russian language modules (business, law, etc.)</w:t>
            </w:r>
          </w:p>
        </w:tc>
        <w:tc>
          <w:tcPr>
            <w:tcW w:w="3492" w:type="dxa"/>
            <w:tcBorders>
              <w:top w:val="single" w:sz="12" w:space="0" w:color="FFFFFF" w:themeColor="background1"/>
              <w:left w:val="single" w:sz="4" w:space="0" w:color="FFFFFF" w:themeColor="background1"/>
              <w:bottom w:val="single" w:sz="4" w:space="0" w:color="FFFFFF" w:themeColor="background1"/>
            </w:tcBorders>
            <w:shd w:val="clear" w:color="auto" w:fill="B8CCE4" w:themeFill="accent1" w:themeFillTint="66"/>
          </w:tcPr>
          <w:p w14:paraId="330C72FC" w14:textId="295CBE47" w:rsidR="00216257" w:rsidRPr="00E45751" w:rsidRDefault="00216257" w:rsidP="00AB3724">
            <w:pPr>
              <w:ind w:left="-18" w:firstLine="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LOW – secondary effect of increasing Russian language learning (cp. Confucius Institutes)</w:t>
            </w:r>
          </w:p>
        </w:tc>
      </w:tr>
      <w:tr w:rsidR="00216257" w:rsidRPr="00E45751" w14:paraId="26CBA78B" w14:textId="77777777" w:rsidTr="00216257">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FFFFFF" w:themeColor="background1"/>
              <w:right w:val="single" w:sz="4" w:space="0" w:color="FFFFFF" w:themeColor="background1"/>
            </w:tcBorders>
            <w:shd w:val="clear" w:color="auto" w:fill="B8CCE4" w:themeFill="accent1" w:themeFillTint="66"/>
          </w:tcPr>
          <w:p w14:paraId="38F9BA7D" w14:textId="24E60592" w:rsidR="00216257" w:rsidRPr="00E45751" w:rsidRDefault="00216257" w:rsidP="00F022CB">
            <w:pPr>
              <w:rPr>
                <w:rFonts w:asciiTheme="majorHAnsi" w:hAnsiTheme="majorHAnsi" w:cstheme="majorHAnsi"/>
                <w:sz w:val="20"/>
                <w:szCs w:val="20"/>
                <w:lang w:val="en-GB"/>
              </w:rPr>
            </w:pPr>
          </w:p>
        </w:tc>
        <w:tc>
          <w:tcPr>
            <w:tcW w:w="2070" w:type="dxa"/>
            <w:tcBorders>
              <w:top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F741B2F" w14:textId="6DE73751" w:rsidR="00216257" w:rsidRPr="00E45751" w:rsidRDefault="00216257"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Image portrayed in the media</w:t>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443C8BF" w14:textId="4AB82AF2" w:rsidR="00216257" w:rsidRPr="00E45751" w:rsidRDefault="00216257" w:rsidP="00AB3724">
            <w:pPr>
              <w:pStyle w:val="ListParagraph"/>
              <w:numPr>
                <w:ilvl w:val="0"/>
                <w:numId w:val="40"/>
              </w:numPr>
              <w:ind w:left="117" w:hanging="1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Attractive marketing policy</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77905BA" w14:textId="7ECAD97E" w:rsidR="00216257" w:rsidRPr="00E45751" w:rsidRDefault="00216257" w:rsidP="00C900B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Short term: increased participation in international conferences and quality networks, multilingual online promotion campaign, partnerships with universities, etc.</w:t>
            </w:r>
          </w:p>
        </w:tc>
        <w:tc>
          <w:tcPr>
            <w:tcW w:w="3492" w:type="dxa"/>
            <w:tcBorders>
              <w:top w:val="single" w:sz="4" w:space="0" w:color="FFFFFF" w:themeColor="background1"/>
              <w:left w:val="single" w:sz="4" w:space="0" w:color="FFFFFF" w:themeColor="background1"/>
              <w:bottom w:val="single" w:sz="4" w:space="0" w:color="FFFFFF" w:themeColor="background1"/>
            </w:tcBorders>
            <w:shd w:val="clear" w:color="auto" w:fill="B8CCE4" w:themeFill="accent1" w:themeFillTint="66"/>
          </w:tcPr>
          <w:p w14:paraId="38DD8F35" w14:textId="457A23AA" w:rsidR="00216257" w:rsidRPr="00E45751" w:rsidRDefault="00216257"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HIGH – amelioration of the image of Russian universities through worldwide promotion and increased knowledge should have a significant effect</w:t>
            </w:r>
          </w:p>
        </w:tc>
      </w:tr>
      <w:tr w:rsidR="00216257" w:rsidRPr="00E45751" w14:paraId="796D9F51" w14:textId="77777777" w:rsidTr="00216257">
        <w:trPr>
          <w:cnfStyle w:val="000000100000" w:firstRow="0" w:lastRow="0" w:firstColumn="0" w:lastColumn="0" w:oddVBand="0" w:evenVBand="0" w:oddHBand="1" w:evenHBand="0" w:firstRowFirstColumn="0" w:firstRowLastColumn="0" w:lastRowFirstColumn="0" w:lastRowLastColumn="0"/>
          <w:cantSplit/>
          <w:trHeight w:val="1241"/>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FFFFFF" w:themeColor="background1"/>
              <w:right w:val="single" w:sz="4" w:space="0" w:color="FFFFFF" w:themeColor="background1"/>
            </w:tcBorders>
            <w:shd w:val="clear" w:color="auto" w:fill="DBE5F1" w:themeFill="accent1" w:themeFillTint="33"/>
            <w:textDirection w:val="btLr"/>
            <w:vAlign w:val="center"/>
          </w:tcPr>
          <w:p w14:paraId="6A76F3D5" w14:textId="77777777" w:rsidR="00216257" w:rsidRPr="00E45751" w:rsidRDefault="00216257" w:rsidP="006E4E4C">
            <w:pPr>
              <w:ind w:left="113" w:right="113"/>
              <w:jc w:val="center"/>
              <w:rPr>
                <w:rFonts w:asciiTheme="majorHAnsi" w:hAnsiTheme="majorHAnsi" w:cstheme="majorHAnsi"/>
                <w:b w:val="0"/>
                <w:bCs w:val="0"/>
                <w:szCs w:val="20"/>
                <w:lang w:val="en-GB"/>
              </w:rPr>
            </w:pPr>
            <w:r w:rsidRPr="00E45751">
              <w:rPr>
                <w:rFonts w:asciiTheme="majorHAnsi" w:hAnsiTheme="majorHAnsi" w:cstheme="majorHAnsi"/>
                <w:szCs w:val="20"/>
                <w:lang w:val="en-GB"/>
              </w:rPr>
              <w:t>National</w:t>
            </w:r>
          </w:p>
          <w:p w14:paraId="458CEDC0" w14:textId="6ACF726F" w:rsidR="00216257" w:rsidRPr="00E45751" w:rsidRDefault="00216257" w:rsidP="00216257">
            <w:pPr>
              <w:ind w:left="113" w:right="113"/>
              <w:jc w:val="center"/>
              <w:rPr>
                <w:rFonts w:asciiTheme="majorHAnsi" w:hAnsiTheme="majorHAnsi" w:cstheme="majorHAnsi"/>
                <w:sz w:val="20"/>
                <w:szCs w:val="20"/>
                <w:lang w:val="en-GB"/>
              </w:rPr>
            </w:pPr>
          </w:p>
        </w:tc>
        <w:tc>
          <w:tcPr>
            <w:tcW w:w="2070" w:type="dxa"/>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A89CA1F" w14:textId="5C9FDFCB"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Underdeveloped social infrastructure</w:t>
            </w:r>
            <w:r w:rsidRPr="00E45751">
              <w:rPr>
                <w:rStyle w:val="FootnoteReference"/>
                <w:rFonts w:asciiTheme="majorHAnsi" w:hAnsiTheme="majorHAnsi" w:cstheme="majorHAnsi"/>
                <w:sz w:val="20"/>
                <w:szCs w:val="20"/>
                <w:lang w:val="en-GB"/>
              </w:rPr>
              <w:footnoteReference w:id="85"/>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31BEC44" w14:textId="146A81BD" w:rsidR="00216257" w:rsidRPr="00E45751" w:rsidRDefault="00216257" w:rsidP="00591228">
            <w:pPr>
              <w:pStyle w:val="ListParagraph"/>
              <w:numPr>
                <w:ilvl w:val="0"/>
                <w:numId w:val="38"/>
              </w:numPr>
              <w:tabs>
                <w:tab w:val="left" w:pos="207"/>
              </w:tabs>
              <w:ind w:left="117"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Increase social services available to international students</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4FFFB90" w14:textId="77777777"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Short term: disseminate information about existing resources</w:t>
            </w:r>
          </w:p>
          <w:p w14:paraId="0143C0DA" w14:textId="113692B7"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Long term: increase social services available to international students</w:t>
            </w:r>
          </w:p>
        </w:tc>
        <w:tc>
          <w:tcPr>
            <w:tcW w:w="3492"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tcPr>
          <w:p w14:paraId="1F4A1E00" w14:textId="24544DFC"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 providing full and detailed information on social services to incoming students increases attractiveness – increasing social services themselves will have a larger effect</w:t>
            </w:r>
          </w:p>
        </w:tc>
      </w:tr>
      <w:tr w:rsidR="00DC537A" w:rsidRPr="00E45751" w14:paraId="458DCA8D" w14:textId="77777777" w:rsidTr="00216257">
        <w:trPr>
          <w:cantSplit/>
          <w:trHeight w:val="1134"/>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FFFFFF" w:themeColor="background1"/>
            </w:tcBorders>
            <w:shd w:val="clear" w:color="auto" w:fill="DBE5F1" w:themeFill="accent1" w:themeFillTint="33"/>
            <w:textDirection w:val="btLr"/>
          </w:tcPr>
          <w:p w14:paraId="3A14AA66" w14:textId="77777777" w:rsidR="00DC537A" w:rsidRPr="00E45751" w:rsidRDefault="00DC537A" w:rsidP="00591228">
            <w:pPr>
              <w:ind w:left="113" w:right="113"/>
              <w:rPr>
                <w:rFonts w:asciiTheme="majorHAnsi" w:hAnsiTheme="majorHAnsi" w:cstheme="majorHAnsi"/>
                <w:sz w:val="20"/>
                <w:szCs w:val="20"/>
                <w:lang w:val="en-GB"/>
              </w:rPr>
            </w:pPr>
          </w:p>
        </w:tc>
        <w:tc>
          <w:tcPr>
            <w:tcW w:w="2070" w:type="dxa"/>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5D9E4AB" w14:textId="6BA04BC0" w:rsidR="00DC537A" w:rsidRPr="00E45751" w:rsidRDefault="00DC537A"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Underinvestment in campus infrastructure</w:t>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3265740" w14:textId="23F78971" w:rsidR="00DC537A" w:rsidRPr="00E45751" w:rsidRDefault="00DC537A" w:rsidP="003512C2">
            <w:pPr>
              <w:pStyle w:val="ListParagraph"/>
              <w:numPr>
                <w:ilvl w:val="0"/>
                <w:numId w:val="37"/>
              </w:numPr>
              <w:ind w:left="117" w:hanging="1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Prioritize investments to increase infrastructure for international students</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0EE1802" w14:textId="380D0918" w:rsidR="00DC537A" w:rsidRPr="00E45751" w:rsidRDefault="00DC537A"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term: use new National Project funds for campus development with a focus on creating services for international students</w:t>
            </w:r>
          </w:p>
        </w:tc>
        <w:tc>
          <w:tcPr>
            <w:tcW w:w="3492"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tcPr>
          <w:p w14:paraId="491BAB77" w14:textId="1766DB92" w:rsidR="00DC537A" w:rsidRPr="00E45751" w:rsidRDefault="00DC537A"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HIGH – support for international students during their time in Russian universities is of the utmost importance in increasing attractiveness. National investment in this infrastructure shows commitment at the highest level</w:t>
            </w:r>
          </w:p>
        </w:tc>
      </w:tr>
      <w:tr w:rsidR="00216257" w:rsidRPr="00E45751" w14:paraId="2FE1CA32" w14:textId="77777777" w:rsidTr="0021625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FFFFFF" w:themeColor="background1"/>
            </w:tcBorders>
            <w:shd w:val="clear" w:color="auto" w:fill="DBE5F1" w:themeFill="accent1" w:themeFillTint="33"/>
            <w:textDirection w:val="btLr"/>
          </w:tcPr>
          <w:p w14:paraId="259DC3F6" w14:textId="77777777" w:rsidR="00216257" w:rsidRPr="00E45751" w:rsidRDefault="00216257" w:rsidP="00591228">
            <w:pPr>
              <w:ind w:left="113" w:right="113"/>
              <w:rPr>
                <w:rFonts w:asciiTheme="majorHAnsi" w:hAnsiTheme="majorHAnsi" w:cstheme="majorHAnsi"/>
                <w:sz w:val="20"/>
                <w:szCs w:val="20"/>
                <w:lang w:val="en-GB"/>
              </w:rPr>
            </w:pPr>
          </w:p>
        </w:tc>
        <w:tc>
          <w:tcPr>
            <w:tcW w:w="2070" w:type="dxa"/>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E6E50A2" w14:textId="5FB8162D"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Disproportionate focus on already best performing universities</w:t>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9EFF9A5" w14:textId="77777777" w:rsidR="00216257" w:rsidRPr="00E45751" w:rsidRDefault="00216257" w:rsidP="003512C2">
            <w:pPr>
              <w:pStyle w:val="ListParagraph"/>
              <w:numPr>
                <w:ilvl w:val="0"/>
                <w:numId w:val="37"/>
              </w:numPr>
              <w:ind w:left="117"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Increase funding and policy advice to regional universities</w:t>
            </w:r>
          </w:p>
          <w:p w14:paraId="691865AA" w14:textId="1DD0F094" w:rsidR="00216257" w:rsidRPr="00E45751" w:rsidRDefault="00216257" w:rsidP="003512C2">
            <w:pPr>
              <w:pStyle w:val="ListParagraph"/>
              <w:numPr>
                <w:ilvl w:val="0"/>
                <w:numId w:val="37"/>
              </w:numPr>
              <w:ind w:left="117"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Foster enabling environment for HEIs</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26D6AC8" w14:textId="7936899B"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Short term: provide policy guidance (courses in English, joint programmes, recognition of credits, international office, etc.), marketing</w:t>
            </w:r>
          </w:p>
          <w:p w14:paraId="68010CB0" w14:textId="7ADED3FA"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Long term: increase funding for implementation of policy changes</w:t>
            </w:r>
          </w:p>
        </w:tc>
        <w:tc>
          <w:tcPr>
            <w:tcW w:w="3492"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tcPr>
          <w:p w14:paraId="0B50A54A" w14:textId="03F8C1FC"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 while there is lower international demand for regional universities, international mobility may still be increased through joint programmes with other universities and an efficient marketing campaign</w:t>
            </w:r>
          </w:p>
        </w:tc>
      </w:tr>
      <w:tr w:rsidR="00216257" w:rsidRPr="00E45751" w14:paraId="5ACB301D" w14:textId="77777777" w:rsidTr="00216257">
        <w:trPr>
          <w:cantSplit/>
          <w:trHeight w:val="1134"/>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FFFFFF" w:themeColor="background1"/>
            </w:tcBorders>
            <w:shd w:val="clear" w:color="auto" w:fill="DBE5F1" w:themeFill="accent1" w:themeFillTint="33"/>
            <w:textDirection w:val="btLr"/>
          </w:tcPr>
          <w:p w14:paraId="782EFB35" w14:textId="77777777" w:rsidR="00216257" w:rsidRPr="00E45751" w:rsidRDefault="00216257" w:rsidP="00591228">
            <w:pPr>
              <w:ind w:left="113" w:right="113"/>
              <w:rPr>
                <w:rFonts w:asciiTheme="majorHAnsi" w:hAnsiTheme="majorHAnsi" w:cstheme="majorHAnsi"/>
                <w:sz w:val="20"/>
                <w:szCs w:val="20"/>
                <w:lang w:val="en-GB"/>
              </w:rPr>
            </w:pPr>
          </w:p>
        </w:tc>
        <w:tc>
          <w:tcPr>
            <w:tcW w:w="2070" w:type="dxa"/>
            <w:tcBorders>
              <w:top w:val="single" w:sz="4" w:space="0" w:color="FFFFFF" w:themeColor="background1"/>
              <w:right w:val="single" w:sz="4" w:space="0" w:color="FFFFFF" w:themeColor="background1"/>
            </w:tcBorders>
            <w:shd w:val="clear" w:color="auto" w:fill="DBE5F1" w:themeFill="accent1" w:themeFillTint="33"/>
          </w:tcPr>
          <w:p w14:paraId="3D681BE3" w14:textId="23937E30" w:rsidR="00216257" w:rsidRPr="00E45751" w:rsidRDefault="00216257" w:rsidP="009661A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Difficulties for international students to work in Russia after graduation</w:t>
            </w:r>
          </w:p>
        </w:tc>
        <w:tc>
          <w:tcPr>
            <w:tcW w:w="1728" w:type="dxa"/>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6C5CB866" w14:textId="77777777" w:rsidR="00216257" w:rsidRPr="00E45751" w:rsidRDefault="00216257" w:rsidP="004D12F6">
            <w:pPr>
              <w:pStyle w:val="ListParagraph"/>
              <w:numPr>
                <w:ilvl w:val="0"/>
                <w:numId w:val="36"/>
              </w:numPr>
              <w:ind w:left="135" w:hanging="1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Involve corporate stakeholders in internationalisation process</w:t>
            </w:r>
          </w:p>
          <w:p w14:paraId="5E02A237" w14:textId="74DDF511" w:rsidR="00216257" w:rsidRPr="00E45751" w:rsidRDefault="00216257" w:rsidP="004D12F6">
            <w:pPr>
              <w:pStyle w:val="ListParagraph"/>
              <w:numPr>
                <w:ilvl w:val="0"/>
                <w:numId w:val="36"/>
              </w:numPr>
              <w:ind w:left="135" w:hanging="1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Develop alumni network</w:t>
            </w:r>
          </w:p>
        </w:tc>
        <w:tc>
          <w:tcPr>
            <w:tcW w:w="3060" w:type="dxa"/>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2615EE26" w14:textId="690F70AD" w:rsidR="00216257" w:rsidRPr="00E45751" w:rsidRDefault="00216257"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Medium term: involving companies and economic actors in efforts to increase attractiveness, providing government incentives to companies that employ international </w:t>
            </w:r>
            <w:proofErr w:type="gramStart"/>
            <w:r w:rsidRPr="00E45751">
              <w:rPr>
                <w:rFonts w:asciiTheme="majorHAnsi" w:hAnsiTheme="majorHAnsi" w:cstheme="majorHAnsi"/>
                <w:sz w:val="20"/>
                <w:szCs w:val="20"/>
                <w:lang w:val="en-GB"/>
              </w:rPr>
              <w:t>students</w:t>
            </w:r>
            <w:proofErr w:type="gramEnd"/>
            <w:r w:rsidRPr="00E45751">
              <w:rPr>
                <w:rFonts w:asciiTheme="majorHAnsi" w:hAnsiTheme="majorHAnsi" w:cstheme="majorHAnsi"/>
                <w:sz w:val="20"/>
                <w:szCs w:val="20"/>
                <w:lang w:val="en-GB"/>
              </w:rPr>
              <w:t xml:space="preserve"> post-graduation</w:t>
            </w:r>
          </w:p>
        </w:tc>
        <w:tc>
          <w:tcPr>
            <w:tcW w:w="3492" w:type="dxa"/>
            <w:tcBorders>
              <w:top w:val="single" w:sz="4" w:space="0" w:color="FFFFFF" w:themeColor="background1"/>
              <w:left w:val="single" w:sz="4" w:space="0" w:color="FFFFFF" w:themeColor="background1"/>
            </w:tcBorders>
            <w:shd w:val="clear" w:color="auto" w:fill="DBE5F1" w:themeFill="accent1" w:themeFillTint="33"/>
          </w:tcPr>
          <w:p w14:paraId="325DFD4D" w14:textId="6455E7D7" w:rsidR="00216257" w:rsidRPr="00E45751" w:rsidRDefault="00216257"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MEDIUM – many students that study abroad </w:t>
            </w:r>
            <w:proofErr w:type="gramStart"/>
            <w:r w:rsidRPr="00E45751">
              <w:rPr>
                <w:rFonts w:asciiTheme="majorHAnsi" w:hAnsiTheme="majorHAnsi" w:cstheme="majorHAnsi"/>
                <w:sz w:val="20"/>
                <w:szCs w:val="20"/>
                <w:lang w:val="en-GB"/>
              </w:rPr>
              <w:t>wish</w:t>
            </w:r>
            <w:proofErr w:type="gramEnd"/>
            <w:r w:rsidRPr="00E45751">
              <w:rPr>
                <w:rFonts w:asciiTheme="majorHAnsi" w:hAnsiTheme="majorHAnsi" w:cstheme="majorHAnsi"/>
                <w:sz w:val="20"/>
                <w:szCs w:val="20"/>
                <w:lang w:val="en-GB"/>
              </w:rPr>
              <w:t xml:space="preserve"> to remain and work in the host country. By giving incentives for hiring international students that completed a Russian degree, the government makes it clear that it welcomes productive students, increasing attractiveness</w:t>
            </w:r>
          </w:p>
        </w:tc>
      </w:tr>
      <w:tr w:rsidR="00216257" w:rsidRPr="00E45751" w14:paraId="26BB962C" w14:textId="77777777" w:rsidTr="0021625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FFFFFF" w:themeColor="background1"/>
            </w:tcBorders>
            <w:shd w:val="clear" w:color="auto" w:fill="DBE5F1" w:themeFill="accent1" w:themeFillTint="33"/>
            <w:textDirection w:val="btLr"/>
          </w:tcPr>
          <w:p w14:paraId="0F6DE950" w14:textId="3C1B0D67" w:rsidR="00216257" w:rsidRPr="00E45751" w:rsidRDefault="00216257" w:rsidP="00591228">
            <w:pPr>
              <w:ind w:left="113" w:right="113"/>
              <w:rPr>
                <w:rFonts w:asciiTheme="majorHAnsi" w:hAnsiTheme="majorHAnsi" w:cstheme="majorHAnsi"/>
                <w:sz w:val="20"/>
                <w:szCs w:val="20"/>
                <w:lang w:val="en-GB"/>
              </w:rPr>
            </w:pPr>
          </w:p>
        </w:tc>
        <w:tc>
          <w:tcPr>
            <w:tcW w:w="2070" w:type="dxa"/>
            <w:tcBorders>
              <w:top w:val="single" w:sz="4" w:space="0" w:color="FFFFFF" w:themeColor="background1"/>
              <w:right w:val="single" w:sz="4" w:space="0" w:color="FFFFFF" w:themeColor="background1"/>
            </w:tcBorders>
            <w:shd w:val="clear" w:color="auto" w:fill="DBE5F1" w:themeFill="accent1" w:themeFillTint="33"/>
          </w:tcPr>
          <w:p w14:paraId="069C57F1" w14:textId="4ACC9493"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Administrative slowness for government grant/scholarship approval</w:t>
            </w:r>
          </w:p>
        </w:tc>
        <w:tc>
          <w:tcPr>
            <w:tcW w:w="1728" w:type="dxa"/>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36E65CAB" w14:textId="3D565DBF" w:rsidR="00216257" w:rsidRPr="00E45751" w:rsidRDefault="00216257" w:rsidP="004D12F6">
            <w:pPr>
              <w:pStyle w:val="ListParagraph"/>
              <w:numPr>
                <w:ilvl w:val="0"/>
                <w:numId w:val="36"/>
              </w:numPr>
              <w:ind w:left="135"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Match calendar to international admissions schedule</w:t>
            </w:r>
          </w:p>
        </w:tc>
        <w:tc>
          <w:tcPr>
            <w:tcW w:w="3060" w:type="dxa"/>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4C7D4617" w14:textId="77777777"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term: adjust government timeline to match acceptance timeline of other countries</w:t>
            </w:r>
          </w:p>
          <w:p w14:paraId="3E7DD4BA" w14:textId="7CF6D04C"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Long term: provide acceptance and scholarship information </w:t>
            </w:r>
            <w:r w:rsidRPr="00E45751">
              <w:rPr>
                <w:rFonts w:asciiTheme="majorHAnsi" w:hAnsiTheme="majorHAnsi" w:cstheme="majorHAnsi"/>
                <w:i/>
                <w:sz w:val="20"/>
                <w:szCs w:val="20"/>
                <w:lang w:val="en-GB"/>
              </w:rPr>
              <w:t>before</w:t>
            </w:r>
            <w:r w:rsidRPr="00E45751">
              <w:rPr>
                <w:rFonts w:asciiTheme="majorHAnsi" w:hAnsiTheme="majorHAnsi" w:cstheme="majorHAnsi"/>
                <w:sz w:val="20"/>
                <w:szCs w:val="20"/>
                <w:lang w:val="en-GB"/>
              </w:rPr>
              <w:t xml:space="preserve"> other universities</w:t>
            </w:r>
          </w:p>
        </w:tc>
        <w:tc>
          <w:tcPr>
            <w:tcW w:w="3492" w:type="dxa"/>
            <w:tcBorders>
              <w:top w:val="single" w:sz="4" w:space="0" w:color="FFFFFF" w:themeColor="background1"/>
              <w:left w:val="single" w:sz="4" w:space="0" w:color="FFFFFF" w:themeColor="background1"/>
            </w:tcBorders>
            <w:shd w:val="clear" w:color="auto" w:fill="DBE5F1" w:themeFill="accent1" w:themeFillTint="33"/>
          </w:tcPr>
          <w:p w14:paraId="7C56BDC8" w14:textId="53141952" w:rsidR="00216257" w:rsidRPr="00E45751" w:rsidRDefault="00216257" w:rsidP="00F02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 high performing students must notify their HEI of choice before a certain date, and therefore must have full information on acceptance and scholarships for Russian universities before this date, or they select other HEIs</w:t>
            </w:r>
          </w:p>
        </w:tc>
      </w:tr>
      <w:tr w:rsidR="00216257" w:rsidRPr="00E45751" w14:paraId="2A937865" w14:textId="77777777" w:rsidTr="00AB3724">
        <w:trPr>
          <w:cantSplit/>
          <w:trHeight w:val="165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FFFFFF" w:themeColor="background1"/>
              <w:right w:val="single" w:sz="4" w:space="0" w:color="FFFFFF" w:themeColor="background1"/>
            </w:tcBorders>
            <w:shd w:val="clear" w:color="auto" w:fill="B8CCE4" w:themeFill="accent1" w:themeFillTint="66"/>
            <w:textDirection w:val="btLr"/>
          </w:tcPr>
          <w:p w14:paraId="57A58CA8" w14:textId="0593A9CA" w:rsidR="00216257" w:rsidRPr="00E45751" w:rsidRDefault="00216257" w:rsidP="009661A2">
            <w:pPr>
              <w:ind w:left="113" w:right="113"/>
              <w:jc w:val="center"/>
              <w:rPr>
                <w:rFonts w:asciiTheme="majorHAnsi" w:hAnsiTheme="majorHAnsi" w:cstheme="majorHAnsi"/>
                <w:sz w:val="22"/>
                <w:szCs w:val="20"/>
                <w:lang w:val="en-GB"/>
              </w:rPr>
            </w:pPr>
            <w:r w:rsidRPr="00E45751">
              <w:rPr>
                <w:rFonts w:asciiTheme="majorHAnsi" w:hAnsiTheme="majorHAnsi" w:cstheme="majorHAnsi"/>
                <w:sz w:val="22"/>
                <w:szCs w:val="20"/>
                <w:lang w:val="en-GB"/>
              </w:rPr>
              <w:t xml:space="preserve">University </w:t>
            </w:r>
          </w:p>
        </w:tc>
        <w:tc>
          <w:tcPr>
            <w:tcW w:w="2070" w:type="dxa"/>
            <w:tcBorders>
              <w:top w:val="single" w:sz="4" w:space="0" w:color="FFFFFF" w:themeColor="background1"/>
              <w:right w:val="single" w:sz="4" w:space="0" w:color="FFFFFF" w:themeColor="background1"/>
            </w:tcBorders>
            <w:shd w:val="clear" w:color="auto" w:fill="B8CCE4" w:themeFill="accent1" w:themeFillTint="66"/>
          </w:tcPr>
          <w:p w14:paraId="0416B07E" w14:textId="14A7F145" w:rsidR="00216257" w:rsidRPr="00E45751" w:rsidRDefault="00216257" w:rsidP="00556D4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Underdeveloped infrastructure</w:t>
            </w:r>
          </w:p>
        </w:tc>
        <w:tc>
          <w:tcPr>
            <w:tcW w:w="1728" w:type="dxa"/>
            <w:tcBorders>
              <w:top w:val="single" w:sz="4" w:space="0" w:color="FFFFFF" w:themeColor="background1"/>
              <w:left w:val="single" w:sz="4" w:space="0" w:color="FFFFFF" w:themeColor="background1"/>
              <w:right w:val="single" w:sz="4" w:space="0" w:color="FFFFFF" w:themeColor="background1"/>
            </w:tcBorders>
            <w:shd w:val="clear" w:color="auto" w:fill="B8CCE4" w:themeFill="accent1" w:themeFillTint="66"/>
          </w:tcPr>
          <w:p w14:paraId="757D7A75" w14:textId="336CE8F6" w:rsidR="00216257" w:rsidRPr="00E45751" w:rsidRDefault="00216257" w:rsidP="00AB3724">
            <w:pPr>
              <w:pStyle w:val="ListParagraph"/>
              <w:numPr>
                <w:ilvl w:val="0"/>
                <w:numId w:val="36"/>
              </w:numPr>
              <w:tabs>
                <w:tab w:val="left" w:pos="117"/>
              </w:tabs>
              <w:ind w:left="117" w:hanging="1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Increase role of international offices </w:t>
            </w:r>
          </w:p>
        </w:tc>
        <w:tc>
          <w:tcPr>
            <w:tcW w:w="3060" w:type="dxa"/>
            <w:tcBorders>
              <w:top w:val="single" w:sz="4" w:space="0" w:color="FFFFFF" w:themeColor="background1"/>
              <w:left w:val="single" w:sz="4" w:space="0" w:color="FFFFFF" w:themeColor="background1"/>
              <w:right w:val="single" w:sz="4" w:space="0" w:color="FFFFFF" w:themeColor="background1"/>
            </w:tcBorders>
            <w:shd w:val="clear" w:color="auto" w:fill="B8CCE4" w:themeFill="accent1" w:themeFillTint="66"/>
          </w:tcPr>
          <w:p w14:paraId="5AB0743C" w14:textId="77777777" w:rsidR="00216257" w:rsidRPr="00E45751" w:rsidRDefault="00216257"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term: expand staff, develop programmes for inclusion of international students</w:t>
            </w:r>
          </w:p>
          <w:p w14:paraId="69CFCC8B" w14:textId="3E6803F4" w:rsidR="00014DAB" w:rsidRPr="00E45751" w:rsidRDefault="00014DAB"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Long term: create international offices in universities where they do not exist</w:t>
            </w:r>
          </w:p>
        </w:tc>
        <w:tc>
          <w:tcPr>
            <w:tcW w:w="3492" w:type="dxa"/>
            <w:tcBorders>
              <w:top w:val="single" w:sz="4" w:space="0" w:color="FFFFFF" w:themeColor="background1"/>
              <w:left w:val="single" w:sz="4" w:space="0" w:color="FFFFFF" w:themeColor="background1"/>
            </w:tcBorders>
            <w:shd w:val="clear" w:color="auto" w:fill="B8CCE4" w:themeFill="accent1" w:themeFillTint="66"/>
          </w:tcPr>
          <w:p w14:paraId="63E6DC04" w14:textId="6B0DD7F8" w:rsidR="00216257" w:rsidRPr="00E45751" w:rsidRDefault="00216257" w:rsidP="00F02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HIGH – the role of the international office is important in attracting students, but more importantly in ensuring the mobility is successful and the alumni them promote the experience in the sending country</w:t>
            </w:r>
          </w:p>
        </w:tc>
      </w:tr>
      <w:tr w:rsidR="00216257" w:rsidRPr="00E45751" w14:paraId="45908868" w14:textId="77777777" w:rsidTr="0021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FFFFFF" w:themeColor="background1"/>
            </w:tcBorders>
            <w:shd w:val="clear" w:color="auto" w:fill="B8CCE4" w:themeFill="accent1" w:themeFillTint="66"/>
          </w:tcPr>
          <w:p w14:paraId="30E55E9A" w14:textId="77777777" w:rsidR="00216257" w:rsidRPr="00E45751" w:rsidRDefault="00216257" w:rsidP="00403F7F">
            <w:pPr>
              <w:rPr>
                <w:rFonts w:asciiTheme="majorHAnsi" w:hAnsiTheme="majorHAnsi" w:cstheme="majorHAnsi"/>
                <w:sz w:val="20"/>
                <w:szCs w:val="20"/>
                <w:lang w:val="en-GB"/>
              </w:rPr>
            </w:pPr>
          </w:p>
        </w:tc>
        <w:tc>
          <w:tcPr>
            <w:tcW w:w="2070" w:type="dxa"/>
            <w:tcBorders>
              <w:top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6A6AFC8E" w14:textId="7BE7EE07"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Programs and publications primarily in Russian</w:t>
            </w:r>
            <w:r w:rsidRPr="00E45751">
              <w:rPr>
                <w:rStyle w:val="FootnoteReference"/>
                <w:rFonts w:asciiTheme="majorHAnsi" w:hAnsiTheme="majorHAnsi" w:cstheme="majorHAnsi"/>
                <w:sz w:val="20"/>
                <w:szCs w:val="20"/>
                <w:lang w:val="en-GB"/>
              </w:rPr>
              <w:footnoteReference w:id="86"/>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BC907CA" w14:textId="77777777" w:rsidR="00216257" w:rsidRPr="00E45751" w:rsidRDefault="00216257" w:rsidP="00303960">
            <w:pPr>
              <w:pStyle w:val="ListParagraph"/>
              <w:numPr>
                <w:ilvl w:val="0"/>
                <w:numId w:val="34"/>
              </w:numPr>
              <w:ind w:left="135"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Increase availability of programmes taught in English</w:t>
            </w:r>
          </w:p>
          <w:p w14:paraId="2567BFC9" w14:textId="4A3CA6A0" w:rsidR="00216257" w:rsidRPr="00E45751" w:rsidRDefault="00216257" w:rsidP="00303960">
            <w:pPr>
              <w:pStyle w:val="ListParagraph"/>
              <w:numPr>
                <w:ilvl w:val="0"/>
                <w:numId w:val="34"/>
              </w:numPr>
              <w:ind w:left="135"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Staff training</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D234347" w14:textId="77777777"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Short term: encourage staff to publish in English and increase partnerships for publication</w:t>
            </w:r>
          </w:p>
          <w:p w14:paraId="18354096" w14:textId="3EF5E680"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term: attract international staff to provide courses in English, internationalise course offering by increasing international contextualisation</w:t>
            </w:r>
          </w:p>
        </w:tc>
        <w:tc>
          <w:tcPr>
            <w:tcW w:w="3492" w:type="dxa"/>
            <w:tcBorders>
              <w:top w:val="single" w:sz="4" w:space="0" w:color="FFFFFF" w:themeColor="background1"/>
              <w:left w:val="single" w:sz="4" w:space="0" w:color="FFFFFF" w:themeColor="background1"/>
              <w:bottom w:val="single" w:sz="4" w:space="0" w:color="FFFFFF" w:themeColor="background1"/>
            </w:tcBorders>
            <w:shd w:val="clear" w:color="auto" w:fill="B8CCE4" w:themeFill="accent1" w:themeFillTint="66"/>
          </w:tcPr>
          <w:p w14:paraId="4DFB87AB" w14:textId="7FB8A3A2"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HIGH – increasing the number of programmes available in English will attract more international students. Training staff in the internationalisation of their curriculum also increases attractiveness since the programmes will become more relevant on the international stage. Increasing publications in English will also increase the standing of Russian universities in international rankings, as quality is partially determined by number of citations of publications</w:t>
            </w:r>
          </w:p>
        </w:tc>
      </w:tr>
      <w:tr w:rsidR="00216257" w:rsidRPr="00E45751" w14:paraId="7CE245C0" w14:textId="77777777" w:rsidTr="00216257">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FFFFFF" w:themeColor="background1"/>
            </w:tcBorders>
            <w:shd w:val="clear" w:color="auto" w:fill="B8CCE4" w:themeFill="accent1" w:themeFillTint="66"/>
          </w:tcPr>
          <w:p w14:paraId="5D061F19" w14:textId="1CD8A9C7" w:rsidR="00216257" w:rsidRPr="00E45751" w:rsidRDefault="00216257" w:rsidP="00403F7F">
            <w:pPr>
              <w:rPr>
                <w:rFonts w:asciiTheme="majorHAnsi" w:hAnsiTheme="majorHAnsi" w:cstheme="majorHAnsi"/>
                <w:sz w:val="20"/>
                <w:szCs w:val="20"/>
                <w:lang w:val="en-GB"/>
              </w:rPr>
            </w:pPr>
          </w:p>
        </w:tc>
        <w:tc>
          <w:tcPr>
            <w:tcW w:w="2070" w:type="dxa"/>
            <w:tcBorders>
              <w:top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EE3F971" w14:textId="2201A1C9" w:rsidR="00216257" w:rsidRPr="00E45751" w:rsidRDefault="00216257" w:rsidP="00403F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Poor monitoring of alumni employment</w:t>
            </w:r>
            <w:r w:rsidRPr="00E45751">
              <w:rPr>
                <w:rStyle w:val="FootnoteReference"/>
                <w:rFonts w:asciiTheme="majorHAnsi" w:hAnsiTheme="majorHAnsi" w:cstheme="majorHAnsi"/>
                <w:sz w:val="20"/>
                <w:szCs w:val="20"/>
                <w:lang w:val="en-GB"/>
              </w:rPr>
              <w:footnoteReference w:id="87"/>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AE54B74" w14:textId="34379CEE" w:rsidR="00216257" w:rsidRPr="00E45751" w:rsidRDefault="00216257" w:rsidP="00AB3724">
            <w:pPr>
              <w:pStyle w:val="ListParagraph"/>
              <w:numPr>
                <w:ilvl w:val="0"/>
                <w:numId w:val="41"/>
              </w:numPr>
              <w:ind w:left="117" w:hanging="1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Develop alumni networks</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69733CE" w14:textId="77777777" w:rsidR="00216257" w:rsidRPr="00E45751" w:rsidRDefault="00216257" w:rsidP="00403F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Short term: create platform for alumni to post information regarding their post-university employment</w:t>
            </w:r>
          </w:p>
          <w:p w14:paraId="698C6E17" w14:textId="39232339" w:rsidR="00216257" w:rsidRPr="00E45751" w:rsidRDefault="00216257" w:rsidP="00403F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Long term: encourage alumni to interact with current students and share internship and employment opportunities</w:t>
            </w:r>
          </w:p>
        </w:tc>
        <w:tc>
          <w:tcPr>
            <w:tcW w:w="3492" w:type="dxa"/>
            <w:tcBorders>
              <w:top w:val="single" w:sz="4" w:space="0" w:color="FFFFFF" w:themeColor="background1"/>
              <w:left w:val="single" w:sz="4" w:space="0" w:color="FFFFFF" w:themeColor="background1"/>
              <w:bottom w:val="single" w:sz="4" w:space="0" w:color="FFFFFF" w:themeColor="background1"/>
            </w:tcBorders>
            <w:shd w:val="clear" w:color="auto" w:fill="B8CCE4" w:themeFill="accent1" w:themeFillTint="66"/>
          </w:tcPr>
          <w:p w14:paraId="4B685719" w14:textId="29F9E156" w:rsidR="00216257" w:rsidRPr="00E45751" w:rsidRDefault="00216257" w:rsidP="00403F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MEDIUM – knowing that alumni of a university are gainfully employed in their field of study is an important incentive for international students. If alumni also interact with current students and propose job opportunities, the effect on attractiveness is two-fold</w:t>
            </w:r>
          </w:p>
        </w:tc>
      </w:tr>
      <w:tr w:rsidR="00216257" w:rsidRPr="00E45751" w14:paraId="1F035EED" w14:textId="77777777" w:rsidTr="0021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FFFFFF" w:themeColor="background1"/>
            </w:tcBorders>
            <w:shd w:val="clear" w:color="auto" w:fill="B8CCE4" w:themeFill="accent1" w:themeFillTint="66"/>
          </w:tcPr>
          <w:p w14:paraId="0F9AD7A1" w14:textId="61AB45D1" w:rsidR="00216257" w:rsidRPr="00E45751" w:rsidRDefault="00216257" w:rsidP="00403F7F">
            <w:pPr>
              <w:rPr>
                <w:rFonts w:asciiTheme="majorHAnsi" w:hAnsiTheme="majorHAnsi" w:cstheme="majorHAnsi"/>
                <w:sz w:val="20"/>
                <w:szCs w:val="20"/>
                <w:lang w:val="en-GB"/>
              </w:rPr>
            </w:pPr>
          </w:p>
        </w:tc>
        <w:tc>
          <w:tcPr>
            <w:tcW w:w="2070" w:type="dxa"/>
            <w:tcBorders>
              <w:top w:val="single" w:sz="4" w:space="0" w:color="FFFFFF" w:themeColor="background1"/>
              <w:right w:val="single" w:sz="4" w:space="0" w:color="FFFFFF" w:themeColor="background1"/>
            </w:tcBorders>
            <w:shd w:val="clear" w:color="auto" w:fill="B8CCE4" w:themeFill="accent1" w:themeFillTint="66"/>
          </w:tcPr>
          <w:p w14:paraId="424EFF26" w14:textId="3B8ECC64"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Disproportionate attraction of students from CIS countries</w:t>
            </w:r>
          </w:p>
        </w:tc>
        <w:tc>
          <w:tcPr>
            <w:tcW w:w="1728" w:type="dxa"/>
            <w:tcBorders>
              <w:top w:val="single" w:sz="4" w:space="0" w:color="FFFFFF" w:themeColor="background1"/>
              <w:left w:val="single" w:sz="4" w:space="0" w:color="FFFFFF" w:themeColor="background1"/>
              <w:right w:val="single" w:sz="4" w:space="0" w:color="FFFFFF" w:themeColor="background1"/>
            </w:tcBorders>
            <w:shd w:val="clear" w:color="auto" w:fill="B8CCE4" w:themeFill="accent1" w:themeFillTint="66"/>
          </w:tcPr>
          <w:p w14:paraId="5C5086EB" w14:textId="77777777" w:rsidR="00216257" w:rsidRPr="00E45751" w:rsidRDefault="00216257" w:rsidP="00303960">
            <w:pPr>
              <w:pStyle w:val="ListParagraph"/>
              <w:numPr>
                <w:ilvl w:val="0"/>
                <w:numId w:val="35"/>
              </w:numPr>
              <w:tabs>
                <w:tab w:val="left" w:pos="135"/>
              </w:tabs>
              <w:ind w:left="135"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Widen marketing strategy</w:t>
            </w:r>
          </w:p>
          <w:p w14:paraId="0225CCEA" w14:textId="77777777" w:rsidR="00216257" w:rsidRPr="00E45751" w:rsidRDefault="00216257" w:rsidP="00303960">
            <w:pPr>
              <w:pStyle w:val="ListParagraph"/>
              <w:numPr>
                <w:ilvl w:val="0"/>
                <w:numId w:val="34"/>
              </w:numPr>
              <w:ind w:left="135"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Increase availability of programmes taught in English</w:t>
            </w:r>
          </w:p>
          <w:p w14:paraId="6B9F2F77" w14:textId="7F32D3F8" w:rsidR="00216257" w:rsidRPr="00E45751" w:rsidRDefault="00216257" w:rsidP="00303960">
            <w:pPr>
              <w:pStyle w:val="ListParagraph"/>
              <w:numPr>
                <w:ilvl w:val="0"/>
                <w:numId w:val="34"/>
              </w:numPr>
              <w:ind w:left="135" w:hanging="1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Partner with universities in target regions</w:t>
            </w:r>
          </w:p>
        </w:tc>
        <w:tc>
          <w:tcPr>
            <w:tcW w:w="3060" w:type="dxa"/>
            <w:tcBorders>
              <w:top w:val="single" w:sz="4" w:space="0" w:color="FFFFFF" w:themeColor="background1"/>
              <w:left w:val="single" w:sz="4" w:space="0" w:color="FFFFFF" w:themeColor="background1"/>
              <w:right w:val="single" w:sz="4" w:space="0" w:color="FFFFFF" w:themeColor="background1"/>
            </w:tcBorders>
            <w:shd w:val="clear" w:color="auto" w:fill="B8CCE4" w:themeFill="accent1" w:themeFillTint="66"/>
          </w:tcPr>
          <w:p w14:paraId="2E63A76F" w14:textId="77777777"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Short term: increase participation in international networks and conferences, develop multi-lingual websites for all universities</w:t>
            </w:r>
          </w:p>
          <w:p w14:paraId="54ECE031" w14:textId="4A33F5BE"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Long term: increase availability of programmes in English, develop partnerships and joint degree programmes with universities from new regions</w:t>
            </w:r>
          </w:p>
        </w:tc>
        <w:tc>
          <w:tcPr>
            <w:tcW w:w="3492" w:type="dxa"/>
            <w:tcBorders>
              <w:top w:val="single" w:sz="4" w:space="0" w:color="FFFFFF" w:themeColor="background1"/>
              <w:left w:val="single" w:sz="4" w:space="0" w:color="FFFFFF" w:themeColor="background1"/>
            </w:tcBorders>
            <w:shd w:val="clear" w:color="auto" w:fill="B8CCE4" w:themeFill="accent1" w:themeFillTint="66"/>
          </w:tcPr>
          <w:p w14:paraId="1E618A4D" w14:textId="06F4A0D9" w:rsidR="00216257" w:rsidRPr="00E45751" w:rsidRDefault="00216257" w:rsidP="00403F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E45751">
              <w:rPr>
                <w:rFonts w:asciiTheme="majorHAnsi" w:hAnsiTheme="majorHAnsi" w:cstheme="majorHAnsi"/>
                <w:sz w:val="20"/>
                <w:szCs w:val="20"/>
                <w:lang w:val="en-GB"/>
              </w:rPr>
              <w:t xml:space="preserve">MEDIUM – widening participation of HEIs in international networks and promoting studying in Russia at conferences aimed at students from target regions will increase knowledge about Russian programmes and attract more international students. In the longer term, </w:t>
            </w:r>
            <w:proofErr w:type="gramStart"/>
            <w:r w:rsidRPr="00E45751">
              <w:rPr>
                <w:rFonts w:asciiTheme="majorHAnsi" w:hAnsiTheme="majorHAnsi" w:cstheme="majorHAnsi"/>
                <w:sz w:val="20"/>
                <w:szCs w:val="20"/>
                <w:lang w:val="en-GB"/>
              </w:rPr>
              <w:t>in order to</w:t>
            </w:r>
            <w:proofErr w:type="gramEnd"/>
            <w:r w:rsidRPr="00E45751">
              <w:rPr>
                <w:rFonts w:asciiTheme="majorHAnsi" w:hAnsiTheme="majorHAnsi" w:cstheme="majorHAnsi"/>
                <w:sz w:val="20"/>
                <w:szCs w:val="20"/>
                <w:lang w:val="en-GB"/>
              </w:rPr>
              <w:t xml:space="preserve"> expand the countries of origin of Russian students, HEIs should offer programmes in English and increase partnerships with new universities that could participate in exchange programmes</w:t>
            </w:r>
          </w:p>
        </w:tc>
      </w:tr>
    </w:tbl>
    <w:p w14:paraId="5795B80D" w14:textId="77777777" w:rsidR="003E1B69" w:rsidRPr="00E45751" w:rsidRDefault="003E1B69" w:rsidP="003E1B69">
      <w:pPr>
        <w:pStyle w:val="Heading2"/>
        <w:spacing w:after="120"/>
        <w:ind w:left="1120"/>
        <w:rPr>
          <w:rFonts w:cstheme="majorHAnsi"/>
          <w:lang w:val="en-GB"/>
        </w:rPr>
      </w:pPr>
    </w:p>
    <w:p w14:paraId="4873ACB4" w14:textId="1020DB9C" w:rsidR="000B22C1" w:rsidRPr="00E45751" w:rsidRDefault="000B22C1" w:rsidP="003E1B69">
      <w:pPr>
        <w:pStyle w:val="Heading2"/>
        <w:numPr>
          <w:ilvl w:val="1"/>
          <w:numId w:val="48"/>
        </w:numPr>
        <w:spacing w:after="120"/>
        <w:rPr>
          <w:rFonts w:cstheme="majorHAnsi"/>
          <w:lang w:val="en-GB"/>
        </w:rPr>
      </w:pPr>
      <w:bookmarkStart w:id="44" w:name="_Toc416471911"/>
      <w:r w:rsidRPr="00E45751">
        <w:rPr>
          <w:rFonts w:cstheme="majorHAnsi"/>
          <w:lang w:val="en-GB"/>
        </w:rPr>
        <w:t>Selection of drivers (out of the benchmark above) that might best fit to Russian context on HE and mobility.</w:t>
      </w:r>
      <w:bookmarkEnd w:id="44"/>
      <w:r w:rsidRPr="00E45751">
        <w:rPr>
          <w:rFonts w:cstheme="majorHAnsi"/>
          <w:lang w:val="en-GB"/>
        </w:rPr>
        <w:t xml:space="preserve"> </w:t>
      </w:r>
    </w:p>
    <w:p w14:paraId="6BAFE629" w14:textId="77777777" w:rsidR="00A21BAC" w:rsidRPr="00E45751" w:rsidRDefault="00A21BAC" w:rsidP="00A21BAC">
      <w:pPr>
        <w:rPr>
          <w:rFonts w:asciiTheme="majorHAnsi" w:hAnsiTheme="majorHAnsi" w:cstheme="majorHAnsi"/>
          <w:lang w:val="en-GB"/>
        </w:rPr>
      </w:pPr>
    </w:p>
    <w:p w14:paraId="561D93DA" w14:textId="0708D816" w:rsidR="00A21BAC" w:rsidRPr="00E45751" w:rsidRDefault="00A21BAC" w:rsidP="00A21BAC">
      <w:pPr>
        <w:rPr>
          <w:rFonts w:asciiTheme="majorHAnsi" w:hAnsiTheme="majorHAnsi" w:cstheme="majorHAnsi"/>
          <w:b/>
          <w:lang w:val="en-GB"/>
        </w:rPr>
      </w:pPr>
      <w:r w:rsidRPr="00E45751">
        <w:rPr>
          <w:rFonts w:asciiTheme="majorHAnsi" w:hAnsiTheme="majorHAnsi" w:cstheme="majorHAnsi"/>
          <w:b/>
          <w:lang w:val="en-GB"/>
        </w:rPr>
        <w:t>For Government</w:t>
      </w:r>
      <w:r w:rsidR="009F1CB5">
        <w:rPr>
          <w:rFonts w:asciiTheme="majorHAnsi" w:hAnsiTheme="majorHAnsi" w:cstheme="majorHAnsi"/>
          <w:b/>
          <w:lang w:val="en-GB"/>
        </w:rPr>
        <w:t>s and Regional Authorities</w:t>
      </w:r>
      <w:r w:rsidRPr="00E45751">
        <w:rPr>
          <w:rFonts w:asciiTheme="majorHAnsi" w:hAnsiTheme="majorHAnsi" w:cstheme="majorHAnsi"/>
          <w:b/>
          <w:lang w:val="en-GB"/>
        </w:rPr>
        <w:t>:</w:t>
      </w:r>
    </w:p>
    <w:p w14:paraId="63DC64A4" w14:textId="190DD1E7" w:rsidR="00A21BAC" w:rsidRPr="00E45751" w:rsidRDefault="00A21BAC" w:rsidP="0051228C">
      <w:pPr>
        <w:pStyle w:val="ListParagraph"/>
        <w:numPr>
          <w:ilvl w:val="0"/>
          <w:numId w:val="43"/>
        </w:numPr>
        <w:spacing w:after="120"/>
        <w:rPr>
          <w:rFonts w:asciiTheme="majorHAnsi" w:hAnsiTheme="majorHAnsi" w:cstheme="majorHAnsi"/>
          <w:i/>
          <w:sz w:val="22"/>
          <w:szCs w:val="22"/>
          <w:lang w:val="en-GB"/>
        </w:rPr>
      </w:pPr>
      <w:r w:rsidRPr="00E45751">
        <w:rPr>
          <w:rFonts w:asciiTheme="majorHAnsi" w:hAnsiTheme="majorHAnsi" w:cstheme="majorHAnsi"/>
          <w:i/>
          <w:sz w:val="22"/>
          <w:szCs w:val="22"/>
          <w:lang w:val="en-GB"/>
        </w:rPr>
        <w:t>Overall measures:</w:t>
      </w:r>
    </w:p>
    <w:p w14:paraId="07DBD2F3" w14:textId="6DFF4EC1" w:rsidR="00A21BAC" w:rsidRPr="00E45751" w:rsidRDefault="0040609E" w:rsidP="00A21BAC">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Attractive and streamlined m</w:t>
      </w:r>
      <w:r w:rsidR="00A21BAC" w:rsidRPr="00E45751">
        <w:rPr>
          <w:rFonts w:asciiTheme="majorHAnsi" w:hAnsiTheme="majorHAnsi" w:cstheme="majorHAnsi"/>
          <w:sz w:val="22"/>
          <w:lang w:val="en-GB"/>
        </w:rPr>
        <w:t>igration and visa policy</w:t>
      </w:r>
    </w:p>
    <w:p w14:paraId="173872C5" w14:textId="3E469116" w:rsidR="00A21BAC" w:rsidRPr="00E45751" w:rsidRDefault="00A21BAC" w:rsidP="00A21BAC">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Employment/research opportunities for international students during mobility</w:t>
      </w:r>
    </w:p>
    <w:p w14:paraId="6B97B5C6" w14:textId="77371A9C" w:rsidR="00A21BAC" w:rsidRPr="00E45751" w:rsidRDefault="00A21BAC" w:rsidP="00A21BAC">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Career opportunities for foreign nationals</w:t>
      </w:r>
    </w:p>
    <w:p w14:paraId="1804BB47" w14:textId="3C9E7881" w:rsidR="00A21BAC" w:rsidRPr="00E45751" w:rsidRDefault="00A21BAC" w:rsidP="00A21BAC">
      <w:pPr>
        <w:pStyle w:val="ListParagraph"/>
        <w:numPr>
          <w:ilvl w:val="2"/>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Clear government policy to encourage students to remain – work visas</w:t>
      </w:r>
    </w:p>
    <w:p w14:paraId="490414CA" w14:textId="2681AEA7" w:rsidR="00A21BAC" w:rsidRPr="00E45751" w:rsidRDefault="00A21BAC" w:rsidP="00A21BAC">
      <w:pPr>
        <w:pStyle w:val="ListParagraph"/>
        <w:numPr>
          <w:ilvl w:val="2"/>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Incentives to corporate partners to hire international students with Russian degrees</w:t>
      </w:r>
    </w:p>
    <w:p w14:paraId="79687685" w14:textId="77777777" w:rsidR="00A21BAC" w:rsidRPr="00E45751" w:rsidRDefault="00A21BAC" w:rsidP="00A21BAC">
      <w:pPr>
        <w:pStyle w:val="ListParagraph"/>
        <w:numPr>
          <w:ilvl w:val="1"/>
          <w:numId w:val="43"/>
        </w:numPr>
        <w:spacing w:after="120"/>
        <w:rPr>
          <w:rFonts w:asciiTheme="majorHAnsi" w:hAnsiTheme="majorHAnsi" w:cstheme="majorHAnsi"/>
          <w:sz w:val="22"/>
          <w:szCs w:val="22"/>
          <w:lang w:val="en-GB"/>
        </w:rPr>
      </w:pPr>
      <w:r w:rsidRPr="00E45751">
        <w:rPr>
          <w:rFonts w:asciiTheme="majorHAnsi" w:hAnsiTheme="majorHAnsi" w:cstheme="majorHAnsi"/>
          <w:sz w:val="22"/>
          <w:szCs w:val="22"/>
          <w:lang w:val="en-GB"/>
        </w:rPr>
        <w:t>Scholarship programmes for students from regions of interest</w:t>
      </w:r>
    </w:p>
    <w:p w14:paraId="7D7A4FA9" w14:textId="679531BE" w:rsidR="00A35A6E" w:rsidRPr="00E45751" w:rsidRDefault="00A35A6E" w:rsidP="00A21BAC">
      <w:pPr>
        <w:pStyle w:val="ListParagraph"/>
        <w:numPr>
          <w:ilvl w:val="1"/>
          <w:numId w:val="43"/>
        </w:numPr>
        <w:spacing w:after="120"/>
        <w:rPr>
          <w:rFonts w:asciiTheme="majorHAnsi" w:hAnsiTheme="majorHAnsi" w:cstheme="majorHAnsi"/>
          <w:sz w:val="22"/>
          <w:szCs w:val="22"/>
          <w:lang w:val="en-GB"/>
        </w:rPr>
      </w:pPr>
      <w:r w:rsidRPr="00E45751">
        <w:rPr>
          <w:rFonts w:asciiTheme="majorHAnsi" w:hAnsiTheme="majorHAnsi" w:cstheme="majorHAnsi"/>
          <w:sz w:val="22"/>
          <w:szCs w:val="22"/>
          <w:lang w:val="en-GB"/>
        </w:rPr>
        <w:t>Credit transfer and recognition of qualifications</w:t>
      </w:r>
    </w:p>
    <w:p w14:paraId="5E8EB080" w14:textId="7534B505" w:rsidR="00A21BAC" w:rsidRPr="00E45751" w:rsidRDefault="00A21BAC" w:rsidP="00A21BAC">
      <w:pPr>
        <w:pStyle w:val="ListParagraph"/>
        <w:numPr>
          <w:ilvl w:val="1"/>
          <w:numId w:val="43"/>
        </w:numPr>
        <w:spacing w:after="120"/>
        <w:rPr>
          <w:rFonts w:asciiTheme="majorHAnsi" w:hAnsiTheme="majorHAnsi" w:cstheme="majorHAnsi"/>
          <w:sz w:val="22"/>
          <w:szCs w:val="22"/>
          <w:lang w:val="en-GB"/>
        </w:rPr>
      </w:pPr>
      <w:r w:rsidRPr="00E45751">
        <w:rPr>
          <w:rFonts w:asciiTheme="majorHAnsi" w:hAnsiTheme="majorHAnsi" w:cstheme="majorHAnsi"/>
          <w:sz w:val="22"/>
          <w:szCs w:val="22"/>
          <w:lang w:val="en-GB"/>
        </w:rPr>
        <w:t>Join international HE networks</w:t>
      </w:r>
    </w:p>
    <w:p w14:paraId="7AB71493" w14:textId="77777777" w:rsidR="00A21BAC" w:rsidRPr="00E45751" w:rsidRDefault="00A21BAC" w:rsidP="00A21BAC">
      <w:pPr>
        <w:pStyle w:val="ListParagraph"/>
        <w:numPr>
          <w:ilvl w:val="1"/>
          <w:numId w:val="43"/>
        </w:numPr>
        <w:spacing w:after="120"/>
        <w:rPr>
          <w:rFonts w:asciiTheme="majorHAnsi" w:hAnsiTheme="majorHAnsi" w:cstheme="majorHAnsi"/>
          <w:sz w:val="22"/>
          <w:szCs w:val="22"/>
          <w:lang w:val="en-GB"/>
        </w:rPr>
      </w:pPr>
      <w:r w:rsidRPr="00E45751">
        <w:rPr>
          <w:rFonts w:asciiTheme="majorHAnsi" w:hAnsiTheme="majorHAnsi" w:cstheme="majorHAnsi"/>
          <w:sz w:val="22"/>
          <w:szCs w:val="22"/>
          <w:lang w:val="en-GB"/>
        </w:rPr>
        <w:t>Participate in international QA networks</w:t>
      </w:r>
    </w:p>
    <w:p w14:paraId="584EF18A" w14:textId="067F1341" w:rsidR="00A35A6E" w:rsidRDefault="00A21BAC" w:rsidP="00A21BAC">
      <w:pPr>
        <w:pStyle w:val="ListParagraph"/>
        <w:numPr>
          <w:ilvl w:val="2"/>
          <w:numId w:val="43"/>
        </w:numPr>
        <w:spacing w:after="120"/>
        <w:rPr>
          <w:rFonts w:asciiTheme="majorHAnsi" w:hAnsiTheme="majorHAnsi" w:cstheme="majorHAnsi"/>
          <w:sz w:val="22"/>
          <w:szCs w:val="22"/>
          <w:lang w:val="en-GB"/>
        </w:rPr>
      </w:pPr>
      <w:r w:rsidRPr="00E45751">
        <w:rPr>
          <w:rFonts w:asciiTheme="majorHAnsi" w:hAnsiTheme="majorHAnsi" w:cstheme="majorHAnsi"/>
          <w:sz w:val="22"/>
          <w:szCs w:val="22"/>
          <w:lang w:val="en-GB"/>
        </w:rPr>
        <w:t xml:space="preserve">Receive accreditation, </w:t>
      </w:r>
      <w:r w:rsidR="00A35A6E" w:rsidRPr="00E45751">
        <w:rPr>
          <w:rFonts w:asciiTheme="majorHAnsi" w:hAnsiTheme="majorHAnsi" w:cstheme="majorHAnsi"/>
          <w:sz w:val="22"/>
          <w:szCs w:val="22"/>
          <w:lang w:val="en-GB"/>
        </w:rPr>
        <w:t>internationalisation certificate</w:t>
      </w:r>
      <w:r w:rsidRPr="00E45751">
        <w:rPr>
          <w:rFonts w:asciiTheme="majorHAnsi" w:hAnsiTheme="majorHAnsi" w:cstheme="majorHAnsi"/>
          <w:sz w:val="22"/>
          <w:szCs w:val="22"/>
          <w:lang w:val="en-GB"/>
        </w:rPr>
        <w:t>, etc. to increase international legitimacy</w:t>
      </w:r>
    </w:p>
    <w:p w14:paraId="4E11FD68" w14:textId="23334D3C" w:rsidR="00D0530F" w:rsidRPr="00D0530F" w:rsidRDefault="00D0530F" w:rsidP="00D0530F">
      <w:pPr>
        <w:pStyle w:val="ListParagraph"/>
        <w:numPr>
          <w:ilvl w:val="0"/>
          <w:numId w:val="43"/>
        </w:numPr>
        <w:spacing w:after="120"/>
        <w:rPr>
          <w:rFonts w:asciiTheme="majorHAnsi" w:hAnsiTheme="majorHAnsi" w:cstheme="majorHAnsi"/>
          <w:i/>
          <w:sz w:val="22"/>
          <w:szCs w:val="22"/>
          <w:lang w:val="en-GB"/>
        </w:rPr>
      </w:pPr>
      <w:r w:rsidRPr="00D0530F">
        <w:rPr>
          <w:rFonts w:asciiTheme="majorHAnsi" w:hAnsiTheme="majorHAnsi" w:cstheme="majorHAnsi"/>
          <w:i/>
          <w:sz w:val="22"/>
          <w:szCs w:val="22"/>
          <w:lang w:val="en-GB"/>
        </w:rPr>
        <w:t>Increasing regional attractiveness:</w:t>
      </w:r>
    </w:p>
    <w:p w14:paraId="3F350563" w14:textId="185CE1AF" w:rsidR="00D0530F" w:rsidRPr="00D0530F" w:rsidRDefault="00D0530F" w:rsidP="00D0530F">
      <w:pPr>
        <w:pStyle w:val="ListParagraph"/>
        <w:numPr>
          <w:ilvl w:val="1"/>
          <w:numId w:val="43"/>
        </w:numPr>
        <w:spacing w:after="120"/>
        <w:rPr>
          <w:rFonts w:asciiTheme="majorHAnsi" w:hAnsiTheme="majorHAnsi" w:cstheme="majorHAnsi"/>
          <w:i/>
          <w:sz w:val="22"/>
          <w:szCs w:val="22"/>
          <w:lang w:val="en-GB"/>
        </w:rPr>
      </w:pPr>
      <w:r>
        <w:rPr>
          <w:rFonts w:asciiTheme="majorHAnsi" w:hAnsiTheme="majorHAnsi" w:cstheme="majorHAnsi"/>
          <w:sz w:val="22"/>
          <w:szCs w:val="22"/>
          <w:lang w:val="en-GB"/>
        </w:rPr>
        <w:t>Increase employment opportunities for international students/graduates</w:t>
      </w:r>
      <w:r w:rsidRPr="00D0530F">
        <w:rPr>
          <w:rFonts w:asciiTheme="majorHAnsi" w:hAnsiTheme="majorHAnsi" w:cstheme="majorHAnsi"/>
          <w:sz w:val="22"/>
          <w:szCs w:val="22"/>
          <w:lang w:val="en-GB"/>
        </w:rPr>
        <w:t xml:space="preserve"> at the regional level</w:t>
      </w:r>
      <w:r w:rsidR="00083A6D">
        <w:rPr>
          <w:rFonts w:asciiTheme="majorHAnsi" w:hAnsiTheme="majorHAnsi" w:cstheme="majorHAnsi"/>
          <w:sz w:val="22"/>
          <w:szCs w:val="22"/>
          <w:lang w:val="en-GB"/>
        </w:rPr>
        <w:t xml:space="preserve"> (see above recommendations)</w:t>
      </w:r>
    </w:p>
    <w:p w14:paraId="3623924E" w14:textId="5510BC5D" w:rsidR="00D0530F" w:rsidRPr="00D0530F" w:rsidRDefault="00D0530F" w:rsidP="00D0530F">
      <w:pPr>
        <w:pStyle w:val="ListParagraph"/>
        <w:numPr>
          <w:ilvl w:val="1"/>
          <w:numId w:val="43"/>
        </w:numPr>
        <w:spacing w:after="120"/>
        <w:rPr>
          <w:rFonts w:asciiTheme="majorHAnsi" w:hAnsiTheme="majorHAnsi" w:cstheme="majorHAnsi"/>
          <w:i/>
          <w:sz w:val="22"/>
          <w:szCs w:val="22"/>
          <w:lang w:val="en-GB"/>
        </w:rPr>
      </w:pPr>
      <w:r>
        <w:rPr>
          <w:rFonts w:asciiTheme="majorHAnsi" w:hAnsiTheme="majorHAnsi" w:cstheme="majorHAnsi"/>
          <w:sz w:val="22"/>
          <w:szCs w:val="22"/>
          <w:lang w:val="en-GB"/>
        </w:rPr>
        <w:t xml:space="preserve">Invest in university resources </w:t>
      </w:r>
      <w:r w:rsidR="00083A6D">
        <w:rPr>
          <w:rFonts w:asciiTheme="majorHAnsi" w:hAnsiTheme="majorHAnsi" w:cstheme="majorHAnsi"/>
          <w:sz w:val="22"/>
          <w:szCs w:val="22"/>
          <w:lang w:val="en-GB"/>
        </w:rPr>
        <w:t>in</w:t>
      </w:r>
      <w:r>
        <w:rPr>
          <w:rFonts w:asciiTheme="majorHAnsi" w:hAnsiTheme="majorHAnsi" w:cstheme="majorHAnsi"/>
          <w:sz w:val="22"/>
          <w:szCs w:val="22"/>
          <w:lang w:val="en-GB"/>
        </w:rPr>
        <w:t xml:space="preserve"> regions that have low resource levels</w:t>
      </w:r>
    </w:p>
    <w:p w14:paraId="6FC1BAB5" w14:textId="7624A37E" w:rsidR="00D0530F" w:rsidRPr="00D0530F" w:rsidRDefault="00D0530F" w:rsidP="00C654E0">
      <w:pPr>
        <w:pStyle w:val="ListParagraph"/>
        <w:numPr>
          <w:ilvl w:val="1"/>
          <w:numId w:val="43"/>
        </w:numPr>
        <w:spacing w:after="120"/>
        <w:rPr>
          <w:rFonts w:asciiTheme="majorHAnsi" w:hAnsiTheme="majorHAnsi" w:cstheme="majorHAnsi"/>
          <w:i/>
          <w:sz w:val="22"/>
          <w:szCs w:val="22"/>
          <w:lang w:val="en-GB"/>
        </w:rPr>
      </w:pPr>
      <w:r>
        <w:rPr>
          <w:rFonts w:asciiTheme="majorHAnsi" w:hAnsiTheme="majorHAnsi" w:cstheme="majorHAnsi"/>
          <w:sz w:val="22"/>
          <w:szCs w:val="22"/>
          <w:lang w:val="en-GB"/>
        </w:rPr>
        <w:t>Increase average education level of local population</w:t>
      </w:r>
    </w:p>
    <w:p w14:paraId="7EA2B6AA" w14:textId="40CA5939" w:rsidR="00D0530F" w:rsidRPr="00C654E0" w:rsidRDefault="00D0530F" w:rsidP="00C654E0">
      <w:pPr>
        <w:pStyle w:val="ListParagraph"/>
        <w:numPr>
          <w:ilvl w:val="1"/>
          <w:numId w:val="43"/>
        </w:numPr>
        <w:spacing w:after="120"/>
        <w:rPr>
          <w:rFonts w:asciiTheme="majorHAnsi" w:hAnsiTheme="majorHAnsi" w:cstheme="majorHAnsi"/>
          <w:i/>
          <w:sz w:val="22"/>
          <w:szCs w:val="22"/>
          <w:lang w:val="en-GB"/>
        </w:rPr>
      </w:pPr>
      <w:r>
        <w:rPr>
          <w:rFonts w:asciiTheme="majorHAnsi" w:hAnsiTheme="majorHAnsi" w:cstheme="majorHAnsi"/>
          <w:sz w:val="22"/>
          <w:szCs w:val="22"/>
          <w:lang w:val="en-GB"/>
        </w:rPr>
        <w:t>Decrease cost of l</w:t>
      </w:r>
      <w:r w:rsidR="00C654E0">
        <w:rPr>
          <w:rFonts w:asciiTheme="majorHAnsi" w:hAnsiTheme="majorHAnsi" w:cstheme="majorHAnsi"/>
          <w:sz w:val="22"/>
          <w:szCs w:val="22"/>
          <w:lang w:val="en-GB"/>
        </w:rPr>
        <w:t>iving for international student and h</w:t>
      </w:r>
      <w:r w:rsidRPr="00C654E0">
        <w:rPr>
          <w:rFonts w:asciiTheme="majorHAnsi" w:hAnsiTheme="majorHAnsi" w:cstheme="majorHAnsi"/>
          <w:sz w:val="22"/>
          <w:szCs w:val="22"/>
          <w:lang w:val="en-GB"/>
        </w:rPr>
        <w:t>ousing subsidies in highly urbanized regions</w:t>
      </w:r>
    </w:p>
    <w:p w14:paraId="696C3DA7" w14:textId="1757B715" w:rsidR="00A35A6E" w:rsidRPr="00E45751" w:rsidRDefault="00A21BAC" w:rsidP="00A21BAC">
      <w:pPr>
        <w:pStyle w:val="ListParagraph"/>
        <w:numPr>
          <w:ilvl w:val="0"/>
          <w:numId w:val="43"/>
        </w:numPr>
        <w:spacing w:after="120"/>
        <w:rPr>
          <w:rFonts w:asciiTheme="majorHAnsi" w:hAnsiTheme="majorHAnsi" w:cstheme="majorHAnsi"/>
          <w:i/>
          <w:sz w:val="22"/>
          <w:szCs w:val="22"/>
          <w:lang w:val="en-GB"/>
        </w:rPr>
      </w:pPr>
      <w:r w:rsidRPr="00E45751">
        <w:rPr>
          <w:rFonts w:asciiTheme="majorHAnsi" w:hAnsiTheme="majorHAnsi" w:cstheme="majorHAnsi"/>
          <w:i/>
          <w:sz w:val="22"/>
          <w:szCs w:val="22"/>
          <w:lang w:val="en-GB"/>
        </w:rPr>
        <w:t>Measures regulating HEIs:</w:t>
      </w:r>
    </w:p>
    <w:p w14:paraId="4CFC3916" w14:textId="77777777" w:rsidR="00A21BAC" w:rsidRPr="00E45751" w:rsidRDefault="00A21BAC" w:rsidP="00A21BAC">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Develop</w:t>
      </w:r>
      <w:r w:rsidR="00A35A6E" w:rsidRPr="00E45751">
        <w:rPr>
          <w:rFonts w:asciiTheme="majorHAnsi" w:hAnsiTheme="majorHAnsi" w:cstheme="majorHAnsi"/>
          <w:sz w:val="22"/>
          <w:lang w:val="en-GB"/>
        </w:rPr>
        <w:t xml:space="preserve"> a clear and transpare</w:t>
      </w:r>
      <w:r w:rsidRPr="00E45751">
        <w:rPr>
          <w:rFonts w:asciiTheme="majorHAnsi" w:hAnsiTheme="majorHAnsi" w:cstheme="majorHAnsi"/>
          <w:sz w:val="22"/>
          <w:lang w:val="en-GB"/>
        </w:rPr>
        <w:t>nt internationalisation policy</w:t>
      </w:r>
    </w:p>
    <w:p w14:paraId="6CA6E891" w14:textId="63E59632" w:rsidR="00A21BAC" w:rsidRPr="00E45751" w:rsidRDefault="00A21BAC" w:rsidP="00A21BAC">
      <w:pPr>
        <w:pStyle w:val="ListParagraph"/>
        <w:numPr>
          <w:ilvl w:val="2"/>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Articulate clear and measurable objectives and desired outcomes</w:t>
      </w:r>
    </w:p>
    <w:p w14:paraId="1C26568C" w14:textId="77777777" w:rsidR="00A21BAC" w:rsidRPr="00E45751" w:rsidRDefault="00A21BAC" w:rsidP="00A21BAC">
      <w:pPr>
        <w:pStyle w:val="ListParagraph"/>
        <w:numPr>
          <w:ilvl w:val="2"/>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Provide</w:t>
      </w:r>
      <w:r w:rsidR="00A35A6E" w:rsidRPr="00E45751">
        <w:rPr>
          <w:rFonts w:asciiTheme="majorHAnsi" w:hAnsiTheme="majorHAnsi" w:cstheme="majorHAnsi"/>
          <w:sz w:val="22"/>
          <w:lang w:val="en-GB"/>
        </w:rPr>
        <w:t xml:space="preserve"> appropriate funding </w:t>
      </w:r>
      <w:r w:rsidRPr="00E45751">
        <w:rPr>
          <w:rFonts w:asciiTheme="majorHAnsi" w:hAnsiTheme="majorHAnsi" w:cstheme="majorHAnsi"/>
          <w:sz w:val="22"/>
          <w:lang w:val="en-GB"/>
        </w:rPr>
        <w:t>to support required changes</w:t>
      </w:r>
    </w:p>
    <w:p w14:paraId="3A94334A" w14:textId="389CF8A3" w:rsidR="00A35A6E" w:rsidRPr="00E45751" w:rsidRDefault="00A21BAC" w:rsidP="00A21BAC">
      <w:pPr>
        <w:pStyle w:val="ListParagraph"/>
        <w:numPr>
          <w:ilvl w:val="2"/>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 xml:space="preserve">Provide </w:t>
      </w:r>
      <w:r w:rsidR="00A35A6E" w:rsidRPr="00E45751">
        <w:rPr>
          <w:rFonts w:asciiTheme="majorHAnsi" w:hAnsiTheme="majorHAnsi" w:cstheme="majorHAnsi"/>
          <w:sz w:val="22"/>
          <w:lang w:val="en-GB"/>
        </w:rPr>
        <w:t>guidance for HEIs</w:t>
      </w:r>
      <w:r w:rsidRPr="00E45751">
        <w:rPr>
          <w:rFonts w:asciiTheme="majorHAnsi" w:hAnsiTheme="majorHAnsi" w:cstheme="majorHAnsi"/>
          <w:sz w:val="22"/>
          <w:lang w:val="en-GB"/>
        </w:rPr>
        <w:t xml:space="preserve"> in achieving national policy directives</w:t>
      </w:r>
    </w:p>
    <w:p w14:paraId="7C7F647F" w14:textId="20C05C2E" w:rsidR="00A21BAC" w:rsidRPr="00E45751" w:rsidRDefault="00A21BAC" w:rsidP="00A21BAC">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Alignment with global initiatives (Bologna Process, etc.)</w:t>
      </w:r>
    </w:p>
    <w:p w14:paraId="0E9D046A" w14:textId="5B97F538" w:rsidR="00A21BAC" w:rsidRPr="00E45751" w:rsidRDefault="00A21BAC" w:rsidP="00A21BAC">
      <w:pPr>
        <w:pStyle w:val="ListParagraph"/>
        <w:numPr>
          <w:ilvl w:val="2"/>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Harmonise</w:t>
      </w:r>
      <w:r w:rsidR="00A35A6E" w:rsidRPr="00E45751">
        <w:rPr>
          <w:rFonts w:asciiTheme="majorHAnsi" w:hAnsiTheme="majorHAnsi" w:cstheme="majorHAnsi"/>
          <w:sz w:val="22"/>
          <w:lang w:val="en-GB"/>
        </w:rPr>
        <w:t xml:space="preserve"> the admission process with other countries</w:t>
      </w:r>
    </w:p>
    <w:p w14:paraId="5968BF63" w14:textId="514750AA" w:rsidR="00A35A6E" w:rsidRPr="00E45751" w:rsidRDefault="00A35A6E" w:rsidP="00A21BAC">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 xml:space="preserve">Regulation/policy </w:t>
      </w:r>
      <w:r w:rsidR="00A21BAC" w:rsidRPr="00E45751">
        <w:rPr>
          <w:rFonts w:asciiTheme="majorHAnsi" w:hAnsiTheme="majorHAnsi" w:cstheme="majorHAnsi"/>
          <w:sz w:val="22"/>
          <w:lang w:val="en-GB"/>
        </w:rPr>
        <w:t>encouraging</w:t>
      </w:r>
      <w:r w:rsidRPr="00E45751">
        <w:rPr>
          <w:rFonts w:asciiTheme="majorHAnsi" w:hAnsiTheme="majorHAnsi" w:cstheme="majorHAnsi"/>
          <w:sz w:val="22"/>
          <w:lang w:val="en-GB"/>
        </w:rPr>
        <w:t xml:space="preserve"> joint </w:t>
      </w:r>
      <w:r w:rsidR="00A21BAC" w:rsidRPr="00E45751">
        <w:rPr>
          <w:rFonts w:asciiTheme="majorHAnsi" w:hAnsiTheme="majorHAnsi" w:cstheme="majorHAnsi"/>
          <w:sz w:val="22"/>
          <w:lang w:val="en-GB"/>
        </w:rPr>
        <w:t xml:space="preserve">and dual </w:t>
      </w:r>
      <w:r w:rsidRPr="00E45751">
        <w:rPr>
          <w:rFonts w:asciiTheme="majorHAnsi" w:hAnsiTheme="majorHAnsi" w:cstheme="majorHAnsi"/>
          <w:sz w:val="22"/>
          <w:lang w:val="en-GB"/>
        </w:rPr>
        <w:t>degrees</w:t>
      </w:r>
    </w:p>
    <w:p w14:paraId="30C5AD2B" w14:textId="519D5D2A" w:rsidR="00A21BAC" w:rsidRPr="00E45751" w:rsidRDefault="00A21BAC" w:rsidP="00A21BAC">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Require robust external and internal QA systems</w:t>
      </w:r>
    </w:p>
    <w:p w14:paraId="3D9DECD9" w14:textId="7DDACDB1" w:rsidR="00D0530F" w:rsidRPr="00D0530F" w:rsidRDefault="00A21BAC" w:rsidP="00D0530F">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Require measurement and evaluation of effectiveness of mobility actions</w:t>
      </w:r>
    </w:p>
    <w:p w14:paraId="47FAD215" w14:textId="77777777" w:rsidR="003E1B69" w:rsidRPr="00E45751" w:rsidRDefault="003E1B69" w:rsidP="00A21BAC">
      <w:pPr>
        <w:spacing w:after="120"/>
        <w:rPr>
          <w:rFonts w:asciiTheme="majorHAnsi" w:hAnsiTheme="majorHAnsi" w:cstheme="majorHAnsi"/>
          <w:sz w:val="22"/>
          <w:lang w:val="en-GB"/>
        </w:rPr>
      </w:pPr>
    </w:p>
    <w:p w14:paraId="01DEC550" w14:textId="028E86A9" w:rsidR="00A35A6E" w:rsidRPr="00E45751" w:rsidRDefault="00A21BAC" w:rsidP="00A35A6E">
      <w:pPr>
        <w:spacing w:after="120"/>
        <w:rPr>
          <w:rFonts w:asciiTheme="majorHAnsi" w:hAnsiTheme="majorHAnsi" w:cstheme="majorHAnsi"/>
          <w:b/>
          <w:sz w:val="22"/>
          <w:lang w:val="en-GB"/>
        </w:rPr>
      </w:pPr>
      <w:r w:rsidRPr="00E45751">
        <w:rPr>
          <w:rFonts w:asciiTheme="majorHAnsi" w:hAnsiTheme="majorHAnsi" w:cstheme="majorHAnsi"/>
          <w:b/>
          <w:sz w:val="22"/>
          <w:lang w:val="en-GB"/>
        </w:rPr>
        <w:lastRenderedPageBreak/>
        <w:t xml:space="preserve">For </w:t>
      </w:r>
      <w:r w:rsidR="009F1CB5">
        <w:rPr>
          <w:rFonts w:asciiTheme="majorHAnsi" w:hAnsiTheme="majorHAnsi" w:cstheme="majorHAnsi"/>
          <w:b/>
          <w:sz w:val="22"/>
          <w:lang w:val="en-GB"/>
        </w:rPr>
        <w:t>U</w:t>
      </w:r>
      <w:r w:rsidR="003E1B69" w:rsidRPr="00E45751">
        <w:rPr>
          <w:rFonts w:asciiTheme="majorHAnsi" w:hAnsiTheme="majorHAnsi" w:cstheme="majorHAnsi"/>
          <w:b/>
          <w:sz w:val="22"/>
          <w:lang w:val="en-GB"/>
        </w:rPr>
        <w:t>niversities</w:t>
      </w:r>
      <w:r w:rsidRPr="00E45751">
        <w:rPr>
          <w:rFonts w:asciiTheme="majorHAnsi" w:hAnsiTheme="majorHAnsi" w:cstheme="majorHAnsi"/>
          <w:b/>
          <w:sz w:val="22"/>
          <w:lang w:val="en-GB"/>
        </w:rPr>
        <w:t>:</w:t>
      </w:r>
    </w:p>
    <w:p w14:paraId="7D5CBAEE" w14:textId="7DFDE154" w:rsidR="0040609E" w:rsidRPr="00E45751" w:rsidRDefault="0040609E" w:rsidP="00A35A6E">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Increase programme and course offering in English (or language of target sending country)</w:t>
      </w:r>
    </w:p>
    <w:p w14:paraId="45DD6323" w14:textId="27DF1162" w:rsidR="00A35A6E" w:rsidRPr="00E45751" w:rsidRDefault="0040609E" w:rsidP="0040609E">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I</w:t>
      </w:r>
      <w:r w:rsidR="00A35A6E" w:rsidRPr="00E45751">
        <w:rPr>
          <w:rFonts w:asciiTheme="majorHAnsi" w:hAnsiTheme="majorHAnsi" w:cstheme="majorHAnsi"/>
          <w:sz w:val="22"/>
          <w:lang w:val="en-GB"/>
        </w:rPr>
        <w:t>nternationalisation</w:t>
      </w:r>
      <w:r w:rsidRPr="00E45751">
        <w:rPr>
          <w:rFonts w:asciiTheme="majorHAnsi" w:hAnsiTheme="majorHAnsi" w:cstheme="majorHAnsi"/>
          <w:sz w:val="22"/>
          <w:lang w:val="en-GB"/>
        </w:rPr>
        <w:t xml:space="preserve"> of the curriculum</w:t>
      </w:r>
    </w:p>
    <w:p w14:paraId="4588308B" w14:textId="14BB13B3" w:rsidR="0040609E" w:rsidRPr="00E45751" w:rsidRDefault="0040609E" w:rsidP="00A35A6E">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Increase partnerships with foreign universities</w:t>
      </w:r>
    </w:p>
    <w:p w14:paraId="06A7676A" w14:textId="29AF4F76" w:rsidR="00A35A6E" w:rsidRPr="00E45751" w:rsidRDefault="0040609E" w:rsidP="0040609E">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 xml:space="preserve">Increase dual and </w:t>
      </w:r>
      <w:r w:rsidR="00A35A6E" w:rsidRPr="00E45751">
        <w:rPr>
          <w:rFonts w:asciiTheme="majorHAnsi" w:hAnsiTheme="majorHAnsi" w:cstheme="majorHAnsi"/>
          <w:sz w:val="22"/>
          <w:lang w:val="en-GB"/>
        </w:rPr>
        <w:t>joint degree offers</w:t>
      </w:r>
    </w:p>
    <w:p w14:paraId="15B06256" w14:textId="29C6414D" w:rsidR="0040609E" w:rsidRPr="00E45751" w:rsidRDefault="0040609E" w:rsidP="0040609E">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Develop student and faculty e</w:t>
      </w:r>
      <w:r w:rsidR="00A35A6E" w:rsidRPr="00E45751">
        <w:rPr>
          <w:rFonts w:asciiTheme="majorHAnsi" w:hAnsiTheme="majorHAnsi" w:cstheme="majorHAnsi"/>
          <w:sz w:val="22"/>
          <w:lang w:val="en-GB"/>
        </w:rPr>
        <w:t xml:space="preserve">xchange </w:t>
      </w:r>
      <w:r w:rsidRPr="00E45751">
        <w:rPr>
          <w:rFonts w:asciiTheme="majorHAnsi" w:hAnsiTheme="majorHAnsi" w:cstheme="majorHAnsi"/>
          <w:sz w:val="22"/>
          <w:lang w:val="en-GB"/>
        </w:rPr>
        <w:t>programmes</w:t>
      </w:r>
    </w:p>
    <w:p w14:paraId="683CB9AE" w14:textId="08C69CBB" w:rsidR="00A35A6E" w:rsidRPr="00E45751" w:rsidRDefault="0040609E" w:rsidP="00A35A6E">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Expand</w:t>
      </w:r>
      <w:r w:rsidR="00A35A6E" w:rsidRPr="00E45751">
        <w:rPr>
          <w:rFonts w:asciiTheme="majorHAnsi" w:hAnsiTheme="majorHAnsi" w:cstheme="majorHAnsi"/>
          <w:sz w:val="22"/>
          <w:lang w:val="en-GB"/>
        </w:rPr>
        <w:t xml:space="preserve"> international offices</w:t>
      </w:r>
      <w:r w:rsidRPr="00E45751">
        <w:rPr>
          <w:rFonts w:asciiTheme="majorHAnsi" w:hAnsiTheme="majorHAnsi" w:cstheme="majorHAnsi"/>
          <w:sz w:val="22"/>
          <w:lang w:val="en-GB"/>
        </w:rPr>
        <w:t xml:space="preserve"> and their services</w:t>
      </w:r>
    </w:p>
    <w:p w14:paraId="540685A1" w14:textId="2AB8FC36" w:rsidR="005F155F" w:rsidRPr="00E45751" w:rsidRDefault="0040609E" w:rsidP="005F155F">
      <w:pPr>
        <w:pStyle w:val="ListParagraph"/>
        <w:numPr>
          <w:ilvl w:val="1"/>
          <w:numId w:val="43"/>
        </w:numPr>
        <w:spacing w:after="120"/>
        <w:rPr>
          <w:rFonts w:asciiTheme="majorHAnsi" w:hAnsiTheme="majorHAnsi" w:cstheme="majorHAnsi"/>
          <w:i/>
          <w:sz w:val="22"/>
          <w:lang w:val="en-GB"/>
        </w:rPr>
      </w:pPr>
      <w:r w:rsidRPr="00E45751">
        <w:rPr>
          <w:rFonts w:asciiTheme="majorHAnsi" w:hAnsiTheme="majorHAnsi" w:cstheme="majorHAnsi"/>
          <w:sz w:val="22"/>
          <w:lang w:val="en-GB"/>
        </w:rPr>
        <w:t>Include</w:t>
      </w:r>
      <w:r w:rsidR="005F155F" w:rsidRPr="00E45751">
        <w:rPr>
          <w:rFonts w:asciiTheme="majorHAnsi" w:hAnsiTheme="majorHAnsi" w:cstheme="majorHAnsi"/>
          <w:sz w:val="22"/>
          <w:lang w:val="en-GB"/>
        </w:rPr>
        <w:t xml:space="preserve"> course information and admission requirements; processing of applications for enrolment; advice to students on medical insurance, immigration requirements and health, welfare and counselling services; scholarship opportunities; and institutional and cultural orientation programmes</w:t>
      </w:r>
      <w:r w:rsidRPr="00E45751">
        <w:rPr>
          <w:rFonts w:asciiTheme="majorHAnsi" w:hAnsiTheme="majorHAnsi" w:cstheme="majorHAnsi"/>
          <w:sz w:val="22"/>
          <w:lang w:val="en-GB"/>
        </w:rPr>
        <w:t>; etc.</w:t>
      </w:r>
    </w:p>
    <w:p w14:paraId="7E6DD0C0" w14:textId="77777777" w:rsidR="00BB72CD" w:rsidRPr="00E45751" w:rsidRDefault="0040609E"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Assistance for international students (housing, administrative questions, etc.)</w:t>
      </w:r>
      <w:r w:rsidR="00BB72CD" w:rsidRPr="00E45751">
        <w:rPr>
          <w:rFonts w:asciiTheme="majorHAnsi" w:hAnsiTheme="majorHAnsi" w:cstheme="majorHAnsi"/>
          <w:sz w:val="22"/>
          <w:lang w:val="en-GB"/>
        </w:rPr>
        <w:t xml:space="preserve"> </w:t>
      </w:r>
    </w:p>
    <w:p w14:paraId="032ACC88" w14:textId="77777777" w:rsidR="00BB72CD" w:rsidRPr="00E45751" w:rsidRDefault="00BB72CD" w:rsidP="00BB72CD">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Ensure integration of international students academically and socially</w:t>
      </w:r>
    </w:p>
    <w:p w14:paraId="798BC97E" w14:textId="42875C66" w:rsidR="0040609E" w:rsidRPr="00E45751" w:rsidRDefault="00BB72CD"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Mixed classes international/domestic</w:t>
      </w:r>
    </w:p>
    <w:p w14:paraId="5D272A1C" w14:textId="5DF081EE" w:rsidR="00BB72CD" w:rsidRPr="00E45751" w:rsidRDefault="00BB72CD"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Events</w:t>
      </w:r>
    </w:p>
    <w:p w14:paraId="6CBB8F6B" w14:textId="303851EB" w:rsidR="00BB72CD" w:rsidRPr="00E45751" w:rsidRDefault="00BB72CD" w:rsidP="00BB72CD">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Train faculty</w:t>
      </w:r>
    </w:p>
    <w:p w14:paraId="33FDF1F7" w14:textId="7D3DED7A" w:rsidR="00BB72CD" w:rsidRPr="00E45751" w:rsidRDefault="00BB72CD"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English language</w:t>
      </w:r>
    </w:p>
    <w:p w14:paraId="7BAB7F41" w14:textId="77CF4591" w:rsidR="00BB72CD" w:rsidRPr="00E45751" w:rsidRDefault="00BB72CD"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Internationalisation process</w:t>
      </w:r>
    </w:p>
    <w:p w14:paraId="4BCC4DBE" w14:textId="65ACB9D2" w:rsidR="00BB72CD" w:rsidRPr="00E45751" w:rsidRDefault="00BB72CD"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Inclusion of international students</w:t>
      </w:r>
    </w:p>
    <w:p w14:paraId="35C3FC9E" w14:textId="4D1B964F" w:rsidR="0040609E" w:rsidRPr="00E45751" w:rsidRDefault="0040609E" w:rsidP="005F155F">
      <w:pPr>
        <w:pStyle w:val="ListParagraph"/>
        <w:numPr>
          <w:ilvl w:val="0"/>
          <w:numId w:val="43"/>
        </w:numPr>
        <w:spacing w:after="120"/>
        <w:rPr>
          <w:rFonts w:asciiTheme="majorHAnsi" w:hAnsiTheme="majorHAnsi" w:cstheme="majorHAnsi"/>
          <w:i/>
          <w:sz w:val="22"/>
          <w:lang w:val="en-GB"/>
        </w:rPr>
      </w:pPr>
      <w:r w:rsidRPr="00E45751">
        <w:rPr>
          <w:rFonts w:asciiTheme="majorHAnsi" w:hAnsiTheme="majorHAnsi" w:cstheme="majorHAnsi"/>
          <w:sz w:val="22"/>
          <w:lang w:val="en-GB"/>
        </w:rPr>
        <w:t>Join international institutional networks</w:t>
      </w:r>
    </w:p>
    <w:p w14:paraId="3662344F" w14:textId="1B6AD2CF" w:rsidR="0040609E" w:rsidRPr="00E45751" w:rsidRDefault="0040609E" w:rsidP="0040609E">
      <w:pPr>
        <w:pStyle w:val="ListParagraph"/>
        <w:numPr>
          <w:ilvl w:val="1"/>
          <w:numId w:val="43"/>
        </w:numPr>
        <w:spacing w:after="120"/>
        <w:rPr>
          <w:rFonts w:asciiTheme="majorHAnsi" w:hAnsiTheme="majorHAnsi" w:cstheme="majorHAnsi"/>
          <w:i/>
          <w:sz w:val="22"/>
          <w:lang w:val="en-GB"/>
        </w:rPr>
      </w:pPr>
      <w:r w:rsidRPr="00E45751">
        <w:rPr>
          <w:rFonts w:asciiTheme="majorHAnsi" w:hAnsiTheme="majorHAnsi" w:cstheme="majorHAnsi"/>
          <w:sz w:val="22"/>
          <w:lang w:val="en-GB"/>
        </w:rPr>
        <w:t>Participate in international research initiatives</w:t>
      </w:r>
    </w:p>
    <w:p w14:paraId="707D8BD8" w14:textId="0BDC5A85" w:rsidR="0040609E" w:rsidRPr="00E45751" w:rsidRDefault="0040609E" w:rsidP="0040609E">
      <w:pPr>
        <w:pStyle w:val="ListParagraph"/>
        <w:numPr>
          <w:ilvl w:val="1"/>
          <w:numId w:val="43"/>
        </w:numPr>
        <w:spacing w:after="120"/>
        <w:rPr>
          <w:rFonts w:asciiTheme="majorHAnsi" w:hAnsiTheme="majorHAnsi" w:cstheme="majorHAnsi"/>
          <w:i/>
          <w:sz w:val="22"/>
          <w:lang w:val="en-GB"/>
        </w:rPr>
      </w:pPr>
      <w:r w:rsidRPr="00E45751">
        <w:rPr>
          <w:rFonts w:asciiTheme="majorHAnsi" w:hAnsiTheme="majorHAnsi" w:cstheme="majorHAnsi"/>
          <w:sz w:val="22"/>
          <w:lang w:val="en-GB"/>
        </w:rPr>
        <w:t>Prepare joint action</w:t>
      </w:r>
    </w:p>
    <w:p w14:paraId="1FE6D8CA" w14:textId="2910DB41" w:rsidR="005F155F" w:rsidRPr="00E45751" w:rsidRDefault="0040609E" w:rsidP="00BB72CD">
      <w:pPr>
        <w:pStyle w:val="ListParagraph"/>
        <w:numPr>
          <w:ilvl w:val="1"/>
          <w:numId w:val="43"/>
        </w:numPr>
        <w:spacing w:after="120"/>
        <w:rPr>
          <w:rFonts w:asciiTheme="majorHAnsi" w:hAnsiTheme="majorHAnsi" w:cstheme="majorHAnsi"/>
          <w:i/>
          <w:sz w:val="22"/>
          <w:lang w:val="en-GB"/>
        </w:rPr>
      </w:pPr>
      <w:r w:rsidRPr="00E45751">
        <w:rPr>
          <w:rFonts w:asciiTheme="majorHAnsi" w:hAnsiTheme="majorHAnsi" w:cstheme="majorHAnsi"/>
          <w:sz w:val="22"/>
          <w:lang w:val="en-GB"/>
        </w:rPr>
        <w:t>Share best practices</w:t>
      </w:r>
    </w:p>
    <w:p w14:paraId="42E4EB7B" w14:textId="6BC5FCCD" w:rsidR="005F155F" w:rsidRPr="00E45751" w:rsidRDefault="00BB72CD" w:rsidP="005F155F">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Develop sophisticated international m</w:t>
      </w:r>
      <w:r w:rsidR="005F155F" w:rsidRPr="00E45751">
        <w:rPr>
          <w:rFonts w:asciiTheme="majorHAnsi" w:hAnsiTheme="majorHAnsi" w:cstheme="majorHAnsi"/>
          <w:sz w:val="22"/>
          <w:lang w:val="en-GB"/>
        </w:rPr>
        <w:t xml:space="preserve">arketing activities </w:t>
      </w:r>
    </w:p>
    <w:p w14:paraId="5DECA69C" w14:textId="00CBF190" w:rsidR="005F155F" w:rsidRPr="00E45751" w:rsidRDefault="005F155F" w:rsidP="005F155F">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 xml:space="preserve">Organise branded ´Study in </w:t>
      </w:r>
      <w:r w:rsidR="00BB72CD" w:rsidRPr="00E45751">
        <w:rPr>
          <w:rFonts w:asciiTheme="majorHAnsi" w:hAnsiTheme="majorHAnsi" w:cstheme="majorHAnsi"/>
          <w:sz w:val="22"/>
          <w:lang w:val="en-GB"/>
        </w:rPr>
        <w:t>Russia</w:t>
      </w:r>
      <w:r w:rsidRPr="00E45751">
        <w:rPr>
          <w:rFonts w:asciiTheme="majorHAnsi" w:hAnsiTheme="majorHAnsi" w:cstheme="majorHAnsi"/>
          <w:sz w:val="22"/>
          <w:lang w:val="en-GB"/>
        </w:rPr>
        <w:t>´ fairs</w:t>
      </w:r>
    </w:p>
    <w:p w14:paraId="5AC08C7B" w14:textId="2AFEE26D" w:rsidR="005F155F" w:rsidRPr="00E45751" w:rsidRDefault="005F155F" w:rsidP="005F155F">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Deliver marketing webinars and organise virtual events</w:t>
      </w:r>
    </w:p>
    <w:p w14:paraId="27DA3469" w14:textId="6DCB8452" w:rsidR="005F155F" w:rsidRPr="00E45751" w:rsidRDefault="00BB72CD" w:rsidP="005F155F">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Deliver a social media strategy</w:t>
      </w:r>
    </w:p>
    <w:p w14:paraId="05CEE8F4" w14:textId="6298419E" w:rsidR="00BB72CD" w:rsidRPr="00E45751" w:rsidRDefault="005D36D6" w:rsidP="005F155F">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Manage a multilingual, easy to navigate website</w:t>
      </w:r>
    </w:p>
    <w:p w14:paraId="79195EEE" w14:textId="77777777" w:rsidR="005F155F" w:rsidRPr="00E45751" w:rsidRDefault="005F155F" w:rsidP="005F155F">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Produce a package of promotional material</w:t>
      </w:r>
    </w:p>
    <w:p w14:paraId="4CA480C3" w14:textId="2E450970" w:rsidR="005F155F" w:rsidRPr="00E45751" w:rsidRDefault="005D36D6" w:rsidP="005F155F">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Train advisors to respond to and guide students looking for additional information</w:t>
      </w:r>
    </w:p>
    <w:p w14:paraId="632A9DEE" w14:textId="77777777" w:rsidR="005F155F" w:rsidRPr="00E45751" w:rsidRDefault="005F155F" w:rsidP="005F155F">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Involvement of additional stakeholders</w:t>
      </w:r>
    </w:p>
    <w:p w14:paraId="06B82063" w14:textId="2112E0CF" w:rsidR="00BB72CD" w:rsidRPr="00E45751" w:rsidRDefault="00BB72CD"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Corporate partnerships</w:t>
      </w:r>
    </w:p>
    <w:p w14:paraId="60BF2C49" w14:textId="6C473B70" w:rsidR="00BB72CD" w:rsidRPr="00E45751" w:rsidRDefault="00BB72CD" w:rsidP="00BB72CD">
      <w:pPr>
        <w:pStyle w:val="ListParagraph"/>
        <w:numPr>
          <w:ilvl w:val="1"/>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Alumni network</w:t>
      </w:r>
    </w:p>
    <w:p w14:paraId="39214ABE" w14:textId="4210B677" w:rsidR="005F155F" w:rsidRPr="00E45751" w:rsidRDefault="005D36D6" w:rsidP="005F155F">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 xml:space="preserve">Develop a robust </w:t>
      </w:r>
      <w:r w:rsidR="005F155F" w:rsidRPr="00E45751">
        <w:rPr>
          <w:rFonts w:asciiTheme="majorHAnsi" w:hAnsiTheme="majorHAnsi" w:cstheme="majorHAnsi"/>
          <w:sz w:val="22"/>
          <w:lang w:val="en-GB"/>
        </w:rPr>
        <w:t>internal QA</w:t>
      </w:r>
      <w:r w:rsidRPr="00E45751">
        <w:rPr>
          <w:rFonts w:asciiTheme="majorHAnsi" w:hAnsiTheme="majorHAnsi" w:cstheme="majorHAnsi"/>
          <w:sz w:val="22"/>
          <w:lang w:val="en-GB"/>
        </w:rPr>
        <w:t xml:space="preserve"> system, and encourage external QA involvement</w:t>
      </w:r>
    </w:p>
    <w:p w14:paraId="37397C08" w14:textId="72489FC2" w:rsidR="005F155F" w:rsidRPr="00E45751" w:rsidRDefault="005D36D6" w:rsidP="005F155F">
      <w:pPr>
        <w:pStyle w:val="ListParagraph"/>
        <w:numPr>
          <w:ilvl w:val="0"/>
          <w:numId w:val="43"/>
        </w:numPr>
        <w:spacing w:after="120"/>
        <w:rPr>
          <w:rFonts w:asciiTheme="majorHAnsi" w:hAnsiTheme="majorHAnsi" w:cstheme="majorHAnsi"/>
          <w:sz w:val="22"/>
          <w:lang w:val="en-GB"/>
        </w:rPr>
      </w:pPr>
      <w:r w:rsidRPr="00E45751">
        <w:rPr>
          <w:rFonts w:asciiTheme="majorHAnsi" w:hAnsiTheme="majorHAnsi" w:cstheme="majorHAnsi"/>
          <w:sz w:val="22"/>
          <w:lang w:val="en-GB"/>
        </w:rPr>
        <w:t>Measure, evaluate, and disseminate information on</w:t>
      </w:r>
      <w:r w:rsidR="005F155F" w:rsidRPr="00E45751">
        <w:rPr>
          <w:rFonts w:asciiTheme="majorHAnsi" w:hAnsiTheme="majorHAnsi" w:cstheme="majorHAnsi"/>
          <w:sz w:val="22"/>
          <w:lang w:val="en-GB"/>
        </w:rPr>
        <w:t xml:space="preserve"> effectiveness of mobility actions</w:t>
      </w:r>
    </w:p>
    <w:p w14:paraId="279D0D48" w14:textId="77777777" w:rsidR="005F155F" w:rsidRPr="00E45751" w:rsidRDefault="005F155F" w:rsidP="005F155F">
      <w:pPr>
        <w:spacing w:after="120"/>
        <w:rPr>
          <w:rFonts w:asciiTheme="majorHAnsi" w:hAnsiTheme="majorHAnsi" w:cstheme="majorHAnsi"/>
          <w:i/>
          <w:sz w:val="22"/>
          <w:lang w:val="en-GB"/>
        </w:rPr>
      </w:pPr>
    </w:p>
    <w:p w14:paraId="33EAE289" w14:textId="1F0A30B1" w:rsidR="005107E8" w:rsidRPr="00E45751" w:rsidRDefault="00ED1ED5" w:rsidP="005F155F">
      <w:pPr>
        <w:spacing w:after="120"/>
        <w:rPr>
          <w:rFonts w:asciiTheme="majorHAnsi" w:hAnsiTheme="majorHAnsi" w:cstheme="majorHAnsi"/>
          <w:sz w:val="22"/>
          <w:lang w:val="en-GB"/>
        </w:rPr>
      </w:pPr>
      <w:r w:rsidRPr="00E45751">
        <w:rPr>
          <w:rFonts w:asciiTheme="majorHAnsi" w:hAnsiTheme="majorHAnsi" w:cstheme="majorHAnsi"/>
          <w:sz w:val="22"/>
          <w:lang w:val="en-GB"/>
        </w:rPr>
        <w:t>In conclusion,</w:t>
      </w:r>
      <w:r w:rsidR="0010296B" w:rsidRPr="00E45751">
        <w:rPr>
          <w:rFonts w:asciiTheme="majorHAnsi" w:hAnsiTheme="majorHAnsi" w:cstheme="majorHAnsi"/>
          <w:sz w:val="22"/>
          <w:lang w:val="en-GB"/>
        </w:rPr>
        <w:t xml:space="preserve"> as this report does not address the “how to” dimension of the internationalisation question,</w:t>
      </w:r>
      <w:r w:rsidRPr="00E45751">
        <w:rPr>
          <w:rFonts w:asciiTheme="majorHAnsi" w:hAnsiTheme="majorHAnsi" w:cstheme="majorHAnsi"/>
          <w:sz w:val="22"/>
          <w:lang w:val="en-GB"/>
        </w:rPr>
        <w:t xml:space="preserve"> it is important to note that the above policy levers should be framed in a more general road map or national action plan to ensure that they have the desired effect. Increasing the attractiveness of Russian universities and the Russian higher education system in general requires the orchestration of and consistency between a multiple range of levers, both strategic and operational, at the national and institutional levels. Discrepancy and inconsistency between internationalisation </w:t>
      </w:r>
      <w:r w:rsidR="004812E8" w:rsidRPr="00E45751">
        <w:rPr>
          <w:rFonts w:asciiTheme="majorHAnsi" w:hAnsiTheme="majorHAnsi" w:cstheme="majorHAnsi"/>
          <w:sz w:val="22"/>
          <w:lang w:val="en-GB"/>
        </w:rPr>
        <w:t xml:space="preserve">policies may </w:t>
      </w:r>
      <w:proofErr w:type="gramStart"/>
      <w:r w:rsidR="004812E8" w:rsidRPr="00E45751">
        <w:rPr>
          <w:rFonts w:asciiTheme="majorHAnsi" w:hAnsiTheme="majorHAnsi" w:cstheme="majorHAnsi"/>
          <w:sz w:val="22"/>
          <w:lang w:val="en-GB"/>
        </w:rPr>
        <w:t>actually have</w:t>
      </w:r>
      <w:proofErr w:type="gramEnd"/>
      <w:r w:rsidR="004812E8" w:rsidRPr="00E45751">
        <w:rPr>
          <w:rFonts w:asciiTheme="majorHAnsi" w:hAnsiTheme="majorHAnsi" w:cstheme="majorHAnsi"/>
          <w:sz w:val="22"/>
          <w:lang w:val="en-GB"/>
        </w:rPr>
        <w:t xml:space="preserve"> a negative effect on HE system attractiveness. A comprehensive policy approach can be constructed with the aid of this benchmark report, which has presented strategies that have proven to be effective in increasing the number of international students in other country contexts.</w:t>
      </w:r>
    </w:p>
    <w:sectPr w:rsidR="005107E8" w:rsidRPr="00E45751" w:rsidSect="00286683">
      <w:footerReference w:type="even" r:id="rId23"/>
      <w:footerReference w:type="default" r:id="rId24"/>
      <w:pgSz w:w="11894"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9C85F" w14:textId="77777777" w:rsidR="00260AC2" w:rsidRDefault="00260AC2" w:rsidP="00F51D59">
      <w:r>
        <w:separator/>
      </w:r>
    </w:p>
  </w:endnote>
  <w:endnote w:type="continuationSeparator" w:id="0">
    <w:p w14:paraId="7F2E5B7E" w14:textId="77777777" w:rsidR="00260AC2" w:rsidRDefault="00260AC2" w:rsidP="00F5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0A6A" w14:textId="77777777" w:rsidR="009F1CB5" w:rsidRDefault="009F1CB5" w:rsidP="00CE17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028E03" w14:textId="77777777" w:rsidR="009F1CB5" w:rsidRDefault="009F1CB5" w:rsidP="003A75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188E4" w14:textId="77777777" w:rsidR="009F1CB5" w:rsidRPr="003E1B69" w:rsidRDefault="009F1CB5" w:rsidP="00CE1706">
    <w:pPr>
      <w:pStyle w:val="Footer"/>
      <w:framePr w:wrap="around" w:vAnchor="text" w:hAnchor="margin" w:xAlign="right" w:y="1"/>
      <w:rPr>
        <w:rStyle w:val="PageNumber"/>
        <w:rFonts w:asciiTheme="majorHAnsi" w:hAnsiTheme="majorHAnsi" w:cstheme="majorHAnsi"/>
      </w:rPr>
    </w:pPr>
    <w:r w:rsidRPr="003E1B69">
      <w:rPr>
        <w:rStyle w:val="PageNumber"/>
        <w:rFonts w:asciiTheme="majorHAnsi" w:hAnsiTheme="majorHAnsi" w:cstheme="majorHAnsi"/>
      </w:rPr>
      <w:fldChar w:fldCharType="begin"/>
    </w:r>
    <w:r w:rsidRPr="003E1B69">
      <w:rPr>
        <w:rStyle w:val="PageNumber"/>
        <w:rFonts w:asciiTheme="majorHAnsi" w:hAnsiTheme="majorHAnsi" w:cstheme="majorHAnsi"/>
      </w:rPr>
      <w:instrText xml:space="preserve">PAGE  </w:instrText>
    </w:r>
    <w:r w:rsidRPr="003E1B69">
      <w:rPr>
        <w:rStyle w:val="PageNumber"/>
        <w:rFonts w:asciiTheme="majorHAnsi" w:hAnsiTheme="majorHAnsi" w:cstheme="majorHAnsi"/>
      </w:rPr>
      <w:fldChar w:fldCharType="separate"/>
    </w:r>
    <w:r w:rsidR="00AC2F16">
      <w:rPr>
        <w:rStyle w:val="PageNumber"/>
        <w:rFonts w:asciiTheme="majorHAnsi" w:hAnsiTheme="majorHAnsi" w:cstheme="majorHAnsi"/>
        <w:noProof/>
      </w:rPr>
      <w:t>30</w:t>
    </w:r>
    <w:r w:rsidRPr="003E1B69">
      <w:rPr>
        <w:rStyle w:val="PageNumber"/>
        <w:rFonts w:asciiTheme="majorHAnsi" w:hAnsiTheme="majorHAnsi" w:cstheme="majorHAnsi"/>
      </w:rPr>
      <w:fldChar w:fldCharType="end"/>
    </w:r>
  </w:p>
  <w:p w14:paraId="139A2BDD" w14:textId="0E6DDB53" w:rsidR="009F1CB5" w:rsidRPr="003E1B69" w:rsidRDefault="009F1CB5" w:rsidP="00F26FD6">
    <w:pPr>
      <w:pStyle w:val="Footer"/>
      <w:pBdr>
        <w:top w:val="single" w:sz="4" w:space="1" w:color="auto"/>
      </w:pBdr>
      <w:ind w:right="360"/>
      <w:jc w:val="right"/>
      <w:rPr>
        <w:rFonts w:asciiTheme="majorHAnsi" w:hAnsiTheme="majorHAnsi" w:cstheme="majorHAnsi"/>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34B13" w14:textId="77777777" w:rsidR="00260AC2" w:rsidRDefault="00260AC2" w:rsidP="00F51D59">
      <w:r>
        <w:separator/>
      </w:r>
    </w:p>
  </w:footnote>
  <w:footnote w:type="continuationSeparator" w:id="0">
    <w:p w14:paraId="431CED97" w14:textId="77777777" w:rsidR="00260AC2" w:rsidRDefault="00260AC2" w:rsidP="00F51D59">
      <w:r>
        <w:continuationSeparator/>
      </w:r>
    </w:p>
  </w:footnote>
  <w:footnote w:id="1">
    <w:p w14:paraId="7E0B59C7" w14:textId="748CAB53"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SHARE. “About SHARE” https://www.share-asean.eu/about-share</w:t>
      </w:r>
    </w:p>
  </w:footnote>
  <w:footnote w:id="2">
    <w:p w14:paraId="3BC56864" w14:textId="77777777" w:rsidR="009F1CB5" w:rsidRPr="00216257" w:rsidRDefault="009F1CB5" w:rsidP="00F51D59">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Henard, Diamond and Roseveare. “Approaches to Internationalisation and Their Implications for Strategic Management and Institutional Practice,” </w:t>
      </w:r>
      <w:r w:rsidRPr="00216257">
        <w:rPr>
          <w:rFonts w:asciiTheme="majorHAnsi" w:hAnsiTheme="majorHAnsi" w:cstheme="majorHAnsi"/>
          <w:i/>
          <w:sz w:val="18"/>
          <w:szCs w:val="18"/>
        </w:rPr>
        <w:t xml:space="preserve">OECD Higher Education Programme (IMHE), </w:t>
      </w:r>
      <w:r w:rsidRPr="00216257">
        <w:rPr>
          <w:rFonts w:asciiTheme="majorHAnsi" w:hAnsiTheme="majorHAnsi" w:cstheme="majorHAnsi"/>
          <w:sz w:val="18"/>
          <w:szCs w:val="18"/>
        </w:rPr>
        <w:t>2012. http://www.oecd.org/education/imhe/Approaches%20to%20internationalisation%20-%20final%20-%20web.pdf</w:t>
      </w:r>
    </w:p>
  </w:footnote>
  <w:footnote w:id="3">
    <w:p w14:paraId="3D223F6B" w14:textId="1D5FBEE5" w:rsidR="009F1CB5" w:rsidRPr="00BC24AE" w:rsidRDefault="009F1CB5">
      <w:pPr>
        <w:pStyle w:val="FootnoteText"/>
        <w:rPr>
          <w:sz w:val="18"/>
          <w:szCs w:val="18"/>
          <w:lang w:val="fr-FR"/>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lang w:val="fr-FR"/>
        </w:rPr>
        <w:t xml:space="preserve"> ERA. </w:t>
      </w:r>
      <w:hyperlink r:id="rId1" w:history="1">
        <w:r w:rsidRPr="00216257">
          <w:rPr>
            <w:rStyle w:val="Hyperlink"/>
            <w:rFonts w:asciiTheme="majorHAnsi" w:hAnsiTheme="majorHAnsi" w:cstheme="majorHAnsi"/>
            <w:sz w:val="18"/>
            <w:szCs w:val="18"/>
            <w:lang w:val="fr-FR"/>
          </w:rPr>
          <w:t>www.mri.gov.on.ca/english/programs/era/program.asp</w:t>
        </w:r>
      </w:hyperlink>
    </w:p>
  </w:footnote>
  <w:footnote w:id="4">
    <w:p w14:paraId="23B5B4EA" w14:textId="77777777" w:rsidR="009F1CB5" w:rsidRPr="00216257" w:rsidRDefault="009F1CB5" w:rsidP="00D87B44">
      <w:pPr>
        <w:pStyle w:val="FootnoteText"/>
        <w:rPr>
          <w:rFonts w:asciiTheme="majorHAnsi" w:hAnsiTheme="majorHAnsi" w:cstheme="majorHAnsi"/>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Department of Higher Education and Training of South Africa. “Draft Policy Framework For The Internationalisation Of Higher Education In South Africa.” April 2017. http://www.dhet.gov.za/Policy%20and%20Development%20Support/Draft%20Policy%20framework%20for%20the%20internalisation%20of%20Higher%20Education%20in%20Suth%20Africa.pdf</w:t>
      </w:r>
    </w:p>
  </w:footnote>
  <w:footnote w:id="5">
    <w:p w14:paraId="1C9B3979" w14:textId="3F524023" w:rsidR="009F1CB5" w:rsidRPr="00C654E0" w:rsidRDefault="009F1CB5" w:rsidP="00C654E0">
      <w:pPr>
        <w:pStyle w:val="FootnoteText"/>
        <w:jc w:val="both"/>
        <w:rPr>
          <w:rFonts w:asciiTheme="majorHAnsi"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Polish Ministry of Science and Higher Education. “Program Umiędzynarodowienia Szkolnictwa Wyższego.” 2015.</w:t>
      </w:r>
    </w:p>
  </w:footnote>
  <w:footnote w:id="6">
    <w:p w14:paraId="5321B049" w14:textId="024A5691" w:rsidR="009F1CB5" w:rsidRPr="00323B75" w:rsidRDefault="009F1CB5" w:rsidP="00C654E0">
      <w:pPr>
        <w:jc w:val="both"/>
        <w:rPr>
          <w:rFonts w:eastAsia="Times New Roman" w:cs="Times New Roman"/>
          <w:sz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OECD/Bío Bío’s Regional Steering Committee (2009), “The Bío Bío Region, Chile: Self-Evaluation Report”, OECD Reviews of Higher Education in Regional and City Development, IMHE. </w:t>
      </w:r>
      <w:hyperlink r:id="rId2" w:history="1">
        <w:r w:rsidRPr="00C654E0">
          <w:rPr>
            <w:rStyle w:val="Hyperlink"/>
            <w:rFonts w:asciiTheme="majorHAnsi" w:eastAsia="Times New Roman" w:hAnsiTheme="majorHAnsi" w:cstheme="majorHAnsi"/>
            <w:sz w:val="18"/>
            <w:szCs w:val="18"/>
          </w:rPr>
          <w:t>http://www.oecd.org/education/skills-beyond-school/43694606.pdf</w:t>
        </w:r>
      </w:hyperlink>
    </w:p>
  </w:footnote>
  <w:footnote w:id="7">
    <w:p w14:paraId="7DBF9DF4" w14:textId="3DFDD076" w:rsidR="009F1CB5" w:rsidRPr="00C654E0" w:rsidRDefault="009F1CB5" w:rsidP="00966FBC">
      <w:pPr>
        <w:rPr>
          <w:rFonts w:asciiTheme="majorHAnsi" w:eastAsia="Times New Roman"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OECD. “Higher Education Program IMHE – EDUIMHE”  2004-2011. </w:t>
      </w:r>
      <w:hyperlink r:id="rId3" w:history="1">
        <w:r w:rsidRPr="00C654E0">
          <w:rPr>
            <w:rStyle w:val="Hyperlink"/>
            <w:rFonts w:asciiTheme="majorHAnsi" w:eastAsia="Times New Roman" w:hAnsiTheme="majorHAnsi" w:cstheme="majorHAnsi"/>
            <w:sz w:val="18"/>
            <w:szCs w:val="18"/>
          </w:rPr>
          <w:t>https://www.oecd.org/education/imhe/highereducationinregionalandcitydevelopmentreviewreportsandvisits.htm</w:t>
        </w:r>
      </w:hyperlink>
    </w:p>
  </w:footnote>
  <w:footnote w:id="8">
    <w:p w14:paraId="2E3495C5" w14:textId="77777777" w:rsidR="009F1CB5" w:rsidRPr="00C654E0" w:rsidRDefault="009F1CB5" w:rsidP="00BB6089">
      <w:pPr>
        <w:pStyle w:val="FootnoteText"/>
        <w:rPr>
          <w:rFonts w:asciiTheme="majorHAnsi"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Henard, Diamond and Roseveare. “Approaches to Internationalisation and Their Implications for Strategic Management and Institutional Practice,” </w:t>
      </w:r>
      <w:r w:rsidRPr="00C654E0">
        <w:rPr>
          <w:rFonts w:asciiTheme="majorHAnsi" w:hAnsiTheme="majorHAnsi" w:cstheme="majorHAnsi"/>
          <w:i/>
          <w:sz w:val="18"/>
          <w:szCs w:val="18"/>
        </w:rPr>
        <w:t xml:space="preserve">OECD Higher Education Programme (IMHE), </w:t>
      </w:r>
      <w:r w:rsidRPr="00C654E0">
        <w:rPr>
          <w:rFonts w:asciiTheme="majorHAnsi" w:hAnsiTheme="majorHAnsi" w:cstheme="majorHAnsi"/>
          <w:sz w:val="18"/>
          <w:szCs w:val="18"/>
        </w:rPr>
        <w:t>2012. http://www.oecd.org/education/imhe/Approaches%20to%20internationalisation%20-%20final%20-%20web.pdf</w:t>
      </w:r>
    </w:p>
  </w:footnote>
  <w:footnote w:id="9">
    <w:p w14:paraId="1002930D" w14:textId="77777777" w:rsidR="009F1CB5" w:rsidRPr="00243401" w:rsidRDefault="009F1CB5" w:rsidP="004F6C9E">
      <w:pPr>
        <w:pStyle w:val="FootnoteText"/>
        <w:rPr>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de Wit, Hans. Strategies for the Internationalisation of Higher Education. A Comparative Study of Australia, Canada, Europe and the United States of America. 1995.</w:t>
      </w:r>
    </w:p>
  </w:footnote>
  <w:footnote w:id="10">
    <w:p w14:paraId="4F792C61" w14:textId="10F348E9" w:rsidR="009F1CB5" w:rsidRPr="00216257" w:rsidRDefault="009F1CB5" w:rsidP="004F6C9E">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11">
    <w:p w14:paraId="77DCAC98" w14:textId="77777777" w:rsidR="009F1CB5" w:rsidRPr="00216257" w:rsidRDefault="009F1CB5" w:rsidP="00E362A2">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Henard, Diamond and Roseveare. “Approaches to Internationalisation and Their Implications for Strategic Management and Institutional Practice,” </w:t>
      </w:r>
      <w:r w:rsidRPr="00216257">
        <w:rPr>
          <w:rFonts w:asciiTheme="majorHAnsi" w:hAnsiTheme="majorHAnsi" w:cstheme="majorHAnsi"/>
          <w:i/>
          <w:sz w:val="18"/>
          <w:szCs w:val="18"/>
        </w:rPr>
        <w:t xml:space="preserve">OECD Higher Education Programme (IMHE), </w:t>
      </w:r>
      <w:r w:rsidRPr="00216257">
        <w:rPr>
          <w:rFonts w:asciiTheme="majorHAnsi" w:hAnsiTheme="majorHAnsi" w:cstheme="majorHAnsi"/>
          <w:sz w:val="18"/>
          <w:szCs w:val="18"/>
        </w:rPr>
        <w:t>2012. http://www.oecd.org/education/imhe/Approaches%20to%20internationalisation%20-%20final%20-%20web.pdf</w:t>
      </w:r>
    </w:p>
  </w:footnote>
  <w:footnote w:id="12">
    <w:p w14:paraId="37376315" w14:textId="77777777" w:rsidR="009F1CB5" w:rsidRPr="00243401" w:rsidRDefault="009F1CB5" w:rsidP="007A264C">
      <w:pPr>
        <w:pStyle w:val="FootnoteText"/>
        <w:rPr>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de Wit, Hans. Strategies for the Internationalisation of Higher Education. A Comparative Study of Australia, Canada, Europe and the United States of America. 1995.</w:t>
      </w:r>
    </w:p>
  </w:footnote>
  <w:footnote w:id="13">
    <w:p w14:paraId="4B3EFB9C" w14:textId="5A05AD9A"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Henard, Diamond and Roseveare. “Approaches to Internationalisation and Their Implications for Strategic Management and Institutional Practice,” </w:t>
      </w:r>
      <w:r w:rsidRPr="00216257">
        <w:rPr>
          <w:rFonts w:asciiTheme="majorHAnsi" w:hAnsiTheme="majorHAnsi" w:cstheme="majorHAnsi"/>
          <w:i/>
          <w:sz w:val="18"/>
          <w:szCs w:val="18"/>
        </w:rPr>
        <w:t xml:space="preserve">OECD Higher Education Programme (IMHE), </w:t>
      </w:r>
      <w:r w:rsidRPr="00216257">
        <w:rPr>
          <w:rFonts w:asciiTheme="majorHAnsi" w:hAnsiTheme="majorHAnsi" w:cstheme="majorHAnsi"/>
          <w:sz w:val="18"/>
          <w:szCs w:val="18"/>
        </w:rPr>
        <w:t>2012. http://www.oecd.org/education/imhe/Approaches%20to%20internationalisation%20-%20final%20-%20web.pdf</w:t>
      </w:r>
    </w:p>
  </w:footnote>
  <w:footnote w:id="14">
    <w:p w14:paraId="427C3DA7" w14:textId="77777777" w:rsidR="009F1CB5" w:rsidRPr="00216257" w:rsidRDefault="009F1CB5" w:rsidP="00B44688">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15">
    <w:p w14:paraId="799CCEC0" w14:textId="1F6C5728"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ESIB – the National Unions of Students in Europe. “Promoting Mobility”. January 2007. http://www.ehea.info/media.ehea.info/file/ESU/85/9/ESIB_study_mobiity_582859.pdf</w:t>
      </w:r>
    </w:p>
  </w:footnote>
  <w:footnote w:id="16">
    <w:p w14:paraId="41291C57" w14:textId="77777777" w:rsidR="009F1CB5" w:rsidRPr="00216257" w:rsidRDefault="009F1CB5" w:rsidP="00957CC9">
      <w:pPr>
        <w:pStyle w:val="FootnoteText"/>
        <w:rPr>
          <w:rFonts w:asciiTheme="majorHAnsi" w:hAnsiTheme="majorHAnsi" w:cstheme="majorHAnsi"/>
          <w:sz w:val="18"/>
          <w:szCs w:val="18"/>
          <w:lang w:val="en-GB"/>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en-GB"/>
        </w:rPr>
        <w:t xml:space="preserve"> ACA Home. http://www.aca-secretariat.be/</w:t>
      </w:r>
    </w:p>
  </w:footnote>
  <w:footnote w:id="17">
    <w:p w14:paraId="40AA2331" w14:textId="77777777" w:rsidR="009F1CB5" w:rsidRPr="00216257" w:rsidRDefault="009F1CB5" w:rsidP="00655AA4">
      <w:pPr>
        <w:pStyle w:val="FootnoteText"/>
        <w:rPr>
          <w:rFonts w:asciiTheme="majorHAnsi" w:hAnsiTheme="majorHAnsi" w:cstheme="majorHAnsi"/>
          <w:sz w:val="18"/>
          <w:szCs w:val="18"/>
          <w:lang w:val="en-GB"/>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en-GB"/>
        </w:rPr>
        <w:t xml:space="preserve"> ACA Home. http://www.aca-secretariat.be/</w:t>
      </w:r>
    </w:p>
  </w:footnote>
  <w:footnote w:id="18">
    <w:p w14:paraId="59176A48" w14:textId="77777777" w:rsidR="009F1CB5" w:rsidRPr="00243401" w:rsidRDefault="009F1CB5" w:rsidP="00655AA4">
      <w:pPr>
        <w:pStyle w:val="FootnoteText"/>
        <w:rPr>
          <w:rFonts w:cs="Times New Roman"/>
          <w:sz w:val="18"/>
          <w:szCs w:val="18"/>
          <w:lang w:val="en-GB"/>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en-GB"/>
        </w:rPr>
        <w:t xml:space="preserve"> ACA. “</w:t>
      </w:r>
      <w:r w:rsidRPr="00216257">
        <w:rPr>
          <w:rFonts w:asciiTheme="majorHAnsi" w:hAnsiTheme="majorHAnsi" w:cstheme="majorHAnsi"/>
          <w:bCs/>
          <w:sz w:val="18"/>
          <w:szCs w:val="18"/>
          <w:lang w:val="en-GB"/>
        </w:rPr>
        <w:t>Indicators Mapping and Profiling Internationalisation.”</w:t>
      </w:r>
      <w:r w:rsidRPr="00216257">
        <w:rPr>
          <w:rFonts w:asciiTheme="majorHAnsi" w:hAnsiTheme="majorHAnsi" w:cstheme="majorHAnsi"/>
          <w:sz w:val="18"/>
          <w:szCs w:val="18"/>
          <w:lang w:val="en-GB"/>
        </w:rPr>
        <w:t xml:space="preserve"> http://www.impi-project.eu/pdf/list_of_indicators.pdf</w:t>
      </w:r>
    </w:p>
  </w:footnote>
  <w:footnote w:id="19">
    <w:p w14:paraId="776F00EF" w14:textId="77777777" w:rsidR="009F1CB5" w:rsidRPr="00216257" w:rsidRDefault="009F1CB5" w:rsidP="00B72A0E">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ACA. “Enhancing the Attractiveness of European higher education in the world.” http://www.aca-secretariat.be/index.php?id=871</w:t>
      </w:r>
    </w:p>
  </w:footnote>
  <w:footnote w:id="20">
    <w:p w14:paraId="21C7E9C3" w14:textId="1544E817"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SEAMEO RIHED. “About Us.” http://rihed.seameo.org/about-us/history/</w:t>
      </w:r>
    </w:p>
  </w:footnote>
  <w:footnote w:id="21">
    <w:p w14:paraId="15F68266" w14:textId="77777777" w:rsidR="009F1CB5" w:rsidRPr="00216257" w:rsidRDefault="009F1CB5" w:rsidP="00E81AD9">
      <w:pPr>
        <w:pStyle w:val="FootnoteText"/>
        <w:rPr>
          <w:rFonts w:asciiTheme="majorHAnsi" w:hAnsiTheme="majorHAnsi" w:cstheme="majorHAnsi"/>
          <w:sz w:val="18"/>
          <w:szCs w:val="18"/>
          <w:lang w:val="fr-FR"/>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fr-FR"/>
        </w:rPr>
        <w:t xml:space="preserve"> IAU. “Vision &amp; Mission” https://www.iau-aiu.net/Vision-Mission</w:t>
      </w:r>
    </w:p>
  </w:footnote>
  <w:footnote w:id="22">
    <w:p w14:paraId="7B9CCC9C" w14:textId="57794BD4" w:rsidR="009F1CB5" w:rsidRPr="00BD4525" w:rsidRDefault="009F1CB5">
      <w:pPr>
        <w:pStyle w:val="FootnoteText"/>
        <w:rPr>
          <w:sz w:val="18"/>
          <w:szCs w:val="18"/>
          <w:lang w:val="fr-FR"/>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lang w:val="fr-FR"/>
        </w:rPr>
        <w:t xml:space="preserve"> IAU Brochure. https://www.iau-aiu.net/IMG/pdf/iau_brochure.pdf</w:t>
      </w:r>
    </w:p>
  </w:footnote>
  <w:footnote w:id="23">
    <w:p w14:paraId="62283689" w14:textId="7FC2BCE2"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24">
    <w:p w14:paraId="4997E981" w14:textId="77777777" w:rsidR="009F1CB5" w:rsidRPr="00216257" w:rsidRDefault="009F1CB5" w:rsidP="00F47EA9">
      <w:pPr>
        <w:pStyle w:val="FootnoteText"/>
        <w:rPr>
          <w:rFonts w:asciiTheme="majorHAnsi" w:hAnsiTheme="majorHAnsi" w:cstheme="majorHAnsi"/>
          <w:sz w:val="18"/>
          <w:szCs w:val="18"/>
          <w:lang w:val="en-GB"/>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en-GB"/>
        </w:rPr>
        <w:t xml:space="preserve"> IAU. “Global Survey on Internationalization.” https://www.iau-aiu.net/Global-survey-on-Internationalization</w:t>
      </w:r>
    </w:p>
  </w:footnote>
  <w:footnote w:id="25">
    <w:p w14:paraId="3E6A68CA" w14:textId="77777777" w:rsidR="009F1CB5" w:rsidRPr="00197D87" w:rsidRDefault="009F1CB5" w:rsidP="00547A2F">
      <w:pPr>
        <w:pStyle w:val="FootnoteText"/>
        <w:rPr>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ACA. “Enhancing the Attractiveness of European higher education in the world.” http://www.aca-secretariat.be/index.php?id=871</w:t>
      </w:r>
    </w:p>
  </w:footnote>
  <w:footnote w:id="26">
    <w:p w14:paraId="7458E085" w14:textId="77777777" w:rsidR="009F1CB5" w:rsidRPr="00C654E0" w:rsidRDefault="009F1CB5" w:rsidP="00D226F0">
      <w:pPr>
        <w:pStyle w:val="FootnoteText"/>
        <w:rPr>
          <w:rFonts w:asciiTheme="majorHAnsi"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Henard, Diamond and Roseveare. “Approaches to Internationalisation and Their Implications for Strategic Management and Institutional Practice,” </w:t>
      </w:r>
      <w:r w:rsidRPr="00C654E0">
        <w:rPr>
          <w:rFonts w:asciiTheme="majorHAnsi" w:hAnsiTheme="majorHAnsi" w:cstheme="majorHAnsi"/>
          <w:i/>
          <w:sz w:val="18"/>
          <w:szCs w:val="18"/>
        </w:rPr>
        <w:t xml:space="preserve">OECD Higher Education Programme (IMHE), </w:t>
      </w:r>
      <w:r w:rsidRPr="00C654E0">
        <w:rPr>
          <w:rFonts w:asciiTheme="majorHAnsi" w:hAnsiTheme="majorHAnsi" w:cstheme="majorHAnsi"/>
          <w:sz w:val="18"/>
          <w:szCs w:val="18"/>
        </w:rPr>
        <w:t>2012. http://www.oecd.org/education/imhe/Approaches%20to%20internationalisation%20-%20final%20-%20web.pdf</w:t>
      </w:r>
    </w:p>
  </w:footnote>
  <w:footnote w:id="27">
    <w:p w14:paraId="78E8A3D6" w14:textId="278637C7" w:rsidR="009F1CB5" w:rsidRPr="00C654E0" w:rsidRDefault="009F1CB5">
      <w:pPr>
        <w:pStyle w:val="FootnoteText"/>
        <w:rPr>
          <w:rFonts w:asciiTheme="majorHAnsi" w:hAnsiTheme="majorHAnsi" w:cstheme="majorHAnsi"/>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w:t>
      </w:r>
      <w:r w:rsidRPr="00C654E0">
        <w:rPr>
          <w:rFonts w:asciiTheme="majorHAnsi" w:hAnsiTheme="majorHAnsi" w:cstheme="majorHAnsi"/>
          <w:sz w:val="18"/>
          <w:szCs w:val="18"/>
          <w:lang w:val="en-GB"/>
        </w:rPr>
        <w:t xml:space="preserve">Loukkola, Tia. “ESG 2015 – What has changed and what does it mean for QA practitioners?” </w:t>
      </w:r>
      <w:r w:rsidRPr="00C654E0">
        <w:rPr>
          <w:rFonts w:asciiTheme="majorHAnsi" w:hAnsiTheme="majorHAnsi" w:cstheme="majorHAnsi"/>
          <w:i/>
          <w:sz w:val="18"/>
          <w:szCs w:val="18"/>
          <w:lang w:val="en-GB"/>
        </w:rPr>
        <w:t>European University</w:t>
      </w:r>
      <w:r w:rsidRPr="00C654E0">
        <w:rPr>
          <w:rFonts w:asciiTheme="majorHAnsi" w:hAnsiTheme="majorHAnsi" w:cstheme="majorHAnsi"/>
          <w:i/>
          <w:sz w:val="18"/>
          <w:lang w:val="en-GB"/>
        </w:rPr>
        <w:t xml:space="preserve"> Association.</w:t>
      </w:r>
      <w:r w:rsidRPr="00C654E0">
        <w:rPr>
          <w:rFonts w:asciiTheme="majorHAnsi" w:hAnsiTheme="majorHAnsi" w:cstheme="majorHAnsi"/>
          <w:sz w:val="18"/>
          <w:lang w:val="en-GB"/>
        </w:rPr>
        <w:t xml:space="preserve"> http://www.equip-project.eu/wp-content/uploads/EQUIP_160509-10_Vienna_pres_LOUKKOLA.pdf</w:t>
      </w:r>
    </w:p>
  </w:footnote>
  <w:footnote w:id="28">
    <w:p w14:paraId="652F327E" w14:textId="77777777" w:rsidR="009F1CB5" w:rsidRPr="00243401" w:rsidRDefault="009F1CB5" w:rsidP="00DC55C8">
      <w:pPr>
        <w:pStyle w:val="FootnoteText"/>
        <w:rPr>
          <w:rFonts w:cs="Times New Roman"/>
          <w:sz w:val="18"/>
          <w:szCs w:val="18"/>
          <w:lang w:val="en-GB"/>
        </w:rPr>
      </w:pPr>
      <w:r w:rsidRPr="00C654E0">
        <w:rPr>
          <w:rStyle w:val="FootnoteReference"/>
          <w:rFonts w:asciiTheme="majorHAnsi" w:hAnsiTheme="majorHAnsi" w:cstheme="majorHAnsi"/>
          <w:sz w:val="18"/>
          <w:szCs w:val="18"/>
          <w:lang w:val="en-GB"/>
        </w:rPr>
        <w:footnoteRef/>
      </w:r>
      <w:r w:rsidRPr="00C654E0">
        <w:rPr>
          <w:rFonts w:asciiTheme="majorHAnsi" w:hAnsiTheme="majorHAnsi" w:cstheme="majorHAnsi"/>
          <w:sz w:val="18"/>
          <w:szCs w:val="18"/>
          <w:lang w:val="en-GB"/>
        </w:rPr>
        <w:t xml:space="preserve"> ECA. “Internationalisation Platform – Certification.” http://ecahe.eu/home/internationalisation-platform/certification/</w:t>
      </w:r>
    </w:p>
  </w:footnote>
  <w:footnote w:id="29">
    <w:p w14:paraId="2FBAE144" w14:textId="7F2BBC63" w:rsidR="009F1CB5" w:rsidRPr="00C654E0" w:rsidRDefault="009F1CB5" w:rsidP="009F1CB5">
      <w:pPr>
        <w:rPr>
          <w:rFonts w:asciiTheme="majorHAnsi" w:eastAsia="Times New Roman"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EQAR. “European Approach for QA of Joint Programmes.” </w:t>
      </w:r>
      <w:hyperlink r:id="rId4" w:history="1">
        <w:r w:rsidRPr="00C654E0">
          <w:rPr>
            <w:rStyle w:val="Hyperlink"/>
            <w:rFonts w:asciiTheme="majorHAnsi" w:eastAsia="Times New Roman" w:hAnsiTheme="majorHAnsi" w:cstheme="majorHAnsi"/>
            <w:sz w:val="18"/>
            <w:szCs w:val="18"/>
          </w:rPr>
          <w:t>https://www.eqar.eu/kb/joint-programmes/</w:t>
        </w:r>
      </w:hyperlink>
    </w:p>
  </w:footnote>
  <w:footnote w:id="30">
    <w:p w14:paraId="3D84A062" w14:textId="77777777" w:rsidR="009F1CB5" w:rsidRPr="00C654E0" w:rsidRDefault="009F1CB5" w:rsidP="00C654E0">
      <w:pPr>
        <w:jc w:val="both"/>
        <w:rPr>
          <w:rFonts w:asciiTheme="majorHAnsi" w:eastAsia="Times New Roman"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Felitti, Karina, and Andrea Rizzotti. “Argentina: Student and Scholar Mobility.” </w:t>
      </w:r>
      <w:r w:rsidRPr="00C654E0">
        <w:rPr>
          <w:rFonts w:asciiTheme="majorHAnsi" w:hAnsiTheme="majorHAnsi" w:cstheme="majorHAnsi"/>
          <w:i/>
          <w:sz w:val="18"/>
          <w:szCs w:val="18"/>
        </w:rPr>
        <w:t xml:space="preserve">International Briefs for Higher Education Leaders – ACE/CIGE. </w:t>
      </w:r>
      <w:r w:rsidRPr="00C654E0">
        <w:rPr>
          <w:rFonts w:asciiTheme="majorHAnsi" w:hAnsiTheme="majorHAnsi" w:cstheme="majorHAnsi"/>
          <w:sz w:val="18"/>
          <w:szCs w:val="18"/>
        </w:rPr>
        <w:t xml:space="preserve">No. 4. 2014. </w:t>
      </w:r>
      <w:hyperlink r:id="rId5" w:history="1">
        <w:r w:rsidRPr="00C654E0">
          <w:rPr>
            <w:rStyle w:val="Hyperlink"/>
            <w:rFonts w:asciiTheme="majorHAnsi" w:eastAsia="Times New Roman" w:hAnsiTheme="majorHAnsi" w:cstheme="majorHAnsi"/>
            <w:sz w:val="18"/>
            <w:szCs w:val="18"/>
          </w:rPr>
          <w:t>https://www.acenet.edu/news-room/Documents/International-Briefs-2014-April-SouthernCone.pdf</w:t>
        </w:r>
      </w:hyperlink>
    </w:p>
  </w:footnote>
  <w:footnote w:id="31">
    <w:p w14:paraId="7EA8851D" w14:textId="2E0BF6D2" w:rsidR="009F1CB5" w:rsidRPr="00E36A38" w:rsidRDefault="009F1CB5" w:rsidP="00C654E0">
      <w:pPr>
        <w:jc w:val="both"/>
        <w:rPr>
          <w:rFonts w:eastAsia="Times New Roman" w:cs="Times New Roman"/>
          <w:sz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ibid.</w:t>
      </w:r>
    </w:p>
  </w:footnote>
  <w:footnote w:id="32">
    <w:p w14:paraId="37D4FD1A" w14:textId="0C1B849F" w:rsidR="009F1CB5" w:rsidRPr="00C654E0" w:rsidRDefault="009F1CB5" w:rsidP="00C654E0">
      <w:pPr>
        <w:jc w:val="both"/>
        <w:rPr>
          <w:rFonts w:asciiTheme="majorHAnsi" w:eastAsia="Times New Roman"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w:t>
      </w:r>
      <w:r w:rsidR="00AC2F16" w:rsidRPr="00C654E0">
        <w:rPr>
          <w:rFonts w:asciiTheme="majorHAnsi" w:hAnsiTheme="majorHAnsi" w:cstheme="majorHAnsi"/>
          <w:sz w:val="18"/>
          <w:szCs w:val="18"/>
        </w:rPr>
        <w:t xml:space="preserve">Felitti, Karina, and Andrea Rizzotti. “Argentina: Student and Scholar Mobility.” </w:t>
      </w:r>
      <w:r w:rsidR="00AC2F16" w:rsidRPr="00C654E0">
        <w:rPr>
          <w:rFonts w:asciiTheme="majorHAnsi" w:hAnsiTheme="majorHAnsi" w:cstheme="majorHAnsi"/>
          <w:i/>
          <w:sz w:val="18"/>
          <w:szCs w:val="18"/>
        </w:rPr>
        <w:t xml:space="preserve">International Briefs for Higher Education Leaders – ACE/CIGE. </w:t>
      </w:r>
      <w:r w:rsidR="00AC2F16" w:rsidRPr="00C654E0">
        <w:rPr>
          <w:rFonts w:asciiTheme="majorHAnsi" w:hAnsiTheme="majorHAnsi" w:cstheme="majorHAnsi"/>
          <w:sz w:val="18"/>
          <w:szCs w:val="18"/>
        </w:rPr>
        <w:t xml:space="preserve">No. 4. 2014. </w:t>
      </w:r>
      <w:hyperlink r:id="rId6" w:history="1">
        <w:r w:rsidR="00AC2F16" w:rsidRPr="00C654E0">
          <w:rPr>
            <w:rStyle w:val="Hyperlink"/>
            <w:rFonts w:asciiTheme="majorHAnsi" w:eastAsia="Times New Roman" w:hAnsiTheme="majorHAnsi" w:cstheme="majorHAnsi"/>
            <w:sz w:val="18"/>
            <w:szCs w:val="18"/>
          </w:rPr>
          <w:t>https://www.acenet.edu/news-room/Documents/International-Briefs-2014-April-SouthernCone.pdf</w:t>
        </w:r>
      </w:hyperlink>
    </w:p>
  </w:footnote>
  <w:footnote w:id="33">
    <w:p w14:paraId="41F656A4" w14:textId="0F712F5D" w:rsidR="009F1CB5" w:rsidRPr="00C654E0" w:rsidRDefault="009F1CB5" w:rsidP="00C654E0">
      <w:pPr>
        <w:jc w:val="both"/>
        <w:rPr>
          <w:rFonts w:asciiTheme="majorHAnsi" w:eastAsia="Times New Roman"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ibid.</w:t>
      </w:r>
    </w:p>
  </w:footnote>
  <w:footnote w:id="34">
    <w:p w14:paraId="34C60D42" w14:textId="119F6303" w:rsidR="009F1CB5" w:rsidRPr="00C654E0" w:rsidRDefault="009F1CB5" w:rsidP="00C654E0">
      <w:pPr>
        <w:pStyle w:val="FootnoteText"/>
        <w:jc w:val="both"/>
        <w:rPr>
          <w:rFonts w:asciiTheme="majorHAnsi"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Gardner, Margaret. “ Internationalising Australian Higher Education.” </w:t>
      </w:r>
      <w:r w:rsidRPr="00C654E0">
        <w:rPr>
          <w:rFonts w:asciiTheme="majorHAnsi" w:hAnsiTheme="majorHAnsi" w:cstheme="majorHAnsi"/>
          <w:i/>
          <w:sz w:val="18"/>
          <w:szCs w:val="18"/>
        </w:rPr>
        <w:t xml:space="preserve">Australian Institute of International Affairs. </w:t>
      </w:r>
      <w:r w:rsidRPr="00C654E0">
        <w:rPr>
          <w:rFonts w:asciiTheme="majorHAnsi" w:hAnsiTheme="majorHAnsi" w:cstheme="majorHAnsi"/>
          <w:sz w:val="18"/>
          <w:szCs w:val="18"/>
        </w:rPr>
        <w:t>11 Oct 2017. https://www.internationalaffairs.org.au/australianoutlook/internationalising-australian-higher-education/</w:t>
      </w:r>
    </w:p>
  </w:footnote>
  <w:footnote w:id="35">
    <w:p w14:paraId="0A75E390" w14:textId="403A9DBE" w:rsidR="009F1CB5" w:rsidRPr="00C654E0" w:rsidRDefault="009F1CB5" w:rsidP="00C654E0">
      <w:pPr>
        <w:pStyle w:val="FootnoteText"/>
        <w:jc w:val="both"/>
        <w:rPr>
          <w:rFonts w:asciiTheme="majorHAnsi"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ibid.</w:t>
      </w:r>
    </w:p>
  </w:footnote>
  <w:footnote w:id="36">
    <w:p w14:paraId="2F7EED3E" w14:textId="0E350CA1" w:rsidR="009F1CB5" w:rsidRPr="00243401" w:rsidRDefault="009F1CB5" w:rsidP="00C654E0">
      <w:pPr>
        <w:pStyle w:val="FootnoteText"/>
        <w:jc w:val="both"/>
        <w:rPr>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Gardner, Margaret. “ Internationalising Australian Higher Education.” </w:t>
      </w:r>
      <w:r w:rsidRPr="00C654E0">
        <w:rPr>
          <w:rFonts w:asciiTheme="majorHAnsi" w:hAnsiTheme="majorHAnsi" w:cstheme="majorHAnsi"/>
          <w:i/>
          <w:sz w:val="18"/>
          <w:szCs w:val="18"/>
        </w:rPr>
        <w:t xml:space="preserve">Australian Institute of International Affairs. </w:t>
      </w:r>
      <w:r w:rsidRPr="00C654E0">
        <w:rPr>
          <w:rFonts w:asciiTheme="majorHAnsi" w:hAnsiTheme="majorHAnsi" w:cstheme="majorHAnsi"/>
          <w:sz w:val="18"/>
          <w:szCs w:val="18"/>
        </w:rPr>
        <w:t>11 Oct 2017. https://www.internationalaffairs.org.au/australianoutlook/internationalising-australian-higher-education/</w:t>
      </w:r>
    </w:p>
  </w:footnote>
  <w:footnote w:id="37">
    <w:p w14:paraId="0A87B0D6" w14:textId="68320C61" w:rsidR="009F1CB5" w:rsidRPr="00243401" w:rsidRDefault="009F1CB5">
      <w:pPr>
        <w:pStyle w:val="FootnoteText"/>
        <w:rPr>
          <w:i/>
          <w:sz w:val="18"/>
          <w:szCs w:val="18"/>
        </w:rPr>
      </w:pPr>
      <w:r w:rsidRPr="00243401">
        <w:rPr>
          <w:rStyle w:val="FootnoteReference"/>
          <w:sz w:val="18"/>
          <w:szCs w:val="18"/>
        </w:rPr>
        <w:footnoteRef/>
      </w:r>
      <w:r w:rsidRPr="00243401">
        <w:rPr>
          <w:sz w:val="18"/>
          <w:szCs w:val="18"/>
        </w:rPr>
        <w:t xml:space="preserve"> Harman, Grant. “Internationalization of Australian Higher Education: A Critical Review of Literature and Research.” </w:t>
      </w:r>
      <w:r w:rsidRPr="00243401">
        <w:rPr>
          <w:i/>
          <w:sz w:val="18"/>
          <w:szCs w:val="18"/>
        </w:rPr>
        <w:t xml:space="preserve">Internationalizing Higher Education. </w:t>
      </w:r>
      <w:r w:rsidRPr="00243401">
        <w:rPr>
          <w:sz w:val="18"/>
          <w:szCs w:val="18"/>
        </w:rPr>
        <w:t>pp. 119-140. 2005. https://federation.edu.au/__data/assets/pdf_file/0013/221251/6-Internationalization-Harman.pdf</w:t>
      </w:r>
    </w:p>
  </w:footnote>
  <w:footnote w:id="38">
    <w:p w14:paraId="4055233E" w14:textId="3EC2FA19"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39">
    <w:p w14:paraId="7D20471A" w14:textId="24071D30"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40">
    <w:p w14:paraId="748B4323" w14:textId="12F2B3AA" w:rsidR="009F1CB5" w:rsidRPr="00216257" w:rsidRDefault="009F1CB5" w:rsidP="00835523">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41">
    <w:p w14:paraId="5815AAD6" w14:textId="6EAE11C1"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“Outline of China's National plan for medium and long-term education reform and development 2010-2020.” July 2010 Beijing. http://planipolis.iiep.unesco.org/sites/planipolis/files/ressources/china_national_long_term_educational_reform_development_2010-2020_eng.pdf</w:t>
      </w:r>
    </w:p>
  </w:footnote>
  <w:footnote w:id="42">
    <w:p w14:paraId="69C25408" w14:textId="34743568" w:rsidR="009F1CB5" w:rsidRPr="00216257" w:rsidRDefault="009F1CB5" w:rsidP="00EC46A6">
      <w:pPr>
        <w:pStyle w:val="FootnoteText"/>
        <w:rPr>
          <w:rFonts w:asciiTheme="majorHAnsi" w:hAnsiTheme="majorHAnsi" w:cstheme="majorHAnsi"/>
          <w:sz w:val="18"/>
          <w:szCs w:val="18"/>
          <w:lang w:val="en-GB"/>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en-GB"/>
        </w:rPr>
        <w:t xml:space="preserve"> Campus France. “International Mobility of African Students.” October 2016. https://ressources.campusfrance.org/publi_institu/etude_prospect/mobilite_continent/en/note_16_hs_en.pdf</w:t>
      </w:r>
    </w:p>
  </w:footnote>
  <w:footnote w:id="43">
    <w:p w14:paraId="15845B22" w14:textId="4B2E8A91"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Gao, Hang and Hans de Wit. “China and International Student Mobility.” </w:t>
      </w:r>
      <w:r w:rsidRPr="00216257">
        <w:rPr>
          <w:rFonts w:asciiTheme="majorHAnsi" w:hAnsiTheme="majorHAnsi" w:cstheme="majorHAnsi"/>
          <w:i/>
          <w:sz w:val="18"/>
          <w:szCs w:val="18"/>
        </w:rPr>
        <w:t xml:space="preserve">International Higher Education. </w:t>
      </w:r>
      <w:r w:rsidRPr="00216257">
        <w:rPr>
          <w:rFonts w:asciiTheme="majorHAnsi" w:hAnsiTheme="majorHAnsi" w:cstheme="majorHAnsi"/>
          <w:sz w:val="18"/>
          <w:szCs w:val="18"/>
        </w:rPr>
        <w:t>No. 90, pp. 3-5. Summer 2017 DOI: http://dx.doi/org/10.6017/ihe.2017.90.9865</w:t>
      </w:r>
    </w:p>
  </w:footnote>
  <w:footnote w:id="44">
    <w:p w14:paraId="5F1E96BD" w14:textId="77777777" w:rsidR="009F1CB5" w:rsidRPr="00216257" w:rsidRDefault="009F1CB5" w:rsidP="00EC46A6">
      <w:pPr>
        <w:pStyle w:val="FootnoteText"/>
        <w:rPr>
          <w:rFonts w:asciiTheme="majorHAnsi" w:hAnsiTheme="majorHAnsi" w:cstheme="majorHAnsi"/>
          <w:sz w:val="18"/>
          <w:szCs w:val="18"/>
          <w:lang w:val="en-GB"/>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en-GB"/>
        </w:rPr>
        <w:t xml:space="preserve"> Campus France. “International Mobility of Students of Asia and Oceanisa.” June 2018. https://ressources.campusfrance.org/publi_institu/etude_prospect/mobilite_continent/fr/note_hs19_fr.pdf</w:t>
      </w:r>
    </w:p>
  </w:footnote>
  <w:footnote w:id="45">
    <w:p w14:paraId="25590F30" w14:textId="0F8E844A" w:rsidR="009F1CB5" w:rsidRPr="00243401" w:rsidRDefault="009F1CB5">
      <w:pPr>
        <w:pStyle w:val="FootnoteText"/>
        <w:rPr>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Gao, Hang and Hans de Wit. “China and International Student Mobility.” </w:t>
      </w:r>
      <w:r w:rsidRPr="00216257">
        <w:rPr>
          <w:rFonts w:asciiTheme="majorHAnsi" w:hAnsiTheme="majorHAnsi" w:cstheme="majorHAnsi"/>
          <w:i/>
          <w:sz w:val="18"/>
          <w:szCs w:val="18"/>
        </w:rPr>
        <w:t xml:space="preserve">International Higher Education. </w:t>
      </w:r>
      <w:r w:rsidRPr="00216257">
        <w:rPr>
          <w:rFonts w:asciiTheme="majorHAnsi" w:hAnsiTheme="majorHAnsi" w:cstheme="majorHAnsi"/>
          <w:sz w:val="18"/>
          <w:szCs w:val="18"/>
        </w:rPr>
        <w:t>No. 90, pp. 3-5. Summer 2017 DOI: http://dx.doi/org/10.6017/ihe.2017.90.9865</w:t>
      </w:r>
    </w:p>
  </w:footnote>
  <w:footnote w:id="46">
    <w:p w14:paraId="0BAA64E7" w14:textId="6EF3CC19" w:rsidR="009F1CB5" w:rsidRPr="00216257" w:rsidRDefault="009F1CB5" w:rsidP="00751B0E">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“Outline of China's National plan for medium and long-term education reform and development 2010-2020.” July 2010 Beijing. http://planipolis.iiep.unesco.org/sites/planipolis/files/ressources/china_national_long_term_educational_reform_development_2010-2020_eng.pdf</w:t>
      </w:r>
    </w:p>
  </w:footnote>
  <w:footnote w:id="47">
    <w:p w14:paraId="34C232B0" w14:textId="2FBF6501" w:rsidR="009F1CB5" w:rsidRPr="00216257" w:rsidRDefault="009F1CB5" w:rsidP="00751B0E">
      <w:pPr>
        <w:pStyle w:val="FootnoteText"/>
        <w:rPr>
          <w:rFonts w:asciiTheme="majorHAnsi" w:hAnsiTheme="majorHAnsi" w:cstheme="majorHAnsi"/>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48">
    <w:p w14:paraId="718577DB" w14:textId="19D139FC" w:rsidR="009F1CB5" w:rsidRPr="00216257" w:rsidRDefault="009F1CB5" w:rsidP="00751B0E">
      <w:pPr>
        <w:pStyle w:val="FootnoteText"/>
        <w:rPr>
          <w:rFonts w:asciiTheme="majorHAnsi" w:hAnsiTheme="majorHAnsi" w:cstheme="majorHAnsi"/>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Gao, Hang and Hans de Wit. “China and International Student Mobility.” </w:t>
      </w:r>
      <w:r w:rsidRPr="00216257">
        <w:rPr>
          <w:rFonts w:asciiTheme="majorHAnsi" w:hAnsiTheme="majorHAnsi" w:cstheme="majorHAnsi"/>
          <w:i/>
          <w:sz w:val="18"/>
          <w:szCs w:val="18"/>
        </w:rPr>
        <w:t xml:space="preserve">International Higher Education. </w:t>
      </w:r>
      <w:r w:rsidRPr="00216257">
        <w:rPr>
          <w:rFonts w:asciiTheme="majorHAnsi" w:hAnsiTheme="majorHAnsi" w:cstheme="majorHAnsi"/>
          <w:sz w:val="18"/>
          <w:szCs w:val="18"/>
        </w:rPr>
        <w:t>No. 90, pp. 3-5. Summer 2017 DOI: http://dx.doi/org/10.6017/ihe.2017.90.9865</w:t>
      </w:r>
    </w:p>
  </w:footnote>
  <w:footnote w:id="49">
    <w:p w14:paraId="13DCD2A7" w14:textId="01577892" w:rsidR="009F1CB5" w:rsidRPr="00216257" w:rsidRDefault="009F1CB5" w:rsidP="00751B0E">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50">
    <w:p w14:paraId="18B2DBAF" w14:textId="35E4A549" w:rsidR="009F1CB5" w:rsidRPr="00216257" w:rsidRDefault="009F1CB5" w:rsidP="00751B0E">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Ma, Lie "University alliance seeks enhanced education co-op along Silk Road". China Daily. 11 April 2016. http://www.chinadaily.com.cn/china/2016-04/11/content_24446327.htm</w:t>
      </w:r>
    </w:p>
  </w:footnote>
  <w:footnote w:id="51">
    <w:p w14:paraId="33185B4D" w14:textId="11248430" w:rsidR="009F1CB5" w:rsidRDefault="009F1CB5" w:rsidP="00751B0E">
      <w:pPr>
        <w:pStyle w:val="FootnoteText"/>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“Outline of China's National plan for medium and long-term education reform and development 2010-2020.” July 2010 Beijing. http://planipolis.iiep.unesco.org/sites/planipolis/files/ressources/china_national_long_term_educational_reform_development_2010-2020_eng.pdf</w:t>
      </w:r>
    </w:p>
  </w:footnote>
  <w:footnote w:id="52">
    <w:p w14:paraId="79872B28" w14:textId="163A0821" w:rsidR="009F1CB5" w:rsidRPr="00216257" w:rsidRDefault="009F1CB5" w:rsidP="00751B0E">
      <w:pPr>
        <w:pStyle w:val="FootnoteText"/>
        <w:rPr>
          <w:rFonts w:asciiTheme="majorHAnsi" w:hAnsiTheme="majorHAnsi" w:cstheme="majorHAnsi"/>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Gao, Hang and Hans de Wit. “China and International Student Mobility.” </w:t>
      </w:r>
      <w:r w:rsidRPr="00216257">
        <w:rPr>
          <w:rFonts w:asciiTheme="majorHAnsi" w:hAnsiTheme="majorHAnsi" w:cstheme="majorHAnsi"/>
          <w:i/>
          <w:sz w:val="18"/>
          <w:szCs w:val="18"/>
        </w:rPr>
        <w:t xml:space="preserve">International Higher Education. </w:t>
      </w:r>
      <w:r w:rsidRPr="00216257">
        <w:rPr>
          <w:rFonts w:asciiTheme="majorHAnsi" w:hAnsiTheme="majorHAnsi" w:cstheme="majorHAnsi"/>
          <w:sz w:val="18"/>
          <w:szCs w:val="18"/>
        </w:rPr>
        <w:t>No. 90, pp. 3-5. Summer 2017 DOI: http://dx.doi/org/10.6017/ihe.2017.90.9865</w:t>
      </w:r>
    </w:p>
  </w:footnote>
  <w:footnote w:id="53">
    <w:p w14:paraId="2266B40F" w14:textId="6C3E66CC"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Polish Ministry of Science and Higher Education. “Program Umiędzynarodowienia Szkolnictwa Wyższego.” 2015. </w:t>
      </w:r>
    </w:p>
  </w:footnote>
  <w:footnote w:id="54">
    <w:p w14:paraId="156ECF5C" w14:textId="457381D4"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55">
    <w:p w14:paraId="18887C38" w14:textId="251AE55F"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56">
    <w:p w14:paraId="18998FA8" w14:textId="374272D6"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Polish Ministry of Science and Higher Education. “Program Umiędzynarodowienia Szkolnictwa Wyższego.” 2015.</w:t>
      </w:r>
    </w:p>
  </w:footnote>
  <w:footnote w:id="57">
    <w:p w14:paraId="07738D4B" w14:textId="151B8210"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Kontowski, Daniel and Altbach, Philip. “Internationalization for Poland.” </w:t>
      </w:r>
      <w:r w:rsidRPr="00216257">
        <w:rPr>
          <w:rFonts w:asciiTheme="majorHAnsi" w:hAnsiTheme="majorHAnsi" w:cstheme="majorHAnsi"/>
          <w:i/>
          <w:sz w:val="18"/>
          <w:szCs w:val="18"/>
        </w:rPr>
        <w:t xml:space="preserve">The World View. </w:t>
      </w:r>
      <w:r w:rsidRPr="00216257">
        <w:rPr>
          <w:rFonts w:asciiTheme="majorHAnsi" w:hAnsiTheme="majorHAnsi" w:cstheme="majorHAnsi"/>
          <w:sz w:val="18"/>
          <w:szCs w:val="18"/>
        </w:rPr>
        <w:t>13 September 2015. https://www.insidehighered.com/blogs/world-view/internationalization-poland</w:t>
      </w:r>
    </w:p>
  </w:footnote>
  <w:footnote w:id="58">
    <w:p w14:paraId="771BEBD7" w14:textId="59D2648E" w:rsidR="009F1CB5" w:rsidRPr="00F746B7" w:rsidRDefault="009F1CB5">
      <w:pPr>
        <w:pStyle w:val="FootnoteText"/>
        <w:rPr>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Polish Ministry of Science and Higher Education. “Program Umiędzynarodowienia Szkolnictwa Wyższego.” 2015.</w:t>
      </w:r>
    </w:p>
  </w:footnote>
  <w:footnote w:id="59">
    <w:p w14:paraId="476EA03E" w14:textId="03739590"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60">
    <w:p w14:paraId="70822B9F" w14:textId="75B260FD" w:rsidR="009F1CB5" w:rsidRPr="00216257" w:rsidRDefault="009F1CB5">
      <w:pPr>
        <w:pStyle w:val="FootnoteText"/>
        <w:rPr>
          <w:rFonts w:asciiTheme="majorHAnsi" w:hAnsiTheme="majorHAnsi" w:cstheme="majorHAnsi"/>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Kontowski, Daniel and Altbach, Philip. “Internationalization for Poland.” </w:t>
      </w:r>
      <w:r w:rsidRPr="00216257">
        <w:rPr>
          <w:rFonts w:asciiTheme="majorHAnsi" w:hAnsiTheme="majorHAnsi" w:cstheme="majorHAnsi"/>
          <w:i/>
          <w:sz w:val="18"/>
          <w:szCs w:val="18"/>
        </w:rPr>
        <w:t xml:space="preserve">The World View. </w:t>
      </w:r>
      <w:r w:rsidRPr="00216257">
        <w:rPr>
          <w:rFonts w:asciiTheme="majorHAnsi" w:hAnsiTheme="majorHAnsi" w:cstheme="majorHAnsi"/>
          <w:sz w:val="18"/>
          <w:szCs w:val="18"/>
        </w:rPr>
        <w:t>13 September 2015. https://www.insidehighered.com/blogs/world-view/internationalization-poland</w:t>
      </w:r>
    </w:p>
  </w:footnote>
  <w:footnote w:id="61">
    <w:p w14:paraId="4FF9D426" w14:textId="6596A75A"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Polish Ministry of Science and Higher Education. “Program Umiędzynarodowienia Szkolnictwa Wyższego.” 2015.</w:t>
      </w:r>
    </w:p>
  </w:footnote>
  <w:footnote w:id="62">
    <w:p w14:paraId="600EBC4D" w14:textId="77777777" w:rsidR="009F1CB5" w:rsidRPr="00216257" w:rsidRDefault="009F1CB5" w:rsidP="00D64653">
      <w:pPr>
        <w:pStyle w:val="FootnoteText"/>
        <w:rPr>
          <w:rFonts w:asciiTheme="majorHAnsi" w:hAnsiTheme="majorHAnsi" w:cstheme="majorHAnsi"/>
          <w:sz w:val="18"/>
          <w:szCs w:val="18"/>
          <w:lang w:val="en-GB"/>
        </w:rPr>
      </w:pPr>
      <w:r w:rsidRPr="00216257">
        <w:rPr>
          <w:rStyle w:val="FootnoteReference"/>
          <w:rFonts w:asciiTheme="majorHAnsi" w:hAnsiTheme="majorHAnsi" w:cstheme="majorHAnsi"/>
          <w:sz w:val="18"/>
          <w:szCs w:val="18"/>
          <w:lang w:val="en-GB"/>
        </w:rPr>
        <w:footnoteRef/>
      </w:r>
      <w:r w:rsidRPr="00216257">
        <w:rPr>
          <w:rFonts w:asciiTheme="majorHAnsi" w:hAnsiTheme="majorHAnsi" w:cstheme="majorHAnsi"/>
          <w:sz w:val="18"/>
          <w:szCs w:val="18"/>
          <w:lang w:val="en-GB"/>
        </w:rPr>
        <w:t xml:space="preserve"> Perspektywy. “Who We Are.” http://perspektywy.org/fundacja/about-foundation/who-we-are</w:t>
      </w:r>
    </w:p>
  </w:footnote>
  <w:footnote w:id="63">
    <w:p w14:paraId="172CB60B" w14:textId="1DC969A4"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Perspektywy. “The Aims.” http://perspektywy.org/fundacja/about-foundation/the-aims</w:t>
      </w:r>
    </w:p>
  </w:footnote>
  <w:footnote w:id="64">
    <w:p w14:paraId="4C4163E9" w14:textId="4D1D64A5"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Institute of International Education. “History” https://www.iie.org/Why-IIE/History</w:t>
      </w:r>
    </w:p>
  </w:footnote>
  <w:footnote w:id="65">
    <w:p w14:paraId="62BF1648" w14:textId="77777777" w:rsidR="009F1CB5" w:rsidRPr="00216257" w:rsidRDefault="009F1CB5" w:rsidP="00CE3CEE">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Education Foundation Perspektywy. http://www.studyinpoland.pl/en/index.php/news/71-over-65-000-foreign-students-in-poland</w:t>
      </w:r>
    </w:p>
  </w:footnote>
  <w:footnote w:id="66">
    <w:p w14:paraId="38E32A9F" w14:textId="6073FB8C" w:rsidR="009F1CB5" w:rsidRPr="00C058B3" w:rsidRDefault="009F1CB5">
      <w:pPr>
        <w:pStyle w:val="FootnoteText"/>
        <w:rPr>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Ministry of Science and Higher Education. “Internatioanlization of Higher Education in Poland” 29 February 2015. http://www.ustawa20.nauka.gov.pl/en/polish-science-news/internationalization-of-higher-education-in-poland.html</w:t>
      </w:r>
    </w:p>
  </w:footnote>
  <w:footnote w:id="67">
    <w:p w14:paraId="73BBC281" w14:textId="7C8F4BE9" w:rsidR="009F1CB5" w:rsidRPr="00216257" w:rsidRDefault="009F1CB5">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Department of Higher Education and Training of South Africa. “Draft Policy Framework For The Internationalisation Of Higher Education In South Africa.” April 2017. http://www.dhet.gov.za/Policy%20and%20Development%20Support/Draft%20Policy%20framework%20for%20the%20internalisation%20of%20Higher%20Education%20in%20Suth%20Africa.pdf</w:t>
      </w:r>
    </w:p>
  </w:footnote>
  <w:footnote w:id="68">
    <w:p w14:paraId="4DCCCABC" w14:textId="6A38B7EE" w:rsidR="009F1CB5" w:rsidRPr="00216257" w:rsidRDefault="009F1CB5" w:rsidP="00DB2990">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69">
    <w:p w14:paraId="64243633" w14:textId="01E9B0FF" w:rsidR="009F1CB5" w:rsidRPr="00216257" w:rsidRDefault="009F1CB5" w:rsidP="00DB2990">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70">
    <w:p w14:paraId="63B41F07" w14:textId="631BF7AE" w:rsidR="009F1CB5" w:rsidRPr="00216257" w:rsidRDefault="009F1CB5" w:rsidP="00DB2990">
      <w:pPr>
        <w:pStyle w:val="FootnoteText"/>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ibid.</w:t>
      </w:r>
    </w:p>
  </w:footnote>
  <w:footnote w:id="71">
    <w:p w14:paraId="350089B2" w14:textId="7F3AFC64" w:rsidR="009F1CB5" w:rsidRPr="00C654E0" w:rsidRDefault="009F1CB5" w:rsidP="008B4652">
      <w:pPr>
        <w:rPr>
          <w:rFonts w:asciiTheme="majorHAnsi" w:eastAsia="Times New Roman"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Open access government. “Internationalisation of education, science and research in Germany.” 23 August 2017. </w:t>
      </w:r>
      <w:hyperlink r:id="rId7" w:history="1">
        <w:r w:rsidRPr="00C654E0">
          <w:rPr>
            <w:rStyle w:val="Hyperlink"/>
            <w:rFonts w:asciiTheme="majorHAnsi" w:eastAsia="Times New Roman" w:hAnsiTheme="majorHAnsi" w:cstheme="majorHAnsi"/>
            <w:sz w:val="18"/>
            <w:szCs w:val="18"/>
          </w:rPr>
          <w:t>https://www.openaccessgovernment.org/internationalisation-research-germany/36423/</w:t>
        </w:r>
      </w:hyperlink>
    </w:p>
  </w:footnote>
  <w:footnote w:id="72">
    <w:p w14:paraId="6D9226AC" w14:textId="7E7E8C3C" w:rsidR="009F1CB5" w:rsidRPr="00C654E0" w:rsidRDefault="009F1CB5">
      <w:pPr>
        <w:pStyle w:val="FootnoteText"/>
        <w:rPr>
          <w:rFonts w:asciiTheme="majorHAnsi" w:hAnsiTheme="majorHAnsi" w:cstheme="majorHAnsi"/>
          <w:sz w:val="18"/>
          <w:szCs w:val="18"/>
        </w:rPr>
      </w:pPr>
      <w:r w:rsidRPr="00C654E0">
        <w:rPr>
          <w:rStyle w:val="FootnoteReference"/>
          <w:rFonts w:asciiTheme="majorHAnsi" w:hAnsiTheme="majorHAnsi" w:cstheme="majorHAnsi"/>
          <w:sz w:val="18"/>
          <w:szCs w:val="18"/>
        </w:rPr>
        <w:footnoteRef/>
      </w:r>
      <w:r w:rsidRPr="00C654E0">
        <w:rPr>
          <w:rFonts w:asciiTheme="majorHAnsi" w:hAnsiTheme="majorHAnsi" w:cstheme="majorHAnsi"/>
          <w:sz w:val="18"/>
          <w:szCs w:val="18"/>
        </w:rPr>
        <w:t xml:space="preserve"> Open access government. “Internationalisation of education, science and research in Germany.” 23 August 2017. </w:t>
      </w:r>
      <w:hyperlink r:id="rId8" w:history="1">
        <w:r w:rsidRPr="00C654E0">
          <w:rPr>
            <w:rStyle w:val="Hyperlink"/>
            <w:rFonts w:asciiTheme="majorHAnsi" w:eastAsia="Times New Roman" w:hAnsiTheme="majorHAnsi" w:cstheme="majorHAnsi"/>
            <w:sz w:val="18"/>
            <w:szCs w:val="18"/>
          </w:rPr>
          <w:t>https://www.openaccessgovernment.org/internationalisation-research-germany/36423/</w:t>
        </w:r>
      </w:hyperlink>
    </w:p>
  </w:footnote>
  <w:footnote w:id="73">
    <w:p w14:paraId="455E9D71" w14:textId="2FD841D4" w:rsidR="009F1CB5" w:rsidRPr="00C654E0" w:rsidRDefault="009F1CB5">
      <w:pPr>
        <w:pStyle w:val="FootnoteText"/>
        <w:rPr>
          <w:rFonts w:asciiTheme="majorHAnsi" w:hAnsiTheme="majorHAnsi" w:cstheme="majorHAnsi"/>
          <w:sz w:val="18"/>
        </w:rPr>
      </w:pPr>
      <w:r w:rsidRPr="00C654E0">
        <w:rPr>
          <w:rStyle w:val="FootnoteReference"/>
          <w:rFonts w:asciiTheme="majorHAnsi" w:hAnsiTheme="majorHAnsi" w:cstheme="majorHAnsi"/>
          <w:sz w:val="18"/>
        </w:rPr>
        <w:footnoteRef/>
      </w:r>
      <w:r w:rsidRPr="00C654E0">
        <w:rPr>
          <w:rFonts w:asciiTheme="majorHAnsi" w:hAnsiTheme="majorHAnsi" w:cstheme="majorHAnsi"/>
          <w:sz w:val="18"/>
        </w:rPr>
        <w:t xml:space="preserve"> ibid</w:t>
      </w:r>
    </w:p>
  </w:footnote>
  <w:footnote w:id="74">
    <w:p w14:paraId="068D61CC" w14:textId="0902B101" w:rsidR="009F1CB5" w:rsidRPr="00C654E0" w:rsidRDefault="009F1CB5" w:rsidP="00873733">
      <w:pPr>
        <w:rPr>
          <w:rFonts w:asciiTheme="majorHAnsi" w:eastAsia="Times New Roman" w:hAnsiTheme="majorHAnsi" w:cstheme="majorHAnsi"/>
        </w:rPr>
      </w:pPr>
      <w:r w:rsidRPr="00C654E0">
        <w:rPr>
          <w:rStyle w:val="FootnoteReference"/>
          <w:rFonts w:asciiTheme="majorHAnsi" w:hAnsiTheme="majorHAnsi" w:cstheme="majorHAnsi"/>
          <w:sz w:val="18"/>
        </w:rPr>
        <w:footnoteRef/>
      </w:r>
      <w:r w:rsidRPr="00C654E0">
        <w:rPr>
          <w:rFonts w:asciiTheme="majorHAnsi" w:hAnsiTheme="majorHAnsi" w:cstheme="majorHAnsi"/>
          <w:sz w:val="18"/>
        </w:rPr>
        <w:t xml:space="preserve"> DAAD. “The Internationalisation Agency.” </w:t>
      </w:r>
      <w:hyperlink r:id="rId9" w:history="1">
        <w:r w:rsidRPr="00C654E0">
          <w:rPr>
            <w:rStyle w:val="Hyperlink"/>
            <w:rFonts w:asciiTheme="majorHAnsi" w:eastAsia="Times New Roman" w:hAnsiTheme="majorHAnsi" w:cstheme="majorHAnsi"/>
            <w:sz w:val="18"/>
          </w:rPr>
          <w:t>https://www.daad.de/der-daad/ueber-den-daad/portrait/en/29143-the-internationalisation-agency/</w:t>
        </w:r>
      </w:hyperlink>
    </w:p>
  </w:footnote>
  <w:footnote w:id="75">
    <w:p w14:paraId="5E138D3C" w14:textId="16BB7000" w:rsidR="009F1CB5" w:rsidRPr="00873733" w:rsidRDefault="009F1CB5">
      <w:pPr>
        <w:pStyle w:val="FootnoteText"/>
        <w:rPr>
          <w:sz w:val="18"/>
        </w:rPr>
      </w:pPr>
      <w:r w:rsidRPr="00C654E0">
        <w:rPr>
          <w:rStyle w:val="FootnoteReference"/>
          <w:rFonts w:asciiTheme="majorHAnsi" w:hAnsiTheme="majorHAnsi" w:cstheme="majorHAnsi"/>
          <w:sz w:val="18"/>
        </w:rPr>
        <w:footnoteRef/>
      </w:r>
      <w:r w:rsidRPr="00C654E0">
        <w:rPr>
          <w:rFonts w:asciiTheme="majorHAnsi" w:hAnsiTheme="majorHAnsi" w:cstheme="majorHAnsi"/>
          <w:sz w:val="18"/>
        </w:rPr>
        <w:t xml:space="preserve"> ibid</w:t>
      </w:r>
      <w:r w:rsidR="00AC2F16" w:rsidRPr="00C654E0">
        <w:rPr>
          <w:rFonts w:asciiTheme="majorHAnsi" w:hAnsiTheme="majorHAnsi" w:cstheme="majorHAnsi"/>
          <w:sz w:val="18"/>
        </w:rPr>
        <w:t>.</w:t>
      </w:r>
    </w:p>
  </w:footnote>
  <w:footnote w:id="76">
    <w:p w14:paraId="3920CE88" w14:textId="1209BBF9" w:rsidR="009F1CB5" w:rsidRPr="00C95A27" w:rsidRDefault="009F1CB5" w:rsidP="002C624D">
      <w:pPr>
        <w:rPr>
          <w:rFonts w:asciiTheme="majorHAnsi" w:eastAsia="Times New Roman" w:hAnsiTheme="majorHAnsi" w:cstheme="majorHAnsi"/>
          <w:sz w:val="18"/>
          <w:szCs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EURYDICE. “Denmark – Mobility and Internationalisation.” 9 October 2017. </w:t>
      </w:r>
      <w:hyperlink r:id="rId10" w:history="1">
        <w:r w:rsidRPr="00C95A27">
          <w:rPr>
            <w:rStyle w:val="Hyperlink"/>
            <w:rFonts w:asciiTheme="majorHAnsi" w:eastAsia="Times New Roman" w:hAnsiTheme="majorHAnsi" w:cstheme="majorHAnsi"/>
            <w:sz w:val="18"/>
            <w:szCs w:val="18"/>
          </w:rPr>
          <w:t>https://eacea.ec.europa.eu/national-policies/eurydice/content/mobility-and-internationalisation-18_en</w:t>
        </w:r>
      </w:hyperlink>
    </w:p>
  </w:footnote>
  <w:footnote w:id="77">
    <w:p w14:paraId="2B35567F" w14:textId="77777777" w:rsidR="009F1CB5" w:rsidRPr="00C95A27" w:rsidRDefault="009F1CB5" w:rsidP="0083783E">
      <w:pPr>
        <w:rPr>
          <w:rFonts w:asciiTheme="majorHAnsi" w:eastAsia="Times New Roman" w:hAnsiTheme="majorHAnsi" w:cstheme="majorHAnsi"/>
          <w:sz w:val="18"/>
          <w:szCs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EURYDICE. “Denmark – Mobility and Internationalisation.” 9 October 2017. </w:t>
      </w:r>
      <w:hyperlink r:id="rId11" w:history="1">
        <w:r w:rsidRPr="00C95A27">
          <w:rPr>
            <w:rStyle w:val="Hyperlink"/>
            <w:rFonts w:asciiTheme="majorHAnsi" w:eastAsia="Times New Roman" w:hAnsiTheme="majorHAnsi" w:cstheme="majorHAnsi"/>
            <w:sz w:val="18"/>
            <w:szCs w:val="18"/>
          </w:rPr>
          <w:t>https://eacea.ec.europa.eu/national-policies/eurydice/content/mobility-and-internationalisation-18_en</w:t>
        </w:r>
      </w:hyperlink>
    </w:p>
  </w:footnote>
  <w:footnote w:id="78">
    <w:p w14:paraId="4C48C959" w14:textId="77777777" w:rsidR="009F1CB5" w:rsidRPr="00C95A27" w:rsidRDefault="009F1CB5" w:rsidP="00956FBF">
      <w:pPr>
        <w:rPr>
          <w:rFonts w:asciiTheme="majorHAnsi" w:eastAsia="Times New Roman" w:hAnsiTheme="majorHAnsi" w:cstheme="majorHAnsi"/>
          <w:sz w:val="18"/>
          <w:szCs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Finnish Ministry of Education and Culture. “Better Together for a Better World.” 2016. </w:t>
      </w:r>
      <w:hyperlink r:id="rId12" w:history="1">
        <w:r w:rsidRPr="00C95A27">
          <w:rPr>
            <w:rStyle w:val="Hyperlink"/>
            <w:rFonts w:asciiTheme="majorHAnsi" w:eastAsia="Times New Roman" w:hAnsiTheme="majorHAnsi" w:cstheme="majorHAnsi"/>
            <w:sz w:val="18"/>
            <w:szCs w:val="18"/>
          </w:rPr>
          <w:t>https://julkaisut.valtioneuvosto.fi/bitstream/handle/10024/79438/Better%20Together%20for%20Better%20World%20-%20Leaflet%202018.pdf?sequence=17&amp;isAllowed=y</w:t>
        </w:r>
      </w:hyperlink>
    </w:p>
  </w:footnote>
  <w:footnote w:id="79">
    <w:p w14:paraId="7B07C2D9" w14:textId="6511EACD" w:rsidR="009F1CB5" w:rsidRPr="00C95A27" w:rsidRDefault="009F1CB5" w:rsidP="00956FBF">
      <w:pPr>
        <w:rPr>
          <w:rFonts w:asciiTheme="majorHAnsi" w:eastAsia="Times New Roman" w:hAnsiTheme="majorHAnsi" w:cstheme="majorHAnsi"/>
          <w:sz w:val="18"/>
          <w:szCs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ibid.</w:t>
      </w:r>
    </w:p>
  </w:footnote>
  <w:footnote w:id="80">
    <w:p w14:paraId="2A0ABE7A" w14:textId="1FEF4A42" w:rsidR="009F1CB5" w:rsidRPr="00FC02F2" w:rsidRDefault="009F1CB5" w:rsidP="00956FBF">
      <w:pPr>
        <w:rPr>
          <w:rFonts w:eastAsia="Times New Roman" w:cs="Times New Roman"/>
          <w:sz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ibid.</w:t>
      </w:r>
    </w:p>
  </w:footnote>
  <w:footnote w:id="81">
    <w:p w14:paraId="2B1CB37F" w14:textId="782D036B" w:rsidR="009F1CB5" w:rsidRPr="00C95A27" w:rsidRDefault="009F1CB5" w:rsidP="00C95A27">
      <w:pPr>
        <w:jc w:val="both"/>
        <w:rPr>
          <w:rFonts w:asciiTheme="majorHAnsi" w:eastAsia="Times New Roman" w:hAnsiTheme="majorHAnsi" w:cstheme="majorHAnsi"/>
          <w:sz w:val="18"/>
          <w:szCs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Finnish Ministry of Education and Culture. “Better Together for a Better World.” 2016. </w:t>
      </w:r>
      <w:hyperlink r:id="rId13" w:history="1">
        <w:r w:rsidRPr="00C95A27">
          <w:rPr>
            <w:rStyle w:val="Hyperlink"/>
            <w:rFonts w:asciiTheme="majorHAnsi" w:eastAsia="Times New Roman" w:hAnsiTheme="majorHAnsi" w:cstheme="majorHAnsi"/>
            <w:sz w:val="18"/>
            <w:szCs w:val="18"/>
          </w:rPr>
          <w:t>https://julkaisut.valtioneuvosto.fi/bitstream/handle/10024/79438/Better%20Together%20for%20Better%20World%20-%20Leaflet%202018.pdf?sequence=17&amp;isAllowed=y</w:t>
        </w:r>
      </w:hyperlink>
    </w:p>
  </w:footnote>
  <w:footnote w:id="82">
    <w:p w14:paraId="2848AC81" w14:textId="4CE57C3C" w:rsidR="009F1CB5" w:rsidRPr="00C13BAC" w:rsidRDefault="009F1CB5" w:rsidP="00C95A27">
      <w:pPr>
        <w:jc w:val="both"/>
        <w:rPr>
          <w:rFonts w:eastAsia="Times New Roman" w:cs="Times New Roman"/>
          <w:sz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ibid.</w:t>
      </w:r>
    </w:p>
  </w:footnote>
  <w:footnote w:id="83">
    <w:p w14:paraId="4C50B894" w14:textId="67907DB8" w:rsidR="009F1CB5" w:rsidRPr="00216257" w:rsidRDefault="009F1CB5" w:rsidP="00303960">
      <w:pPr>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w:t>
      </w:r>
      <w:r w:rsidRPr="00216257">
        <w:rPr>
          <w:rFonts w:asciiTheme="majorHAnsi" w:eastAsia="Times New Roman" w:hAnsiTheme="majorHAnsi" w:cstheme="majorHAnsi"/>
          <w:sz w:val="18"/>
          <w:szCs w:val="18"/>
        </w:rPr>
        <w:t>Rozhenkova, Veronika and Val Rust.</w:t>
      </w:r>
      <w:r w:rsidRPr="00216257">
        <w:rPr>
          <w:rFonts w:asciiTheme="majorHAnsi" w:hAnsiTheme="majorHAnsi" w:cstheme="majorHAnsi"/>
          <w:sz w:val="18"/>
          <w:szCs w:val="18"/>
        </w:rPr>
        <w:t xml:space="preserve"> “Internationalization of Higher Education in Russia: Aiming for Global Recognition.” </w:t>
      </w:r>
      <w:r w:rsidRPr="00216257">
        <w:rPr>
          <w:rFonts w:asciiTheme="majorHAnsi" w:hAnsiTheme="majorHAnsi" w:cstheme="majorHAnsi"/>
          <w:i/>
          <w:sz w:val="18"/>
          <w:szCs w:val="18"/>
        </w:rPr>
        <w:t>Globalisation and Education Reforms</w:t>
      </w:r>
      <w:r w:rsidRPr="00216257">
        <w:rPr>
          <w:rFonts w:asciiTheme="majorHAnsi" w:hAnsiTheme="majorHAnsi" w:cstheme="majorHAnsi"/>
          <w:sz w:val="18"/>
          <w:szCs w:val="18"/>
        </w:rPr>
        <w:t>, Globalisation, Comparative Education and Policy Research, 2018. https://doi.org/10.1007/978-94-024-1204-8_6</w:t>
      </w:r>
    </w:p>
  </w:footnote>
  <w:footnote w:id="84">
    <w:p w14:paraId="6514F719" w14:textId="0DF436CE" w:rsidR="009F1CB5" w:rsidRPr="00216257" w:rsidRDefault="009F1CB5" w:rsidP="00303960">
      <w:pPr>
        <w:rPr>
          <w:rFonts w:asciiTheme="majorHAnsi" w:hAnsiTheme="majorHAnsi" w:cstheme="majorHAnsi"/>
          <w:sz w:val="18"/>
          <w:szCs w:val="18"/>
        </w:rPr>
      </w:pPr>
      <w:r w:rsidRPr="00216257">
        <w:rPr>
          <w:rStyle w:val="FootnoteReference"/>
          <w:rFonts w:asciiTheme="majorHAnsi" w:hAnsiTheme="majorHAnsi" w:cstheme="majorHAnsi"/>
          <w:sz w:val="18"/>
          <w:szCs w:val="18"/>
        </w:rPr>
        <w:footnoteRef/>
      </w:r>
      <w:r w:rsidRPr="00216257">
        <w:rPr>
          <w:rFonts w:asciiTheme="majorHAnsi" w:hAnsiTheme="majorHAnsi" w:cstheme="majorHAnsi"/>
          <w:sz w:val="18"/>
          <w:szCs w:val="18"/>
        </w:rPr>
        <w:t xml:space="preserve"> </w:t>
      </w:r>
      <w:r w:rsidRPr="00216257">
        <w:rPr>
          <w:rFonts w:asciiTheme="majorHAnsi" w:eastAsia="Times New Roman" w:hAnsiTheme="majorHAnsi" w:cstheme="majorHAnsi"/>
          <w:sz w:val="18"/>
          <w:szCs w:val="18"/>
        </w:rPr>
        <w:t>ibid.</w:t>
      </w:r>
    </w:p>
  </w:footnote>
  <w:footnote w:id="85">
    <w:p w14:paraId="556346CC" w14:textId="384493BB" w:rsidR="009F1CB5" w:rsidRPr="00303960" w:rsidRDefault="009F1CB5" w:rsidP="00473274">
      <w:pPr>
        <w:rPr>
          <w:sz w:val="18"/>
          <w:szCs w:val="18"/>
        </w:rPr>
      </w:pPr>
      <w:r w:rsidRPr="005B6A47">
        <w:rPr>
          <w:rStyle w:val="FootnoteReference"/>
          <w:sz w:val="18"/>
          <w:szCs w:val="18"/>
        </w:rPr>
        <w:footnoteRef/>
      </w:r>
      <w:r w:rsidRPr="005B6A47">
        <w:rPr>
          <w:sz w:val="18"/>
          <w:szCs w:val="18"/>
        </w:rPr>
        <w:t xml:space="preserve"> </w:t>
      </w:r>
      <w:r>
        <w:rPr>
          <w:rFonts w:eastAsia="Times New Roman" w:cs="Times New Roman"/>
          <w:sz w:val="18"/>
          <w:szCs w:val="18"/>
        </w:rPr>
        <w:t>ibid.</w:t>
      </w:r>
    </w:p>
  </w:footnote>
  <w:footnote w:id="86">
    <w:p w14:paraId="18662762" w14:textId="741F90E5" w:rsidR="009F1CB5" w:rsidRPr="00C95A27" w:rsidRDefault="009F1CB5" w:rsidP="00303960">
      <w:pPr>
        <w:rPr>
          <w:rFonts w:asciiTheme="majorHAnsi" w:hAnsiTheme="majorHAnsi" w:cstheme="majorHAnsi"/>
          <w:sz w:val="18"/>
          <w:szCs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w:t>
      </w:r>
      <w:r w:rsidRPr="00C95A27">
        <w:rPr>
          <w:rFonts w:asciiTheme="majorHAnsi" w:eastAsia="Times New Roman" w:hAnsiTheme="majorHAnsi" w:cstheme="majorHAnsi"/>
          <w:sz w:val="18"/>
          <w:szCs w:val="18"/>
        </w:rPr>
        <w:t>Rozhenkova, Veronika and Val Rust.</w:t>
      </w:r>
      <w:r w:rsidRPr="00C95A27">
        <w:rPr>
          <w:rFonts w:asciiTheme="majorHAnsi" w:hAnsiTheme="majorHAnsi" w:cstheme="majorHAnsi"/>
          <w:sz w:val="18"/>
          <w:szCs w:val="18"/>
        </w:rPr>
        <w:t xml:space="preserve"> “Internationalization of Higher Education in Russia: Aiming for Global Recognition.” </w:t>
      </w:r>
      <w:r w:rsidRPr="00C95A27">
        <w:rPr>
          <w:rFonts w:asciiTheme="majorHAnsi" w:hAnsiTheme="majorHAnsi" w:cstheme="majorHAnsi"/>
          <w:i/>
          <w:sz w:val="18"/>
          <w:szCs w:val="18"/>
        </w:rPr>
        <w:t>Globalisation and Education Reforms</w:t>
      </w:r>
      <w:r w:rsidRPr="00C95A27">
        <w:rPr>
          <w:rFonts w:asciiTheme="majorHAnsi" w:hAnsiTheme="majorHAnsi" w:cstheme="majorHAnsi"/>
          <w:sz w:val="18"/>
          <w:szCs w:val="18"/>
        </w:rPr>
        <w:t>, Globalisation, Comparative Education and Policy Research, 2018. https://doi.org/10.1007/978-94-024-1204-8_6</w:t>
      </w:r>
    </w:p>
  </w:footnote>
  <w:footnote w:id="87">
    <w:p w14:paraId="5E34A7D2" w14:textId="1ED71998" w:rsidR="009F1CB5" w:rsidRPr="00C95A27" w:rsidRDefault="009F1CB5" w:rsidP="00303960">
      <w:pPr>
        <w:rPr>
          <w:rFonts w:asciiTheme="majorHAnsi" w:hAnsiTheme="majorHAnsi" w:cstheme="majorHAnsi"/>
          <w:sz w:val="18"/>
          <w:szCs w:val="18"/>
        </w:rPr>
      </w:pPr>
      <w:r w:rsidRPr="00C95A27">
        <w:rPr>
          <w:rStyle w:val="FootnoteReference"/>
          <w:rFonts w:asciiTheme="majorHAnsi" w:hAnsiTheme="majorHAnsi" w:cstheme="majorHAnsi"/>
          <w:sz w:val="18"/>
          <w:szCs w:val="18"/>
        </w:rPr>
        <w:footnoteRef/>
      </w:r>
      <w:r w:rsidRPr="00C95A27">
        <w:rPr>
          <w:rFonts w:asciiTheme="majorHAnsi" w:hAnsiTheme="majorHAnsi" w:cstheme="majorHAnsi"/>
          <w:sz w:val="18"/>
          <w:szCs w:val="18"/>
        </w:rPr>
        <w:t xml:space="preserve"> </w:t>
      </w:r>
      <w:r w:rsidRPr="00C95A27">
        <w:rPr>
          <w:rFonts w:asciiTheme="majorHAnsi" w:eastAsia="Times New Roman" w:hAnsiTheme="majorHAnsi" w:cstheme="majorHAnsi"/>
          <w:sz w:val="18"/>
          <w:szCs w:val="18"/>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0E4"/>
    <w:multiLevelType w:val="hybridMultilevel"/>
    <w:tmpl w:val="E8FEEC14"/>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47FAE"/>
    <w:multiLevelType w:val="hybridMultilevel"/>
    <w:tmpl w:val="15ACF098"/>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5070E"/>
    <w:multiLevelType w:val="multilevel"/>
    <w:tmpl w:val="7AF6D49A"/>
    <w:lvl w:ilvl="0">
      <w:start w:val="5"/>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3" w15:restartNumberingAfterBreak="0">
    <w:nsid w:val="02786A7C"/>
    <w:multiLevelType w:val="multilevel"/>
    <w:tmpl w:val="E0E661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7B8"/>
    <w:multiLevelType w:val="hybridMultilevel"/>
    <w:tmpl w:val="2DBE4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738B8"/>
    <w:multiLevelType w:val="hybridMultilevel"/>
    <w:tmpl w:val="C1EAC412"/>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D243C"/>
    <w:multiLevelType w:val="hybridMultilevel"/>
    <w:tmpl w:val="A5E8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05633"/>
    <w:multiLevelType w:val="hybridMultilevel"/>
    <w:tmpl w:val="671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A6CE6"/>
    <w:multiLevelType w:val="hybridMultilevel"/>
    <w:tmpl w:val="18D8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55B04"/>
    <w:multiLevelType w:val="multilevel"/>
    <w:tmpl w:val="F67CB11A"/>
    <w:lvl w:ilvl="0">
      <w:start w:val="3"/>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10" w15:restartNumberingAfterBreak="0">
    <w:nsid w:val="13D05974"/>
    <w:multiLevelType w:val="hybridMultilevel"/>
    <w:tmpl w:val="1208439E"/>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57FE8"/>
    <w:multiLevelType w:val="hybridMultilevel"/>
    <w:tmpl w:val="7BE8E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A43C42"/>
    <w:multiLevelType w:val="hybridMultilevel"/>
    <w:tmpl w:val="EDD0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A4808"/>
    <w:multiLevelType w:val="hybridMultilevel"/>
    <w:tmpl w:val="2DA44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13C80"/>
    <w:multiLevelType w:val="hybridMultilevel"/>
    <w:tmpl w:val="8A7AE8A6"/>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6C520A"/>
    <w:multiLevelType w:val="hybridMultilevel"/>
    <w:tmpl w:val="78A0085E"/>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450C6"/>
    <w:multiLevelType w:val="multilevel"/>
    <w:tmpl w:val="EB0A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3030A4"/>
    <w:multiLevelType w:val="hybridMultilevel"/>
    <w:tmpl w:val="84FC54CE"/>
    <w:lvl w:ilvl="0" w:tplc="E34C70B0">
      <w:start w:val="2"/>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B312EFD"/>
    <w:multiLevelType w:val="multilevel"/>
    <w:tmpl w:val="C1D0BE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6D5427"/>
    <w:multiLevelType w:val="hybridMultilevel"/>
    <w:tmpl w:val="36D29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97B34"/>
    <w:multiLevelType w:val="hybridMultilevel"/>
    <w:tmpl w:val="ACCEE844"/>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BE6679"/>
    <w:multiLevelType w:val="multilevel"/>
    <w:tmpl w:val="ED44EF90"/>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A70292"/>
    <w:multiLevelType w:val="hybridMultilevel"/>
    <w:tmpl w:val="70F8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B6EFD"/>
    <w:multiLevelType w:val="hybridMultilevel"/>
    <w:tmpl w:val="460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6650A"/>
    <w:multiLevelType w:val="hybridMultilevel"/>
    <w:tmpl w:val="0BD2E2D8"/>
    <w:lvl w:ilvl="0" w:tplc="6572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703D0"/>
    <w:multiLevelType w:val="multilevel"/>
    <w:tmpl w:val="CC766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714EA3"/>
    <w:multiLevelType w:val="multilevel"/>
    <w:tmpl w:val="2A30CFEA"/>
    <w:lvl w:ilvl="0">
      <w:start w:val="6"/>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7" w15:restartNumberingAfterBreak="0">
    <w:nsid w:val="497A02A5"/>
    <w:multiLevelType w:val="hybridMultilevel"/>
    <w:tmpl w:val="68088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95085E"/>
    <w:multiLevelType w:val="hybridMultilevel"/>
    <w:tmpl w:val="9BFA3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26C4CB3"/>
    <w:multiLevelType w:val="hybridMultilevel"/>
    <w:tmpl w:val="5C34A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E200A"/>
    <w:multiLevelType w:val="hybridMultilevel"/>
    <w:tmpl w:val="99864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E1F41"/>
    <w:multiLevelType w:val="hybridMultilevel"/>
    <w:tmpl w:val="77767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2477C6"/>
    <w:multiLevelType w:val="multilevel"/>
    <w:tmpl w:val="4DAA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C2012A"/>
    <w:multiLevelType w:val="multilevel"/>
    <w:tmpl w:val="26142898"/>
    <w:lvl w:ilvl="0">
      <w:start w:val="3"/>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34" w15:restartNumberingAfterBreak="0">
    <w:nsid w:val="5E6A5964"/>
    <w:multiLevelType w:val="hybridMultilevel"/>
    <w:tmpl w:val="3E1C1392"/>
    <w:lvl w:ilvl="0" w:tplc="1ECE0C4E">
      <w:start w:val="1"/>
      <w:numFmt w:val="decimal"/>
      <w:lvlText w:val="%1."/>
      <w:lvlJc w:val="left"/>
      <w:pPr>
        <w:ind w:left="720" w:hanging="360"/>
      </w:pPr>
      <w:rPr>
        <w:rFonts w:ascii="Arial" w:eastAsiaTheme="minorEastAsia" w:hAnsi="Arial" w:cs="Arial"/>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6834B7"/>
    <w:multiLevelType w:val="hybridMultilevel"/>
    <w:tmpl w:val="2682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BB0004"/>
    <w:multiLevelType w:val="multilevel"/>
    <w:tmpl w:val="7E86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F0DD4"/>
    <w:multiLevelType w:val="hybridMultilevel"/>
    <w:tmpl w:val="1A8A8C3C"/>
    <w:lvl w:ilvl="0" w:tplc="D2105D1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153A27"/>
    <w:multiLevelType w:val="multilevel"/>
    <w:tmpl w:val="63868524"/>
    <w:lvl w:ilvl="0">
      <w:start w:val="3"/>
      <w:numFmt w:val="decimal"/>
      <w:lvlText w:val="%1"/>
      <w:lvlJc w:val="left"/>
      <w:pPr>
        <w:ind w:left="360" w:hanging="360"/>
      </w:pPr>
      <w:rPr>
        <w:rFonts w:hint="default"/>
      </w:rPr>
    </w:lvl>
    <w:lvl w:ilvl="1">
      <w:start w:val="1"/>
      <w:numFmt w:val="decimal"/>
      <w:lvlText w:val="%1.%2"/>
      <w:lvlJc w:val="left"/>
      <w:pPr>
        <w:ind w:left="1480" w:hanging="360"/>
      </w:pPr>
      <w:rPr>
        <w:rFonts w:hint="default"/>
      </w:rPr>
    </w:lvl>
    <w:lvl w:ilvl="2">
      <w:start w:val="1"/>
      <w:numFmt w:val="decimal"/>
      <w:lvlText w:val="%1.%2.%3"/>
      <w:lvlJc w:val="left"/>
      <w:pPr>
        <w:ind w:left="2960" w:hanging="720"/>
      </w:pPr>
      <w:rPr>
        <w:rFonts w:hint="default"/>
      </w:rPr>
    </w:lvl>
    <w:lvl w:ilvl="3">
      <w:start w:val="1"/>
      <w:numFmt w:val="decimal"/>
      <w:lvlText w:val="%1.%2.%3.%4"/>
      <w:lvlJc w:val="left"/>
      <w:pPr>
        <w:ind w:left="4440" w:hanging="1080"/>
      </w:pPr>
      <w:rPr>
        <w:rFonts w:hint="default"/>
      </w:rPr>
    </w:lvl>
    <w:lvl w:ilvl="4">
      <w:start w:val="1"/>
      <w:numFmt w:val="decimal"/>
      <w:lvlText w:val="%1.%2.%3.%4.%5"/>
      <w:lvlJc w:val="left"/>
      <w:pPr>
        <w:ind w:left="5560" w:hanging="1080"/>
      </w:pPr>
      <w:rPr>
        <w:rFonts w:hint="default"/>
      </w:rPr>
    </w:lvl>
    <w:lvl w:ilvl="5">
      <w:start w:val="1"/>
      <w:numFmt w:val="decimal"/>
      <w:lvlText w:val="%1.%2.%3.%4.%5.%6"/>
      <w:lvlJc w:val="left"/>
      <w:pPr>
        <w:ind w:left="7040" w:hanging="1440"/>
      </w:pPr>
      <w:rPr>
        <w:rFonts w:hint="default"/>
      </w:rPr>
    </w:lvl>
    <w:lvl w:ilvl="6">
      <w:start w:val="1"/>
      <w:numFmt w:val="decimal"/>
      <w:lvlText w:val="%1.%2.%3.%4.%5.%6.%7"/>
      <w:lvlJc w:val="left"/>
      <w:pPr>
        <w:ind w:left="8160" w:hanging="1440"/>
      </w:pPr>
      <w:rPr>
        <w:rFonts w:hint="default"/>
      </w:rPr>
    </w:lvl>
    <w:lvl w:ilvl="7">
      <w:start w:val="1"/>
      <w:numFmt w:val="decimal"/>
      <w:lvlText w:val="%1.%2.%3.%4.%5.%6.%7.%8"/>
      <w:lvlJc w:val="left"/>
      <w:pPr>
        <w:ind w:left="9640" w:hanging="1800"/>
      </w:pPr>
      <w:rPr>
        <w:rFonts w:hint="default"/>
      </w:rPr>
    </w:lvl>
    <w:lvl w:ilvl="8">
      <w:start w:val="1"/>
      <w:numFmt w:val="decimal"/>
      <w:lvlText w:val="%1.%2.%3.%4.%5.%6.%7.%8.%9"/>
      <w:lvlJc w:val="left"/>
      <w:pPr>
        <w:ind w:left="10760" w:hanging="1800"/>
      </w:pPr>
      <w:rPr>
        <w:rFonts w:hint="default"/>
      </w:rPr>
    </w:lvl>
  </w:abstractNum>
  <w:abstractNum w:abstractNumId="39" w15:restartNumberingAfterBreak="0">
    <w:nsid w:val="681D7516"/>
    <w:multiLevelType w:val="hybridMultilevel"/>
    <w:tmpl w:val="9BFA3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A34266A"/>
    <w:multiLevelType w:val="hybridMultilevel"/>
    <w:tmpl w:val="F00A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99187F"/>
    <w:multiLevelType w:val="multilevel"/>
    <w:tmpl w:val="26142898"/>
    <w:lvl w:ilvl="0">
      <w:start w:val="3"/>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42" w15:restartNumberingAfterBreak="0">
    <w:nsid w:val="6C2C3245"/>
    <w:multiLevelType w:val="multilevel"/>
    <w:tmpl w:val="6A06F764"/>
    <w:lvl w:ilvl="0">
      <w:start w:val="2"/>
      <w:numFmt w:val="decimal"/>
      <w:lvlText w:val="%1"/>
      <w:lvlJc w:val="left"/>
      <w:pPr>
        <w:ind w:left="360" w:hanging="360"/>
      </w:pPr>
      <w:rPr>
        <w:rFonts w:asciiTheme="majorHAnsi" w:hAnsiTheme="majorHAnsi" w:cstheme="majorBidi" w:hint="default"/>
        <w:b/>
        <w:sz w:val="26"/>
      </w:rPr>
    </w:lvl>
    <w:lvl w:ilvl="1">
      <w:start w:val="1"/>
      <w:numFmt w:val="decimal"/>
      <w:lvlText w:val="%1.%2"/>
      <w:lvlJc w:val="left"/>
      <w:pPr>
        <w:ind w:left="1120" w:hanging="360"/>
      </w:pPr>
      <w:rPr>
        <w:rFonts w:asciiTheme="majorHAnsi" w:hAnsiTheme="majorHAnsi" w:cstheme="majorBidi" w:hint="default"/>
        <w:b/>
        <w:sz w:val="26"/>
      </w:rPr>
    </w:lvl>
    <w:lvl w:ilvl="2">
      <w:start w:val="1"/>
      <w:numFmt w:val="decimal"/>
      <w:lvlText w:val="%1.%2.%3"/>
      <w:lvlJc w:val="left"/>
      <w:pPr>
        <w:ind w:left="2240" w:hanging="720"/>
      </w:pPr>
      <w:rPr>
        <w:rFonts w:asciiTheme="majorHAnsi" w:hAnsiTheme="majorHAnsi" w:cstheme="majorBidi" w:hint="default"/>
        <w:b/>
        <w:sz w:val="26"/>
      </w:rPr>
    </w:lvl>
    <w:lvl w:ilvl="3">
      <w:start w:val="1"/>
      <w:numFmt w:val="decimal"/>
      <w:lvlText w:val="%1.%2.%3.%4"/>
      <w:lvlJc w:val="left"/>
      <w:pPr>
        <w:ind w:left="3000" w:hanging="720"/>
      </w:pPr>
      <w:rPr>
        <w:rFonts w:asciiTheme="majorHAnsi" w:hAnsiTheme="majorHAnsi" w:cstheme="majorBidi" w:hint="default"/>
        <w:b/>
        <w:sz w:val="26"/>
      </w:rPr>
    </w:lvl>
    <w:lvl w:ilvl="4">
      <w:start w:val="1"/>
      <w:numFmt w:val="decimal"/>
      <w:lvlText w:val="%1.%2.%3.%4.%5"/>
      <w:lvlJc w:val="left"/>
      <w:pPr>
        <w:ind w:left="3760" w:hanging="720"/>
      </w:pPr>
      <w:rPr>
        <w:rFonts w:asciiTheme="majorHAnsi" w:hAnsiTheme="majorHAnsi" w:cstheme="majorBidi" w:hint="default"/>
        <w:b/>
        <w:sz w:val="26"/>
      </w:rPr>
    </w:lvl>
    <w:lvl w:ilvl="5">
      <w:start w:val="1"/>
      <w:numFmt w:val="decimal"/>
      <w:lvlText w:val="%1.%2.%3.%4.%5.%6"/>
      <w:lvlJc w:val="left"/>
      <w:pPr>
        <w:ind w:left="4880" w:hanging="1080"/>
      </w:pPr>
      <w:rPr>
        <w:rFonts w:asciiTheme="majorHAnsi" w:hAnsiTheme="majorHAnsi" w:cstheme="majorBidi" w:hint="default"/>
        <w:b/>
        <w:sz w:val="26"/>
      </w:rPr>
    </w:lvl>
    <w:lvl w:ilvl="6">
      <w:start w:val="1"/>
      <w:numFmt w:val="decimal"/>
      <w:lvlText w:val="%1.%2.%3.%4.%5.%6.%7"/>
      <w:lvlJc w:val="left"/>
      <w:pPr>
        <w:ind w:left="5640" w:hanging="1080"/>
      </w:pPr>
      <w:rPr>
        <w:rFonts w:asciiTheme="majorHAnsi" w:hAnsiTheme="majorHAnsi" w:cstheme="majorBidi" w:hint="default"/>
        <w:b/>
        <w:sz w:val="26"/>
      </w:rPr>
    </w:lvl>
    <w:lvl w:ilvl="7">
      <w:start w:val="1"/>
      <w:numFmt w:val="decimal"/>
      <w:lvlText w:val="%1.%2.%3.%4.%5.%6.%7.%8"/>
      <w:lvlJc w:val="left"/>
      <w:pPr>
        <w:ind w:left="6760" w:hanging="1440"/>
      </w:pPr>
      <w:rPr>
        <w:rFonts w:asciiTheme="majorHAnsi" w:hAnsiTheme="majorHAnsi" w:cstheme="majorBidi" w:hint="default"/>
        <w:b/>
        <w:sz w:val="26"/>
      </w:rPr>
    </w:lvl>
    <w:lvl w:ilvl="8">
      <w:start w:val="1"/>
      <w:numFmt w:val="decimal"/>
      <w:lvlText w:val="%1.%2.%3.%4.%5.%6.%7.%8.%9"/>
      <w:lvlJc w:val="left"/>
      <w:pPr>
        <w:ind w:left="7520" w:hanging="1440"/>
      </w:pPr>
      <w:rPr>
        <w:rFonts w:asciiTheme="majorHAnsi" w:hAnsiTheme="majorHAnsi" w:cstheme="majorBidi" w:hint="default"/>
        <w:b/>
        <w:sz w:val="26"/>
      </w:rPr>
    </w:lvl>
  </w:abstractNum>
  <w:abstractNum w:abstractNumId="43" w15:restartNumberingAfterBreak="0">
    <w:nsid w:val="73571A38"/>
    <w:multiLevelType w:val="multilevel"/>
    <w:tmpl w:val="7AF6D49A"/>
    <w:lvl w:ilvl="0">
      <w:start w:val="3"/>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44" w15:restartNumberingAfterBreak="0">
    <w:nsid w:val="736124C4"/>
    <w:multiLevelType w:val="multilevel"/>
    <w:tmpl w:val="58B0E19E"/>
    <w:lvl w:ilvl="0">
      <w:start w:val="4"/>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45" w15:restartNumberingAfterBreak="0">
    <w:nsid w:val="7780484B"/>
    <w:multiLevelType w:val="hybridMultilevel"/>
    <w:tmpl w:val="7394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FB2B56"/>
    <w:multiLevelType w:val="hybridMultilevel"/>
    <w:tmpl w:val="9FD8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295964"/>
    <w:multiLevelType w:val="hybridMultilevel"/>
    <w:tmpl w:val="44D8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871138"/>
    <w:multiLevelType w:val="hybridMultilevel"/>
    <w:tmpl w:val="78B2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45"/>
  </w:num>
  <w:num w:numId="4">
    <w:abstractNumId w:val="22"/>
  </w:num>
  <w:num w:numId="5">
    <w:abstractNumId w:val="23"/>
  </w:num>
  <w:num w:numId="6">
    <w:abstractNumId w:val="27"/>
  </w:num>
  <w:num w:numId="7">
    <w:abstractNumId w:val="7"/>
  </w:num>
  <w:num w:numId="8">
    <w:abstractNumId w:val="30"/>
  </w:num>
  <w:num w:numId="9">
    <w:abstractNumId w:val="31"/>
  </w:num>
  <w:num w:numId="10">
    <w:abstractNumId w:val="34"/>
  </w:num>
  <w:num w:numId="11">
    <w:abstractNumId w:val="6"/>
  </w:num>
  <w:num w:numId="12">
    <w:abstractNumId w:val="46"/>
  </w:num>
  <w:num w:numId="13">
    <w:abstractNumId w:val="21"/>
  </w:num>
  <w:num w:numId="14">
    <w:abstractNumId w:val="28"/>
  </w:num>
  <w:num w:numId="15">
    <w:abstractNumId w:val="42"/>
  </w:num>
  <w:num w:numId="16">
    <w:abstractNumId w:val="38"/>
  </w:num>
  <w:num w:numId="17">
    <w:abstractNumId w:val="43"/>
  </w:num>
  <w:num w:numId="18">
    <w:abstractNumId w:val="41"/>
  </w:num>
  <w:num w:numId="19">
    <w:abstractNumId w:val="33"/>
  </w:num>
  <w:num w:numId="20">
    <w:abstractNumId w:val="25"/>
  </w:num>
  <w:num w:numId="21">
    <w:abstractNumId w:val="11"/>
  </w:num>
  <w:num w:numId="22">
    <w:abstractNumId w:val="2"/>
  </w:num>
  <w:num w:numId="23">
    <w:abstractNumId w:val="16"/>
  </w:num>
  <w:num w:numId="24">
    <w:abstractNumId w:val="35"/>
  </w:num>
  <w:num w:numId="25">
    <w:abstractNumId w:val="3"/>
  </w:num>
  <w:num w:numId="26">
    <w:abstractNumId w:val="29"/>
  </w:num>
  <w:num w:numId="27">
    <w:abstractNumId w:val="13"/>
  </w:num>
  <w:num w:numId="28">
    <w:abstractNumId w:val="39"/>
  </w:num>
  <w:num w:numId="29">
    <w:abstractNumId w:val="32"/>
  </w:num>
  <w:num w:numId="30">
    <w:abstractNumId w:val="36"/>
  </w:num>
  <w:num w:numId="31">
    <w:abstractNumId w:val="17"/>
  </w:num>
  <w:num w:numId="32">
    <w:abstractNumId w:val="8"/>
  </w:num>
  <w:num w:numId="33">
    <w:abstractNumId w:val="47"/>
  </w:num>
  <w:num w:numId="34">
    <w:abstractNumId w:val="14"/>
  </w:num>
  <w:num w:numId="35">
    <w:abstractNumId w:val="10"/>
  </w:num>
  <w:num w:numId="36">
    <w:abstractNumId w:val="15"/>
  </w:num>
  <w:num w:numId="37">
    <w:abstractNumId w:val="24"/>
  </w:num>
  <w:num w:numId="38">
    <w:abstractNumId w:val="20"/>
  </w:num>
  <w:num w:numId="39">
    <w:abstractNumId w:val="48"/>
  </w:num>
  <w:num w:numId="40">
    <w:abstractNumId w:val="5"/>
  </w:num>
  <w:num w:numId="41">
    <w:abstractNumId w:val="0"/>
  </w:num>
  <w:num w:numId="42">
    <w:abstractNumId w:val="1"/>
  </w:num>
  <w:num w:numId="43">
    <w:abstractNumId w:val="4"/>
  </w:num>
  <w:num w:numId="44">
    <w:abstractNumId w:val="37"/>
  </w:num>
  <w:num w:numId="45">
    <w:abstractNumId w:val="9"/>
  </w:num>
  <w:num w:numId="46">
    <w:abstractNumId w:val="44"/>
  </w:num>
  <w:num w:numId="47">
    <w:abstractNumId w:val="18"/>
  </w:num>
  <w:num w:numId="48">
    <w:abstractNumId w:val="26"/>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34"/>
    <w:rsid w:val="00002EC8"/>
    <w:rsid w:val="00007458"/>
    <w:rsid w:val="00007D8F"/>
    <w:rsid w:val="00010DFB"/>
    <w:rsid w:val="00014049"/>
    <w:rsid w:val="00014DAB"/>
    <w:rsid w:val="00014E63"/>
    <w:rsid w:val="00024575"/>
    <w:rsid w:val="00024633"/>
    <w:rsid w:val="000303EC"/>
    <w:rsid w:val="000314D9"/>
    <w:rsid w:val="0003527D"/>
    <w:rsid w:val="00051E6A"/>
    <w:rsid w:val="00054160"/>
    <w:rsid w:val="0006088F"/>
    <w:rsid w:val="00061DF0"/>
    <w:rsid w:val="000627EF"/>
    <w:rsid w:val="00076AA6"/>
    <w:rsid w:val="00080493"/>
    <w:rsid w:val="00083693"/>
    <w:rsid w:val="00083A6D"/>
    <w:rsid w:val="0009263D"/>
    <w:rsid w:val="0009688F"/>
    <w:rsid w:val="000A05C7"/>
    <w:rsid w:val="000A12E5"/>
    <w:rsid w:val="000A3AA9"/>
    <w:rsid w:val="000A4020"/>
    <w:rsid w:val="000A65AA"/>
    <w:rsid w:val="000B22C1"/>
    <w:rsid w:val="000B4B07"/>
    <w:rsid w:val="000B7A73"/>
    <w:rsid w:val="000C2273"/>
    <w:rsid w:val="000C7272"/>
    <w:rsid w:val="000D4F21"/>
    <w:rsid w:val="000E5F6B"/>
    <w:rsid w:val="000F0880"/>
    <w:rsid w:val="000F14A6"/>
    <w:rsid w:val="000F7D6D"/>
    <w:rsid w:val="0010133C"/>
    <w:rsid w:val="0010296B"/>
    <w:rsid w:val="001076DE"/>
    <w:rsid w:val="00110A9A"/>
    <w:rsid w:val="001113F4"/>
    <w:rsid w:val="0012248A"/>
    <w:rsid w:val="00126E1C"/>
    <w:rsid w:val="00132EF8"/>
    <w:rsid w:val="001654CE"/>
    <w:rsid w:val="001703E5"/>
    <w:rsid w:val="00190567"/>
    <w:rsid w:val="00191E3D"/>
    <w:rsid w:val="00192B89"/>
    <w:rsid w:val="00193517"/>
    <w:rsid w:val="001969B0"/>
    <w:rsid w:val="00197D87"/>
    <w:rsid w:val="001C0916"/>
    <w:rsid w:val="001C0C85"/>
    <w:rsid w:val="001D012C"/>
    <w:rsid w:val="001D07EF"/>
    <w:rsid w:val="001D4BA6"/>
    <w:rsid w:val="001F101E"/>
    <w:rsid w:val="001F71AB"/>
    <w:rsid w:val="00201BF7"/>
    <w:rsid w:val="00205184"/>
    <w:rsid w:val="00215F21"/>
    <w:rsid w:val="00216257"/>
    <w:rsid w:val="0024200A"/>
    <w:rsid w:val="00243401"/>
    <w:rsid w:val="00246E3E"/>
    <w:rsid w:val="00257997"/>
    <w:rsid w:val="00260AC2"/>
    <w:rsid w:val="00263275"/>
    <w:rsid w:val="00286683"/>
    <w:rsid w:val="002906A4"/>
    <w:rsid w:val="002A182F"/>
    <w:rsid w:val="002A2F92"/>
    <w:rsid w:val="002B1EA6"/>
    <w:rsid w:val="002B1FE1"/>
    <w:rsid w:val="002C04E9"/>
    <w:rsid w:val="002C0583"/>
    <w:rsid w:val="002C624D"/>
    <w:rsid w:val="002D1612"/>
    <w:rsid w:val="002E0F44"/>
    <w:rsid w:val="00303960"/>
    <w:rsid w:val="00313701"/>
    <w:rsid w:val="00314687"/>
    <w:rsid w:val="00323B75"/>
    <w:rsid w:val="00340861"/>
    <w:rsid w:val="00343836"/>
    <w:rsid w:val="00345794"/>
    <w:rsid w:val="00345A59"/>
    <w:rsid w:val="003512C2"/>
    <w:rsid w:val="003558C3"/>
    <w:rsid w:val="00363FB0"/>
    <w:rsid w:val="0037391F"/>
    <w:rsid w:val="00381548"/>
    <w:rsid w:val="003861DD"/>
    <w:rsid w:val="00395C67"/>
    <w:rsid w:val="00396843"/>
    <w:rsid w:val="003A4F1D"/>
    <w:rsid w:val="003A7515"/>
    <w:rsid w:val="003B7A58"/>
    <w:rsid w:val="003C16A6"/>
    <w:rsid w:val="003C2662"/>
    <w:rsid w:val="003C44E0"/>
    <w:rsid w:val="003C4F71"/>
    <w:rsid w:val="003D1E8C"/>
    <w:rsid w:val="003E1B69"/>
    <w:rsid w:val="003F4347"/>
    <w:rsid w:val="00403F7F"/>
    <w:rsid w:val="0040609E"/>
    <w:rsid w:val="004120A2"/>
    <w:rsid w:val="0041601C"/>
    <w:rsid w:val="00427A3F"/>
    <w:rsid w:val="00436FF8"/>
    <w:rsid w:val="00440EBA"/>
    <w:rsid w:val="00461E2B"/>
    <w:rsid w:val="00467F25"/>
    <w:rsid w:val="00473274"/>
    <w:rsid w:val="00481229"/>
    <w:rsid w:val="004812E8"/>
    <w:rsid w:val="0049470A"/>
    <w:rsid w:val="00496DAB"/>
    <w:rsid w:val="004A2761"/>
    <w:rsid w:val="004B024D"/>
    <w:rsid w:val="004B0FE9"/>
    <w:rsid w:val="004B1B20"/>
    <w:rsid w:val="004B5F4D"/>
    <w:rsid w:val="004B78AF"/>
    <w:rsid w:val="004C769B"/>
    <w:rsid w:val="004D12F6"/>
    <w:rsid w:val="004F3565"/>
    <w:rsid w:val="004F6C9E"/>
    <w:rsid w:val="005107E8"/>
    <w:rsid w:val="0051228C"/>
    <w:rsid w:val="00527405"/>
    <w:rsid w:val="00543E38"/>
    <w:rsid w:val="00544758"/>
    <w:rsid w:val="00546E9E"/>
    <w:rsid w:val="00547A2F"/>
    <w:rsid w:val="00556D4B"/>
    <w:rsid w:val="00586E56"/>
    <w:rsid w:val="00591228"/>
    <w:rsid w:val="00593654"/>
    <w:rsid w:val="005A5F1D"/>
    <w:rsid w:val="005B276D"/>
    <w:rsid w:val="005B6A47"/>
    <w:rsid w:val="005C47AF"/>
    <w:rsid w:val="005C527A"/>
    <w:rsid w:val="005D0225"/>
    <w:rsid w:val="005D36D6"/>
    <w:rsid w:val="005D62E9"/>
    <w:rsid w:val="005F155F"/>
    <w:rsid w:val="005F3D16"/>
    <w:rsid w:val="00605D00"/>
    <w:rsid w:val="00614FB8"/>
    <w:rsid w:val="00620910"/>
    <w:rsid w:val="00620ED9"/>
    <w:rsid w:val="006300B2"/>
    <w:rsid w:val="0063144F"/>
    <w:rsid w:val="00633247"/>
    <w:rsid w:val="00637ED7"/>
    <w:rsid w:val="00642885"/>
    <w:rsid w:val="00655AA4"/>
    <w:rsid w:val="00660FD0"/>
    <w:rsid w:val="00667AFF"/>
    <w:rsid w:val="00670786"/>
    <w:rsid w:val="006806B1"/>
    <w:rsid w:val="006B0A60"/>
    <w:rsid w:val="006C3997"/>
    <w:rsid w:val="006C4BF5"/>
    <w:rsid w:val="006D1941"/>
    <w:rsid w:val="006E4E4C"/>
    <w:rsid w:val="006F19B2"/>
    <w:rsid w:val="00701C41"/>
    <w:rsid w:val="007068CA"/>
    <w:rsid w:val="00710BF6"/>
    <w:rsid w:val="00721F56"/>
    <w:rsid w:val="00722DEB"/>
    <w:rsid w:val="007237BD"/>
    <w:rsid w:val="007271B1"/>
    <w:rsid w:val="007410AB"/>
    <w:rsid w:val="0074627E"/>
    <w:rsid w:val="00751258"/>
    <w:rsid w:val="00751B0E"/>
    <w:rsid w:val="0078579B"/>
    <w:rsid w:val="00786B36"/>
    <w:rsid w:val="00786FBA"/>
    <w:rsid w:val="007A264C"/>
    <w:rsid w:val="007A2C68"/>
    <w:rsid w:val="007A5E29"/>
    <w:rsid w:val="007B3880"/>
    <w:rsid w:val="007B3CAF"/>
    <w:rsid w:val="007B3F12"/>
    <w:rsid w:val="007B72BE"/>
    <w:rsid w:val="007C5A55"/>
    <w:rsid w:val="007C7146"/>
    <w:rsid w:val="007D3DD9"/>
    <w:rsid w:val="007E18C0"/>
    <w:rsid w:val="007E35B8"/>
    <w:rsid w:val="007F54F9"/>
    <w:rsid w:val="007F5991"/>
    <w:rsid w:val="008221AE"/>
    <w:rsid w:val="00825A1B"/>
    <w:rsid w:val="00831AD3"/>
    <w:rsid w:val="00835523"/>
    <w:rsid w:val="0083709F"/>
    <w:rsid w:val="0083783E"/>
    <w:rsid w:val="00846ADD"/>
    <w:rsid w:val="008632EF"/>
    <w:rsid w:val="0086741C"/>
    <w:rsid w:val="00873733"/>
    <w:rsid w:val="00883372"/>
    <w:rsid w:val="00887DC9"/>
    <w:rsid w:val="00892199"/>
    <w:rsid w:val="008A0C91"/>
    <w:rsid w:val="008B4652"/>
    <w:rsid w:val="008B5534"/>
    <w:rsid w:val="008C0FAF"/>
    <w:rsid w:val="008C6424"/>
    <w:rsid w:val="008C6EFC"/>
    <w:rsid w:val="008D46FB"/>
    <w:rsid w:val="008D5758"/>
    <w:rsid w:val="008D6473"/>
    <w:rsid w:val="008E766B"/>
    <w:rsid w:val="008F2D50"/>
    <w:rsid w:val="0090191D"/>
    <w:rsid w:val="00911197"/>
    <w:rsid w:val="00916F0F"/>
    <w:rsid w:val="00921E04"/>
    <w:rsid w:val="0093175E"/>
    <w:rsid w:val="00931E1F"/>
    <w:rsid w:val="0093281B"/>
    <w:rsid w:val="00937A47"/>
    <w:rsid w:val="00942B97"/>
    <w:rsid w:val="00945608"/>
    <w:rsid w:val="00947865"/>
    <w:rsid w:val="00956FBF"/>
    <w:rsid w:val="00957CC9"/>
    <w:rsid w:val="00961304"/>
    <w:rsid w:val="009661A2"/>
    <w:rsid w:val="00966FBC"/>
    <w:rsid w:val="009673C2"/>
    <w:rsid w:val="00987C5C"/>
    <w:rsid w:val="009B236D"/>
    <w:rsid w:val="009B5020"/>
    <w:rsid w:val="009D1983"/>
    <w:rsid w:val="009E092F"/>
    <w:rsid w:val="009E0B8A"/>
    <w:rsid w:val="009F1CB5"/>
    <w:rsid w:val="009F6456"/>
    <w:rsid w:val="00A0072B"/>
    <w:rsid w:val="00A011A7"/>
    <w:rsid w:val="00A0540B"/>
    <w:rsid w:val="00A13E09"/>
    <w:rsid w:val="00A21BAC"/>
    <w:rsid w:val="00A23614"/>
    <w:rsid w:val="00A33C30"/>
    <w:rsid w:val="00A353D9"/>
    <w:rsid w:val="00A35A6E"/>
    <w:rsid w:val="00A371F9"/>
    <w:rsid w:val="00A50496"/>
    <w:rsid w:val="00A540BA"/>
    <w:rsid w:val="00A65FC3"/>
    <w:rsid w:val="00A6764B"/>
    <w:rsid w:val="00A74FBD"/>
    <w:rsid w:val="00A867C2"/>
    <w:rsid w:val="00A90CB9"/>
    <w:rsid w:val="00A925A5"/>
    <w:rsid w:val="00AA60D1"/>
    <w:rsid w:val="00AB0E70"/>
    <w:rsid w:val="00AB3724"/>
    <w:rsid w:val="00AC2F16"/>
    <w:rsid w:val="00AD2E50"/>
    <w:rsid w:val="00AD7B1D"/>
    <w:rsid w:val="00B01560"/>
    <w:rsid w:val="00B021F0"/>
    <w:rsid w:val="00B44688"/>
    <w:rsid w:val="00B711B2"/>
    <w:rsid w:val="00B72A0E"/>
    <w:rsid w:val="00B76223"/>
    <w:rsid w:val="00B86456"/>
    <w:rsid w:val="00BB0267"/>
    <w:rsid w:val="00BB27BF"/>
    <w:rsid w:val="00BB6089"/>
    <w:rsid w:val="00BB72CD"/>
    <w:rsid w:val="00BC24AE"/>
    <w:rsid w:val="00BD4525"/>
    <w:rsid w:val="00BD75E3"/>
    <w:rsid w:val="00BE04E8"/>
    <w:rsid w:val="00BE0670"/>
    <w:rsid w:val="00BE309B"/>
    <w:rsid w:val="00BF0AAF"/>
    <w:rsid w:val="00C058B3"/>
    <w:rsid w:val="00C13BAC"/>
    <w:rsid w:val="00C41296"/>
    <w:rsid w:val="00C45B74"/>
    <w:rsid w:val="00C475F4"/>
    <w:rsid w:val="00C4787D"/>
    <w:rsid w:val="00C531DD"/>
    <w:rsid w:val="00C654E0"/>
    <w:rsid w:val="00C70F51"/>
    <w:rsid w:val="00C82D7B"/>
    <w:rsid w:val="00C839AD"/>
    <w:rsid w:val="00C900B9"/>
    <w:rsid w:val="00C95A27"/>
    <w:rsid w:val="00CA3496"/>
    <w:rsid w:val="00CB5B4F"/>
    <w:rsid w:val="00CC390C"/>
    <w:rsid w:val="00CD5046"/>
    <w:rsid w:val="00CD5822"/>
    <w:rsid w:val="00CE1706"/>
    <w:rsid w:val="00CE3CEE"/>
    <w:rsid w:val="00CE7F0E"/>
    <w:rsid w:val="00CF1541"/>
    <w:rsid w:val="00CF5695"/>
    <w:rsid w:val="00D015E0"/>
    <w:rsid w:val="00D030FB"/>
    <w:rsid w:val="00D0530F"/>
    <w:rsid w:val="00D129CE"/>
    <w:rsid w:val="00D20F9E"/>
    <w:rsid w:val="00D226F0"/>
    <w:rsid w:val="00D316C6"/>
    <w:rsid w:val="00D41E86"/>
    <w:rsid w:val="00D44A11"/>
    <w:rsid w:val="00D62BD3"/>
    <w:rsid w:val="00D64653"/>
    <w:rsid w:val="00D65653"/>
    <w:rsid w:val="00D66113"/>
    <w:rsid w:val="00D8551E"/>
    <w:rsid w:val="00D85E71"/>
    <w:rsid w:val="00D87B44"/>
    <w:rsid w:val="00D914BA"/>
    <w:rsid w:val="00D91E67"/>
    <w:rsid w:val="00D9485F"/>
    <w:rsid w:val="00DA2DCC"/>
    <w:rsid w:val="00DB2990"/>
    <w:rsid w:val="00DC537A"/>
    <w:rsid w:val="00DC55C8"/>
    <w:rsid w:val="00DC6415"/>
    <w:rsid w:val="00DD32D3"/>
    <w:rsid w:val="00DE1554"/>
    <w:rsid w:val="00DE22B3"/>
    <w:rsid w:val="00DE379C"/>
    <w:rsid w:val="00DE7DA5"/>
    <w:rsid w:val="00E13F45"/>
    <w:rsid w:val="00E14F78"/>
    <w:rsid w:val="00E319DD"/>
    <w:rsid w:val="00E34D94"/>
    <w:rsid w:val="00E36198"/>
    <w:rsid w:val="00E362A2"/>
    <w:rsid w:val="00E36A38"/>
    <w:rsid w:val="00E43127"/>
    <w:rsid w:val="00E43CCD"/>
    <w:rsid w:val="00E4538A"/>
    <w:rsid w:val="00E45751"/>
    <w:rsid w:val="00E504AB"/>
    <w:rsid w:val="00E635FF"/>
    <w:rsid w:val="00E64440"/>
    <w:rsid w:val="00E65F27"/>
    <w:rsid w:val="00E73AD7"/>
    <w:rsid w:val="00E81AD9"/>
    <w:rsid w:val="00E8379D"/>
    <w:rsid w:val="00E8407A"/>
    <w:rsid w:val="00E97A8E"/>
    <w:rsid w:val="00EA0441"/>
    <w:rsid w:val="00EA7A43"/>
    <w:rsid w:val="00EB2B01"/>
    <w:rsid w:val="00EB3337"/>
    <w:rsid w:val="00EB49AA"/>
    <w:rsid w:val="00EB6609"/>
    <w:rsid w:val="00EB7896"/>
    <w:rsid w:val="00EB7A21"/>
    <w:rsid w:val="00EC46A6"/>
    <w:rsid w:val="00EC5C74"/>
    <w:rsid w:val="00ED15B4"/>
    <w:rsid w:val="00ED1ED5"/>
    <w:rsid w:val="00ED31F0"/>
    <w:rsid w:val="00EE4BB9"/>
    <w:rsid w:val="00EE5CDA"/>
    <w:rsid w:val="00EF133A"/>
    <w:rsid w:val="00F022CB"/>
    <w:rsid w:val="00F26FD6"/>
    <w:rsid w:val="00F304BA"/>
    <w:rsid w:val="00F331CA"/>
    <w:rsid w:val="00F33847"/>
    <w:rsid w:val="00F47EA9"/>
    <w:rsid w:val="00F51D59"/>
    <w:rsid w:val="00F5301F"/>
    <w:rsid w:val="00F571B4"/>
    <w:rsid w:val="00F7127C"/>
    <w:rsid w:val="00F746B7"/>
    <w:rsid w:val="00F7785C"/>
    <w:rsid w:val="00F82CF9"/>
    <w:rsid w:val="00F8485F"/>
    <w:rsid w:val="00F86BE5"/>
    <w:rsid w:val="00F930AC"/>
    <w:rsid w:val="00F968F1"/>
    <w:rsid w:val="00FA1CA8"/>
    <w:rsid w:val="00FB0387"/>
    <w:rsid w:val="00FC02F2"/>
    <w:rsid w:val="00FC0AC6"/>
    <w:rsid w:val="00FD20B0"/>
    <w:rsid w:val="00FD5D5F"/>
    <w:rsid w:val="00FD6A47"/>
    <w:rsid w:val="00FE2970"/>
    <w:rsid w:val="00FE5F2E"/>
    <w:rsid w:val="00FE6F31"/>
    <w:rsid w:val="00FF47B6"/>
    <w:rsid w:val="00FF484F"/>
    <w:rsid w:val="00FF5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18FB70"/>
  <w14:defaultImageDpi w14:val="300"/>
  <w15:docId w15:val="{626665D9-C8DF-1947-BCFB-EF09C1B4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B3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86B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6B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6B3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B3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86B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6B3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86B36"/>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86B36"/>
    <w:pPr>
      <w:ind w:left="720"/>
      <w:contextualSpacing/>
    </w:pPr>
  </w:style>
  <w:style w:type="paragraph" w:styleId="FootnoteText">
    <w:name w:val="footnote text"/>
    <w:basedOn w:val="Normal"/>
    <w:link w:val="FootnoteTextChar"/>
    <w:uiPriority w:val="99"/>
    <w:unhideWhenUsed/>
    <w:rsid w:val="00F51D59"/>
  </w:style>
  <w:style w:type="character" w:customStyle="1" w:styleId="FootnoteTextChar">
    <w:name w:val="Footnote Text Char"/>
    <w:basedOn w:val="DefaultParagraphFont"/>
    <w:link w:val="FootnoteText"/>
    <w:uiPriority w:val="99"/>
    <w:rsid w:val="00F51D59"/>
  </w:style>
  <w:style w:type="character" w:styleId="FootnoteReference">
    <w:name w:val="footnote reference"/>
    <w:basedOn w:val="DefaultParagraphFont"/>
    <w:uiPriority w:val="99"/>
    <w:unhideWhenUsed/>
    <w:rsid w:val="00F51D59"/>
    <w:rPr>
      <w:vertAlign w:val="superscript"/>
    </w:rPr>
  </w:style>
  <w:style w:type="character" w:styleId="Hyperlink">
    <w:name w:val="Hyperlink"/>
    <w:basedOn w:val="DefaultParagraphFont"/>
    <w:uiPriority w:val="99"/>
    <w:unhideWhenUsed/>
    <w:rsid w:val="000A3AA9"/>
    <w:rPr>
      <w:color w:val="0000FF" w:themeColor="hyperlink"/>
      <w:u w:val="single"/>
    </w:rPr>
  </w:style>
  <w:style w:type="paragraph" w:styleId="Footer">
    <w:name w:val="footer"/>
    <w:basedOn w:val="Normal"/>
    <w:link w:val="FooterChar"/>
    <w:uiPriority w:val="99"/>
    <w:unhideWhenUsed/>
    <w:rsid w:val="003A7515"/>
    <w:pPr>
      <w:tabs>
        <w:tab w:val="center" w:pos="4320"/>
        <w:tab w:val="right" w:pos="8640"/>
      </w:tabs>
    </w:pPr>
  </w:style>
  <w:style w:type="character" w:customStyle="1" w:styleId="FooterChar">
    <w:name w:val="Footer Char"/>
    <w:basedOn w:val="DefaultParagraphFont"/>
    <w:link w:val="Footer"/>
    <w:uiPriority w:val="99"/>
    <w:rsid w:val="003A7515"/>
  </w:style>
  <w:style w:type="character" w:styleId="PageNumber">
    <w:name w:val="page number"/>
    <w:basedOn w:val="DefaultParagraphFont"/>
    <w:uiPriority w:val="99"/>
    <w:semiHidden/>
    <w:unhideWhenUsed/>
    <w:rsid w:val="003A7515"/>
  </w:style>
  <w:style w:type="character" w:styleId="CommentReference">
    <w:name w:val="annotation reference"/>
    <w:basedOn w:val="DefaultParagraphFont"/>
    <w:uiPriority w:val="99"/>
    <w:semiHidden/>
    <w:unhideWhenUsed/>
    <w:rsid w:val="00DE22B3"/>
    <w:rPr>
      <w:sz w:val="18"/>
      <w:szCs w:val="18"/>
    </w:rPr>
  </w:style>
  <w:style w:type="paragraph" w:styleId="CommentText">
    <w:name w:val="annotation text"/>
    <w:basedOn w:val="Normal"/>
    <w:link w:val="CommentTextChar"/>
    <w:uiPriority w:val="99"/>
    <w:semiHidden/>
    <w:unhideWhenUsed/>
    <w:rsid w:val="00DE22B3"/>
  </w:style>
  <w:style w:type="character" w:customStyle="1" w:styleId="CommentTextChar">
    <w:name w:val="Comment Text Char"/>
    <w:basedOn w:val="DefaultParagraphFont"/>
    <w:link w:val="CommentText"/>
    <w:uiPriority w:val="99"/>
    <w:semiHidden/>
    <w:rsid w:val="00DE22B3"/>
  </w:style>
  <w:style w:type="paragraph" w:styleId="CommentSubject">
    <w:name w:val="annotation subject"/>
    <w:basedOn w:val="CommentText"/>
    <w:next w:val="CommentText"/>
    <w:link w:val="CommentSubjectChar"/>
    <w:uiPriority w:val="99"/>
    <w:semiHidden/>
    <w:unhideWhenUsed/>
    <w:rsid w:val="00DE22B3"/>
    <w:rPr>
      <w:b/>
      <w:bCs/>
      <w:sz w:val="20"/>
      <w:szCs w:val="20"/>
    </w:rPr>
  </w:style>
  <w:style w:type="character" w:customStyle="1" w:styleId="CommentSubjectChar">
    <w:name w:val="Comment Subject Char"/>
    <w:basedOn w:val="CommentTextChar"/>
    <w:link w:val="CommentSubject"/>
    <w:uiPriority w:val="99"/>
    <w:semiHidden/>
    <w:rsid w:val="00DE22B3"/>
    <w:rPr>
      <w:b/>
      <w:bCs/>
      <w:sz w:val="20"/>
      <w:szCs w:val="20"/>
    </w:rPr>
  </w:style>
  <w:style w:type="paragraph" w:styleId="BalloonText">
    <w:name w:val="Balloon Text"/>
    <w:basedOn w:val="Normal"/>
    <w:link w:val="BalloonTextChar"/>
    <w:uiPriority w:val="99"/>
    <w:semiHidden/>
    <w:unhideWhenUsed/>
    <w:rsid w:val="00DE22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2B3"/>
    <w:rPr>
      <w:rFonts w:ascii="Lucida Grande" w:hAnsi="Lucida Grande" w:cs="Lucida Grande"/>
      <w:sz w:val="18"/>
      <w:szCs w:val="18"/>
    </w:rPr>
  </w:style>
  <w:style w:type="character" w:styleId="FollowedHyperlink">
    <w:name w:val="FollowedHyperlink"/>
    <w:basedOn w:val="DefaultParagraphFont"/>
    <w:uiPriority w:val="99"/>
    <w:semiHidden/>
    <w:unhideWhenUsed/>
    <w:rsid w:val="00BB6089"/>
    <w:rPr>
      <w:color w:val="800080" w:themeColor="followedHyperlink"/>
      <w:u w:val="single"/>
    </w:rPr>
  </w:style>
  <w:style w:type="paragraph" w:styleId="TOC1">
    <w:name w:val="toc 1"/>
    <w:basedOn w:val="Normal"/>
    <w:next w:val="Normal"/>
    <w:autoRedefine/>
    <w:uiPriority w:val="39"/>
    <w:unhideWhenUsed/>
    <w:rsid w:val="00AA60D1"/>
    <w:pPr>
      <w:tabs>
        <w:tab w:val="left" w:pos="480"/>
        <w:tab w:val="right" w:leader="underscore" w:pos="9004"/>
      </w:tabs>
    </w:pPr>
    <w:rPr>
      <w:b/>
      <w:bCs/>
      <w:i/>
      <w:iCs/>
    </w:rPr>
  </w:style>
  <w:style w:type="paragraph" w:styleId="TOC2">
    <w:name w:val="toc 2"/>
    <w:basedOn w:val="Normal"/>
    <w:next w:val="Normal"/>
    <w:autoRedefine/>
    <w:uiPriority w:val="39"/>
    <w:unhideWhenUsed/>
    <w:rsid w:val="008A0C91"/>
    <w:pPr>
      <w:spacing w:before="120"/>
      <w:ind w:left="240"/>
    </w:pPr>
    <w:rPr>
      <w:b/>
      <w:bCs/>
      <w:sz w:val="22"/>
      <w:szCs w:val="22"/>
    </w:rPr>
  </w:style>
  <w:style w:type="paragraph" w:styleId="TOC3">
    <w:name w:val="toc 3"/>
    <w:basedOn w:val="Normal"/>
    <w:next w:val="Normal"/>
    <w:autoRedefine/>
    <w:uiPriority w:val="39"/>
    <w:unhideWhenUsed/>
    <w:rsid w:val="008A0C91"/>
    <w:pPr>
      <w:ind w:left="480"/>
    </w:pPr>
    <w:rPr>
      <w:sz w:val="20"/>
      <w:szCs w:val="20"/>
    </w:rPr>
  </w:style>
  <w:style w:type="paragraph" w:styleId="TOC4">
    <w:name w:val="toc 4"/>
    <w:basedOn w:val="Normal"/>
    <w:next w:val="Normal"/>
    <w:autoRedefine/>
    <w:uiPriority w:val="39"/>
    <w:unhideWhenUsed/>
    <w:rsid w:val="008A0C91"/>
    <w:pPr>
      <w:ind w:left="720"/>
    </w:pPr>
    <w:rPr>
      <w:sz w:val="20"/>
      <w:szCs w:val="20"/>
    </w:rPr>
  </w:style>
  <w:style w:type="paragraph" w:styleId="TOC5">
    <w:name w:val="toc 5"/>
    <w:basedOn w:val="Normal"/>
    <w:next w:val="Normal"/>
    <w:autoRedefine/>
    <w:uiPriority w:val="39"/>
    <w:unhideWhenUsed/>
    <w:rsid w:val="008A0C91"/>
    <w:pPr>
      <w:ind w:left="960"/>
    </w:pPr>
    <w:rPr>
      <w:sz w:val="20"/>
      <w:szCs w:val="20"/>
    </w:rPr>
  </w:style>
  <w:style w:type="paragraph" w:styleId="TOC6">
    <w:name w:val="toc 6"/>
    <w:basedOn w:val="Normal"/>
    <w:next w:val="Normal"/>
    <w:autoRedefine/>
    <w:uiPriority w:val="39"/>
    <w:unhideWhenUsed/>
    <w:rsid w:val="008A0C91"/>
    <w:pPr>
      <w:ind w:left="1200"/>
    </w:pPr>
    <w:rPr>
      <w:sz w:val="20"/>
      <w:szCs w:val="20"/>
    </w:rPr>
  </w:style>
  <w:style w:type="paragraph" w:styleId="TOC7">
    <w:name w:val="toc 7"/>
    <w:basedOn w:val="Normal"/>
    <w:next w:val="Normal"/>
    <w:autoRedefine/>
    <w:uiPriority w:val="39"/>
    <w:unhideWhenUsed/>
    <w:rsid w:val="008A0C91"/>
    <w:pPr>
      <w:ind w:left="1440"/>
    </w:pPr>
    <w:rPr>
      <w:sz w:val="20"/>
      <w:szCs w:val="20"/>
    </w:rPr>
  </w:style>
  <w:style w:type="paragraph" w:styleId="TOC8">
    <w:name w:val="toc 8"/>
    <w:basedOn w:val="Normal"/>
    <w:next w:val="Normal"/>
    <w:autoRedefine/>
    <w:uiPriority w:val="39"/>
    <w:unhideWhenUsed/>
    <w:rsid w:val="008A0C91"/>
    <w:pPr>
      <w:ind w:left="1680"/>
    </w:pPr>
    <w:rPr>
      <w:sz w:val="20"/>
      <w:szCs w:val="20"/>
    </w:rPr>
  </w:style>
  <w:style w:type="paragraph" w:styleId="TOC9">
    <w:name w:val="toc 9"/>
    <w:basedOn w:val="Normal"/>
    <w:next w:val="Normal"/>
    <w:autoRedefine/>
    <w:uiPriority w:val="39"/>
    <w:unhideWhenUsed/>
    <w:rsid w:val="008A0C91"/>
    <w:pPr>
      <w:ind w:left="1920"/>
    </w:pPr>
    <w:rPr>
      <w:sz w:val="20"/>
      <w:szCs w:val="20"/>
    </w:rPr>
  </w:style>
  <w:style w:type="character" w:customStyle="1" w:styleId="Mentionnonrsolue1">
    <w:name w:val="Mention non résolue1"/>
    <w:basedOn w:val="DefaultParagraphFont"/>
    <w:uiPriority w:val="99"/>
    <w:semiHidden/>
    <w:unhideWhenUsed/>
    <w:rsid w:val="00BD4525"/>
    <w:rPr>
      <w:color w:val="808080"/>
      <w:shd w:val="clear" w:color="auto" w:fill="E6E6E6"/>
    </w:rPr>
  </w:style>
  <w:style w:type="paragraph" w:styleId="NormalWeb">
    <w:name w:val="Normal (Web)"/>
    <w:basedOn w:val="Normal"/>
    <w:uiPriority w:val="99"/>
    <w:semiHidden/>
    <w:unhideWhenUsed/>
    <w:rsid w:val="001076DE"/>
    <w:pPr>
      <w:spacing w:before="100" w:beforeAutospacing="1" w:after="100" w:afterAutospacing="1"/>
    </w:pPr>
    <w:rPr>
      <w:rFonts w:ascii="Times New Roman" w:eastAsia="Times New Roman" w:hAnsi="Times New Roman" w:cs="Times New Roman"/>
      <w:lang w:val="fr-FR" w:eastAsia="fr-FR"/>
    </w:rPr>
  </w:style>
  <w:style w:type="character" w:styleId="HTMLAcronym">
    <w:name w:val="HTML Acronym"/>
    <w:basedOn w:val="DefaultParagraphFont"/>
    <w:uiPriority w:val="99"/>
    <w:semiHidden/>
    <w:unhideWhenUsed/>
    <w:rsid w:val="001076DE"/>
  </w:style>
  <w:style w:type="character" w:customStyle="1" w:styleId="apple-converted-space">
    <w:name w:val="apple-converted-space"/>
    <w:basedOn w:val="DefaultParagraphFont"/>
    <w:rsid w:val="001076DE"/>
  </w:style>
  <w:style w:type="table" w:styleId="TableGrid">
    <w:name w:val="Table Grid"/>
    <w:basedOn w:val="TableNormal"/>
    <w:uiPriority w:val="59"/>
    <w:rsid w:val="00F02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F022C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uiPriority w:val="72"/>
    <w:rsid w:val="00F022CB"/>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3E1B69"/>
    <w:pPr>
      <w:tabs>
        <w:tab w:val="center" w:pos="4536"/>
        <w:tab w:val="right" w:pos="9072"/>
      </w:tabs>
    </w:pPr>
  </w:style>
  <w:style w:type="character" w:customStyle="1" w:styleId="HeaderChar">
    <w:name w:val="Header Char"/>
    <w:basedOn w:val="DefaultParagraphFont"/>
    <w:link w:val="Header"/>
    <w:uiPriority w:val="99"/>
    <w:rsid w:val="003E1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2266">
      <w:bodyDiv w:val="1"/>
      <w:marLeft w:val="0"/>
      <w:marRight w:val="0"/>
      <w:marTop w:val="0"/>
      <w:marBottom w:val="0"/>
      <w:divBdr>
        <w:top w:val="none" w:sz="0" w:space="0" w:color="auto"/>
        <w:left w:val="none" w:sz="0" w:space="0" w:color="auto"/>
        <w:bottom w:val="none" w:sz="0" w:space="0" w:color="auto"/>
        <w:right w:val="none" w:sz="0" w:space="0" w:color="auto"/>
      </w:divBdr>
    </w:div>
    <w:div w:id="20403212">
      <w:bodyDiv w:val="1"/>
      <w:marLeft w:val="0"/>
      <w:marRight w:val="0"/>
      <w:marTop w:val="0"/>
      <w:marBottom w:val="0"/>
      <w:divBdr>
        <w:top w:val="none" w:sz="0" w:space="0" w:color="auto"/>
        <w:left w:val="none" w:sz="0" w:space="0" w:color="auto"/>
        <w:bottom w:val="none" w:sz="0" w:space="0" w:color="auto"/>
        <w:right w:val="none" w:sz="0" w:space="0" w:color="auto"/>
      </w:divBdr>
    </w:div>
    <w:div w:id="64841027">
      <w:bodyDiv w:val="1"/>
      <w:marLeft w:val="0"/>
      <w:marRight w:val="0"/>
      <w:marTop w:val="0"/>
      <w:marBottom w:val="0"/>
      <w:divBdr>
        <w:top w:val="none" w:sz="0" w:space="0" w:color="auto"/>
        <w:left w:val="none" w:sz="0" w:space="0" w:color="auto"/>
        <w:bottom w:val="none" w:sz="0" w:space="0" w:color="auto"/>
        <w:right w:val="none" w:sz="0" w:space="0" w:color="auto"/>
      </w:divBdr>
    </w:div>
    <w:div w:id="66196924">
      <w:bodyDiv w:val="1"/>
      <w:marLeft w:val="0"/>
      <w:marRight w:val="0"/>
      <w:marTop w:val="0"/>
      <w:marBottom w:val="0"/>
      <w:divBdr>
        <w:top w:val="none" w:sz="0" w:space="0" w:color="auto"/>
        <w:left w:val="none" w:sz="0" w:space="0" w:color="auto"/>
        <w:bottom w:val="none" w:sz="0" w:space="0" w:color="auto"/>
        <w:right w:val="none" w:sz="0" w:space="0" w:color="auto"/>
      </w:divBdr>
    </w:div>
    <w:div w:id="77137667">
      <w:bodyDiv w:val="1"/>
      <w:marLeft w:val="0"/>
      <w:marRight w:val="0"/>
      <w:marTop w:val="0"/>
      <w:marBottom w:val="0"/>
      <w:divBdr>
        <w:top w:val="none" w:sz="0" w:space="0" w:color="auto"/>
        <w:left w:val="none" w:sz="0" w:space="0" w:color="auto"/>
        <w:bottom w:val="none" w:sz="0" w:space="0" w:color="auto"/>
        <w:right w:val="none" w:sz="0" w:space="0" w:color="auto"/>
      </w:divBdr>
    </w:div>
    <w:div w:id="93281382">
      <w:bodyDiv w:val="1"/>
      <w:marLeft w:val="0"/>
      <w:marRight w:val="0"/>
      <w:marTop w:val="0"/>
      <w:marBottom w:val="0"/>
      <w:divBdr>
        <w:top w:val="none" w:sz="0" w:space="0" w:color="auto"/>
        <w:left w:val="none" w:sz="0" w:space="0" w:color="auto"/>
        <w:bottom w:val="none" w:sz="0" w:space="0" w:color="auto"/>
        <w:right w:val="none" w:sz="0" w:space="0" w:color="auto"/>
      </w:divBdr>
    </w:div>
    <w:div w:id="155462020">
      <w:bodyDiv w:val="1"/>
      <w:marLeft w:val="0"/>
      <w:marRight w:val="0"/>
      <w:marTop w:val="0"/>
      <w:marBottom w:val="0"/>
      <w:divBdr>
        <w:top w:val="none" w:sz="0" w:space="0" w:color="auto"/>
        <w:left w:val="none" w:sz="0" w:space="0" w:color="auto"/>
        <w:bottom w:val="none" w:sz="0" w:space="0" w:color="auto"/>
        <w:right w:val="none" w:sz="0" w:space="0" w:color="auto"/>
      </w:divBdr>
    </w:div>
    <w:div w:id="180823742">
      <w:bodyDiv w:val="1"/>
      <w:marLeft w:val="0"/>
      <w:marRight w:val="0"/>
      <w:marTop w:val="0"/>
      <w:marBottom w:val="0"/>
      <w:divBdr>
        <w:top w:val="none" w:sz="0" w:space="0" w:color="auto"/>
        <w:left w:val="none" w:sz="0" w:space="0" w:color="auto"/>
        <w:bottom w:val="none" w:sz="0" w:space="0" w:color="auto"/>
        <w:right w:val="none" w:sz="0" w:space="0" w:color="auto"/>
      </w:divBdr>
    </w:div>
    <w:div w:id="201748850">
      <w:bodyDiv w:val="1"/>
      <w:marLeft w:val="0"/>
      <w:marRight w:val="0"/>
      <w:marTop w:val="0"/>
      <w:marBottom w:val="0"/>
      <w:divBdr>
        <w:top w:val="none" w:sz="0" w:space="0" w:color="auto"/>
        <w:left w:val="none" w:sz="0" w:space="0" w:color="auto"/>
        <w:bottom w:val="none" w:sz="0" w:space="0" w:color="auto"/>
        <w:right w:val="none" w:sz="0" w:space="0" w:color="auto"/>
      </w:divBdr>
    </w:div>
    <w:div w:id="215090559">
      <w:bodyDiv w:val="1"/>
      <w:marLeft w:val="0"/>
      <w:marRight w:val="0"/>
      <w:marTop w:val="0"/>
      <w:marBottom w:val="0"/>
      <w:divBdr>
        <w:top w:val="none" w:sz="0" w:space="0" w:color="auto"/>
        <w:left w:val="none" w:sz="0" w:space="0" w:color="auto"/>
        <w:bottom w:val="none" w:sz="0" w:space="0" w:color="auto"/>
        <w:right w:val="none" w:sz="0" w:space="0" w:color="auto"/>
      </w:divBdr>
    </w:div>
    <w:div w:id="234559335">
      <w:bodyDiv w:val="1"/>
      <w:marLeft w:val="0"/>
      <w:marRight w:val="0"/>
      <w:marTop w:val="0"/>
      <w:marBottom w:val="0"/>
      <w:divBdr>
        <w:top w:val="none" w:sz="0" w:space="0" w:color="auto"/>
        <w:left w:val="none" w:sz="0" w:space="0" w:color="auto"/>
        <w:bottom w:val="none" w:sz="0" w:space="0" w:color="auto"/>
        <w:right w:val="none" w:sz="0" w:space="0" w:color="auto"/>
      </w:divBdr>
    </w:div>
    <w:div w:id="252057465">
      <w:bodyDiv w:val="1"/>
      <w:marLeft w:val="0"/>
      <w:marRight w:val="0"/>
      <w:marTop w:val="0"/>
      <w:marBottom w:val="0"/>
      <w:divBdr>
        <w:top w:val="none" w:sz="0" w:space="0" w:color="auto"/>
        <w:left w:val="none" w:sz="0" w:space="0" w:color="auto"/>
        <w:bottom w:val="none" w:sz="0" w:space="0" w:color="auto"/>
        <w:right w:val="none" w:sz="0" w:space="0" w:color="auto"/>
      </w:divBdr>
    </w:div>
    <w:div w:id="273173128">
      <w:bodyDiv w:val="1"/>
      <w:marLeft w:val="0"/>
      <w:marRight w:val="0"/>
      <w:marTop w:val="0"/>
      <w:marBottom w:val="0"/>
      <w:divBdr>
        <w:top w:val="none" w:sz="0" w:space="0" w:color="auto"/>
        <w:left w:val="none" w:sz="0" w:space="0" w:color="auto"/>
        <w:bottom w:val="none" w:sz="0" w:space="0" w:color="auto"/>
        <w:right w:val="none" w:sz="0" w:space="0" w:color="auto"/>
      </w:divBdr>
    </w:div>
    <w:div w:id="320278533">
      <w:bodyDiv w:val="1"/>
      <w:marLeft w:val="0"/>
      <w:marRight w:val="0"/>
      <w:marTop w:val="0"/>
      <w:marBottom w:val="0"/>
      <w:divBdr>
        <w:top w:val="none" w:sz="0" w:space="0" w:color="auto"/>
        <w:left w:val="none" w:sz="0" w:space="0" w:color="auto"/>
        <w:bottom w:val="none" w:sz="0" w:space="0" w:color="auto"/>
        <w:right w:val="none" w:sz="0" w:space="0" w:color="auto"/>
      </w:divBdr>
    </w:div>
    <w:div w:id="345720012">
      <w:bodyDiv w:val="1"/>
      <w:marLeft w:val="0"/>
      <w:marRight w:val="0"/>
      <w:marTop w:val="0"/>
      <w:marBottom w:val="0"/>
      <w:divBdr>
        <w:top w:val="none" w:sz="0" w:space="0" w:color="auto"/>
        <w:left w:val="none" w:sz="0" w:space="0" w:color="auto"/>
        <w:bottom w:val="none" w:sz="0" w:space="0" w:color="auto"/>
        <w:right w:val="none" w:sz="0" w:space="0" w:color="auto"/>
      </w:divBdr>
    </w:div>
    <w:div w:id="375276915">
      <w:bodyDiv w:val="1"/>
      <w:marLeft w:val="0"/>
      <w:marRight w:val="0"/>
      <w:marTop w:val="0"/>
      <w:marBottom w:val="0"/>
      <w:divBdr>
        <w:top w:val="none" w:sz="0" w:space="0" w:color="auto"/>
        <w:left w:val="none" w:sz="0" w:space="0" w:color="auto"/>
        <w:bottom w:val="none" w:sz="0" w:space="0" w:color="auto"/>
        <w:right w:val="none" w:sz="0" w:space="0" w:color="auto"/>
      </w:divBdr>
    </w:div>
    <w:div w:id="392854478">
      <w:bodyDiv w:val="1"/>
      <w:marLeft w:val="0"/>
      <w:marRight w:val="0"/>
      <w:marTop w:val="0"/>
      <w:marBottom w:val="0"/>
      <w:divBdr>
        <w:top w:val="none" w:sz="0" w:space="0" w:color="auto"/>
        <w:left w:val="none" w:sz="0" w:space="0" w:color="auto"/>
        <w:bottom w:val="none" w:sz="0" w:space="0" w:color="auto"/>
        <w:right w:val="none" w:sz="0" w:space="0" w:color="auto"/>
      </w:divBdr>
    </w:div>
    <w:div w:id="399401000">
      <w:bodyDiv w:val="1"/>
      <w:marLeft w:val="0"/>
      <w:marRight w:val="0"/>
      <w:marTop w:val="0"/>
      <w:marBottom w:val="0"/>
      <w:divBdr>
        <w:top w:val="none" w:sz="0" w:space="0" w:color="auto"/>
        <w:left w:val="none" w:sz="0" w:space="0" w:color="auto"/>
        <w:bottom w:val="none" w:sz="0" w:space="0" w:color="auto"/>
        <w:right w:val="none" w:sz="0" w:space="0" w:color="auto"/>
      </w:divBdr>
    </w:div>
    <w:div w:id="405735899">
      <w:bodyDiv w:val="1"/>
      <w:marLeft w:val="0"/>
      <w:marRight w:val="0"/>
      <w:marTop w:val="0"/>
      <w:marBottom w:val="0"/>
      <w:divBdr>
        <w:top w:val="none" w:sz="0" w:space="0" w:color="auto"/>
        <w:left w:val="none" w:sz="0" w:space="0" w:color="auto"/>
        <w:bottom w:val="none" w:sz="0" w:space="0" w:color="auto"/>
        <w:right w:val="none" w:sz="0" w:space="0" w:color="auto"/>
      </w:divBdr>
      <w:divsChild>
        <w:div w:id="778066601">
          <w:marLeft w:val="0"/>
          <w:marRight w:val="0"/>
          <w:marTop w:val="0"/>
          <w:marBottom w:val="0"/>
          <w:divBdr>
            <w:top w:val="none" w:sz="0" w:space="0" w:color="auto"/>
            <w:left w:val="none" w:sz="0" w:space="0" w:color="auto"/>
            <w:bottom w:val="none" w:sz="0" w:space="0" w:color="auto"/>
            <w:right w:val="none" w:sz="0" w:space="0" w:color="auto"/>
          </w:divBdr>
          <w:divsChild>
            <w:div w:id="1187406499">
              <w:marLeft w:val="0"/>
              <w:marRight w:val="0"/>
              <w:marTop w:val="0"/>
              <w:marBottom w:val="0"/>
              <w:divBdr>
                <w:top w:val="none" w:sz="0" w:space="0" w:color="auto"/>
                <w:left w:val="none" w:sz="0" w:space="0" w:color="auto"/>
                <w:bottom w:val="none" w:sz="0" w:space="0" w:color="auto"/>
                <w:right w:val="none" w:sz="0" w:space="0" w:color="auto"/>
              </w:divBdr>
              <w:divsChild>
                <w:div w:id="730540254">
                  <w:marLeft w:val="0"/>
                  <w:marRight w:val="0"/>
                  <w:marTop w:val="0"/>
                  <w:marBottom w:val="0"/>
                  <w:divBdr>
                    <w:top w:val="none" w:sz="0" w:space="0" w:color="auto"/>
                    <w:left w:val="none" w:sz="0" w:space="0" w:color="auto"/>
                    <w:bottom w:val="none" w:sz="0" w:space="0" w:color="auto"/>
                    <w:right w:val="none" w:sz="0" w:space="0" w:color="auto"/>
                  </w:divBdr>
                </w:div>
                <w:div w:id="18847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3412">
      <w:bodyDiv w:val="1"/>
      <w:marLeft w:val="0"/>
      <w:marRight w:val="0"/>
      <w:marTop w:val="0"/>
      <w:marBottom w:val="0"/>
      <w:divBdr>
        <w:top w:val="none" w:sz="0" w:space="0" w:color="auto"/>
        <w:left w:val="none" w:sz="0" w:space="0" w:color="auto"/>
        <w:bottom w:val="none" w:sz="0" w:space="0" w:color="auto"/>
        <w:right w:val="none" w:sz="0" w:space="0" w:color="auto"/>
      </w:divBdr>
    </w:div>
    <w:div w:id="464735158">
      <w:bodyDiv w:val="1"/>
      <w:marLeft w:val="0"/>
      <w:marRight w:val="0"/>
      <w:marTop w:val="0"/>
      <w:marBottom w:val="0"/>
      <w:divBdr>
        <w:top w:val="none" w:sz="0" w:space="0" w:color="auto"/>
        <w:left w:val="none" w:sz="0" w:space="0" w:color="auto"/>
        <w:bottom w:val="none" w:sz="0" w:space="0" w:color="auto"/>
        <w:right w:val="none" w:sz="0" w:space="0" w:color="auto"/>
      </w:divBdr>
    </w:div>
    <w:div w:id="465128376">
      <w:bodyDiv w:val="1"/>
      <w:marLeft w:val="0"/>
      <w:marRight w:val="0"/>
      <w:marTop w:val="0"/>
      <w:marBottom w:val="0"/>
      <w:divBdr>
        <w:top w:val="none" w:sz="0" w:space="0" w:color="auto"/>
        <w:left w:val="none" w:sz="0" w:space="0" w:color="auto"/>
        <w:bottom w:val="none" w:sz="0" w:space="0" w:color="auto"/>
        <w:right w:val="none" w:sz="0" w:space="0" w:color="auto"/>
      </w:divBdr>
    </w:div>
    <w:div w:id="474639694">
      <w:bodyDiv w:val="1"/>
      <w:marLeft w:val="0"/>
      <w:marRight w:val="0"/>
      <w:marTop w:val="0"/>
      <w:marBottom w:val="0"/>
      <w:divBdr>
        <w:top w:val="none" w:sz="0" w:space="0" w:color="auto"/>
        <w:left w:val="none" w:sz="0" w:space="0" w:color="auto"/>
        <w:bottom w:val="none" w:sz="0" w:space="0" w:color="auto"/>
        <w:right w:val="none" w:sz="0" w:space="0" w:color="auto"/>
      </w:divBdr>
    </w:div>
    <w:div w:id="480196377">
      <w:bodyDiv w:val="1"/>
      <w:marLeft w:val="0"/>
      <w:marRight w:val="0"/>
      <w:marTop w:val="0"/>
      <w:marBottom w:val="0"/>
      <w:divBdr>
        <w:top w:val="none" w:sz="0" w:space="0" w:color="auto"/>
        <w:left w:val="none" w:sz="0" w:space="0" w:color="auto"/>
        <w:bottom w:val="none" w:sz="0" w:space="0" w:color="auto"/>
        <w:right w:val="none" w:sz="0" w:space="0" w:color="auto"/>
      </w:divBdr>
    </w:div>
    <w:div w:id="499734651">
      <w:bodyDiv w:val="1"/>
      <w:marLeft w:val="0"/>
      <w:marRight w:val="0"/>
      <w:marTop w:val="0"/>
      <w:marBottom w:val="0"/>
      <w:divBdr>
        <w:top w:val="none" w:sz="0" w:space="0" w:color="auto"/>
        <w:left w:val="none" w:sz="0" w:space="0" w:color="auto"/>
        <w:bottom w:val="none" w:sz="0" w:space="0" w:color="auto"/>
        <w:right w:val="none" w:sz="0" w:space="0" w:color="auto"/>
      </w:divBdr>
    </w:div>
    <w:div w:id="516502214">
      <w:bodyDiv w:val="1"/>
      <w:marLeft w:val="0"/>
      <w:marRight w:val="0"/>
      <w:marTop w:val="0"/>
      <w:marBottom w:val="0"/>
      <w:divBdr>
        <w:top w:val="none" w:sz="0" w:space="0" w:color="auto"/>
        <w:left w:val="none" w:sz="0" w:space="0" w:color="auto"/>
        <w:bottom w:val="none" w:sz="0" w:space="0" w:color="auto"/>
        <w:right w:val="none" w:sz="0" w:space="0" w:color="auto"/>
      </w:divBdr>
    </w:div>
    <w:div w:id="530459551">
      <w:bodyDiv w:val="1"/>
      <w:marLeft w:val="0"/>
      <w:marRight w:val="0"/>
      <w:marTop w:val="0"/>
      <w:marBottom w:val="0"/>
      <w:divBdr>
        <w:top w:val="none" w:sz="0" w:space="0" w:color="auto"/>
        <w:left w:val="none" w:sz="0" w:space="0" w:color="auto"/>
        <w:bottom w:val="none" w:sz="0" w:space="0" w:color="auto"/>
        <w:right w:val="none" w:sz="0" w:space="0" w:color="auto"/>
      </w:divBdr>
      <w:divsChild>
        <w:div w:id="20055888">
          <w:marLeft w:val="0"/>
          <w:marRight w:val="0"/>
          <w:marTop w:val="0"/>
          <w:marBottom w:val="0"/>
          <w:divBdr>
            <w:top w:val="none" w:sz="0" w:space="0" w:color="auto"/>
            <w:left w:val="none" w:sz="0" w:space="0" w:color="auto"/>
            <w:bottom w:val="none" w:sz="0" w:space="0" w:color="auto"/>
            <w:right w:val="none" w:sz="0" w:space="0" w:color="auto"/>
          </w:divBdr>
        </w:div>
      </w:divsChild>
    </w:div>
    <w:div w:id="549341755">
      <w:bodyDiv w:val="1"/>
      <w:marLeft w:val="0"/>
      <w:marRight w:val="0"/>
      <w:marTop w:val="0"/>
      <w:marBottom w:val="0"/>
      <w:divBdr>
        <w:top w:val="none" w:sz="0" w:space="0" w:color="auto"/>
        <w:left w:val="none" w:sz="0" w:space="0" w:color="auto"/>
        <w:bottom w:val="none" w:sz="0" w:space="0" w:color="auto"/>
        <w:right w:val="none" w:sz="0" w:space="0" w:color="auto"/>
      </w:divBdr>
    </w:div>
    <w:div w:id="552471030">
      <w:bodyDiv w:val="1"/>
      <w:marLeft w:val="0"/>
      <w:marRight w:val="0"/>
      <w:marTop w:val="0"/>
      <w:marBottom w:val="0"/>
      <w:divBdr>
        <w:top w:val="none" w:sz="0" w:space="0" w:color="auto"/>
        <w:left w:val="none" w:sz="0" w:space="0" w:color="auto"/>
        <w:bottom w:val="none" w:sz="0" w:space="0" w:color="auto"/>
        <w:right w:val="none" w:sz="0" w:space="0" w:color="auto"/>
      </w:divBdr>
    </w:div>
    <w:div w:id="587665017">
      <w:bodyDiv w:val="1"/>
      <w:marLeft w:val="0"/>
      <w:marRight w:val="0"/>
      <w:marTop w:val="0"/>
      <w:marBottom w:val="0"/>
      <w:divBdr>
        <w:top w:val="none" w:sz="0" w:space="0" w:color="auto"/>
        <w:left w:val="none" w:sz="0" w:space="0" w:color="auto"/>
        <w:bottom w:val="none" w:sz="0" w:space="0" w:color="auto"/>
        <w:right w:val="none" w:sz="0" w:space="0" w:color="auto"/>
      </w:divBdr>
    </w:div>
    <w:div w:id="637026862">
      <w:bodyDiv w:val="1"/>
      <w:marLeft w:val="0"/>
      <w:marRight w:val="0"/>
      <w:marTop w:val="0"/>
      <w:marBottom w:val="0"/>
      <w:divBdr>
        <w:top w:val="none" w:sz="0" w:space="0" w:color="auto"/>
        <w:left w:val="none" w:sz="0" w:space="0" w:color="auto"/>
        <w:bottom w:val="none" w:sz="0" w:space="0" w:color="auto"/>
        <w:right w:val="none" w:sz="0" w:space="0" w:color="auto"/>
      </w:divBdr>
    </w:div>
    <w:div w:id="652223970">
      <w:bodyDiv w:val="1"/>
      <w:marLeft w:val="0"/>
      <w:marRight w:val="0"/>
      <w:marTop w:val="0"/>
      <w:marBottom w:val="0"/>
      <w:divBdr>
        <w:top w:val="none" w:sz="0" w:space="0" w:color="auto"/>
        <w:left w:val="none" w:sz="0" w:space="0" w:color="auto"/>
        <w:bottom w:val="none" w:sz="0" w:space="0" w:color="auto"/>
        <w:right w:val="none" w:sz="0" w:space="0" w:color="auto"/>
      </w:divBdr>
    </w:div>
    <w:div w:id="676006555">
      <w:bodyDiv w:val="1"/>
      <w:marLeft w:val="0"/>
      <w:marRight w:val="0"/>
      <w:marTop w:val="0"/>
      <w:marBottom w:val="0"/>
      <w:divBdr>
        <w:top w:val="none" w:sz="0" w:space="0" w:color="auto"/>
        <w:left w:val="none" w:sz="0" w:space="0" w:color="auto"/>
        <w:bottom w:val="none" w:sz="0" w:space="0" w:color="auto"/>
        <w:right w:val="none" w:sz="0" w:space="0" w:color="auto"/>
      </w:divBdr>
      <w:divsChild>
        <w:div w:id="875117199">
          <w:marLeft w:val="0"/>
          <w:marRight w:val="0"/>
          <w:marTop w:val="0"/>
          <w:marBottom w:val="0"/>
          <w:divBdr>
            <w:top w:val="none" w:sz="0" w:space="0" w:color="auto"/>
            <w:left w:val="none" w:sz="0" w:space="0" w:color="auto"/>
            <w:bottom w:val="none" w:sz="0" w:space="0" w:color="auto"/>
            <w:right w:val="none" w:sz="0" w:space="0" w:color="auto"/>
          </w:divBdr>
          <w:divsChild>
            <w:div w:id="1891724767">
              <w:marLeft w:val="0"/>
              <w:marRight w:val="0"/>
              <w:marTop w:val="0"/>
              <w:marBottom w:val="0"/>
              <w:divBdr>
                <w:top w:val="none" w:sz="0" w:space="0" w:color="auto"/>
                <w:left w:val="none" w:sz="0" w:space="0" w:color="auto"/>
                <w:bottom w:val="none" w:sz="0" w:space="0" w:color="auto"/>
                <w:right w:val="none" w:sz="0" w:space="0" w:color="auto"/>
              </w:divBdr>
              <w:divsChild>
                <w:div w:id="462697859">
                  <w:marLeft w:val="0"/>
                  <w:marRight w:val="0"/>
                  <w:marTop w:val="0"/>
                  <w:marBottom w:val="0"/>
                  <w:divBdr>
                    <w:top w:val="none" w:sz="0" w:space="0" w:color="auto"/>
                    <w:left w:val="none" w:sz="0" w:space="0" w:color="auto"/>
                    <w:bottom w:val="none" w:sz="0" w:space="0" w:color="auto"/>
                    <w:right w:val="none" w:sz="0" w:space="0" w:color="auto"/>
                  </w:divBdr>
                </w:div>
              </w:divsChild>
            </w:div>
            <w:div w:id="1811357456">
              <w:marLeft w:val="0"/>
              <w:marRight w:val="0"/>
              <w:marTop w:val="0"/>
              <w:marBottom w:val="0"/>
              <w:divBdr>
                <w:top w:val="none" w:sz="0" w:space="0" w:color="auto"/>
                <w:left w:val="none" w:sz="0" w:space="0" w:color="auto"/>
                <w:bottom w:val="none" w:sz="0" w:space="0" w:color="auto"/>
                <w:right w:val="none" w:sz="0" w:space="0" w:color="auto"/>
              </w:divBdr>
              <w:divsChild>
                <w:div w:id="5758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8654">
      <w:bodyDiv w:val="1"/>
      <w:marLeft w:val="0"/>
      <w:marRight w:val="0"/>
      <w:marTop w:val="0"/>
      <w:marBottom w:val="0"/>
      <w:divBdr>
        <w:top w:val="none" w:sz="0" w:space="0" w:color="auto"/>
        <w:left w:val="none" w:sz="0" w:space="0" w:color="auto"/>
        <w:bottom w:val="none" w:sz="0" w:space="0" w:color="auto"/>
        <w:right w:val="none" w:sz="0" w:space="0" w:color="auto"/>
      </w:divBdr>
    </w:div>
    <w:div w:id="770316454">
      <w:bodyDiv w:val="1"/>
      <w:marLeft w:val="0"/>
      <w:marRight w:val="0"/>
      <w:marTop w:val="0"/>
      <w:marBottom w:val="0"/>
      <w:divBdr>
        <w:top w:val="none" w:sz="0" w:space="0" w:color="auto"/>
        <w:left w:val="none" w:sz="0" w:space="0" w:color="auto"/>
        <w:bottom w:val="none" w:sz="0" w:space="0" w:color="auto"/>
        <w:right w:val="none" w:sz="0" w:space="0" w:color="auto"/>
      </w:divBdr>
    </w:div>
    <w:div w:id="791558130">
      <w:bodyDiv w:val="1"/>
      <w:marLeft w:val="0"/>
      <w:marRight w:val="0"/>
      <w:marTop w:val="0"/>
      <w:marBottom w:val="0"/>
      <w:divBdr>
        <w:top w:val="none" w:sz="0" w:space="0" w:color="auto"/>
        <w:left w:val="none" w:sz="0" w:space="0" w:color="auto"/>
        <w:bottom w:val="none" w:sz="0" w:space="0" w:color="auto"/>
        <w:right w:val="none" w:sz="0" w:space="0" w:color="auto"/>
      </w:divBdr>
    </w:div>
    <w:div w:id="800269635">
      <w:bodyDiv w:val="1"/>
      <w:marLeft w:val="0"/>
      <w:marRight w:val="0"/>
      <w:marTop w:val="0"/>
      <w:marBottom w:val="0"/>
      <w:divBdr>
        <w:top w:val="none" w:sz="0" w:space="0" w:color="auto"/>
        <w:left w:val="none" w:sz="0" w:space="0" w:color="auto"/>
        <w:bottom w:val="none" w:sz="0" w:space="0" w:color="auto"/>
        <w:right w:val="none" w:sz="0" w:space="0" w:color="auto"/>
      </w:divBdr>
    </w:div>
    <w:div w:id="850141595">
      <w:bodyDiv w:val="1"/>
      <w:marLeft w:val="0"/>
      <w:marRight w:val="0"/>
      <w:marTop w:val="0"/>
      <w:marBottom w:val="0"/>
      <w:divBdr>
        <w:top w:val="none" w:sz="0" w:space="0" w:color="auto"/>
        <w:left w:val="none" w:sz="0" w:space="0" w:color="auto"/>
        <w:bottom w:val="none" w:sz="0" w:space="0" w:color="auto"/>
        <w:right w:val="none" w:sz="0" w:space="0" w:color="auto"/>
      </w:divBdr>
      <w:divsChild>
        <w:div w:id="765729625">
          <w:marLeft w:val="0"/>
          <w:marRight w:val="0"/>
          <w:marTop w:val="0"/>
          <w:marBottom w:val="0"/>
          <w:divBdr>
            <w:top w:val="none" w:sz="0" w:space="0" w:color="auto"/>
            <w:left w:val="none" w:sz="0" w:space="0" w:color="auto"/>
            <w:bottom w:val="none" w:sz="0" w:space="0" w:color="auto"/>
            <w:right w:val="none" w:sz="0" w:space="0" w:color="auto"/>
          </w:divBdr>
          <w:divsChild>
            <w:div w:id="346370974">
              <w:marLeft w:val="0"/>
              <w:marRight w:val="0"/>
              <w:marTop w:val="0"/>
              <w:marBottom w:val="0"/>
              <w:divBdr>
                <w:top w:val="none" w:sz="0" w:space="0" w:color="auto"/>
                <w:left w:val="none" w:sz="0" w:space="0" w:color="auto"/>
                <w:bottom w:val="none" w:sz="0" w:space="0" w:color="auto"/>
                <w:right w:val="none" w:sz="0" w:space="0" w:color="auto"/>
              </w:divBdr>
              <w:divsChild>
                <w:div w:id="181549484">
                  <w:marLeft w:val="0"/>
                  <w:marRight w:val="0"/>
                  <w:marTop w:val="0"/>
                  <w:marBottom w:val="0"/>
                  <w:divBdr>
                    <w:top w:val="none" w:sz="0" w:space="0" w:color="auto"/>
                    <w:left w:val="none" w:sz="0" w:space="0" w:color="auto"/>
                    <w:bottom w:val="none" w:sz="0" w:space="0" w:color="auto"/>
                    <w:right w:val="none" w:sz="0" w:space="0" w:color="auto"/>
                  </w:divBdr>
                </w:div>
              </w:divsChild>
            </w:div>
            <w:div w:id="2113864088">
              <w:marLeft w:val="0"/>
              <w:marRight w:val="0"/>
              <w:marTop w:val="0"/>
              <w:marBottom w:val="0"/>
              <w:divBdr>
                <w:top w:val="none" w:sz="0" w:space="0" w:color="auto"/>
                <w:left w:val="none" w:sz="0" w:space="0" w:color="auto"/>
                <w:bottom w:val="none" w:sz="0" w:space="0" w:color="auto"/>
                <w:right w:val="none" w:sz="0" w:space="0" w:color="auto"/>
              </w:divBdr>
              <w:divsChild>
                <w:div w:id="13629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551742">
      <w:bodyDiv w:val="1"/>
      <w:marLeft w:val="0"/>
      <w:marRight w:val="0"/>
      <w:marTop w:val="0"/>
      <w:marBottom w:val="0"/>
      <w:divBdr>
        <w:top w:val="none" w:sz="0" w:space="0" w:color="auto"/>
        <w:left w:val="none" w:sz="0" w:space="0" w:color="auto"/>
        <w:bottom w:val="none" w:sz="0" w:space="0" w:color="auto"/>
        <w:right w:val="none" w:sz="0" w:space="0" w:color="auto"/>
      </w:divBdr>
    </w:div>
    <w:div w:id="885684247">
      <w:bodyDiv w:val="1"/>
      <w:marLeft w:val="0"/>
      <w:marRight w:val="0"/>
      <w:marTop w:val="0"/>
      <w:marBottom w:val="0"/>
      <w:divBdr>
        <w:top w:val="none" w:sz="0" w:space="0" w:color="auto"/>
        <w:left w:val="none" w:sz="0" w:space="0" w:color="auto"/>
        <w:bottom w:val="none" w:sz="0" w:space="0" w:color="auto"/>
        <w:right w:val="none" w:sz="0" w:space="0" w:color="auto"/>
      </w:divBdr>
    </w:div>
    <w:div w:id="901259702">
      <w:bodyDiv w:val="1"/>
      <w:marLeft w:val="0"/>
      <w:marRight w:val="0"/>
      <w:marTop w:val="0"/>
      <w:marBottom w:val="0"/>
      <w:divBdr>
        <w:top w:val="none" w:sz="0" w:space="0" w:color="auto"/>
        <w:left w:val="none" w:sz="0" w:space="0" w:color="auto"/>
        <w:bottom w:val="none" w:sz="0" w:space="0" w:color="auto"/>
        <w:right w:val="none" w:sz="0" w:space="0" w:color="auto"/>
      </w:divBdr>
    </w:div>
    <w:div w:id="909269888">
      <w:bodyDiv w:val="1"/>
      <w:marLeft w:val="0"/>
      <w:marRight w:val="0"/>
      <w:marTop w:val="0"/>
      <w:marBottom w:val="0"/>
      <w:divBdr>
        <w:top w:val="none" w:sz="0" w:space="0" w:color="auto"/>
        <w:left w:val="none" w:sz="0" w:space="0" w:color="auto"/>
        <w:bottom w:val="none" w:sz="0" w:space="0" w:color="auto"/>
        <w:right w:val="none" w:sz="0" w:space="0" w:color="auto"/>
      </w:divBdr>
      <w:divsChild>
        <w:div w:id="454711212">
          <w:marLeft w:val="0"/>
          <w:marRight w:val="0"/>
          <w:marTop w:val="0"/>
          <w:marBottom w:val="0"/>
          <w:divBdr>
            <w:top w:val="none" w:sz="0" w:space="0" w:color="auto"/>
            <w:left w:val="none" w:sz="0" w:space="0" w:color="auto"/>
            <w:bottom w:val="none" w:sz="0" w:space="0" w:color="auto"/>
            <w:right w:val="none" w:sz="0" w:space="0" w:color="auto"/>
          </w:divBdr>
        </w:div>
        <w:div w:id="89200517">
          <w:marLeft w:val="0"/>
          <w:marRight w:val="0"/>
          <w:marTop w:val="0"/>
          <w:marBottom w:val="0"/>
          <w:divBdr>
            <w:top w:val="none" w:sz="0" w:space="0" w:color="auto"/>
            <w:left w:val="none" w:sz="0" w:space="0" w:color="auto"/>
            <w:bottom w:val="none" w:sz="0" w:space="0" w:color="auto"/>
            <w:right w:val="none" w:sz="0" w:space="0" w:color="auto"/>
          </w:divBdr>
        </w:div>
        <w:div w:id="1258175128">
          <w:marLeft w:val="0"/>
          <w:marRight w:val="0"/>
          <w:marTop w:val="0"/>
          <w:marBottom w:val="0"/>
          <w:divBdr>
            <w:top w:val="none" w:sz="0" w:space="0" w:color="auto"/>
            <w:left w:val="none" w:sz="0" w:space="0" w:color="auto"/>
            <w:bottom w:val="none" w:sz="0" w:space="0" w:color="auto"/>
            <w:right w:val="none" w:sz="0" w:space="0" w:color="auto"/>
          </w:divBdr>
        </w:div>
        <w:div w:id="1318530133">
          <w:marLeft w:val="0"/>
          <w:marRight w:val="0"/>
          <w:marTop w:val="0"/>
          <w:marBottom w:val="0"/>
          <w:divBdr>
            <w:top w:val="none" w:sz="0" w:space="0" w:color="auto"/>
            <w:left w:val="none" w:sz="0" w:space="0" w:color="auto"/>
            <w:bottom w:val="none" w:sz="0" w:space="0" w:color="auto"/>
            <w:right w:val="none" w:sz="0" w:space="0" w:color="auto"/>
          </w:divBdr>
        </w:div>
        <w:div w:id="1176001378">
          <w:marLeft w:val="0"/>
          <w:marRight w:val="0"/>
          <w:marTop w:val="0"/>
          <w:marBottom w:val="0"/>
          <w:divBdr>
            <w:top w:val="none" w:sz="0" w:space="0" w:color="auto"/>
            <w:left w:val="none" w:sz="0" w:space="0" w:color="auto"/>
            <w:bottom w:val="none" w:sz="0" w:space="0" w:color="auto"/>
            <w:right w:val="none" w:sz="0" w:space="0" w:color="auto"/>
          </w:divBdr>
        </w:div>
        <w:div w:id="1662536624">
          <w:marLeft w:val="0"/>
          <w:marRight w:val="0"/>
          <w:marTop w:val="0"/>
          <w:marBottom w:val="0"/>
          <w:divBdr>
            <w:top w:val="none" w:sz="0" w:space="0" w:color="auto"/>
            <w:left w:val="none" w:sz="0" w:space="0" w:color="auto"/>
            <w:bottom w:val="none" w:sz="0" w:space="0" w:color="auto"/>
            <w:right w:val="none" w:sz="0" w:space="0" w:color="auto"/>
          </w:divBdr>
        </w:div>
      </w:divsChild>
    </w:div>
    <w:div w:id="913122597">
      <w:bodyDiv w:val="1"/>
      <w:marLeft w:val="0"/>
      <w:marRight w:val="0"/>
      <w:marTop w:val="0"/>
      <w:marBottom w:val="0"/>
      <w:divBdr>
        <w:top w:val="none" w:sz="0" w:space="0" w:color="auto"/>
        <w:left w:val="none" w:sz="0" w:space="0" w:color="auto"/>
        <w:bottom w:val="none" w:sz="0" w:space="0" w:color="auto"/>
        <w:right w:val="none" w:sz="0" w:space="0" w:color="auto"/>
      </w:divBdr>
    </w:div>
    <w:div w:id="968513005">
      <w:bodyDiv w:val="1"/>
      <w:marLeft w:val="0"/>
      <w:marRight w:val="0"/>
      <w:marTop w:val="0"/>
      <w:marBottom w:val="0"/>
      <w:divBdr>
        <w:top w:val="none" w:sz="0" w:space="0" w:color="auto"/>
        <w:left w:val="none" w:sz="0" w:space="0" w:color="auto"/>
        <w:bottom w:val="none" w:sz="0" w:space="0" w:color="auto"/>
        <w:right w:val="none" w:sz="0" w:space="0" w:color="auto"/>
      </w:divBdr>
    </w:div>
    <w:div w:id="982273997">
      <w:bodyDiv w:val="1"/>
      <w:marLeft w:val="0"/>
      <w:marRight w:val="0"/>
      <w:marTop w:val="0"/>
      <w:marBottom w:val="0"/>
      <w:divBdr>
        <w:top w:val="none" w:sz="0" w:space="0" w:color="auto"/>
        <w:left w:val="none" w:sz="0" w:space="0" w:color="auto"/>
        <w:bottom w:val="none" w:sz="0" w:space="0" w:color="auto"/>
        <w:right w:val="none" w:sz="0" w:space="0" w:color="auto"/>
      </w:divBdr>
    </w:div>
    <w:div w:id="1001203848">
      <w:bodyDiv w:val="1"/>
      <w:marLeft w:val="0"/>
      <w:marRight w:val="0"/>
      <w:marTop w:val="0"/>
      <w:marBottom w:val="0"/>
      <w:divBdr>
        <w:top w:val="none" w:sz="0" w:space="0" w:color="auto"/>
        <w:left w:val="none" w:sz="0" w:space="0" w:color="auto"/>
        <w:bottom w:val="none" w:sz="0" w:space="0" w:color="auto"/>
        <w:right w:val="none" w:sz="0" w:space="0" w:color="auto"/>
      </w:divBdr>
    </w:div>
    <w:div w:id="1020013791">
      <w:bodyDiv w:val="1"/>
      <w:marLeft w:val="0"/>
      <w:marRight w:val="0"/>
      <w:marTop w:val="0"/>
      <w:marBottom w:val="0"/>
      <w:divBdr>
        <w:top w:val="none" w:sz="0" w:space="0" w:color="auto"/>
        <w:left w:val="none" w:sz="0" w:space="0" w:color="auto"/>
        <w:bottom w:val="none" w:sz="0" w:space="0" w:color="auto"/>
        <w:right w:val="none" w:sz="0" w:space="0" w:color="auto"/>
      </w:divBdr>
    </w:div>
    <w:div w:id="1020350426">
      <w:bodyDiv w:val="1"/>
      <w:marLeft w:val="0"/>
      <w:marRight w:val="0"/>
      <w:marTop w:val="0"/>
      <w:marBottom w:val="0"/>
      <w:divBdr>
        <w:top w:val="none" w:sz="0" w:space="0" w:color="auto"/>
        <w:left w:val="none" w:sz="0" w:space="0" w:color="auto"/>
        <w:bottom w:val="none" w:sz="0" w:space="0" w:color="auto"/>
        <w:right w:val="none" w:sz="0" w:space="0" w:color="auto"/>
      </w:divBdr>
    </w:div>
    <w:div w:id="1046564974">
      <w:bodyDiv w:val="1"/>
      <w:marLeft w:val="0"/>
      <w:marRight w:val="0"/>
      <w:marTop w:val="0"/>
      <w:marBottom w:val="0"/>
      <w:divBdr>
        <w:top w:val="none" w:sz="0" w:space="0" w:color="auto"/>
        <w:left w:val="none" w:sz="0" w:space="0" w:color="auto"/>
        <w:bottom w:val="none" w:sz="0" w:space="0" w:color="auto"/>
        <w:right w:val="none" w:sz="0" w:space="0" w:color="auto"/>
      </w:divBdr>
    </w:div>
    <w:div w:id="1089350650">
      <w:bodyDiv w:val="1"/>
      <w:marLeft w:val="0"/>
      <w:marRight w:val="0"/>
      <w:marTop w:val="0"/>
      <w:marBottom w:val="0"/>
      <w:divBdr>
        <w:top w:val="none" w:sz="0" w:space="0" w:color="auto"/>
        <w:left w:val="none" w:sz="0" w:space="0" w:color="auto"/>
        <w:bottom w:val="none" w:sz="0" w:space="0" w:color="auto"/>
        <w:right w:val="none" w:sz="0" w:space="0" w:color="auto"/>
      </w:divBdr>
    </w:div>
    <w:div w:id="1090078491">
      <w:bodyDiv w:val="1"/>
      <w:marLeft w:val="0"/>
      <w:marRight w:val="0"/>
      <w:marTop w:val="0"/>
      <w:marBottom w:val="0"/>
      <w:divBdr>
        <w:top w:val="none" w:sz="0" w:space="0" w:color="auto"/>
        <w:left w:val="none" w:sz="0" w:space="0" w:color="auto"/>
        <w:bottom w:val="none" w:sz="0" w:space="0" w:color="auto"/>
        <w:right w:val="none" w:sz="0" w:space="0" w:color="auto"/>
      </w:divBdr>
    </w:div>
    <w:div w:id="1099064875">
      <w:bodyDiv w:val="1"/>
      <w:marLeft w:val="0"/>
      <w:marRight w:val="0"/>
      <w:marTop w:val="0"/>
      <w:marBottom w:val="0"/>
      <w:divBdr>
        <w:top w:val="none" w:sz="0" w:space="0" w:color="auto"/>
        <w:left w:val="none" w:sz="0" w:space="0" w:color="auto"/>
        <w:bottom w:val="none" w:sz="0" w:space="0" w:color="auto"/>
        <w:right w:val="none" w:sz="0" w:space="0" w:color="auto"/>
      </w:divBdr>
    </w:div>
    <w:div w:id="1099258586">
      <w:bodyDiv w:val="1"/>
      <w:marLeft w:val="0"/>
      <w:marRight w:val="0"/>
      <w:marTop w:val="0"/>
      <w:marBottom w:val="0"/>
      <w:divBdr>
        <w:top w:val="none" w:sz="0" w:space="0" w:color="auto"/>
        <w:left w:val="none" w:sz="0" w:space="0" w:color="auto"/>
        <w:bottom w:val="none" w:sz="0" w:space="0" w:color="auto"/>
        <w:right w:val="none" w:sz="0" w:space="0" w:color="auto"/>
      </w:divBdr>
    </w:div>
    <w:div w:id="1129203199">
      <w:bodyDiv w:val="1"/>
      <w:marLeft w:val="0"/>
      <w:marRight w:val="0"/>
      <w:marTop w:val="0"/>
      <w:marBottom w:val="0"/>
      <w:divBdr>
        <w:top w:val="none" w:sz="0" w:space="0" w:color="auto"/>
        <w:left w:val="none" w:sz="0" w:space="0" w:color="auto"/>
        <w:bottom w:val="none" w:sz="0" w:space="0" w:color="auto"/>
        <w:right w:val="none" w:sz="0" w:space="0" w:color="auto"/>
      </w:divBdr>
      <w:divsChild>
        <w:div w:id="1278291963">
          <w:marLeft w:val="0"/>
          <w:marRight w:val="0"/>
          <w:marTop w:val="0"/>
          <w:marBottom w:val="0"/>
          <w:divBdr>
            <w:top w:val="none" w:sz="0" w:space="0" w:color="auto"/>
            <w:left w:val="none" w:sz="0" w:space="0" w:color="auto"/>
            <w:bottom w:val="none" w:sz="0" w:space="0" w:color="auto"/>
            <w:right w:val="none" w:sz="0" w:space="0" w:color="auto"/>
          </w:divBdr>
        </w:div>
      </w:divsChild>
    </w:div>
    <w:div w:id="1159468747">
      <w:bodyDiv w:val="1"/>
      <w:marLeft w:val="0"/>
      <w:marRight w:val="0"/>
      <w:marTop w:val="0"/>
      <w:marBottom w:val="0"/>
      <w:divBdr>
        <w:top w:val="none" w:sz="0" w:space="0" w:color="auto"/>
        <w:left w:val="none" w:sz="0" w:space="0" w:color="auto"/>
        <w:bottom w:val="none" w:sz="0" w:space="0" w:color="auto"/>
        <w:right w:val="none" w:sz="0" w:space="0" w:color="auto"/>
      </w:divBdr>
    </w:div>
    <w:div w:id="1160392052">
      <w:bodyDiv w:val="1"/>
      <w:marLeft w:val="0"/>
      <w:marRight w:val="0"/>
      <w:marTop w:val="0"/>
      <w:marBottom w:val="0"/>
      <w:divBdr>
        <w:top w:val="none" w:sz="0" w:space="0" w:color="auto"/>
        <w:left w:val="none" w:sz="0" w:space="0" w:color="auto"/>
        <w:bottom w:val="none" w:sz="0" w:space="0" w:color="auto"/>
        <w:right w:val="none" w:sz="0" w:space="0" w:color="auto"/>
      </w:divBdr>
    </w:div>
    <w:div w:id="1163471895">
      <w:bodyDiv w:val="1"/>
      <w:marLeft w:val="0"/>
      <w:marRight w:val="0"/>
      <w:marTop w:val="0"/>
      <w:marBottom w:val="0"/>
      <w:divBdr>
        <w:top w:val="none" w:sz="0" w:space="0" w:color="auto"/>
        <w:left w:val="none" w:sz="0" w:space="0" w:color="auto"/>
        <w:bottom w:val="none" w:sz="0" w:space="0" w:color="auto"/>
        <w:right w:val="none" w:sz="0" w:space="0" w:color="auto"/>
      </w:divBdr>
    </w:div>
    <w:div w:id="1169639870">
      <w:bodyDiv w:val="1"/>
      <w:marLeft w:val="0"/>
      <w:marRight w:val="0"/>
      <w:marTop w:val="0"/>
      <w:marBottom w:val="0"/>
      <w:divBdr>
        <w:top w:val="none" w:sz="0" w:space="0" w:color="auto"/>
        <w:left w:val="none" w:sz="0" w:space="0" w:color="auto"/>
        <w:bottom w:val="none" w:sz="0" w:space="0" w:color="auto"/>
        <w:right w:val="none" w:sz="0" w:space="0" w:color="auto"/>
      </w:divBdr>
    </w:div>
    <w:div w:id="1184593444">
      <w:bodyDiv w:val="1"/>
      <w:marLeft w:val="0"/>
      <w:marRight w:val="0"/>
      <w:marTop w:val="0"/>
      <w:marBottom w:val="0"/>
      <w:divBdr>
        <w:top w:val="none" w:sz="0" w:space="0" w:color="auto"/>
        <w:left w:val="none" w:sz="0" w:space="0" w:color="auto"/>
        <w:bottom w:val="none" w:sz="0" w:space="0" w:color="auto"/>
        <w:right w:val="none" w:sz="0" w:space="0" w:color="auto"/>
      </w:divBdr>
    </w:div>
    <w:div w:id="1185821258">
      <w:bodyDiv w:val="1"/>
      <w:marLeft w:val="0"/>
      <w:marRight w:val="0"/>
      <w:marTop w:val="0"/>
      <w:marBottom w:val="0"/>
      <w:divBdr>
        <w:top w:val="none" w:sz="0" w:space="0" w:color="auto"/>
        <w:left w:val="none" w:sz="0" w:space="0" w:color="auto"/>
        <w:bottom w:val="none" w:sz="0" w:space="0" w:color="auto"/>
        <w:right w:val="none" w:sz="0" w:space="0" w:color="auto"/>
      </w:divBdr>
    </w:div>
    <w:div w:id="1190533050">
      <w:bodyDiv w:val="1"/>
      <w:marLeft w:val="0"/>
      <w:marRight w:val="0"/>
      <w:marTop w:val="0"/>
      <w:marBottom w:val="0"/>
      <w:divBdr>
        <w:top w:val="none" w:sz="0" w:space="0" w:color="auto"/>
        <w:left w:val="none" w:sz="0" w:space="0" w:color="auto"/>
        <w:bottom w:val="none" w:sz="0" w:space="0" w:color="auto"/>
        <w:right w:val="none" w:sz="0" w:space="0" w:color="auto"/>
      </w:divBdr>
    </w:div>
    <w:div w:id="1190921736">
      <w:bodyDiv w:val="1"/>
      <w:marLeft w:val="0"/>
      <w:marRight w:val="0"/>
      <w:marTop w:val="0"/>
      <w:marBottom w:val="0"/>
      <w:divBdr>
        <w:top w:val="none" w:sz="0" w:space="0" w:color="auto"/>
        <w:left w:val="none" w:sz="0" w:space="0" w:color="auto"/>
        <w:bottom w:val="none" w:sz="0" w:space="0" w:color="auto"/>
        <w:right w:val="none" w:sz="0" w:space="0" w:color="auto"/>
      </w:divBdr>
    </w:div>
    <w:div w:id="1195197667">
      <w:bodyDiv w:val="1"/>
      <w:marLeft w:val="0"/>
      <w:marRight w:val="0"/>
      <w:marTop w:val="0"/>
      <w:marBottom w:val="0"/>
      <w:divBdr>
        <w:top w:val="none" w:sz="0" w:space="0" w:color="auto"/>
        <w:left w:val="none" w:sz="0" w:space="0" w:color="auto"/>
        <w:bottom w:val="none" w:sz="0" w:space="0" w:color="auto"/>
        <w:right w:val="none" w:sz="0" w:space="0" w:color="auto"/>
      </w:divBdr>
    </w:div>
    <w:div w:id="1212499839">
      <w:bodyDiv w:val="1"/>
      <w:marLeft w:val="0"/>
      <w:marRight w:val="0"/>
      <w:marTop w:val="0"/>
      <w:marBottom w:val="0"/>
      <w:divBdr>
        <w:top w:val="none" w:sz="0" w:space="0" w:color="auto"/>
        <w:left w:val="none" w:sz="0" w:space="0" w:color="auto"/>
        <w:bottom w:val="none" w:sz="0" w:space="0" w:color="auto"/>
        <w:right w:val="none" w:sz="0" w:space="0" w:color="auto"/>
      </w:divBdr>
    </w:div>
    <w:div w:id="1215001641">
      <w:bodyDiv w:val="1"/>
      <w:marLeft w:val="0"/>
      <w:marRight w:val="0"/>
      <w:marTop w:val="0"/>
      <w:marBottom w:val="0"/>
      <w:divBdr>
        <w:top w:val="none" w:sz="0" w:space="0" w:color="auto"/>
        <w:left w:val="none" w:sz="0" w:space="0" w:color="auto"/>
        <w:bottom w:val="none" w:sz="0" w:space="0" w:color="auto"/>
        <w:right w:val="none" w:sz="0" w:space="0" w:color="auto"/>
      </w:divBdr>
    </w:div>
    <w:div w:id="1258905080">
      <w:bodyDiv w:val="1"/>
      <w:marLeft w:val="0"/>
      <w:marRight w:val="0"/>
      <w:marTop w:val="0"/>
      <w:marBottom w:val="0"/>
      <w:divBdr>
        <w:top w:val="none" w:sz="0" w:space="0" w:color="auto"/>
        <w:left w:val="none" w:sz="0" w:space="0" w:color="auto"/>
        <w:bottom w:val="none" w:sz="0" w:space="0" w:color="auto"/>
        <w:right w:val="none" w:sz="0" w:space="0" w:color="auto"/>
      </w:divBdr>
    </w:div>
    <w:div w:id="1265378802">
      <w:bodyDiv w:val="1"/>
      <w:marLeft w:val="0"/>
      <w:marRight w:val="0"/>
      <w:marTop w:val="0"/>
      <w:marBottom w:val="0"/>
      <w:divBdr>
        <w:top w:val="none" w:sz="0" w:space="0" w:color="auto"/>
        <w:left w:val="none" w:sz="0" w:space="0" w:color="auto"/>
        <w:bottom w:val="none" w:sz="0" w:space="0" w:color="auto"/>
        <w:right w:val="none" w:sz="0" w:space="0" w:color="auto"/>
      </w:divBdr>
    </w:div>
    <w:div w:id="1287390317">
      <w:bodyDiv w:val="1"/>
      <w:marLeft w:val="0"/>
      <w:marRight w:val="0"/>
      <w:marTop w:val="0"/>
      <w:marBottom w:val="0"/>
      <w:divBdr>
        <w:top w:val="none" w:sz="0" w:space="0" w:color="auto"/>
        <w:left w:val="none" w:sz="0" w:space="0" w:color="auto"/>
        <w:bottom w:val="none" w:sz="0" w:space="0" w:color="auto"/>
        <w:right w:val="none" w:sz="0" w:space="0" w:color="auto"/>
      </w:divBdr>
    </w:div>
    <w:div w:id="1296830855">
      <w:bodyDiv w:val="1"/>
      <w:marLeft w:val="0"/>
      <w:marRight w:val="0"/>
      <w:marTop w:val="0"/>
      <w:marBottom w:val="0"/>
      <w:divBdr>
        <w:top w:val="none" w:sz="0" w:space="0" w:color="auto"/>
        <w:left w:val="none" w:sz="0" w:space="0" w:color="auto"/>
        <w:bottom w:val="none" w:sz="0" w:space="0" w:color="auto"/>
        <w:right w:val="none" w:sz="0" w:space="0" w:color="auto"/>
      </w:divBdr>
    </w:div>
    <w:div w:id="1306664213">
      <w:bodyDiv w:val="1"/>
      <w:marLeft w:val="0"/>
      <w:marRight w:val="0"/>
      <w:marTop w:val="0"/>
      <w:marBottom w:val="0"/>
      <w:divBdr>
        <w:top w:val="none" w:sz="0" w:space="0" w:color="auto"/>
        <w:left w:val="none" w:sz="0" w:space="0" w:color="auto"/>
        <w:bottom w:val="none" w:sz="0" w:space="0" w:color="auto"/>
        <w:right w:val="none" w:sz="0" w:space="0" w:color="auto"/>
      </w:divBdr>
    </w:div>
    <w:div w:id="1324822807">
      <w:bodyDiv w:val="1"/>
      <w:marLeft w:val="0"/>
      <w:marRight w:val="0"/>
      <w:marTop w:val="0"/>
      <w:marBottom w:val="0"/>
      <w:divBdr>
        <w:top w:val="none" w:sz="0" w:space="0" w:color="auto"/>
        <w:left w:val="none" w:sz="0" w:space="0" w:color="auto"/>
        <w:bottom w:val="none" w:sz="0" w:space="0" w:color="auto"/>
        <w:right w:val="none" w:sz="0" w:space="0" w:color="auto"/>
      </w:divBdr>
    </w:div>
    <w:div w:id="1393236693">
      <w:bodyDiv w:val="1"/>
      <w:marLeft w:val="0"/>
      <w:marRight w:val="0"/>
      <w:marTop w:val="0"/>
      <w:marBottom w:val="0"/>
      <w:divBdr>
        <w:top w:val="none" w:sz="0" w:space="0" w:color="auto"/>
        <w:left w:val="none" w:sz="0" w:space="0" w:color="auto"/>
        <w:bottom w:val="none" w:sz="0" w:space="0" w:color="auto"/>
        <w:right w:val="none" w:sz="0" w:space="0" w:color="auto"/>
      </w:divBdr>
    </w:div>
    <w:div w:id="1393577499">
      <w:bodyDiv w:val="1"/>
      <w:marLeft w:val="0"/>
      <w:marRight w:val="0"/>
      <w:marTop w:val="0"/>
      <w:marBottom w:val="0"/>
      <w:divBdr>
        <w:top w:val="none" w:sz="0" w:space="0" w:color="auto"/>
        <w:left w:val="none" w:sz="0" w:space="0" w:color="auto"/>
        <w:bottom w:val="none" w:sz="0" w:space="0" w:color="auto"/>
        <w:right w:val="none" w:sz="0" w:space="0" w:color="auto"/>
      </w:divBdr>
    </w:div>
    <w:div w:id="1432777641">
      <w:bodyDiv w:val="1"/>
      <w:marLeft w:val="0"/>
      <w:marRight w:val="0"/>
      <w:marTop w:val="0"/>
      <w:marBottom w:val="0"/>
      <w:divBdr>
        <w:top w:val="none" w:sz="0" w:space="0" w:color="auto"/>
        <w:left w:val="none" w:sz="0" w:space="0" w:color="auto"/>
        <w:bottom w:val="none" w:sz="0" w:space="0" w:color="auto"/>
        <w:right w:val="none" w:sz="0" w:space="0" w:color="auto"/>
      </w:divBdr>
    </w:div>
    <w:div w:id="1448964680">
      <w:bodyDiv w:val="1"/>
      <w:marLeft w:val="0"/>
      <w:marRight w:val="0"/>
      <w:marTop w:val="0"/>
      <w:marBottom w:val="0"/>
      <w:divBdr>
        <w:top w:val="none" w:sz="0" w:space="0" w:color="auto"/>
        <w:left w:val="none" w:sz="0" w:space="0" w:color="auto"/>
        <w:bottom w:val="none" w:sz="0" w:space="0" w:color="auto"/>
        <w:right w:val="none" w:sz="0" w:space="0" w:color="auto"/>
      </w:divBdr>
    </w:div>
    <w:div w:id="1469517970">
      <w:bodyDiv w:val="1"/>
      <w:marLeft w:val="0"/>
      <w:marRight w:val="0"/>
      <w:marTop w:val="0"/>
      <w:marBottom w:val="0"/>
      <w:divBdr>
        <w:top w:val="none" w:sz="0" w:space="0" w:color="auto"/>
        <w:left w:val="none" w:sz="0" w:space="0" w:color="auto"/>
        <w:bottom w:val="none" w:sz="0" w:space="0" w:color="auto"/>
        <w:right w:val="none" w:sz="0" w:space="0" w:color="auto"/>
      </w:divBdr>
    </w:div>
    <w:div w:id="1478061570">
      <w:bodyDiv w:val="1"/>
      <w:marLeft w:val="0"/>
      <w:marRight w:val="0"/>
      <w:marTop w:val="0"/>
      <w:marBottom w:val="0"/>
      <w:divBdr>
        <w:top w:val="none" w:sz="0" w:space="0" w:color="auto"/>
        <w:left w:val="none" w:sz="0" w:space="0" w:color="auto"/>
        <w:bottom w:val="none" w:sz="0" w:space="0" w:color="auto"/>
        <w:right w:val="none" w:sz="0" w:space="0" w:color="auto"/>
      </w:divBdr>
    </w:div>
    <w:div w:id="1488354596">
      <w:bodyDiv w:val="1"/>
      <w:marLeft w:val="0"/>
      <w:marRight w:val="0"/>
      <w:marTop w:val="0"/>
      <w:marBottom w:val="0"/>
      <w:divBdr>
        <w:top w:val="none" w:sz="0" w:space="0" w:color="auto"/>
        <w:left w:val="none" w:sz="0" w:space="0" w:color="auto"/>
        <w:bottom w:val="none" w:sz="0" w:space="0" w:color="auto"/>
        <w:right w:val="none" w:sz="0" w:space="0" w:color="auto"/>
      </w:divBdr>
    </w:div>
    <w:div w:id="1503858533">
      <w:bodyDiv w:val="1"/>
      <w:marLeft w:val="0"/>
      <w:marRight w:val="0"/>
      <w:marTop w:val="0"/>
      <w:marBottom w:val="0"/>
      <w:divBdr>
        <w:top w:val="none" w:sz="0" w:space="0" w:color="auto"/>
        <w:left w:val="none" w:sz="0" w:space="0" w:color="auto"/>
        <w:bottom w:val="none" w:sz="0" w:space="0" w:color="auto"/>
        <w:right w:val="none" w:sz="0" w:space="0" w:color="auto"/>
      </w:divBdr>
    </w:div>
    <w:div w:id="1550067847">
      <w:bodyDiv w:val="1"/>
      <w:marLeft w:val="0"/>
      <w:marRight w:val="0"/>
      <w:marTop w:val="0"/>
      <w:marBottom w:val="0"/>
      <w:divBdr>
        <w:top w:val="none" w:sz="0" w:space="0" w:color="auto"/>
        <w:left w:val="none" w:sz="0" w:space="0" w:color="auto"/>
        <w:bottom w:val="none" w:sz="0" w:space="0" w:color="auto"/>
        <w:right w:val="none" w:sz="0" w:space="0" w:color="auto"/>
      </w:divBdr>
    </w:div>
    <w:div w:id="1574659450">
      <w:bodyDiv w:val="1"/>
      <w:marLeft w:val="0"/>
      <w:marRight w:val="0"/>
      <w:marTop w:val="0"/>
      <w:marBottom w:val="0"/>
      <w:divBdr>
        <w:top w:val="none" w:sz="0" w:space="0" w:color="auto"/>
        <w:left w:val="none" w:sz="0" w:space="0" w:color="auto"/>
        <w:bottom w:val="none" w:sz="0" w:space="0" w:color="auto"/>
        <w:right w:val="none" w:sz="0" w:space="0" w:color="auto"/>
      </w:divBdr>
    </w:div>
    <w:div w:id="1575773169">
      <w:bodyDiv w:val="1"/>
      <w:marLeft w:val="0"/>
      <w:marRight w:val="0"/>
      <w:marTop w:val="0"/>
      <w:marBottom w:val="0"/>
      <w:divBdr>
        <w:top w:val="none" w:sz="0" w:space="0" w:color="auto"/>
        <w:left w:val="none" w:sz="0" w:space="0" w:color="auto"/>
        <w:bottom w:val="none" w:sz="0" w:space="0" w:color="auto"/>
        <w:right w:val="none" w:sz="0" w:space="0" w:color="auto"/>
      </w:divBdr>
    </w:div>
    <w:div w:id="1580478403">
      <w:bodyDiv w:val="1"/>
      <w:marLeft w:val="0"/>
      <w:marRight w:val="0"/>
      <w:marTop w:val="0"/>
      <w:marBottom w:val="0"/>
      <w:divBdr>
        <w:top w:val="none" w:sz="0" w:space="0" w:color="auto"/>
        <w:left w:val="none" w:sz="0" w:space="0" w:color="auto"/>
        <w:bottom w:val="none" w:sz="0" w:space="0" w:color="auto"/>
        <w:right w:val="none" w:sz="0" w:space="0" w:color="auto"/>
      </w:divBdr>
    </w:div>
    <w:div w:id="1608736294">
      <w:bodyDiv w:val="1"/>
      <w:marLeft w:val="0"/>
      <w:marRight w:val="0"/>
      <w:marTop w:val="0"/>
      <w:marBottom w:val="0"/>
      <w:divBdr>
        <w:top w:val="none" w:sz="0" w:space="0" w:color="auto"/>
        <w:left w:val="none" w:sz="0" w:space="0" w:color="auto"/>
        <w:bottom w:val="none" w:sz="0" w:space="0" w:color="auto"/>
        <w:right w:val="none" w:sz="0" w:space="0" w:color="auto"/>
      </w:divBdr>
    </w:div>
    <w:div w:id="1628272324">
      <w:bodyDiv w:val="1"/>
      <w:marLeft w:val="0"/>
      <w:marRight w:val="0"/>
      <w:marTop w:val="0"/>
      <w:marBottom w:val="0"/>
      <w:divBdr>
        <w:top w:val="none" w:sz="0" w:space="0" w:color="auto"/>
        <w:left w:val="none" w:sz="0" w:space="0" w:color="auto"/>
        <w:bottom w:val="none" w:sz="0" w:space="0" w:color="auto"/>
        <w:right w:val="none" w:sz="0" w:space="0" w:color="auto"/>
      </w:divBdr>
    </w:div>
    <w:div w:id="1657227658">
      <w:bodyDiv w:val="1"/>
      <w:marLeft w:val="0"/>
      <w:marRight w:val="0"/>
      <w:marTop w:val="0"/>
      <w:marBottom w:val="0"/>
      <w:divBdr>
        <w:top w:val="none" w:sz="0" w:space="0" w:color="auto"/>
        <w:left w:val="none" w:sz="0" w:space="0" w:color="auto"/>
        <w:bottom w:val="none" w:sz="0" w:space="0" w:color="auto"/>
        <w:right w:val="none" w:sz="0" w:space="0" w:color="auto"/>
      </w:divBdr>
    </w:div>
    <w:div w:id="1666207548">
      <w:bodyDiv w:val="1"/>
      <w:marLeft w:val="0"/>
      <w:marRight w:val="0"/>
      <w:marTop w:val="0"/>
      <w:marBottom w:val="0"/>
      <w:divBdr>
        <w:top w:val="none" w:sz="0" w:space="0" w:color="auto"/>
        <w:left w:val="none" w:sz="0" w:space="0" w:color="auto"/>
        <w:bottom w:val="none" w:sz="0" w:space="0" w:color="auto"/>
        <w:right w:val="none" w:sz="0" w:space="0" w:color="auto"/>
      </w:divBdr>
    </w:div>
    <w:div w:id="1721057576">
      <w:bodyDiv w:val="1"/>
      <w:marLeft w:val="0"/>
      <w:marRight w:val="0"/>
      <w:marTop w:val="0"/>
      <w:marBottom w:val="0"/>
      <w:divBdr>
        <w:top w:val="none" w:sz="0" w:space="0" w:color="auto"/>
        <w:left w:val="none" w:sz="0" w:space="0" w:color="auto"/>
        <w:bottom w:val="none" w:sz="0" w:space="0" w:color="auto"/>
        <w:right w:val="none" w:sz="0" w:space="0" w:color="auto"/>
      </w:divBdr>
    </w:div>
    <w:div w:id="1733768524">
      <w:bodyDiv w:val="1"/>
      <w:marLeft w:val="0"/>
      <w:marRight w:val="0"/>
      <w:marTop w:val="0"/>
      <w:marBottom w:val="0"/>
      <w:divBdr>
        <w:top w:val="none" w:sz="0" w:space="0" w:color="auto"/>
        <w:left w:val="none" w:sz="0" w:space="0" w:color="auto"/>
        <w:bottom w:val="none" w:sz="0" w:space="0" w:color="auto"/>
        <w:right w:val="none" w:sz="0" w:space="0" w:color="auto"/>
      </w:divBdr>
    </w:div>
    <w:div w:id="1767844735">
      <w:bodyDiv w:val="1"/>
      <w:marLeft w:val="0"/>
      <w:marRight w:val="0"/>
      <w:marTop w:val="0"/>
      <w:marBottom w:val="0"/>
      <w:divBdr>
        <w:top w:val="none" w:sz="0" w:space="0" w:color="auto"/>
        <w:left w:val="none" w:sz="0" w:space="0" w:color="auto"/>
        <w:bottom w:val="none" w:sz="0" w:space="0" w:color="auto"/>
        <w:right w:val="none" w:sz="0" w:space="0" w:color="auto"/>
      </w:divBdr>
    </w:div>
    <w:div w:id="1790732821">
      <w:bodyDiv w:val="1"/>
      <w:marLeft w:val="0"/>
      <w:marRight w:val="0"/>
      <w:marTop w:val="0"/>
      <w:marBottom w:val="0"/>
      <w:divBdr>
        <w:top w:val="none" w:sz="0" w:space="0" w:color="auto"/>
        <w:left w:val="none" w:sz="0" w:space="0" w:color="auto"/>
        <w:bottom w:val="none" w:sz="0" w:space="0" w:color="auto"/>
        <w:right w:val="none" w:sz="0" w:space="0" w:color="auto"/>
      </w:divBdr>
    </w:div>
    <w:div w:id="1810517158">
      <w:bodyDiv w:val="1"/>
      <w:marLeft w:val="0"/>
      <w:marRight w:val="0"/>
      <w:marTop w:val="0"/>
      <w:marBottom w:val="0"/>
      <w:divBdr>
        <w:top w:val="none" w:sz="0" w:space="0" w:color="auto"/>
        <w:left w:val="none" w:sz="0" w:space="0" w:color="auto"/>
        <w:bottom w:val="none" w:sz="0" w:space="0" w:color="auto"/>
        <w:right w:val="none" w:sz="0" w:space="0" w:color="auto"/>
      </w:divBdr>
    </w:div>
    <w:div w:id="1823424102">
      <w:bodyDiv w:val="1"/>
      <w:marLeft w:val="0"/>
      <w:marRight w:val="0"/>
      <w:marTop w:val="0"/>
      <w:marBottom w:val="0"/>
      <w:divBdr>
        <w:top w:val="none" w:sz="0" w:space="0" w:color="auto"/>
        <w:left w:val="none" w:sz="0" w:space="0" w:color="auto"/>
        <w:bottom w:val="none" w:sz="0" w:space="0" w:color="auto"/>
        <w:right w:val="none" w:sz="0" w:space="0" w:color="auto"/>
      </w:divBdr>
    </w:div>
    <w:div w:id="1849833084">
      <w:bodyDiv w:val="1"/>
      <w:marLeft w:val="0"/>
      <w:marRight w:val="0"/>
      <w:marTop w:val="0"/>
      <w:marBottom w:val="0"/>
      <w:divBdr>
        <w:top w:val="none" w:sz="0" w:space="0" w:color="auto"/>
        <w:left w:val="none" w:sz="0" w:space="0" w:color="auto"/>
        <w:bottom w:val="none" w:sz="0" w:space="0" w:color="auto"/>
        <w:right w:val="none" w:sz="0" w:space="0" w:color="auto"/>
      </w:divBdr>
    </w:div>
    <w:div w:id="1854999386">
      <w:bodyDiv w:val="1"/>
      <w:marLeft w:val="0"/>
      <w:marRight w:val="0"/>
      <w:marTop w:val="0"/>
      <w:marBottom w:val="0"/>
      <w:divBdr>
        <w:top w:val="none" w:sz="0" w:space="0" w:color="auto"/>
        <w:left w:val="none" w:sz="0" w:space="0" w:color="auto"/>
        <w:bottom w:val="none" w:sz="0" w:space="0" w:color="auto"/>
        <w:right w:val="none" w:sz="0" w:space="0" w:color="auto"/>
      </w:divBdr>
    </w:div>
    <w:div w:id="1912809205">
      <w:bodyDiv w:val="1"/>
      <w:marLeft w:val="0"/>
      <w:marRight w:val="0"/>
      <w:marTop w:val="0"/>
      <w:marBottom w:val="0"/>
      <w:divBdr>
        <w:top w:val="none" w:sz="0" w:space="0" w:color="auto"/>
        <w:left w:val="none" w:sz="0" w:space="0" w:color="auto"/>
        <w:bottom w:val="none" w:sz="0" w:space="0" w:color="auto"/>
        <w:right w:val="none" w:sz="0" w:space="0" w:color="auto"/>
      </w:divBdr>
    </w:div>
    <w:div w:id="1913734046">
      <w:bodyDiv w:val="1"/>
      <w:marLeft w:val="0"/>
      <w:marRight w:val="0"/>
      <w:marTop w:val="0"/>
      <w:marBottom w:val="0"/>
      <w:divBdr>
        <w:top w:val="none" w:sz="0" w:space="0" w:color="auto"/>
        <w:left w:val="none" w:sz="0" w:space="0" w:color="auto"/>
        <w:bottom w:val="none" w:sz="0" w:space="0" w:color="auto"/>
        <w:right w:val="none" w:sz="0" w:space="0" w:color="auto"/>
      </w:divBdr>
    </w:div>
    <w:div w:id="2004771371">
      <w:bodyDiv w:val="1"/>
      <w:marLeft w:val="0"/>
      <w:marRight w:val="0"/>
      <w:marTop w:val="0"/>
      <w:marBottom w:val="0"/>
      <w:divBdr>
        <w:top w:val="none" w:sz="0" w:space="0" w:color="auto"/>
        <w:left w:val="none" w:sz="0" w:space="0" w:color="auto"/>
        <w:bottom w:val="none" w:sz="0" w:space="0" w:color="auto"/>
        <w:right w:val="none" w:sz="0" w:space="0" w:color="auto"/>
      </w:divBdr>
    </w:div>
    <w:div w:id="2021078277">
      <w:bodyDiv w:val="1"/>
      <w:marLeft w:val="0"/>
      <w:marRight w:val="0"/>
      <w:marTop w:val="0"/>
      <w:marBottom w:val="0"/>
      <w:divBdr>
        <w:top w:val="none" w:sz="0" w:space="0" w:color="auto"/>
        <w:left w:val="none" w:sz="0" w:space="0" w:color="auto"/>
        <w:bottom w:val="none" w:sz="0" w:space="0" w:color="auto"/>
        <w:right w:val="none" w:sz="0" w:space="0" w:color="auto"/>
      </w:divBdr>
    </w:div>
    <w:div w:id="2045014329">
      <w:bodyDiv w:val="1"/>
      <w:marLeft w:val="0"/>
      <w:marRight w:val="0"/>
      <w:marTop w:val="0"/>
      <w:marBottom w:val="0"/>
      <w:divBdr>
        <w:top w:val="none" w:sz="0" w:space="0" w:color="auto"/>
        <w:left w:val="none" w:sz="0" w:space="0" w:color="auto"/>
        <w:bottom w:val="none" w:sz="0" w:space="0" w:color="auto"/>
        <w:right w:val="none" w:sz="0" w:space="0" w:color="auto"/>
      </w:divBdr>
    </w:div>
    <w:div w:id="2048554817">
      <w:bodyDiv w:val="1"/>
      <w:marLeft w:val="0"/>
      <w:marRight w:val="0"/>
      <w:marTop w:val="0"/>
      <w:marBottom w:val="0"/>
      <w:divBdr>
        <w:top w:val="none" w:sz="0" w:space="0" w:color="auto"/>
        <w:left w:val="none" w:sz="0" w:space="0" w:color="auto"/>
        <w:bottom w:val="none" w:sz="0" w:space="0" w:color="auto"/>
        <w:right w:val="none" w:sz="0" w:space="0" w:color="auto"/>
      </w:divBdr>
    </w:div>
    <w:div w:id="2105374471">
      <w:bodyDiv w:val="1"/>
      <w:marLeft w:val="0"/>
      <w:marRight w:val="0"/>
      <w:marTop w:val="0"/>
      <w:marBottom w:val="0"/>
      <w:divBdr>
        <w:top w:val="none" w:sz="0" w:space="0" w:color="auto"/>
        <w:left w:val="none" w:sz="0" w:space="0" w:color="auto"/>
        <w:bottom w:val="none" w:sz="0" w:space="0" w:color="auto"/>
        <w:right w:val="none" w:sz="0" w:space="0" w:color="auto"/>
      </w:divBdr>
    </w:div>
    <w:div w:id="2107532181">
      <w:bodyDiv w:val="1"/>
      <w:marLeft w:val="0"/>
      <w:marRight w:val="0"/>
      <w:marTop w:val="0"/>
      <w:marBottom w:val="0"/>
      <w:divBdr>
        <w:top w:val="none" w:sz="0" w:space="0" w:color="auto"/>
        <w:left w:val="none" w:sz="0" w:space="0" w:color="auto"/>
        <w:bottom w:val="none" w:sz="0" w:space="0" w:color="auto"/>
        <w:right w:val="none" w:sz="0" w:space="0" w:color="auto"/>
      </w:divBdr>
    </w:div>
    <w:div w:id="2117674824">
      <w:bodyDiv w:val="1"/>
      <w:marLeft w:val="0"/>
      <w:marRight w:val="0"/>
      <w:marTop w:val="0"/>
      <w:marBottom w:val="0"/>
      <w:divBdr>
        <w:top w:val="none" w:sz="0" w:space="0" w:color="auto"/>
        <w:left w:val="none" w:sz="0" w:space="0" w:color="auto"/>
        <w:bottom w:val="none" w:sz="0" w:space="0" w:color="auto"/>
        <w:right w:val="none" w:sz="0" w:space="0" w:color="auto"/>
      </w:divBdr>
    </w:div>
    <w:div w:id="21465072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are-asean.org/" TargetMode="External"/><Relationship Id="rId13" Type="http://schemas.openxmlformats.org/officeDocument/2006/relationships/hyperlink" Target="https://ec.europa.eu/education/ects/users-guide/docs/ects-users-guide_en.pdf"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mpi-toolbox.eu/pdf/full_list_of_indicators.pdf" TargetMode="External"/><Relationship Id="rId7" Type="http://schemas.openxmlformats.org/officeDocument/2006/relationships/hyperlink" Target="https://www.share-asean.eu/sites/default/files/SHARE_HandBook_October%202018%20%2825102018%29.pdf" TargetMode="External"/><Relationship Id="rId12" Type="http://schemas.openxmlformats.org/officeDocument/2006/relationships/image" Target="media/image2.png"/><Relationship Id="rId17" Type="http://schemas.openxmlformats.org/officeDocument/2006/relationships/hyperlink" Target="https://www.eqar.eu/kb/joint-programmes/agreed-standard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qar.eu/assets/uploads/2018/04/02_European_Approach_QA_of_Joint_Programmes_v1_0.pdf" TargetMode="External"/><Relationship Id="rId20" Type="http://schemas.openxmlformats.org/officeDocument/2006/relationships/hyperlink" Target="http://www.impi-toolbox.eu/pdf/full_list_of_indicators.pdf"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ecd.org/education/skills-beyond-school/35779480.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hyperlink" Target="https://www.eqar.eu/kb/cross-border-qa/key-considerations" TargetMode="External"/><Relationship Id="rId4" Type="http://schemas.openxmlformats.org/officeDocument/2006/relationships/webSettings" Target="webSettings.xml"/><Relationship Id="rId9" Type="http://schemas.openxmlformats.org/officeDocument/2006/relationships/hyperlink" Target="https://www.share-asean.org/converter"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customXml" Target="../customXml/item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openaccessgovernment.org/internationalisation-research-germany/36423/" TargetMode="External"/><Relationship Id="rId13" Type="http://schemas.openxmlformats.org/officeDocument/2006/relationships/hyperlink" Target="https://julkaisut.valtioneuvosto.fi/bitstream/handle/10024/79438/Better%20Together%20for%20Better%20World%20-%20Leaflet%202018.pdf?sequence=17&amp;isAllowed=y" TargetMode="External"/><Relationship Id="rId3" Type="http://schemas.openxmlformats.org/officeDocument/2006/relationships/hyperlink" Target="https://www.oecd.org/education/imhe/highereducationinregionalandcitydevelopmentreviewreportsandvisits.htm" TargetMode="External"/><Relationship Id="rId7" Type="http://schemas.openxmlformats.org/officeDocument/2006/relationships/hyperlink" Target="https://www.openaccessgovernment.org/internationalisation-research-germany/36423/" TargetMode="External"/><Relationship Id="rId12" Type="http://schemas.openxmlformats.org/officeDocument/2006/relationships/hyperlink" Target="https://julkaisut.valtioneuvosto.fi/bitstream/handle/10024/79438/Better%20Together%20for%20Better%20World%20-%20Leaflet%202018.pdf?sequence=17&amp;isAllowed=y" TargetMode="External"/><Relationship Id="rId2" Type="http://schemas.openxmlformats.org/officeDocument/2006/relationships/hyperlink" Target="http://www.oecd.org/education/skills-beyond-school/43694606.pdf" TargetMode="External"/><Relationship Id="rId1" Type="http://schemas.openxmlformats.org/officeDocument/2006/relationships/hyperlink" Target="http://www.mri.gov.on.ca/english/programs/era/program.asp" TargetMode="External"/><Relationship Id="rId6" Type="http://schemas.openxmlformats.org/officeDocument/2006/relationships/hyperlink" Target="https://www.acenet.edu/news-room/Documents/International-Briefs-2014-April-SouthernCone.pdf" TargetMode="External"/><Relationship Id="rId11" Type="http://schemas.openxmlformats.org/officeDocument/2006/relationships/hyperlink" Target="https://eacea.ec.europa.eu/national-policies/eurydice/content/mobility-and-internationalisation-18_en" TargetMode="External"/><Relationship Id="rId5" Type="http://schemas.openxmlformats.org/officeDocument/2006/relationships/hyperlink" Target="https://www.acenet.edu/news-room/Documents/International-Briefs-2014-April-SouthernCone.pdf" TargetMode="External"/><Relationship Id="rId10" Type="http://schemas.openxmlformats.org/officeDocument/2006/relationships/hyperlink" Target="https://eacea.ec.europa.eu/national-policies/eurydice/content/mobility-and-internationalisation-18_en" TargetMode="External"/><Relationship Id="rId4" Type="http://schemas.openxmlformats.org/officeDocument/2006/relationships/hyperlink" Target="https://www.eqar.eu/kb/joint-programmes/" TargetMode="External"/><Relationship Id="rId9" Type="http://schemas.openxmlformats.org/officeDocument/2006/relationships/hyperlink" Target="https://www.daad.de/der-daad/ueber-den-daad/portrait/en/29143-the-internationalisation-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E3290DF3BF1C0489655BCD9C038596F" ma:contentTypeVersion="3" ma:contentTypeDescription="" ma:contentTypeScope="" ma:versionID="1112446b9206edcf9988eb89895a4ad2">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Authors xmlns="b99a068c-3844-4a16-badd-77233eea0529">000345028:Denis Nikolaev:dnikolaev@worldbank.org;</DocAuthors>
    <Authors xmlns="b99a068c-3844-4a16-badd-77233eea0529">
      <UserInfo>
        <DisplayName>i:0#.w|wb\wb345028</DisplayName>
        <AccountId>9661</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2019-05-23T04:00:00+00:00</DocumentDate>
    <WBDocType xmlns="b99a068c-3844-4a16-badd-77233eea0529">Report</WBDocType>
    <SecurityClassification xmlns="b99a068c-3844-4a16-badd-77233eea0529">Public</SecurityClassification>
    <DeliverableID xmlns="b99a068c-3844-4a16-badd-77233eea0529">DLV0274924</DeliverableID>
    <ProjectID xmlns="b99a068c-3844-4a16-badd-77233eea0529">P169547</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4.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B7C94A16-BC78-4CA2-B9C3-A1FB27AD837F}"/>
</file>

<file path=customXml/itemProps2.xml><?xml version="1.0" encoding="utf-8"?>
<ds:datastoreItem xmlns:ds="http://schemas.openxmlformats.org/officeDocument/2006/customXml" ds:itemID="{05D769A5-2ACD-48D8-963C-60DA2B64FED5}"/>
</file>

<file path=customXml/itemProps3.xml><?xml version="1.0" encoding="utf-8"?>
<ds:datastoreItem xmlns:ds="http://schemas.openxmlformats.org/officeDocument/2006/customXml" ds:itemID="{B70CB10F-5750-4468-B536-E52F3A299C0E}"/>
</file>

<file path=customXml/itemProps4.xml><?xml version="1.0" encoding="utf-8"?>
<ds:datastoreItem xmlns:ds="http://schemas.openxmlformats.org/officeDocument/2006/customXml" ds:itemID="{646F3FEF-68F4-412E-818E-53740992801B}"/>
</file>

<file path=docProps/app.xml><?xml version="1.0" encoding="utf-8"?>
<Properties xmlns="http://schemas.openxmlformats.org/officeDocument/2006/extended-properties" xmlns:vt="http://schemas.openxmlformats.org/officeDocument/2006/docPropsVTypes">
  <Template>Normal.dotm</Template>
  <TotalTime>7</TotalTime>
  <Pages>28</Pages>
  <Words>12317</Words>
  <Characters>70213</Characters>
  <Application>Microsoft Office Word</Application>
  <DocSecurity>0</DocSecurity>
  <Lines>585</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export - analytical note</dc:title>
  <dc:subject/>
  <dc:creator>Sophie Gerdes</dc:creator>
  <cp:keywords/>
  <dc:description/>
  <cp:lastModifiedBy>Denis Nikolaev</cp:lastModifiedBy>
  <cp:revision>4</cp:revision>
  <dcterms:created xsi:type="dcterms:W3CDTF">2019-05-06T12:22:00Z</dcterms:created>
  <dcterms:modified xsi:type="dcterms:W3CDTF">2019-05-23T06:56:00Z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0x01010054E0FEF4951F9D49A6F48A35419983C7002E3290DF3BF1C0489655BCD9C038596F</vt:lpwstr>
  </property>
  <property fmtid="{D5CDD505-2E9C-101B-9397-08002B2CF9AE}" pid="5" name="RatedBy">
    <vt:lpwstr/>
  </property>
  <property fmtid="{D5CDD505-2E9C-101B-9397-08002B2CF9AE}" pid="7" name="LikedBy">
    <vt:lpwstr/>
  </property>
</Properties>
</file>