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2195E" w14:textId="67DC2CBB" w:rsidR="00564DBE" w:rsidRPr="00211DE8" w:rsidRDefault="00070835" w:rsidP="00556DF3">
      <w:pPr>
        <w:spacing w:before="240"/>
        <w:ind w:right="-270"/>
        <w:jc w:val="right"/>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cs="Arial"/>
          <w:noProof/>
        </w:rPr>
        <w:drawing>
          <wp:anchor distT="0" distB="0" distL="114300" distR="114300" simplePos="0" relativeHeight="251685888" behindDoc="1" locked="0" layoutInCell="1" allowOverlap="1" wp14:anchorId="33D8AB24" wp14:editId="5EDDAC1F">
            <wp:simplePos x="0" y="0"/>
            <wp:positionH relativeFrom="margin">
              <wp:posOffset>-1752601</wp:posOffset>
            </wp:positionH>
            <wp:positionV relativeFrom="page">
              <wp:posOffset>1276350</wp:posOffset>
            </wp:positionV>
            <wp:extent cx="6791325" cy="6075045"/>
            <wp:effectExtent l="0" t="0" r="952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681 Cover Photo Joe Qian.JPG"/>
                    <pic:cNvPicPr/>
                  </pic:nvPicPr>
                  <pic:blipFill rotWithShape="1">
                    <a:blip r:embed="rId8"/>
                    <a:srcRect l="975" t="4062" r="1"/>
                    <a:stretch/>
                  </pic:blipFill>
                  <pic:spPr bwMode="auto">
                    <a:xfrm>
                      <a:off x="0" y="0"/>
                      <a:ext cx="6796276" cy="60794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F8F">
        <w:rPr>
          <w:rFonts w:cs="Arial"/>
        </w:rPr>
        <w:t xml:space="preserve"> </w:t>
      </w:r>
      <w:sdt>
        <w:sdtPr>
          <w:rPr>
            <w:rFonts w:cs="Arial"/>
          </w:rPr>
          <w:id w:val="1496612356"/>
          <w:docPartObj>
            <w:docPartGallery w:val="Cover Pages"/>
            <w:docPartUnique/>
          </w:docPartObj>
        </w:sdtPr>
        <w:sdtEndPr>
          <w:rPr>
            <w:rFonts w:ascii="Arial" w:eastAsia="Times New Roman" w:hAnsi="Arial"/>
            <w:b/>
            <w:noProof/>
            <w:color w:val="0C4DA2"/>
            <w:sz w:val="24"/>
            <w:szCs w:val="2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r w:rsidR="00F37D61" w:rsidRPr="00892B71">
            <w:rPr>
              <w:rFonts w:ascii="Arial" w:hAnsi="Arial" w:cs="Arial"/>
              <w:b/>
              <w:i/>
              <w:noProof/>
              <w:color w:val="00B0F0"/>
              <w:sz w:val="48"/>
              <w:szCs w:val="48"/>
              <w:highlight w:val="yellow"/>
            </w:rPr>
            <mc:AlternateContent>
              <mc:Choice Requires="wps">
                <w:drawing>
                  <wp:anchor distT="0" distB="0" distL="114300" distR="114300" simplePos="0" relativeHeight="251680768" behindDoc="0" locked="0" layoutInCell="1" allowOverlap="1" wp14:anchorId="5F23E5FF" wp14:editId="717146B5">
                    <wp:simplePos x="0" y="0"/>
                    <wp:positionH relativeFrom="page">
                      <wp:posOffset>533400</wp:posOffset>
                    </wp:positionH>
                    <wp:positionV relativeFrom="page">
                      <wp:posOffset>685800</wp:posOffset>
                    </wp:positionV>
                    <wp:extent cx="6781800" cy="571500"/>
                    <wp:effectExtent l="0" t="0" r="25400" b="3810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71500"/>
                            </a:xfrm>
                            <a:prstGeom prst="rect">
                              <a:avLst/>
                            </a:prstGeom>
                            <a:solidFill>
                              <a:srgbClr val="00B0F0">
                                <a:alpha val="70000"/>
                              </a:srgbClr>
                            </a:solidFill>
                            <a:ln w="28575">
                              <a:solidFill>
                                <a:srgbClr val="DBE5F1"/>
                              </a:solidFill>
                              <a:miter lim="800000"/>
                              <a:headEnd/>
                              <a:tailEnd/>
                            </a:ln>
                          </wps:spPr>
                          <wps:txbx>
                            <w:txbxContent>
                              <w:sdt>
                                <w:sdtPr>
                                  <w:rPr>
                                    <w:rFonts w:ascii="Arial" w:eastAsiaTheme="majorEastAsia" w:hAnsi="Arial" w:cs="Arial"/>
                                    <w:b/>
                                    <w:color w:val="FFFFFF" w:themeColor="background1"/>
                                    <w:sz w:val="52"/>
                                    <w:szCs w:val="52"/>
                                  </w:rPr>
                                  <w:alias w:val="Title"/>
                                  <w:id w:val="384759193"/>
                                  <w:dataBinding w:prefixMappings="xmlns:ns0='http://schemas.openxmlformats.org/package/2006/metadata/core-properties' xmlns:ns1='http://purl.org/dc/elements/1.1/'" w:xpath="/ns0:coreProperties[1]/ns1:title[1]" w:storeItemID="{6C3C8BC8-F283-45AE-878A-BAB7291924A1}"/>
                                  <w:text/>
                                </w:sdtPr>
                                <w:sdtEndPr/>
                                <w:sdtContent>
                                  <w:p w14:paraId="09717F5B" w14:textId="77777777" w:rsidR="006543B8" w:rsidRPr="0053098F" w:rsidRDefault="006543B8" w:rsidP="009531CC">
                                    <w:pPr>
                                      <w:pStyle w:val="NoSpacing"/>
                                      <w:snapToGrid w:val="0"/>
                                      <w:ind w:right="598"/>
                                      <w:contextualSpacing/>
                                      <w:jc w:val="right"/>
                                      <w:rPr>
                                        <w:rFonts w:ascii="Arial" w:eastAsiaTheme="majorEastAsia" w:hAnsi="Arial" w:cs="Arial"/>
                                        <w:b/>
                                        <w:color w:val="FFFFFF" w:themeColor="background1"/>
                                        <w:sz w:val="60"/>
                                        <w:szCs w:val="60"/>
                                      </w:rPr>
                                    </w:pPr>
                                    <w:r w:rsidRPr="00734018">
                                      <w:rPr>
                                        <w:rFonts w:ascii="Arial" w:eastAsiaTheme="majorEastAsia" w:hAnsi="Arial" w:cs="Arial"/>
                                        <w:b/>
                                        <w:color w:val="FFFFFF" w:themeColor="background1"/>
                                        <w:sz w:val="52"/>
                                        <w:szCs w:val="52"/>
                                      </w:rPr>
                                      <w:t>SRI LANKA DEVELOPMENT UPDATE</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3E5FF" id="_x0000_t202" coordsize="21600,21600" o:spt="202" path="m,l,21600r21600,l21600,xe">
                    <v:stroke joinstyle="miter"/>
                    <v:path gradientshapeok="t" o:connecttype="rect"/>
                  </v:shapetype>
                  <v:shape id="Text Box 56" o:spid="_x0000_s1026" type="#_x0000_t202" style="position:absolute;left:0;text-align:left;margin-left:42pt;margin-top:54pt;width:534pt;height: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nCPgIAAHMEAAAOAAAAZHJzL2Uyb0RvYy54bWysVM1u2zAMvg/YOwi6L3aCOMmMOEWTNMOA&#10;7gdo9wCKLMfCZFGTlNjd04+S0jTrsMswHwRSpD6SH0kvb4ZOkZOwToKu6HiUUyI0h1rqQ0W/Pe7e&#10;LShxnumaKdCiok/C0ZvV2zfL3pRiAi2oWliCINqVvalo670ps8zxVnTMjcAIjcYGbMc8qvaQ1Zb1&#10;iN6pbJLns6wHWxsLXDiHt9tkpKuI3zSC+y9N44QnqqKYm4+njec+nNlqycqDZaaV/JwG+4csOiY1&#10;Br1AbZln5GjlH1Cd5BYcNH7EocugaSQXsQasZpy/quahZUbEWpAcZy40uf8Hyz+fvloi64piozTr&#10;sEWPYvBkDQMpZoGe3rgSvR4M+vkB77HNsVRn7oF/d0TDpmX6IG6thb4VrMb0xuFldvU04bgAsu8/&#10;QY1x2NFDBBoa2wXukA2C6Nimp0trQi4cL2fzxXiRo4mjrZiPC5RDCFY+vzbW+Q8COhKEilpsfURn&#10;p3vnk+uzSwjmQMl6J5WKij3sN8qSEwtjkq/zXZ7eKtOydDvP8TuHdMk9hv8NR2nSV3SyKOZFouiv&#10;Qbbru2KXWHqVSyc9boSSHbYkxDzPaCD2TtdYCCs9kyrJWL/SZ6YDuYlmP+wHdAz076F+Qs4tpMnH&#10;TUWhBfuTkh6nvqLux5FZQYn6qLFv78fTaViTqEyL+QQVe23ZX1uY5ghVUU9JEjc+rdbRWHloMVKa&#10;FA232OtGxja8ZHXOGyc7MnnewrA613r0evlXrH4BAAD//wMAUEsDBBQABgAIAAAAIQBFN8lI4AAA&#10;AAsBAAAPAAAAZHJzL2Rvd25yZXYueG1sTE/BSsNAFLwL/sPyBC9iNy0qacymqNBTqdW0FLxtsq9J&#10;aPZtyG7T6Nf7etLbvJlh3ky6GG0rBux940jBdBKBQCqdaahSsNsu72MQPmgyunWECr7RwyK7vkp1&#10;YtyZPnHIQyU4hHyiFdQhdImUvqzRaj9xHRJrB9dbHfjsK2l6feZw28pZFD1JqxviD7Xu8K3G8pif&#10;rIK7+cd6/7U6bl/XP++bw6rYLCkflLq9GV+eQQQcw58ZLvW5OmTcqXAnMl60CuIHnhKYj2IGF8P0&#10;ccaoYDRnSmap/L8h+wUAAP//AwBQSwECLQAUAAYACAAAACEAtoM4kv4AAADhAQAAEwAAAAAAAAAA&#10;AAAAAAAAAAAAW0NvbnRlbnRfVHlwZXNdLnhtbFBLAQItABQABgAIAAAAIQA4/SH/1gAAAJQBAAAL&#10;AAAAAAAAAAAAAAAAAC8BAABfcmVscy8ucmVsc1BLAQItABQABgAIAAAAIQDzMPnCPgIAAHMEAAAO&#10;AAAAAAAAAAAAAAAAAC4CAABkcnMvZTJvRG9jLnhtbFBLAQItABQABgAIAAAAIQBFN8lI4AAAAAsB&#10;AAAPAAAAAAAAAAAAAAAAAJgEAABkcnMvZG93bnJldi54bWxQSwUGAAAAAAQABADzAAAApQUAAAAA&#10;" fillcolor="#00b0f0" strokecolor="#dbe5f1" strokeweight="2.25pt">
                    <v:fill opacity="46003f"/>
                    <v:textbox>
                      <w:txbxContent>
                        <w:sdt>
                          <w:sdtPr>
                            <w:rPr>
                              <w:rFonts w:ascii="Arial" w:eastAsiaTheme="majorEastAsia" w:hAnsi="Arial" w:cs="Arial"/>
                              <w:b/>
                              <w:color w:val="FFFFFF" w:themeColor="background1"/>
                              <w:sz w:val="52"/>
                              <w:szCs w:val="52"/>
                            </w:rPr>
                            <w:alias w:val="Title"/>
                            <w:id w:val="384759193"/>
                            <w:dataBinding w:prefixMappings="xmlns:ns0='http://schemas.openxmlformats.org/package/2006/metadata/core-properties' xmlns:ns1='http://purl.org/dc/elements/1.1/'" w:xpath="/ns0:coreProperties[1]/ns1:title[1]" w:storeItemID="{6C3C8BC8-F283-45AE-878A-BAB7291924A1}"/>
                            <w:text/>
                          </w:sdtPr>
                          <w:sdtEndPr/>
                          <w:sdtContent>
                            <w:p w14:paraId="09717F5B" w14:textId="77777777" w:rsidR="006543B8" w:rsidRPr="0053098F" w:rsidRDefault="006543B8" w:rsidP="009531CC">
                              <w:pPr>
                                <w:pStyle w:val="NoSpacing"/>
                                <w:snapToGrid w:val="0"/>
                                <w:ind w:right="598"/>
                                <w:contextualSpacing/>
                                <w:jc w:val="right"/>
                                <w:rPr>
                                  <w:rFonts w:ascii="Arial" w:eastAsiaTheme="majorEastAsia" w:hAnsi="Arial" w:cs="Arial"/>
                                  <w:b/>
                                  <w:color w:val="FFFFFF" w:themeColor="background1"/>
                                  <w:sz w:val="60"/>
                                  <w:szCs w:val="60"/>
                                </w:rPr>
                              </w:pPr>
                              <w:r w:rsidRPr="00734018">
                                <w:rPr>
                                  <w:rFonts w:ascii="Arial" w:eastAsiaTheme="majorEastAsia" w:hAnsi="Arial" w:cs="Arial"/>
                                  <w:b/>
                                  <w:color w:val="FFFFFF" w:themeColor="background1"/>
                                  <w:sz w:val="52"/>
                                  <w:szCs w:val="52"/>
                                </w:rPr>
                                <w:t>SRI LANKA DEVELOPMENT UPDATE</w:t>
                              </w:r>
                            </w:p>
                          </w:sdtContent>
                        </w:sdt>
                      </w:txbxContent>
                    </v:textbox>
                    <w10:wrap anchorx="page" anchory="page"/>
                  </v:shape>
                </w:pict>
              </mc:Fallback>
            </mc:AlternateContent>
          </w:r>
          <w:r w:rsidR="00F37D61" w:rsidRPr="00892B71">
            <w:rPr>
              <w:rFonts w:ascii="Arial" w:hAnsi="Arial" w:cs="Arial"/>
              <w:b/>
              <w:i/>
              <w:noProof/>
              <w:color w:val="00B0F0"/>
              <w:sz w:val="48"/>
              <w:szCs w:val="48"/>
              <w:highlight w:val="yellow"/>
            </w:rPr>
            <mc:AlternateContent>
              <mc:Choice Requires="wps">
                <w:drawing>
                  <wp:anchor distT="0" distB="0" distL="114300" distR="114300" simplePos="0" relativeHeight="251682816" behindDoc="0" locked="0" layoutInCell="1" allowOverlap="1" wp14:anchorId="1F403783" wp14:editId="21B275D5">
                    <wp:simplePos x="0" y="0"/>
                    <wp:positionH relativeFrom="column">
                      <wp:posOffset>-2286000</wp:posOffset>
                    </wp:positionH>
                    <wp:positionV relativeFrom="paragraph">
                      <wp:posOffset>6438900</wp:posOffset>
                    </wp:positionV>
                    <wp:extent cx="7772400" cy="304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772400" cy="304800"/>
                            </a:xfrm>
                            <a:prstGeom prst="rect">
                              <a:avLst/>
                            </a:prstGeom>
                            <a:solidFill>
                              <a:srgbClr val="00B0F0">
                                <a:alpha val="70000"/>
                              </a:srgbClr>
                            </a:solidFill>
                            <a:ln>
                              <a:noFill/>
                            </a:ln>
                            <a:effectLst/>
                            <a:extLst>
                              <a:ext uri="{C572A759-6A51-4108-AA02-DFA0A04FC94B}">
                                <ma14:wrappingTextBoxFlag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3AF3EEC" w14:textId="77777777" w:rsidR="006543B8" w:rsidRDefault="006543B8" w:rsidP="006E1B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03783" id="Text Box 11" o:spid="_x0000_s1027" type="#_x0000_t202" style="position:absolute;left:0;text-align:left;margin-left:-180pt;margin-top:507pt;width:612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OzAIAAPYFAAAOAAAAZHJzL2Uyb0RvYy54bWysVFtP2zAUfp+0/2D5vSTtAoWIFIWiTpMQ&#10;oMHEs+vYTTTH9my3STftv+/YTkrH9sK0PqTH536+c7m86luBdszYRskCT09SjJikqmrkpsBfnlaT&#10;c4ysI7IiQklW4D2z+Grx/t1lp3M2U7USFTMInEibd7rAtXM6TxJLa9YSe6I0kyDkyrTEwdNsksqQ&#10;Dry3Ipml6VnSKVNpoyizFrg3UYgXwT/njLp7zi1zSBQYcnPha8J37b/J4pLkG0N03dAhDfIPWbSk&#10;kRD04OqGOIK2pvnDVdtQo6zi7oSqNlGcN5SFGqCaafqqmseaaBZqAXCsPsBk/59berd7MKipoHdT&#10;jCRpoUdPrHfoWvUIWIBPp20Oao8aFF0PfNAd+RaYvuyem9b/Q0EI5ID0/oCu90aBOZ/PZ1kKIgqy&#10;D2l2DjS4T16stbHuI1Mt8kSBDXQvgEp2t9ZF1VHFB7NKNNWqESI8zGa9FAbtiO90ep2u0mgrdE0i&#10;d57Cbwhpo3oI/5sfIb03qbzfGDJyWBimmAfJoSYgvaavLjT6x/J0PivnpxeTs/J0Osmm6fmkLNPZ&#10;5GZVpmWarZYX2fXPIfxon3hwI4iBcnvBvFchPzMObQlYhvL8QrBDgYRSJl1oA+AXtL0Wh6TfYjjo&#10;hzpCfW8xjoiARYispDsYt41UJqAf9vgl7errmDKP+oD/Ud2edP26j/M4zthaVXsYPaPi8lpNVw3M&#10;xy2x7oEY2FYYKbhA7h4+XKiuwGqgMKqV+f43vteHJQIpRh1sf4Htty0xDCPxScJ6XUyzzJ+L8Mig&#10;sfAwx5L1sURu26WCsYMNguwC6fWdGEluVPsMh6r0UUFEJIXYBXYjuXTxJsGho6wsgxIcCE3crXzU&#10;1Lv2KPvpf+qfidHDijgYpDs13gmSv9qUqOstpSq3TvEmrJHHOaI64A/HJWzCcAj99Tp+B62Xc734&#10;BQAA//8DAFBLAwQUAAYACAAAACEAGEFHit0AAAAOAQAADwAAAGRycy9kb3ducmV2LnhtbExPQU7D&#10;MBC8I/EHaytxa+0GFFUhTlUiwYkLpRJXN94mUeN1iJ0m/J7NCW4zO6PZmXw/u07ccAitJw3bjQKB&#10;VHnbUq3h9Pm63oEI0ZA1nSfU8IMB9sX9XW4y6yf6wNsx1oJDKGRGQxNjn0kZqgadCRvfI7F28YMz&#10;kelQSzuYicNdJxOlUulMS/yhMT2WDVbX4+g0jC+TfC+v36fyy7hLqmyi3jDR+mE1H55BRJzjnxmW&#10;+lwdCu509iPZIDoN68dU8ZjIito+MWLPLl3AeTmliQJZ5PL/jOIXAAD//wMAUEsBAi0AFAAGAAgA&#10;AAAhALaDOJL+AAAA4QEAABMAAAAAAAAAAAAAAAAAAAAAAFtDb250ZW50X1R5cGVzXS54bWxQSwEC&#10;LQAUAAYACAAAACEAOP0h/9YAAACUAQAACwAAAAAAAAAAAAAAAAAvAQAAX3JlbHMvLnJlbHNQSwEC&#10;LQAUAAYACAAAACEApiv6TswCAAD2BQAADgAAAAAAAAAAAAAAAAAuAgAAZHJzL2Uyb0RvYy54bWxQ&#10;SwECLQAUAAYACAAAACEAGEFHit0AAAAOAQAADwAAAAAAAAAAAAAAAAAmBQAAZHJzL2Rvd25yZXYu&#10;eG1sUEsFBgAAAAAEAAQA8wAAADAGAAAAAA==&#10;" fillcolor="#00b0f0" stroked="f">
                    <v:fill opacity="46003f"/>
                    <v:textbox>
                      <w:txbxContent>
                        <w:p w14:paraId="53AF3EEC" w14:textId="77777777" w:rsidR="006543B8" w:rsidRDefault="006543B8" w:rsidP="006E1B12"/>
                      </w:txbxContent>
                    </v:textbox>
                    <w10:wrap type="square"/>
                  </v:shape>
                </w:pict>
              </mc:Fallback>
            </mc:AlternateContent>
          </w:r>
          <w:r w:rsidR="00F37D61" w:rsidRPr="00892B71">
            <w:rPr>
              <w:rFonts w:ascii="Arial" w:hAnsi="Arial" w:cs="Arial"/>
              <w:b/>
              <w:i/>
              <w:noProof/>
              <w:color w:val="00B0F0"/>
              <w:sz w:val="48"/>
              <w:szCs w:val="48"/>
              <w:highlight w:val="yellow"/>
            </w:rPr>
            <mc:AlternateContent>
              <mc:Choice Requires="wps">
                <w:drawing>
                  <wp:anchor distT="0" distB="0" distL="114300" distR="114300" simplePos="0" relativeHeight="251681792" behindDoc="0" locked="0" layoutInCell="1" allowOverlap="1" wp14:anchorId="3FDF51EA" wp14:editId="565F2B64">
                    <wp:simplePos x="0" y="0"/>
                    <wp:positionH relativeFrom="column">
                      <wp:posOffset>-2286000</wp:posOffset>
                    </wp:positionH>
                    <wp:positionV relativeFrom="paragraph">
                      <wp:posOffset>6629400</wp:posOffset>
                    </wp:positionV>
                    <wp:extent cx="7772400"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772400" cy="228600"/>
                            </a:xfrm>
                            <a:prstGeom prst="rect">
                              <a:avLst/>
                            </a:prstGeom>
                            <a:solidFill>
                              <a:srgbClr val="0C4DA2">
                                <a:alpha val="70000"/>
                              </a:srgbClr>
                            </a:solidFill>
                            <a:ln>
                              <a:noFill/>
                            </a:ln>
                            <a:effectLst/>
                            <a:extLst>
                              <a:ext uri="{C572A759-6A51-4108-AA02-DFA0A04FC94B}">
                                <ma14:wrappingTextBoxFlag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BBE3B9B" w14:textId="77777777" w:rsidR="006543B8" w:rsidRDefault="00654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F51EA" id="Text Box 26" o:spid="_x0000_s1028" type="#_x0000_t202" style="position:absolute;left:0;text-align:left;margin-left:-180pt;margin-top:522pt;width:612pt;height:1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84zQIAAPYFAAAOAAAAZHJzL2Uyb0RvYy54bWysVFtv2jAUfp+0/2D5nSZEKbRRQ5WCmCZV&#10;bbV26rNxbIjm2J5tIGzqf9+xnVDW7aXTeAjH536+c7m67lqBdszYRskSj89SjJikqm7kusRfn5aj&#10;C4ysI7ImQklW4gOz+Hr28cPVXhcsUxslamYQOJG22OsSb5zTRZJYumEtsWdKMwlCrkxLHDzNOqkN&#10;2YP3ViRZmk6SvTK1Nooya4G7iEI8C/45Z9Tdc26ZQ6LEkJsLXxO+K/9NZlekWBuiNw3t0yD/kEVL&#10;GglBj64WxBG0Nc0frtqGGmUVd2dUtYnivKEs1ADVjNM31TxuiGahFgDH6iNM9v+5pXe7B4OausTZ&#10;BCNJWujRE+sculEdAhbgs9e2ALVHDYquAz70eeBbYPqyO25a/w8FIZAD0ocjut4bBeZ0Os3yFEQU&#10;ZFl2MQEa3Cev1tpY94mpFnmixAa6F0Alu1vrouqg4oNZJZp62QgRHma9mguDdsR3ep4vqizaCr0h&#10;kTtN4deHtFE9hP/Nj5Dem1TebwwZOSwMU8yDFFATkF7TVxca/XN+Ps2q6fnlaFKdj0f5OL0YVVWa&#10;jRbLKq3SfDm/zG9e+vCDfeLBjSAGyh0E816F/MI4tCVgGcrzC8GOBRJKmXShDYBf0PZaHJJ+j2Gv&#10;H+oI9b3HOCICFiGyku5o3DZSmYB+2OPXtOtvQ8o86gP+J3V70nWrLs7jMGMrVR9g9IyKy2s1XTYw&#10;H7fEugdiYFthpOACuXv4cKH2JVY9hdFGmR9/43t9WCKQYrSH7S+x/b4lhmEkPktYr8txnvtzER45&#10;NBYe5lSyOpXIbTtXMHZjuHWaBtLrOzGQ3Kj2GQ5V5aOCiEgKsUvsBnLu4k2CQ0dZVQUlOBCauFv5&#10;qKl37VH20//UPROj+xVxMEh3argTpHizKVHXW0pVbZ3iTVgjj3NEtccfjkvYhP4Q+ut1+g5ar+d6&#10;9gsAAP//AwBQSwMEFAAGAAgAAAAhALi2xdLdAAAADgEAAA8AAABkcnMvZG93bnJldi54bWxMT0FO&#10;wzAQvCPxB2uRuLV2IbhRiFMhpN4QgoI4u/GSRI3tNN624fdsTnCb2RnNzpSbyffijGPqYjCwWioQ&#10;GOroutAY+PzYLnIQiWxwto8BDfxggk11fVXawsVLeMfzjhrBISEV1kBLNBRSprpFb9MyDhhY+46j&#10;t8R0bKQb7YXDfS/vlNLS2y7wh9YO+NxifdidvAGl0/qFcHV4eFvT9rXWx+yrOxpzezM9PYIgnOjP&#10;DHN9rg4Vd9rHU3BJ9AYW91rxGGJFZRkj9uR6Bvv5lLMoq1L+n1H9AgAA//8DAFBLAQItABQABgAI&#10;AAAAIQC2gziS/gAAAOEBAAATAAAAAAAAAAAAAAAAAAAAAABbQ29udGVudF9UeXBlc10ueG1sUEsB&#10;Ai0AFAAGAAgAAAAhADj9If/WAAAAlAEAAAsAAAAAAAAAAAAAAAAALwEAAF9yZWxzLy5yZWxzUEsB&#10;Ai0AFAAGAAgAAAAhAPwOjzjNAgAA9gUAAA4AAAAAAAAAAAAAAAAALgIAAGRycy9lMm9Eb2MueG1s&#10;UEsBAi0AFAAGAAgAAAAhALi2xdLdAAAADgEAAA8AAAAAAAAAAAAAAAAAJwUAAGRycy9kb3ducmV2&#10;LnhtbFBLBQYAAAAABAAEAPMAAAAxBgAAAAA=&#10;" fillcolor="#0c4da2" stroked="f">
                    <v:fill opacity="46003f"/>
                    <v:textbox>
                      <w:txbxContent>
                        <w:p w14:paraId="7BBE3B9B" w14:textId="77777777" w:rsidR="006543B8" w:rsidRDefault="006543B8"/>
                      </w:txbxContent>
                    </v:textbox>
                    <w10:wrap type="square"/>
                  </v:shape>
                </w:pict>
              </mc:Fallback>
            </mc:AlternateContent>
          </w:r>
        </w:sdtContent>
      </w:sdt>
    </w:p>
    <w:p w14:paraId="395DE37C" w14:textId="67B2A95D" w:rsidR="00876F94" w:rsidRDefault="00876F94" w:rsidP="00556DF3">
      <w:pPr>
        <w:jc w:val="right"/>
        <w:rPr>
          <w:rFonts w:cs="Arial"/>
        </w:rPr>
      </w:pPr>
    </w:p>
    <w:p w14:paraId="61ECE86F" w14:textId="77777777" w:rsidR="00876F94" w:rsidRDefault="00876F94" w:rsidP="00556DF3">
      <w:pPr>
        <w:jc w:val="right"/>
        <w:rPr>
          <w:rFonts w:cs="Arial"/>
        </w:rPr>
      </w:pPr>
    </w:p>
    <w:p w14:paraId="589DC2BD" w14:textId="366F5351" w:rsidR="00876F94" w:rsidRDefault="00876F94" w:rsidP="00556DF3">
      <w:pPr>
        <w:jc w:val="right"/>
        <w:rPr>
          <w:rFonts w:cs="Arial"/>
        </w:rPr>
      </w:pPr>
    </w:p>
    <w:p w14:paraId="3744B363" w14:textId="77777777" w:rsidR="00876F94" w:rsidRDefault="00876F94" w:rsidP="00556DF3">
      <w:pPr>
        <w:jc w:val="right"/>
        <w:rPr>
          <w:rFonts w:cs="Arial"/>
        </w:rPr>
      </w:pPr>
    </w:p>
    <w:p w14:paraId="61A2B7ED" w14:textId="42065B22" w:rsidR="00876F94" w:rsidRDefault="00876F94" w:rsidP="00070835">
      <w:pPr>
        <w:ind w:hanging="2790"/>
        <w:jc w:val="right"/>
        <w:rPr>
          <w:rFonts w:cs="Arial"/>
        </w:rPr>
      </w:pPr>
    </w:p>
    <w:p w14:paraId="3A76EC92" w14:textId="77777777" w:rsidR="00876F94" w:rsidRDefault="00876F94" w:rsidP="00556DF3">
      <w:pPr>
        <w:jc w:val="right"/>
        <w:rPr>
          <w:rFonts w:cs="Arial"/>
        </w:rPr>
      </w:pPr>
    </w:p>
    <w:p w14:paraId="7F5E5EF9" w14:textId="77777777" w:rsidR="00876F94" w:rsidRDefault="00876F94" w:rsidP="00556DF3">
      <w:pPr>
        <w:jc w:val="right"/>
        <w:rPr>
          <w:rFonts w:cs="Arial"/>
        </w:rPr>
      </w:pPr>
    </w:p>
    <w:p w14:paraId="626E70AA" w14:textId="77777777" w:rsidR="00876F94" w:rsidRDefault="00876F94" w:rsidP="00556DF3">
      <w:pPr>
        <w:jc w:val="right"/>
        <w:rPr>
          <w:rFonts w:cs="Arial"/>
        </w:rPr>
      </w:pPr>
    </w:p>
    <w:p w14:paraId="41E50D7D" w14:textId="77777777" w:rsidR="00876F94" w:rsidRDefault="00876F94" w:rsidP="00556DF3">
      <w:pPr>
        <w:jc w:val="right"/>
        <w:rPr>
          <w:rFonts w:cs="Arial"/>
        </w:rPr>
      </w:pPr>
    </w:p>
    <w:p w14:paraId="0B434530" w14:textId="77777777" w:rsidR="00876F94" w:rsidRDefault="00876F94" w:rsidP="00556DF3">
      <w:pPr>
        <w:jc w:val="right"/>
        <w:rPr>
          <w:rFonts w:cs="Arial"/>
        </w:rPr>
      </w:pPr>
    </w:p>
    <w:p w14:paraId="2EC1EE92" w14:textId="77777777" w:rsidR="00876F94" w:rsidRDefault="00876F94" w:rsidP="00556DF3">
      <w:pPr>
        <w:jc w:val="right"/>
        <w:rPr>
          <w:rFonts w:cs="Arial"/>
        </w:rPr>
      </w:pPr>
    </w:p>
    <w:p w14:paraId="60EA305A" w14:textId="77777777" w:rsidR="00876F94" w:rsidRDefault="00876F94" w:rsidP="00556DF3">
      <w:pPr>
        <w:jc w:val="right"/>
        <w:rPr>
          <w:rFonts w:cs="Arial"/>
        </w:rPr>
      </w:pPr>
    </w:p>
    <w:p w14:paraId="134DDA52" w14:textId="77777777" w:rsidR="00876F94" w:rsidRDefault="00876F94" w:rsidP="00556DF3">
      <w:pPr>
        <w:jc w:val="right"/>
        <w:rPr>
          <w:rFonts w:cs="Arial"/>
        </w:rPr>
      </w:pPr>
    </w:p>
    <w:p w14:paraId="2CBD254D" w14:textId="77777777" w:rsidR="00876F94" w:rsidRDefault="00876F94" w:rsidP="00556DF3">
      <w:pPr>
        <w:jc w:val="right"/>
        <w:rPr>
          <w:rFonts w:cs="Arial"/>
        </w:rPr>
      </w:pPr>
    </w:p>
    <w:p w14:paraId="6F4CC693" w14:textId="77777777" w:rsidR="00876F94" w:rsidRDefault="00876F94" w:rsidP="00556DF3">
      <w:pPr>
        <w:jc w:val="right"/>
        <w:rPr>
          <w:rFonts w:cs="Arial"/>
        </w:rPr>
      </w:pPr>
    </w:p>
    <w:p w14:paraId="6F6AD9CE" w14:textId="77777777" w:rsidR="00876F94" w:rsidRDefault="00876F94" w:rsidP="00556DF3">
      <w:pPr>
        <w:jc w:val="right"/>
        <w:rPr>
          <w:rFonts w:cs="Arial"/>
        </w:rPr>
      </w:pPr>
    </w:p>
    <w:p w14:paraId="71329CF5" w14:textId="77777777" w:rsidR="00876F94" w:rsidRDefault="00876F94" w:rsidP="00556DF3">
      <w:pPr>
        <w:jc w:val="right"/>
        <w:rPr>
          <w:rFonts w:cs="Arial"/>
        </w:rPr>
      </w:pPr>
    </w:p>
    <w:p w14:paraId="3DBC5D36" w14:textId="77777777" w:rsidR="00876F94" w:rsidRDefault="00876F94" w:rsidP="00556DF3">
      <w:pPr>
        <w:jc w:val="right"/>
        <w:rPr>
          <w:rFonts w:cs="Arial"/>
        </w:rPr>
      </w:pPr>
    </w:p>
    <w:p w14:paraId="7E50C458" w14:textId="7DD8E85D" w:rsidR="00876F94" w:rsidRDefault="00876F94" w:rsidP="00556DF3">
      <w:pPr>
        <w:jc w:val="right"/>
        <w:rPr>
          <w:rFonts w:cs="Arial"/>
        </w:rPr>
      </w:pPr>
    </w:p>
    <w:p w14:paraId="7B895B1A" w14:textId="655529BB" w:rsidR="00876F94" w:rsidRDefault="00D83C97" w:rsidP="00D83C97">
      <w:pPr>
        <w:tabs>
          <w:tab w:val="left" w:pos="5702"/>
        </w:tabs>
        <w:rPr>
          <w:rFonts w:cs="Arial"/>
        </w:rPr>
      </w:pPr>
      <w:r>
        <w:rPr>
          <w:rFonts w:cs="Arial"/>
        </w:rPr>
        <w:tab/>
      </w:r>
    </w:p>
    <w:p w14:paraId="5F78ED74" w14:textId="388E1B29" w:rsidR="00876F94" w:rsidRDefault="00876F94" w:rsidP="00556DF3">
      <w:pPr>
        <w:jc w:val="right"/>
        <w:rPr>
          <w:rFonts w:cs="Arial"/>
        </w:rPr>
      </w:pPr>
    </w:p>
    <w:p w14:paraId="3D3A6278" w14:textId="77777777" w:rsidR="00876F94" w:rsidRDefault="00876F94" w:rsidP="00556DF3">
      <w:pPr>
        <w:jc w:val="right"/>
        <w:rPr>
          <w:rFonts w:cs="Arial"/>
        </w:rPr>
      </w:pPr>
    </w:p>
    <w:p w14:paraId="03E05B95" w14:textId="77777777" w:rsidR="00876F94" w:rsidRDefault="00876F94" w:rsidP="00556DF3">
      <w:pPr>
        <w:jc w:val="right"/>
        <w:rPr>
          <w:rFonts w:cs="Arial"/>
        </w:rPr>
      </w:pPr>
    </w:p>
    <w:p w14:paraId="51260944" w14:textId="77777777" w:rsidR="00876F94" w:rsidRDefault="00876F94" w:rsidP="00556DF3">
      <w:pPr>
        <w:jc w:val="right"/>
        <w:rPr>
          <w:rFonts w:cs="Arial"/>
        </w:rPr>
      </w:pPr>
    </w:p>
    <w:p w14:paraId="3B3E6100" w14:textId="77777777" w:rsidR="00876F94" w:rsidRDefault="00876F94" w:rsidP="00556DF3">
      <w:pPr>
        <w:jc w:val="right"/>
        <w:rPr>
          <w:rFonts w:cs="Arial"/>
        </w:rPr>
      </w:pPr>
    </w:p>
    <w:p w14:paraId="631C1B08" w14:textId="77777777" w:rsidR="00876F94" w:rsidRDefault="00876F94" w:rsidP="00556DF3">
      <w:pPr>
        <w:jc w:val="right"/>
        <w:rPr>
          <w:rFonts w:cs="Arial"/>
        </w:rPr>
      </w:pPr>
    </w:p>
    <w:p w14:paraId="48460089" w14:textId="77777777" w:rsidR="00876F94" w:rsidRDefault="00876F94" w:rsidP="00556DF3">
      <w:pPr>
        <w:jc w:val="right"/>
        <w:rPr>
          <w:rFonts w:cs="Arial"/>
        </w:rPr>
      </w:pPr>
    </w:p>
    <w:p w14:paraId="408F608F" w14:textId="77777777" w:rsidR="00876F94" w:rsidRDefault="00876F94" w:rsidP="00556DF3">
      <w:pPr>
        <w:jc w:val="right"/>
        <w:rPr>
          <w:rFonts w:cs="Arial"/>
        </w:rPr>
      </w:pPr>
    </w:p>
    <w:p w14:paraId="57783127" w14:textId="77777777" w:rsidR="00876F94" w:rsidRDefault="00876F94" w:rsidP="00556DF3">
      <w:pPr>
        <w:jc w:val="right"/>
        <w:rPr>
          <w:rFonts w:cs="Arial"/>
        </w:rPr>
      </w:pPr>
    </w:p>
    <w:p w14:paraId="390291E4" w14:textId="77777777" w:rsidR="00876F94" w:rsidRDefault="00876F94" w:rsidP="00556DF3">
      <w:pPr>
        <w:jc w:val="right"/>
        <w:rPr>
          <w:rFonts w:cs="Arial"/>
        </w:rPr>
      </w:pPr>
    </w:p>
    <w:p w14:paraId="32A3A0CF" w14:textId="77777777" w:rsidR="00876F94" w:rsidRDefault="00876F94" w:rsidP="00556DF3">
      <w:pPr>
        <w:jc w:val="right"/>
        <w:rPr>
          <w:rFonts w:cs="Arial"/>
        </w:rPr>
      </w:pPr>
    </w:p>
    <w:p w14:paraId="4A5CFBE4" w14:textId="77777777" w:rsidR="00876F94" w:rsidRDefault="00876F94" w:rsidP="00556DF3">
      <w:pPr>
        <w:jc w:val="right"/>
        <w:rPr>
          <w:rFonts w:cs="Arial"/>
        </w:rPr>
      </w:pPr>
    </w:p>
    <w:p w14:paraId="6C3839BC" w14:textId="77777777" w:rsidR="00876F94" w:rsidRDefault="00876F94" w:rsidP="00556DF3">
      <w:pPr>
        <w:jc w:val="right"/>
        <w:rPr>
          <w:rFonts w:cs="Arial"/>
        </w:rPr>
      </w:pPr>
    </w:p>
    <w:p w14:paraId="440BCE51" w14:textId="77777777" w:rsidR="00876F94" w:rsidRDefault="00876F94" w:rsidP="00556DF3">
      <w:pPr>
        <w:jc w:val="right"/>
        <w:rPr>
          <w:rFonts w:cs="Arial"/>
        </w:rPr>
      </w:pPr>
    </w:p>
    <w:p w14:paraId="13F6DE5B" w14:textId="77777777" w:rsidR="00876F94" w:rsidRDefault="00876F94" w:rsidP="00556DF3">
      <w:pPr>
        <w:jc w:val="right"/>
        <w:rPr>
          <w:rFonts w:cs="Arial"/>
        </w:rPr>
      </w:pPr>
    </w:p>
    <w:p w14:paraId="00BD163D" w14:textId="77777777" w:rsidR="00876F94" w:rsidRDefault="00876F94" w:rsidP="00556DF3">
      <w:pPr>
        <w:jc w:val="right"/>
        <w:rPr>
          <w:rFonts w:cs="Arial"/>
        </w:rPr>
      </w:pPr>
    </w:p>
    <w:p w14:paraId="710AD914" w14:textId="77777777" w:rsidR="00876F94" w:rsidRDefault="00876F94" w:rsidP="00556DF3">
      <w:pPr>
        <w:jc w:val="right"/>
        <w:rPr>
          <w:rFonts w:cs="Arial"/>
        </w:rPr>
      </w:pPr>
    </w:p>
    <w:p w14:paraId="1B43B3E9" w14:textId="77777777" w:rsidR="00876F94" w:rsidRDefault="00876F94" w:rsidP="00556DF3">
      <w:pPr>
        <w:jc w:val="right"/>
        <w:rPr>
          <w:rFonts w:cs="Arial"/>
        </w:rPr>
      </w:pPr>
    </w:p>
    <w:p w14:paraId="0F59B5D5" w14:textId="77777777" w:rsidR="00876F94" w:rsidRDefault="00876F94" w:rsidP="00556DF3">
      <w:pPr>
        <w:jc w:val="right"/>
        <w:rPr>
          <w:rFonts w:cs="Arial"/>
        </w:rPr>
      </w:pPr>
    </w:p>
    <w:p w14:paraId="4C854067" w14:textId="77777777" w:rsidR="00526544" w:rsidRDefault="00526544" w:rsidP="00120215">
      <w:pPr>
        <w:spacing w:before="240"/>
        <w:ind w:right="-270"/>
        <w:jc w:val="right"/>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p>
    <w:p w14:paraId="77CD5426" w14:textId="5A09A384" w:rsidR="00120215" w:rsidRPr="00D83C97" w:rsidRDefault="0018644E" w:rsidP="00120215">
      <w:pPr>
        <w:spacing w:before="240"/>
        <w:ind w:right="-270"/>
        <w:jc w:val="right"/>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noFill/>
            <w14:prstDash w14:val="solid"/>
            <w14:round/>
          </w14:textOutline>
        </w:rPr>
      </w:pPr>
      <w:r>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noFill/>
            <w14:prstDash w14:val="solid"/>
            <w14:round/>
          </w14:textOutline>
        </w:rPr>
        <w:t>Spring</w:t>
      </w:r>
      <w:r w:rsidR="00120215" w:rsidRPr="00D83C97">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noFill/>
            <w14:prstDash w14:val="solid"/>
            <w14:round/>
          </w14:textOutline>
        </w:rPr>
        <w:t xml:space="preserve"> 201</w:t>
      </w:r>
      <w:r w:rsidR="00457B34">
        <w:rPr>
          <w:rFonts w:ascii="Arial" w:eastAsia="Times New Roman" w:hAnsi="Arial" w:cs="Arial"/>
          <w:b/>
          <w:noProof/>
          <w:color w:val="0C4DA2"/>
          <w:sz w:val="24"/>
          <w:szCs w:val="24"/>
          <w14:shadow w14:blurRad="0" w14:dist="25400" w14:dir="2700000" w14:sx="0" w14:sy="0" w14:kx="0" w14:ky="0" w14:algn="none">
            <w14:srgbClr w14:val="000000">
              <w14:alpha w14:val="50000"/>
            </w14:srgbClr>
          </w14:shadow>
          <w14:textOutline w14:w="9525" w14:cap="flat" w14:cmpd="sng" w14:algn="ctr">
            <w14:noFill/>
            <w14:prstDash w14:val="solid"/>
            <w14:round/>
          </w14:textOutline>
        </w:rPr>
        <w:t>7</w:t>
      </w:r>
    </w:p>
    <w:p w14:paraId="03E41EB1" w14:textId="7BB60EA3" w:rsidR="00264358" w:rsidRPr="000A41D0" w:rsidRDefault="0053098F" w:rsidP="00556DF3">
      <w:pPr>
        <w:jc w:val="right"/>
        <w:rPr>
          <w:rFonts w:cs="Arial"/>
        </w:rPr>
      </w:pPr>
      <w:r w:rsidRPr="000A41D0">
        <w:rPr>
          <w:rFonts w:cs="Arial"/>
          <w:noProof/>
        </w:rPr>
        <mc:AlternateContent>
          <mc:Choice Requires="wps">
            <w:drawing>
              <wp:anchor distT="0" distB="0" distL="114300" distR="114300" simplePos="0" relativeHeight="251666432" behindDoc="0" locked="0" layoutInCell="1" allowOverlap="1" wp14:anchorId="0B3E7F7A" wp14:editId="551C7751">
                <wp:simplePos x="0" y="0"/>
                <wp:positionH relativeFrom="column">
                  <wp:posOffset>2362200</wp:posOffset>
                </wp:positionH>
                <wp:positionV relativeFrom="paragraph">
                  <wp:posOffset>207645</wp:posOffset>
                </wp:positionV>
                <wp:extent cx="2514600" cy="5715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9D71AE" w14:textId="494BA4AC" w:rsidR="006543B8" w:rsidRDefault="006543B8" w:rsidP="0053098F">
                            <w:pPr>
                              <w:jc w:val="right"/>
                            </w:pPr>
                            <w:r w:rsidRPr="007C3CE6">
                              <w:rPr>
                                <w:rFonts w:cs="Arial"/>
                                <w:noProof/>
                              </w:rPr>
                              <w:drawing>
                                <wp:inline distT="0" distB="0" distL="0" distR="0" wp14:anchorId="75F93B67" wp14:editId="7568C990">
                                  <wp:extent cx="2019300" cy="40304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horizontal-RGB-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5710" cy="4043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7F7A" id="Text Box 70" o:spid="_x0000_s1029" type="#_x0000_t202" style="position:absolute;left:0;text-align:left;margin-left:186pt;margin-top:16.35pt;width:19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R/rQIAAKwFAAAOAAAAZHJzL2Uyb0RvYy54bWysVN9P2zAQfp+0/8Hye0nStRQqUhSKOk1C&#10;gAYTz65j02iJ7dlum27a/77PTlM6themvSTnu8/nu+9+XFy2TU02wrpKq5xmJyklQnFdVuo5p18e&#10;F4MzSpxnqmS1ViKnO+Ho5ez9u4utmYqhXum6FJbAiXLTrcnpynszTRLHV6Jh7kQboWCU2jbM42if&#10;k9KyLbw3dTJM09Nkq21prObCOWivOyOdRf9SCu7vpHTCkzqniM3Hr43fZfgmsws2fbbMrCq+D4P9&#10;QxQNqxQePbi6Zp6Rta3+cNVU3GqnpT/hukm0lBUXMQdkk6WvsnlYMSNiLiDHmQNN7v+55bebe0uq&#10;MqcT0KNYgxo9itaTK90SqMDP1rgpYA8GQN9Cjzr3egdlSLuVtgl/JERgh6vdgd3gjUM5HGej0xQm&#10;Dtt4ko0hw33ycttY5z8K3ZAg5NSiepFUtrlxvoP2kPCY0ouqrmMFa/WbAj47jYgt0N1mU0QCMSBD&#10;TLE8P+bjybCYjM8Hp8U4G4yy9GxQFOlwcL0o0iIdLebno6uf+zj7+0mgpEs9Sn5Xi+C1Vp+FBJmR&#10;gaCIbSzmtSUbhgZknAvlI3kxQqADSiKLt1zc42MeMb+3XO4Y6V/Wyh8uN5XSNvL9Kuzyax+y7PAo&#10;2lHeQfTtso1d9KHvjKUud2gYq7uRc4YvKlT1hjl/zyxmDI2AveHv8JG13uZU7yVKVtp+/5s+4NH6&#10;sFKyxczm1H1bMysoqT8pDMV5NhrBrY+HEQqLgz22LI8tat3MNaqSYUMZHsWA93UvSqubJ6yXIrwK&#10;E1Mcb+fU9+Lcd5sE64mLooggjLVh/kY9GB5chyKFnn1sn5g1+8b2aKRb3U83m77q7w4bbipdrL2W&#10;VWz+wHPH6p5/rIQ4Pvv1FXbO8TmiXpbs7BcAAAD//wMAUEsDBBQABgAIAAAAIQCmm4Mt3QAAAAoB&#10;AAAPAAAAZHJzL2Rvd25yZXYueG1sTI9PT8MwDMXvSHyHyEjcWEKBdZSmEwJxBW38kbh5jddWNE7V&#10;ZGv59pgT3Oznp+ffK9ez79WRxtgFtnC5MKCI6+A6biy8vT5drEDFhOywD0wWvinCujo9KbFwYeIN&#10;HbepURLCsUALbUpDoXWsW/IYF2Eglts+jB6TrGOj3YiThPteZ8YstceO5UOLAz20VH9tD97C+/P+&#10;8+PavDSP/maYwmw0+1tt7fnZfH8HKtGc/szwiy/oUAnTLhzYRdVbuMoz6ZJkyHJQYsiXKxF24sxE&#10;0VWp/1eofgAAAP//AwBQSwECLQAUAAYACAAAACEAtoM4kv4AAADhAQAAEwAAAAAAAAAAAAAAAAAA&#10;AAAAW0NvbnRlbnRfVHlwZXNdLnhtbFBLAQItABQABgAIAAAAIQA4/SH/1gAAAJQBAAALAAAAAAAA&#10;AAAAAAAAAC8BAABfcmVscy8ucmVsc1BLAQItABQABgAIAAAAIQBqiTR/rQIAAKwFAAAOAAAAAAAA&#10;AAAAAAAAAC4CAABkcnMvZTJvRG9jLnhtbFBLAQItABQABgAIAAAAIQCmm4Mt3QAAAAoBAAAPAAAA&#10;AAAAAAAAAAAAAAcFAABkcnMvZG93bnJldi54bWxQSwUGAAAAAAQABADzAAAAEQYAAAAA&#10;" filled="f" stroked="f">
                <v:textbox>
                  <w:txbxContent>
                    <w:p w14:paraId="749D71AE" w14:textId="494BA4AC" w:rsidR="006543B8" w:rsidRDefault="006543B8" w:rsidP="0053098F">
                      <w:pPr>
                        <w:jc w:val="right"/>
                      </w:pPr>
                      <w:r w:rsidRPr="007C3CE6">
                        <w:rPr>
                          <w:rFonts w:cs="Arial"/>
                          <w:noProof/>
                        </w:rPr>
                        <w:drawing>
                          <wp:inline distT="0" distB="0" distL="0" distR="0" wp14:anchorId="75F93B67" wp14:editId="7568C990">
                            <wp:extent cx="2019300" cy="40304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horizontal-RGB-hig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5710" cy="404324"/>
                                    </a:xfrm>
                                    <a:prstGeom prst="rect">
                                      <a:avLst/>
                                    </a:prstGeom>
                                  </pic:spPr>
                                </pic:pic>
                              </a:graphicData>
                            </a:graphic>
                          </wp:inline>
                        </w:drawing>
                      </w:r>
                    </w:p>
                  </w:txbxContent>
                </v:textbox>
                <w10:wrap type="square"/>
              </v:shape>
            </w:pict>
          </mc:Fallback>
        </mc:AlternateContent>
      </w:r>
    </w:p>
    <w:p w14:paraId="617A2339" w14:textId="77777777" w:rsidR="005D5772" w:rsidRPr="000A41D0" w:rsidRDefault="005D5772" w:rsidP="00556DF3">
      <w:pPr>
        <w:rPr>
          <w:rFonts w:cs="Arial"/>
        </w:rPr>
        <w:sectPr w:rsidR="005D5772" w:rsidRPr="000A41D0" w:rsidSect="00F32C89">
          <w:pgSz w:w="12240" w:h="15840" w:code="1"/>
          <w:pgMar w:top="1440" w:right="1440" w:bottom="1440" w:left="3600" w:header="720" w:footer="720" w:gutter="0"/>
          <w:cols w:space="720"/>
          <w:titlePg/>
          <w:docGrid w:linePitch="360"/>
        </w:sectPr>
      </w:pPr>
    </w:p>
    <w:p w14:paraId="25A62105" w14:textId="77777777" w:rsidR="00004D2F" w:rsidRPr="000A41D0" w:rsidRDefault="00004D2F" w:rsidP="00556DF3">
      <w:pPr>
        <w:rPr>
          <w:rFonts w:cs="Arial"/>
        </w:rPr>
      </w:pPr>
    </w:p>
    <w:p w14:paraId="714D7216" w14:textId="77777777" w:rsidR="00004D2F" w:rsidRPr="000A41D0" w:rsidRDefault="00004D2F" w:rsidP="00556DF3">
      <w:pPr>
        <w:pStyle w:val="Heading1"/>
        <w:rPr>
          <w:rFonts w:cs="Arial"/>
        </w:rPr>
      </w:pPr>
      <w:bookmarkStart w:id="0" w:name="_Toc432010877"/>
      <w:bookmarkStart w:id="1" w:name="_Toc432011626"/>
      <w:bookmarkStart w:id="2" w:name="_Toc433724591"/>
      <w:bookmarkStart w:id="3" w:name="_Toc454896836"/>
      <w:bookmarkStart w:id="4" w:name="_Toc454995881"/>
      <w:bookmarkStart w:id="5" w:name="_Toc455504511"/>
      <w:bookmarkStart w:id="6" w:name="_Toc456717588"/>
      <w:bookmarkStart w:id="7" w:name="_Toc465259613"/>
      <w:bookmarkStart w:id="8" w:name="_Toc485814807"/>
      <w:bookmarkStart w:id="9" w:name="_Toc485822596"/>
      <w:r w:rsidRPr="000A41D0">
        <w:rPr>
          <w:rFonts w:cs="Arial"/>
        </w:rPr>
        <w:t>Standard Disclaimer:</w:t>
      </w:r>
      <w:bookmarkEnd w:id="0"/>
      <w:bookmarkEnd w:id="1"/>
      <w:bookmarkEnd w:id="2"/>
      <w:bookmarkEnd w:id="3"/>
      <w:bookmarkEnd w:id="4"/>
      <w:bookmarkEnd w:id="5"/>
      <w:bookmarkEnd w:id="6"/>
      <w:bookmarkEnd w:id="7"/>
      <w:bookmarkEnd w:id="8"/>
      <w:bookmarkEnd w:id="9"/>
    </w:p>
    <w:p w14:paraId="431EBBD0" w14:textId="77777777" w:rsidR="00004D2F" w:rsidRPr="000A41D0" w:rsidRDefault="00004D2F" w:rsidP="00556DF3">
      <w:pPr>
        <w:rPr>
          <w:rFonts w:cs="Arial"/>
          <w:color w:val="000000"/>
          <w:szCs w:val="18"/>
        </w:rPr>
      </w:pPr>
    </w:p>
    <w:p w14:paraId="0D18044A" w14:textId="77777777" w:rsidR="00004D2F" w:rsidRPr="00F75F85" w:rsidRDefault="00004D2F" w:rsidP="00556DF3">
      <w:pPr>
        <w:jc w:val="both"/>
        <w:rPr>
          <w:rFonts w:cs="Arial"/>
          <w:color w:val="000000"/>
          <w:sz w:val="22"/>
        </w:rPr>
      </w:pPr>
      <w:r w:rsidRPr="00F75F85">
        <w:rPr>
          <w:rFonts w:cs="Arial"/>
          <w:color w:val="000000"/>
          <w:sz w:val="22"/>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14:paraId="6D6949AC" w14:textId="77777777" w:rsidR="00004D2F" w:rsidRPr="000A41D0" w:rsidRDefault="00004D2F" w:rsidP="00556DF3">
      <w:pPr>
        <w:rPr>
          <w:rFonts w:cs="Arial"/>
          <w:color w:val="000000"/>
          <w:szCs w:val="18"/>
        </w:rPr>
      </w:pPr>
    </w:p>
    <w:p w14:paraId="7B3C2D90" w14:textId="77777777" w:rsidR="00004D2F" w:rsidRPr="000A41D0" w:rsidRDefault="00004D2F" w:rsidP="00556DF3">
      <w:pPr>
        <w:rPr>
          <w:rFonts w:cs="Arial"/>
        </w:rPr>
      </w:pPr>
    </w:p>
    <w:p w14:paraId="4EACE4AC" w14:textId="77777777" w:rsidR="00004D2F" w:rsidRPr="000A41D0" w:rsidRDefault="00004D2F" w:rsidP="00556DF3">
      <w:pPr>
        <w:pStyle w:val="Heading1"/>
        <w:rPr>
          <w:rFonts w:cs="Arial"/>
        </w:rPr>
      </w:pPr>
      <w:bookmarkStart w:id="10" w:name="_Toc432010878"/>
      <w:bookmarkStart w:id="11" w:name="_Toc432011627"/>
      <w:bookmarkStart w:id="12" w:name="_Toc433724592"/>
      <w:bookmarkStart w:id="13" w:name="_Toc454896837"/>
      <w:bookmarkStart w:id="14" w:name="_Toc454995882"/>
      <w:bookmarkStart w:id="15" w:name="_Toc455504512"/>
      <w:bookmarkStart w:id="16" w:name="_Toc456717589"/>
      <w:bookmarkStart w:id="17" w:name="_Toc465259614"/>
      <w:bookmarkStart w:id="18" w:name="_Toc485814808"/>
      <w:bookmarkStart w:id="19" w:name="_Toc485822597"/>
      <w:r w:rsidRPr="000A41D0">
        <w:rPr>
          <w:rFonts w:cs="Arial"/>
        </w:rPr>
        <w:t>Copyright Statement:</w:t>
      </w:r>
      <w:bookmarkEnd w:id="10"/>
      <w:bookmarkEnd w:id="11"/>
      <w:bookmarkEnd w:id="12"/>
      <w:bookmarkEnd w:id="13"/>
      <w:bookmarkEnd w:id="14"/>
      <w:bookmarkEnd w:id="15"/>
      <w:bookmarkEnd w:id="16"/>
      <w:bookmarkEnd w:id="17"/>
      <w:bookmarkEnd w:id="18"/>
      <w:bookmarkEnd w:id="19"/>
    </w:p>
    <w:p w14:paraId="59CD81F6" w14:textId="77777777" w:rsidR="00004D2F" w:rsidRPr="000A41D0" w:rsidRDefault="00004D2F" w:rsidP="00556DF3">
      <w:pPr>
        <w:autoSpaceDE w:val="0"/>
        <w:autoSpaceDN w:val="0"/>
        <w:adjustRightInd w:val="0"/>
        <w:rPr>
          <w:rFonts w:cs="Arial"/>
          <w:color w:val="000000"/>
          <w:szCs w:val="18"/>
        </w:rPr>
      </w:pPr>
    </w:p>
    <w:p w14:paraId="3BFF8E4A" w14:textId="77777777" w:rsidR="00004D2F" w:rsidRPr="00F75F85" w:rsidRDefault="00004D2F" w:rsidP="00556DF3">
      <w:pPr>
        <w:autoSpaceDE w:val="0"/>
        <w:autoSpaceDN w:val="0"/>
        <w:adjustRightInd w:val="0"/>
        <w:jc w:val="both"/>
        <w:rPr>
          <w:rFonts w:cs="Arial"/>
          <w:color w:val="000000"/>
          <w:sz w:val="22"/>
        </w:rPr>
      </w:pPr>
      <w:r w:rsidRPr="00F75F85">
        <w:rPr>
          <w:rFonts w:cs="Arial"/>
          <w:color w:val="000000"/>
          <w:sz w:val="22"/>
        </w:rPr>
        <w:t xml:space="preserve">The material in this publication is copyrighted. Copying and/or transmitting portions or all of this work without permission may be a violation of applicable law. The International Bank for Reconstruction and Development/ The World Bank encourages dissemination of its work and will normally grant permission to reproduce portions of the work promptly. </w:t>
      </w:r>
    </w:p>
    <w:p w14:paraId="56027124" w14:textId="77777777" w:rsidR="00004D2F" w:rsidRPr="00F75F85" w:rsidRDefault="00004D2F" w:rsidP="00556DF3">
      <w:pPr>
        <w:autoSpaceDE w:val="0"/>
        <w:autoSpaceDN w:val="0"/>
        <w:adjustRightInd w:val="0"/>
        <w:jc w:val="both"/>
        <w:rPr>
          <w:rFonts w:cs="Arial"/>
          <w:color w:val="000000"/>
          <w:sz w:val="22"/>
        </w:rPr>
      </w:pPr>
    </w:p>
    <w:p w14:paraId="36BB5E20" w14:textId="77777777" w:rsidR="00004D2F" w:rsidRPr="00F75F85" w:rsidRDefault="00004D2F" w:rsidP="00556DF3">
      <w:pPr>
        <w:autoSpaceDE w:val="0"/>
        <w:autoSpaceDN w:val="0"/>
        <w:adjustRightInd w:val="0"/>
        <w:jc w:val="both"/>
        <w:rPr>
          <w:rFonts w:cs="Arial"/>
          <w:color w:val="000000"/>
          <w:sz w:val="22"/>
        </w:rPr>
      </w:pPr>
      <w:r w:rsidRPr="00F75F85">
        <w:rPr>
          <w:rFonts w:cs="Arial"/>
          <w:color w:val="000000"/>
          <w:sz w:val="22"/>
        </w:rPr>
        <w:t xml:space="preserve">For permission to photocopy or reprint any part of this work, please send a request with complete information to the Copyright Clearance Center, Inc., 222 Rosewood Drive, Danvers, MA 01923, USA, telephone 978-750-8400, fax 978-750-4470, http://www.copyright.com/. </w:t>
      </w:r>
    </w:p>
    <w:p w14:paraId="4D16C89E" w14:textId="77777777" w:rsidR="00004D2F" w:rsidRPr="00F75F85" w:rsidRDefault="00004D2F" w:rsidP="00556DF3">
      <w:pPr>
        <w:jc w:val="both"/>
        <w:rPr>
          <w:rFonts w:cs="Arial"/>
          <w:color w:val="000000"/>
          <w:sz w:val="22"/>
        </w:rPr>
      </w:pPr>
    </w:p>
    <w:p w14:paraId="7E1B2AD0" w14:textId="77777777" w:rsidR="00004D2F" w:rsidRPr="00F75F85" w:rsidRDefault="00004D2F" w:rsidP="004A7AC1">
      <w:pPr>
        <w:jc w:val="both"/>
        <w:rPr>
          <w:rFonts w:cs="Arial"/>
          <w:sz w:val="22"/>
        </w:rPr>
      </w:pPr>
      <w:r w:rsidRPr="00F75F85">
        <w:rPr>
          <w:rFonts w:cs="Arial"/>
          <w:color w:val="000000"/>
          <w:sz w:val="22"/>
        </w:rPr>
        <w:t>All other queries on rights and licenses, including subsidiary rights, should be addressed to the Office of the Publisher, The World Bank, 1818 H Street NW, Washington, DC 20433, USA, fax 202-522-2422, e-mail pubrights@worldbank.org.</w:t>
      </w:r>
    </w:p>
    <w:p w14:paraId="73467076" w14:textId="77777777" w:rsidR="00004D2F" w:rsidRPr="000A41D0" w:rsidRDefault="00004D2F" w:rsidP="00556DF3">
      <w:pPr>
        <w:rPr>
          <w:rFonts w:cs="Arial"/>
        </w:rPr>
      </w:pPr>
    </w:p>
    <w:p w14:paraId="6DB1AAF5" w14:textId="1A23E29F" w:rsidR="00004D2F" w:rsidRDefault="00004D2F" w:rsidP="0062648E">
      <w:pPr>
        <w:pStyle w:val="Heading1"/>
      </w:pPr>
      <w:bookmarkStart w:id="20" w:name="_Toc432010879"/>
      <w:bookmarkStart w:id="21" w:name="_Toc432011628"/>
      <w:bookmarkStart w:id="22" w:name="_Toc433724593"/>
      <w:bookmarkStart w:id="23" w:name="_Toc454896838"/>
      <w:bookmarkStart w:id="24" w:name="_Toc454995883"/>
      <w:bookmarkStart w:id="25" w:name="_Toc455504513"/>
      <w:bookmarkStart w:id="26" w:name="_Toc456717590"/>
      <w:bookmarkStart w:id="27" w:name="_Toc465259615"/>
      <w:bookmarkStart w:id="28" w:name="_Toc485814809"/>
      <w:bookmarkStart w:id="29" w:name="_Toc485822598"/>
      <w:r w:rsidRPr="000A41D0">
        <w:rPr>
          <w:rFonts w:cs="Arial"/>
        </w:rPr>
        <w:t>Photo Credits:</w:t>
      </w:r>
      <w:bookmarkEnd w:id="20"/>
      <w:bookmarkEnd w:id="21"/>
      <w:bookmarkEnd w:id="22"/>
      <w:bookmarkEnd w:id="23"/>
      <w:bookmarkEnd w:id="24"/>
      <w:bookmarkEnd w:id="25"/>
      <w:bookmarkEnd w:id="26"/>
      <w:bookmarkEnd w:id="27"/>
      <w:bookmarkEnd w:id="28"/>
      <w:bookmarkEnd w:id="29"/>
    </w:p>
    <w:p w14:paraId="53F87D8D" w14:textId="77777777" w:rsidR="0095528C" w:rsidRPr="0095528C" w:rsidRDefault="0095528C"/>
    <w:p w14:paraId="6C3F1D1F" w14:textId="77777777" w:rsidR="00F40597" w:rsidRPr="0062648E" w:rsidRDefault="00F40597" w:rsidP="00F40597">
      <w:pPr>
        <w:jc w:val="both"/>
        <w:rPr>
          <w:sz w:val="22"/>
        </w:rPr>
      </w:pPr>
      <w:r>
        <w:rPr>
          <w:sz w:val="22"/>
        </w:rPr>
        <w:t xml:space="preserve">Cover, </w:t>
      </w:r>
      <w:r w:rsidRPr="0062648E">
        <w:rPr>
          <w:sz w:val="22"/>
        </w:rPr>
        <w:t xml:space="preserve">Executive Summary, </w:t>
      </w:r>
      <w:r w:rsidRPr="00DB5A82">
        <w:rPr>
          <w:sz w:val="22"/>
        </w:rPr>
        <w:t>Recent Developments</w:t>
      </w:r>
      <w:r>
        <w:rPr>
          <w:sz w:val="22"/>
        </w:rPr>
        <w:t xml:space="preserve"> and Challenges</w:t>
      </w:r>
      <w:r w:rsidRPr="00DB5A82">
        <w:rPr>
          <w:sz w:val="22"/>
        </w:rPr>
        <w:t>: Joseph C. Qian;</w:t>
      </w:r>
      <w:r>
        <w:rPr>
          <w:sz w:val="22"/>
        </w:rPr>
        <w:t xml:space="preserve"> </w:t>
      </w:r>
      <w:r w:rsidRPr="0062648E">
        <w:rPr>
          <w:sz w:val="22"/>
        </w:rPr>
        <w:t xml:space="preserve">Outlook, Risks and Policy Options: Janaka Thilakaratne; </w:t>
      </w:r>
      <w:r>
        <w:rPr>
          <w:sz w:val="22"/>
        </w:rPr>
        <w:t xml:space="preserve">and </w:t>
      </w:r>
      <w:r w:rsidRPr="0062648E">
        <w:rPr>
          <w:sz w:val="22"/>
        </w:rPr>
        <w:t xml:space="preserve">World Bank Group Assistance: </w:t>
      </w:r>
      <w:r>
        <w:rPr>
          <w:sz w:val="22"/>
        </w:rPr>
        <w:t>Anuki Premachandra.</w:t>
      </w:r>
    </w:p>
    <w:p w14:paraId="28E9B605" w14:textId="77777777" w:rsidR="0095528C" w:rsidRPr="000A41D0" w:rsidRDefault="0095528C" w:rsidP="00556DF3">
      <w:pPr>
        <w:rPr>
          <w:rFonts w:cs="Arial"/>
        </w:rPr>
      </w:pPr>
    </w:p>
    <w:p w14:paraId="28F8974A" w14:textId="77777777" w:rsidR="000313DD" w:rsidRPr="000A41D0" w:rsidRDefault="000313DD" w:rsidP="00556DF3">
      <w:pPr>
        <w:rPr>
          <w:rFonts w:cs="Arial"/>
        </w:rPr>
      </w:pPr>
    </w:p>
    <w:p w14:paraId="63D0B192" w14:textId="77777777" w:rsidR="000313DD" w:rsidRPr="000A41D0" w:rsidRDefault="000313DD" w:rsidP="00556DF3">
      <w:pPr>
        <w:rPr>
          <w:rFonts w:cs="Arial"/>
        </w:rPr>
      </w:pPr>
    </w:p>
    <w:p w14:paraId="58391703" w14:textId="77777777" w:rsidR="000313DD" w:rsidRPr="000A41D0" w:rsidRDefault="000313DD" w:rsidP="00556DF3">
      <w:pPr>
        <w:rPr>
          <w:rFonts w:cs="Arial"/>
        </w:rPr>
      </w:pPr>
    </w:p>
    <w:p w14:paraId="2134BA4A" w14:textId="77777777" w:rsidR="000313DD" w:rsidRPr="000A41D0" w:rsidRDefault="000313DD" w:rsidP="00556DF3">
      <w:pPr>
        <w:rPr>
          <w:rFonts w:cs="Arial"/>
        </w:rPr>
      </w:pPr>
    </w:p>
    <w:p w14:paraId="7EDB6772" w14:textId="77777777" w:rsidR="000313DD" w:rsidRPr="000A41D0" w:rsidRDefault="000313DD" w:rsidP="00556DF3">
      <w:pPr>
        <w:rPr>
          <w:rFonts w:cs="Arial"/>
        </w:rPr>
      </w:pPr>
    </w:p>
    <w:p w14:paraId="421C73F4" w14:textId="77777777" w:rsidR="000313DD" w:rsidRPr="000A41D0" w:rsidRDefault="000313DD" w:rsidP="00556DF3">
      <w:pPr>
        <w:rPr>
          <w:rFonts w:cs="Arial"/>
        </w:rPr>
      </w:pPr>
    </w:p>
    <w:p w14:paraId="58993513" w14:textId="77777777" w:rsidR="000313DD" w:rsidRPr="000A41D0" w:rsidRDefault="000313DD" w:rsidP="00556DF3">
      <w:pPr>
        <w:rPr>
          <w:rFonts w:cs="Arial"/>
        </w:rPr>
      </w:pPr>
    </w:p>
    <w:p w14:paraId="08960727" w14:textId="77777777" w:rsidR="000313DD" w:rsidRPr="000A41D0" w:rsidRDefault="000313DD" w:rsidP="00556DF3">
      <w:pPr>
        <w:rPr>
          <w:rFonts w:cs="Arial"/>
        </w:rPr>
      </w:pPr>
    </w:p>
    <w:p w14:paraId="7E9D1032" w14:textId="77777777" w:rsidR="000313DD" w:rsidRPr="000A41D0" w:rsidRDefault="000313DD" w:rsidP="00556DF3">
      <w:pPr>
        <w:rPr>
          <w:rFonts w:cs="Arial"/>
        </w:rPr>
      </w:pPr>
    </w:p>
    <w:p w14:paraId="6A8354BC" w14:textId="77777777" w:rsidR="000313DD" w:rsidRPr="000A41D0" w:rsidRDefault="000313DD" w:rsidP="00556DF3">
      <w:pPr>
        <w:rPr>
          <w:rFonts w:cs="Arial"/>
        </w:rPr>
      </w:pPr>
    </w:p>
    <w:p w14:paraId="4B5692D4" w14:textId="77777777" w:rsidR="000313DD" w:rsidRPr="000A41D0" w:rsidRDefault="000313DD" w:rsidP="00556DF3">
      <w:pPr>
        <w:rPr>
          <w:rFonts w:cs="Arial"/>
        </w:rPr>
      </w:pPr>
    </w:p>
    <w:p w14:paraId="534BA362" w14:textId="77777777" w:rsidR="000313DD" w:rsidRPr="000A41D0" w:rsidRDefault="000313DD" w:rsidP="00556DF3">
      <w:pPr>
        <w:rPr>
          <w:rFonts w:cs="Arial"/>
        </w:rPr>
      </w:pPr>
    </w:p>
    <w:p w14:paraId="17C7D4AD" w14:textId="77777777" w:rsidR="000313DD" w:rsidRPr="000A41D0" w:rsidRDefault="000313DD" w:rsidP="00556DF3">
      <w:pPr>
        <w:rPr>
          <w:rFonts w:cs="Arial"/>
        </w:rPr>
        <w:sectPr w:rsidR="000313DD" w:rsidRPr="000A41D0" w:rsidSect="00F32C89">
          <w:pgSz w:w="12240" w:h="15840" w:code="1"/>
          <w:pgMar w:top="1440" w:right="1440" w:bottom="1440" w:left="3600" w:header="720" w:footer="720" w:gutter="0"/>
          <w:cols w:space="720"/>
          <w:titlePg/>
          <w:docGrid w:linePitch="360"/>
        </w:sectPr>
      </w:pPr>
    </w:p>
    <w:p w14:paraId="68369DCD" w14:textId="77777777" w:rsidR="000313DD" w:rsidRPr="000A41D0" w:rsidRDefault="000313DD" w:rsidP="00556DF3">
      <w:pPr>
        <w:pStyle w:val="Title"/>
        <w:spacing w:before="240"/>
        <w:rPr>
          <w:rFonts w:cs="Arial"/>
        </w:rPr>
      </w:pPr>
    </w:p>
    <w:p w14:paraId="1250C114" w14:textId="77777777" w:rsidR="000313DD" w:rsidRPr="000A41D0" w:rsidRDefault="000313DD" w:rsidP="00556DF3">
      <w:pPr>
        <w:pStyle w:val="Title"/>
        <w:spacing w:before="240"/>
        <w:rPr>
          <w:rFonts w:cs="Arial"/>
        </w:rPr>
      </w:pPr>
    </w:p>
    <w:p w14:paraId="3F0BDC8E" w14:textId="77777777" w:rsidR="00F5465C" w:rsidRPr="000A41D0" w:rsidRDefault="00E02184" w:rsidP="00556DF3">
      <w:pPr>
        <w:pStyle w:val="Title"/>
        <w:spacing w:before="240"/>
        <w:rPr>
          <w:rFonts w:cs="Arial"/>
        </w:rPr>
      </w:pPr>
      <w:r>
        <w:rPr>
          <w:rFonts w:cs="Arial"/>
        </w:rPr>
        <w:t>SRI LANKA</w:t>
      </w:r>
      <w:r w:rsidR="00932A18" w:rsidRPr="000A41D0">
        <w:rPr>
          <w:rFonts w:cs="Arial"/>
        </w:rPr>
        <w:t xml:space="preserve"> DEVELOPMENT UPDATE</w:t>
      </w:r>
    </w:p>
    <w:p w14:paraId="45190795" w14:textId="77777777" w:rsidR="00264358" w:rsidRDefault="00264358" w:rsidP="00556DF3">
      <w:pPr>
        <w:rPr>
          <w:rFonts w:cs="Arial"/>
        </w:rPr>
      </w:pPr>
    </w:p>
    <w:p w14:paraId="6C44AA5B" w14:textId="77777777" w:rsidR="00E02184" w:rsidRPr="000A41D0" w:rsidRDefault="00E02184" w:rsidP="00556DF3">
      <w:pPr>
        <w:rPr>
          <w:rFonts w:cs="Arial"/>
        </w:rPr>
      </w:pPr>
    </w:p>
    <w:p w14:paraId="21484CFD" w14:textId="57B7E460" w:rsidR="00F6052B" w:rsidRPr="00A92EB7" w:rsidRDefault="0018644E" w:rsidP="00556DF3">
      <w:pPr>
        <w:rPr>
          <w:rFonts w:cs="Arial"/>
          <w:b/>
          <w:color w:val="0C4DA9"/>
          <w:sz w:val="28"/>
          <w:szCs w:val="28"/>
        </w:rPr>
      </w:pPr>
      <w:r>
        <w:rPr>
          <w:rFonts w:cs="Arial"/>
          <w:b/>
          <w:color w:val="0C4DA9"/>
          <w:sz w:val="28"/>
          <w:szCs w:val="28"/>
        </w:rPr>
        <w:t>Spring</w:t>
      </w:r>
      <w:r w:rsidR="00F6052B" w:rsidRPr="00A92EB7">
        <w:rPr>
          <w:rFonts w:cs="Arial"/>
          <w:b/>
          <w:color w:val="0C4DA9"/>
          <w:sz w:val="28"/>
          <w:szCs w:val="28"/>
        </w:rPr>
        <w:t xml:space="preserve"> 201</w:t>
      </w:r>
      <w:r w:rsidR="00457B34">
        <w:rPr>
          <w:rFonts w:cs="Arial"/>
          <w:b/>
          <w:color w:val="0C4DA9"/>
          <w:sz w:val="28"/>
          <w:szCs w:val="28"/>
        </w:rPr>
        <w:t>7</w:t>
      </w:r>
    </w:p>
    <w:p w14:paraId="6DBE36FC" w14:textId="77777777" w:rsidR="00F6052B" w:rsidRPr="000A41D0" w:rsidRDefault="00F6052B" w:rsidP="00556DF3">
      <w:pPr>
        <w:rPr>
          <w:rFonts w:cs="Arial"/>
        </w:rPr>
      </w:pPr>
    </w:p>
    <w:p w14:paraId="355060C7" w14:textId="77777777" w:rsidR="00F6052B" w:rsidRPr="000A41D0" w:rsidRDefault="00F6052B" w:rsidP="00556DF3">
      <w:pPr>
        <w:rPr>
          <w:rFonts w:cs="Arial"/>
        </w:rPr>
      </w:pPr>
    </w:p>
    <w:p w14:paraId="679D7640" w14:textId="77777777" w:rsidR="00E161E2" w:rsidRPr="000A41D0" w:rsidRDefault="00E161E2" w:rsidP="00556DF3">
      <w:pPr>
        <w:rPr>
          <w:rFonts w:cs="Arial"/>
        </w:rPr>
      </w:pPr>
    </w:p>
    <w:p w14:paraId="1ECE6BCA" w14:textId="77777777" w:rsidR="00FD2A72" w:rsidRPr="000A41D0" w:rsidRDefault="00FD2A72" w:rsidP="00556DF3">
      <w:pPr>
        <w:rPr>
          <w:rFonts w:cs="Arial"/>
        </w:rPr>
      </w:pPr>
    </w:p>
    <w:p w14:paraId="7009E57E" w14:textId="77777777" w:rsidR="00FD2A72" w:rsidRPr="000A41D0" w:rsidRDefault="00FD2A72" w:rsidP="00556DF3">
      <w:pPr>
        <w:rPr>
          <w:rFonts w:cs="Arial"/>
        </w:rPr>
      </w:pPr>
    </w:p>
    <w:p w14:paraId="46B60D0E" w14:textId="77777777" w:rsidR="00FD2A72" w:rsidRPr="000A41D0" w:rsidRDefault="00FD2A72" w:rsidP="00556DF3">
      <w:pPr>
        <w:rPr>
          <w:rFonts w:cs="Arial"/>
        </w:rPr>
      </w:pPr>
    </w:p>
    <w:p w14:paraId="511FBCB5" w14:textId="77777777" w:rsidR="00FD2A72" w:rsidRPr="000A41D0" w:rsidRDefault="00FD2A72" w:rsidP="00556DF3">
      <w:pPr>
        <w:rPr>
          <w:rFonts w:cs="Arial"/>
        </w:rPr>
      </w:pPr>
    </w:p>
    <w:p w14:paraId="499757CD" w14:textId="77777777" w:rsidR="00FD2A72" w:rsidRPr="000A41D0" w:rsidRDefault="00FD2A72" w:rsidP="00556DF3">
      <w:pPr>
        <w:rPr>
          <w:rFonts w:cs="Arial"/>
        </w:rPr>
      </w:pPr>
    </w:p>
    <w:p w14:paraId="4E102A77" w14:textId="77777777" w:rsidR="00FD2A72" w:rsidRPr="000A41D0" w:rsidRDefault="00FD2A72" w:rsidP="00556DF3">
      <w:pPr>
        <w:rPr>
          <w:rFonts w:cs="Arial"/>
        </w:rPr>
      </w:pPr>
    </w:p>
    <w:p w14:paraId="5D39ECA6" w14:textId="77777777" w:rsidR="00FD2A72" w:rsidRPr="000A41D0" w:rsidRDefault="00FD2A72" w:rsidP="00556DF3">
      <w:pPr>
        <w:rPr>
          <w:rFonts w:cs="Arial"/>
        </w:rPr>
      </w:pPr>
    </w:p>
    <w:p w14:paraId="123878D8" w14:textId="77777777" w:rsidR="00FD2A72" w:rsidRPr="000A41D0" w:rsidRDefault="00FD2A72" w:rsidP="00556DF3">
      <w:pPr>
        <w:rPr>
          <w:rFonts w:cs="Arial"/>
        </w:rPr>
      </w:pPr>
    </w:p>
    <w:p w14:paraId="1B80B676" w14:textId="77777777" w:rsidR="00E161E2" w:rsidRPr="000A41D0" w:rsidRDefault="00E161E2" w:rsidP="00556DF3">
      <w:pPr>
        <w:rPr>
          <w:rFonts w:cs="Arial"/>
        </w:rPr>
      </w:pPr>
    </w:p>
    <w:p w14:paraId="33E484FD" w14:textId="77777777" w:rsidR="0053098F" w:rsidRPr="000A41D0" w:rsidRDefault="0053098F" w:rsidP="00556DF3">
      <w:pPr>
        <w:rPr>
          <w:rFonts w:cs="Arial"/>
        </w:rPr>
      </w:pPr>
    </w:p>
    <w:p w14:paraId="60CEB99F" w14:textId="77777777" w:rsidR="0053098F" w:rsidRPr="000A41D0" w:rsidRDefault="0053098F" w:rsidP="00556DF3">
      <w:pPr>
        <w:rPr>
          <w:rFonts w:cs="Arial"/>
        </w:rPr>
      </w:pPr>
    </w:p>
    <w:p w14:paraId="75B3EF30" w14:textId="77777777" w:rsidR="0053098F" w:rsidRPr="000A41D0" w:rsidRDefault="0053098F" w:rsidP="00556DF3">
      <w:pPr>
        <w:rPr>
          <w:rFonts w:cs="Arial"/>
        </w:rPr>
      </w:pPr>
    </w:p>
    <w:p w14:paraId="12EBE9E5" w14:textId="77777777" w:rsidR="0053098F" w:rsidRPr="000A41D0" w:rsidRDefault="0053098F" w:rsidP="00556DF3">
      <w:pPr>
        <w:rPr>
          <w:rFonts w:cs="Arial"/>
        </w:rPr>
      </w:pPr>
    </w:p>
    <w:p w14:paraId="7F78A791" w14:textId="77777777" w:rsidR="0053098F" w:rsidRPr="000A41D0" w:rsidRDefault="0053098F" w:rsidP="00556DF3">
      <w:pPr>
        <w:rPr>
          <w:rFonts w:cs="Arial"/>
        </w:rPr>
      </w:pPr>
    </w:p>
    <w:p w14:paraId="52C15A6A" w14:textId="77777777" w:rsidR="0053098F" w:rsidRPr="000A41D0" w:rsidRDefault="0053098F" w:rsidP="00556DF3">
      <w:pPr>
        <w:rPr>
          <w:rFonts w:cs="Arial"/>
        </w:rPr>
      </w:pPr>
    </w:p>
    <w:p w14:paraId="5EB66E58" w14:textId="77777777" w:rsidR="0053098F" w:rsidRPr="000A41D0" w:rsidRDefault="0053098F" w:rsidP="00556DF3">
      <w:pPr>
        <w:rPr>
          <w:rFonts w:cs="Arial"/>
        </w:rPr>
      </w:pPr>
    </w:p>
    <w:p w14:paraId="17B41E02" w14:textId="77777777" w:rsidR="0053098F" w:rsidRPr="000A41D0" w:rsidRDefault="0053098F" w:rsidP="00556DF3">
      <w:pPr>
        <w:rPr>
          <w:rFonts w:cs="Arial"/>
        </w:rPr>
      </w:pPr>
    </w:p>
    <w:p w14:paraId="73EFE5C0" w14:textId="77777777" w:rsidR="0053098F" w:rsidRPr="000A41D0" w:rsidRDefault="0053098F" w:rsidP="00556DF3">
      <w:pPr>
        <w:rPr>
          <w:rFonts w:cs="Arial"/>
        </w:rPr>
      </w:pPr>
    </w:p>
    <w:p w14:paraId="554DEB56" w14:textId="77777777" w:rsidR="0053098F" w:rsidRPr="000A41D0" w:rsidRDefault="0053098F" w:rsidP="00556DF3">
      <w:pPr>
        <w:rPr>
          <w:rFonts w:cs="Arial"/>
        </w:rPr>
      </w:pPr>
    </w:p>
    <w:p w14:paraId="294A345C" w14:textId="77777777" w:rsidR="0053098F" w:rsidRPr="000A41D0" w:rsidRDefault="0053098F" w:rsidP="00556DF3">
      <w:pPr>
        <w:rPr>
          <w:rFonts w:cs="Arial"/>
        </w:rPr>
      </w:pPr>
    </w:p>
    <w:p w14:paraId="1EC77967" w14:textId="77777777" w:rsidR="0053098F" w:rsidRPr="000A41D0" w:rsidRDefault="0053098F" w:rsidP="00556DF3">
      <w:pPr>
        <w:rPr>
          <w:rFonts w:cs="Arial"/>
        </w:rPr>
      </w:pPr>
    </w:p>
    <w:p w14:paraId="65891EEF" w14:textId="77777777" w:rsidR="0053098F" w:rsidRPr="000A41D0" w:rsidRDefault="0053098F" w:rsidP="00556DF3">
      <w:pPr>
        <w:rPr>
          <w:rFonts w:cs="Arial"/>
        </w:rPr>
      </w:pPr>
    </w:p>
    <w:p w14:paraId="5874B1B5" w14:textId="77777777" w:rsidR="0053098F" w:rsidRPr="000A41D0" w:rsidRDefault="0053098F" w:rsidP="00556DF3">
      <w:pPr>
        <w:rPr>
          <w:rFonts w:cs="Arial"/>
        </w:rPr>
      </w:pPr>
    </w:p>
    <w:p w14:paraId="0FD24266" w14:textId="77777777" w:rsidR="0053098F" w:rsidRPr="000A41D0" w:rsidRDefault="0053098F" w:rsidP="00556DF3">
      <w:pPr>
        <w:rPr>
          <w:rFonts w:cs="Arial"/>
        </w:rPr>
      </w:pPr>
    </w:p>
    <w:p w14:paraId="104A0E23" w14:textId="77777777" w:rsidR="0053098F" w:rsidRPr="000A41D0" w:rsidRDefault="0053098F" w:rsidP="00556DF3">
      <w:pPr>
        <w:rPr>
          <w:rFonts w:cs="Arial"/>
        </w:rPr>
      </w:pPr>
    </w:p>
    <w:p w14:paraId="040D0858" w14:textId="77777777" w:rsidR="0053098F" w:rsidRPr="000A41D0" w:rsidRDefault="0053098F" w:rsidP="00556DF3">
      <w:pPr>
        <w:rPr>
          <w:rFonts w:cs="Arial"/>
        </w:rPr>
      </w:pPr>
    </w:p>
    <w:p w14:paraId="0305D138" w14:textId="77777777" w:rsidR="0053098F" w:rsidRPr="000A41D0" w:rsidRDefault="0053098F" w:rsidP="00556DF3">
      <w:pPr>
        <w:rPr>
          <w:rFonts w:cs="Arial"/>
        </w:rPr>
      </w:pPr>
    </w:p>
    <w:p w14:paraId="1137FC22" w14:textId="77777777" w:rsidR="0053098F" w:rsidRPr="000A41D0" w:rsidRDefault="0053098F" w:rsidP="00556DF3">
      <w:pPr>
        <w:rPr>
          <w:rFonts w:cs="Arial"/>
        </w:rPr>
      </w:pPr>
    </w:p>
    <w:p w14:paraId="2BD04CF7" w14:textId="77777777" w:rsidR="0053098F" w:rsidRPr="000A41D0" w:rsidRDefault="0053098F" w:rsidP="00556DF3">
      <w:pPr>
        <w:rPr>
          <w:rFonts w:cs="Arial"/>
        </w:rPr>
      </w:pPr>
    </w:p>
    <w:p w14:paraId="71257B71" w14:textId="77777777" w:rsidR="0053098F" w:rsidRPr="000A41D0" w:rsidRDefault="0053098F" w:rsidP="00556DF3">
      <w:pPr>
        <w:rPr>
          <w:rFonts w:cs="Arial"/>
        </w:rPr>
      </w:pPr>
    </w:p>
    <w:p w14:paraId="45FD847A" w14:textId="77777777" w:rsidR="0053098F" w:rsidRPr="000A41D0" w:rsidRDefault="0053098F" w:rsidP="00556DF3">
      <w:pPr>
        <w:rPr>
          <w:rFonts w:cs="Arial"/>
        </w:rPr>
      </w:pPr>
    </w:p>
    <w:p w14:paraId="29D021DA" w14:textId="77777777" w:rsidR="0053098F" w:rsidRPr="000A41D0" w:rsidRDefault="0053098F" w:rsidP="00556DF3">
      <w:pPr>
        <w:rPr>
          <w:rFonts w:cs="Arial"/>
        </w:rPr>
      </w:pPr>
    </w:p>
    <w:p w14:paraId="30AF6065" w14:textId="77777777" w:rsidR="0053098F" w:rsidRPr="000A41D0" w:rsidRDefault="0053098F" w:rsidP="00556DF3">
      <w:pPr>
        <w:rPr>
          <w:rFonts w:cs="Arial"/>
        </w:rPr>
      </w:pPr>
    </w:p>
    <w:p w14:paraId="5311BF02" w14:textId="77777777" w:rsidR="0053098F" w:rsidRPr="000A41D0" w:rsidRDefault="0053098F" w:rsidP="00556DF3">
      <w:pPr>
        <w:rPr>
          <w:rFonts w:cs="Arial"/>
        </w:rPr>
      </w:pPr>
    </w:p>
    <w:p w14:paraId="6AD99208" w14:textId="77777777" w:rsidR="0053098F" w:rsidRPr="000A41D0" w:rsidRDefault="0053098F" w:rsidP="00556DF3">
      <w:pPr>
        <w:rPr>
          <w:rFonts w:cs="Arial"/>
        </w:rPr>
      </w:pPr>
    </w:p>
    <w:p w14:paraId="37C422BC" w14:textId="77777777" w:rsidR="0053098F" w:rsidRPr="000A41D0" w:rsidRDefault="0053098F" w:rsidP="00556DF3">
      <w:pPr>
        <w:rPr>
          <w:rFonts w:cs="Arial"/>
        </w:rPr>
      </w:pPr>
    </w:p>
    <w:p w14:paraId="7A755A70" w14:textId="77777777" w:rsidR="0053098F" w:rsidRPr="000A41D0" w:rsidRDefault="0053098F" w:rsidP="00556DF3">
      <w:pPr>
        <w:rPr>
          <w:rFonts w:cs="Arial"/>
        </w:rPr>
      </w:pPr>
    </w:p>
    <w:p w14:paraId="031B7A38" w14:textId="77777777" w:rsidR="00F6052B" w:rsidRPr="000A41D0" w:rsidRDefault="00F6052B" w:rsidP="00556DF3">
      <w:pPr>
        <w:rPr>
          <w:rFonts w:cs="Arial"/>
        </w:rPr>
      </w:pPr>
    </w:p>
    <w:p w14:paraId="502C6FD0" w14:textId="77777777" w:rsidR="00F6052B" w:rsidRPr="000A41D0" w:rsidRDefault="00525702" w:rsidP="00556DF3">
      <w:pPr>
        <w:rPr>
          <w:rFonts w:cs="Arial"/>
        </w:rPr>
      </w:pPr>
      <w:r w:rsidRPr="000A41D0">
        <w:rPr>
          <w:rFonts w:cs="Arial"/>
          <w:noProof/>
        </w:rPr>
        <w:drawing>
          <wp:inline distT="0" distB="0" distL="0" distR="0" wp14:anchorId="452D64AE" wp14:editId="797C4DEF">
            <wp:extent cx="2019300" cy="4030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horizontal-RGB-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5710" cy="404324"/>
                    </a:xfrm>
                    <a:prstGeom prst="rect">
                      <a:avLst/>
                    </a:prstGeom>
                  </pic:spPr>
                </pic:pic>
              </a:graphicData>
            </a:graphic>
          </wp:inline>
        </w:drawing>
      </w:r>
    </w:p>
    <w:p w14:paraId="53CA649E" w14:textId="77777777" w:rsidR="00EE4121" w:rsidRPr="000A41D0" w:rsidRDefault="00EE4121" w:rsidP="00556DF3">
      <w:pPr>
        <w:rPr>
          <w:rFonts w:cs="Arial"/>
        </w:rPr>
        <w:sectPr w:rsidR="00EE4121" w:rsidRPr="000A41D0" w:rsidSect="00F32C89">
          <w:pgSz w:w="12240" w:h="15840" w:code="1"/>
          <w:pgMar w:top="1440" w:right="1440" w:bottom="1440" w:left="3600" w:header="720" w:footer="720" w:gutter="0"/>
          <w:cols w:space="720"/>
          <w:titlePg/>
          <w:docGrid w:linePitch="360"/>
        </w:sectPr>
      </w:pPr>
    </w:p>
    <w:p w14:paraId="1682DB04" w14:textId="77777777" w:rsidR="00F6052B" w:rsidRPr="000A41D0" w:rsidRDefault="00F6052B" w:rsidP="004246DE">
      <w:pPr>
        <w:pStyle w:val="Preface-TOC-Annex"/>
        <w:spacing w:line="240" w:lineRule="auto"/>
        <w:ind w:left="-270"/>
        <w:rPr>
          <w:rFonts w:cs="Arial"/>
        </w:rPr>
      </w:pPr>
      <w:bookmarkStart w:id="30" w:name="_Toc248125977"/>
      <w:bookmarkStart w:id="31" w:name="_Toc258255254"/>
      <w:bookmarkStart w:id="32" w:name="_Toc258260426"/>
      <w:bookmarkStart w:id="33" w:name="_Toc337887986"/>
      <w:bookmarkStart w:id="34" w:name="_Toc350790614"/>
      <w:bookmarkStart w:id="35" w:name="_Toc350878035"/>
      <w:bookmarkStart w:id="36" w:name="_Toc415490113"/>
      <w:bookmarkStart w:id="37" w:name="_Toc432010880"/>
      <w:bookmarkStart w:id="38" w:name="_Toc432011629"/>
      <w:bookmarkStart w:id="39" w:name="_Toc433724594"/>
      <w:bookmarkStart w:id="40" w:name="_Toc454896839"/>
      <w:bookmarkStart w:id="41" w:name="_Toc454995884"/>
      <w:bookmarkStart w:id="42" w:name="_Toc455504514"/>
      <w:bookmarkStart w:id="43" w:name="_Toc456717591"/>
      <w:bookmarkStart w:id="44" w:name="_Toc465259616"/>
      <w:bookmarkStart w:id="45" w:name="_Toc485814810"/>
      <w:bookmarkStart w:id="46" w:name="_Toc485822599"/>
      <w:r w:rsidRPr="000A41D0">
        <w:rPr>
          <w:rFonts w:cs="Arial"/>
        </w:rPr>
        <w:lastRenderedPageBreak/>
        <w:t>Preface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bl>
      <w:tblPr>
        <w:tblW w:w="9386" w:type="dxa"/>
        <w:tblInd w:w="-276" w:type="dxa"/>
        <w:tblLayout w:type="fixed"/>
        <w:tblCellMar>
          <w:left w:w="0" w:type="dxa"/>
          <w:right w:w="29" w:type="dxa"/>
        </w:tblCellMar>
        <w:tblLook w:val="01E0" w:firstRow="1" w:lastRow="1" w:firstColumn="1" w:lastColumn="1" w:noHBand="0" w:noVBand="0"/>
      </w:tblPr>
      <w:tblGrid>
        <w:gridCol w:w="2020"/>
        <w:gridCol w:w="145"/>
        <w:gridCol w:w="7221"/>
      </w:tblGrid>
      <w:tr w:rsidR="00564436" w:rsidRPr="004D73BC" w14:paraId="519C5064" w14:textId="77777777" w:rsidTr="004246DE">
        <w:tc>
          <w:tcPr>
            <w:tcW w:w="2020" w:type="dxa"/>
          </w:tcPr>
          <w:p w14:paraId="3518E539" w14:textId="77777777" w:rsidR="00564436" w:rsidRPr="0053247D" w:rsidRDefault="00564436" w:rsidP="00556DF3">
            <w:pPr>
              <w:pStyle w:val="BodyText"/>
              <w:rPr>
                <w:szCs w:val="22"/>
              </w:rPr>
            </w:pPr>
          </w:p>
        </w:tc>
        <w:tc>
          <w:tcPr>
            <w:tcW w:w="145" w:type="dxa"/>
          </w:tcPr>
          <w:p w14:paraId="171E7B19" w14:textId="77777777" w:rsidR="00564436" w:rsidRPr="0053247D" w:rsidRDefault="00564436" w:rsidP="00556DF3">
            <w:pPr>
              <w:pStyle w:val="BodyText"/>
              <w:rPr>
                <w:szCs w:val="22"/>
              </w:rPr>
            </w:pPr>
          </w:p>
        </w:tc>
        <w:tc>
          <w:tcPr>
            <w:tcW w:w="7221" w:type="dxa"/>
          </w:tcPr>
          <w:p w14:paraId="07653B30" w14:textId="6746BA13" w:rsidR="004A7AC1" w:rsidRPr="0053247D" w:rsidRDefault="0053247D" w:rsidP="004246DE">
            <w:pPr>
              <w:pStyle w:val="BodyText"/>
              <w:jc w:val="both"/>
              <w:rPr>
                <w:szCs w:val="18"/>
              </w:rPr>
            </w:pPr>
            <w:r w:rsidRPr="0053247D">
              <w:rPr>
                <w:szCs w:val="18"/>
              </w:rPr>
              <w:t>The Sri Lanka Development Update has</w:t>
            </w:r>
            <w:r w:rsidR="005F2564" w:rsidRPr="005F2564">
              <w:rPr>
                <w:szCs w:val="18"/>
              </w:rPr>
              <w:t xml:space="preserve"> two main aims. First, it reports on the key developments over the past six months in </w:t>
            </w:r>
            <w:r w:rsidR="005F2564">
              <w:rPr>
                <w:szCs w:val="18"/>
              </w:rPr>
              <w:t>Sri Lanka</w:t>
            </w:r>
            <w:r w:rsidR="005F2564" w:rsidRPr="005F2564">
              <w:rPr>
                <w:szCs w:val="18"/>
              </w:rPr>
              <w:t xml:space="preserve">’s economy, and places these in a longer term and global context. Based on these developments, and on policy changes over the period, it updates the outlook for </w:t>
            </w:r>
            <w:r w:rsidR="005F2564">
              <w:rPr>
                <w:szCs w:val="18"/>
              </w:rPr>
              <w:t>Sri Lanka’s</w:t>
            </w:r>
            <w:r w:rsidR="005F2564" w:rsidRPr="005F2564">
              <w:rPr>
                <w:szCs w:val="18"/>
              </w:rPr>
              <w:t xml:space="preserve"> economy and social welfare. Second, the Update provides a more in-depth examination of selected economic and policy issues, and analysis of medium-term development challenges. It is intended for a wide audience, including policymakers, business leaders, financial market participants, and the community of analysts and professionals engaged in </w:t>
            </w:r>
            <w:r w:rsidR="005F2564">
              <w:rPr>
                <w:szCs w:val="18"/>
              </w:rPr>
              <w:t>Sri Lanka’s</w:t>
            </w:r>
            <w:r w:rsidR="005F2564" w:rsidRPr="005F2564">
              <w:rPr>
                <w:szCs w:val="18"/>
              </w:rPr>
              <w:t xml:space="preserve"> evolving economy.</w:t>
            </w:r>
            <w:r w:rsidR="004A7AC1">
              <w:rPr>
                <w:szCs w:val="18"/>
              </w:rPr>
              <w:t xml:space="preserve"> </w:t>
            </w:r>
          </w:p>
        </w:tc>
      </w:tr>
    </w:tbl>
    <w:p w14:paraId="74C4EFC1" w14:textId="77777777" w:rsidR="00F6052B" w:rsidRPr="004D73BC" w:rsidRDefault="00F6052B" w:rsidP="00556DF3">
      <w:pPr>
        <w:rPr>
          <w:rFonts w:cs="Arial"/>
          <w:sz w:val="22"/>
          <w:highlight w:val="yellow"/>
        </w:rPr>
      </w:pPr>
    </w:p>
    <w:tbl>
      <w:tblPr>
        <w:tblW w:w="9386" w:type="dxa"/>
        <w:tblInd w:w="-276" w:type="dxa"/>
        <w:tblLayout w:type="fixed"/>
        <w:tblCellMar>
          <w:left w:w="0" w:type="dxa"/>
          <w:right w:w="29" w:type="dxa"/>
        </w:tblCellMar>
        <w:tblLook w:val="01E0" w:firstRow="1" w:lastRow="1" w:firstColumn="1" w:lastColumn="1" w:noHBand="0" w:noVBand="0"/>
      </w:tblPr>
      <w:tblGrid>
        <w:gridCol w:w="2020"/>
        <w:gridCol w:w="145"/>
        <w:gridCol w:w="7221"/>
      </w:tblGrid>
      <w:tr w:rsidR="00DE3631" w:rsidRPr="000A41D0" w14:paraId="3D8807D1" w14:textId="77777777" w:rsidTr="004246DE">
        <w:tc>
          <w:tcPr>
            <w:tcW w:w="2020" w:type="dxa"/>
          </w:tcPr>
          <w:p w14:paraId="422EC0BD" w14:textId="77777777" w:rsidR="00DE3631" w:rsidRPr="004D73BC" w:rsidRDefault="00DE3631" w:rsidP="00556DF3">
            <w:pPr>
              <w:pStyle w:val="BodyText"/>
              <w:rPr>
                <w:szCs w:val="22"/>
                <w:highlight w:val="yellow"/>
              </w:rPr>
            </w:pPr>
          </w:p>
        </w:tc>
        <w:tc>
          <w:tcPr>
            <w:tcW w:w="145" w:type="dxa"/>
          </w:tcPr>
          <w:p w14:paraId="16A4F5CB" w14:textId="77777777" w:rsidR="00DE3631" w:rsidRPr="004D73BC" w:rsidRDefault="00DE3631" w:rsidP="00556DF3">
            <w:pPr>
              <w:pStyle w:val="BodyText"/>
              <w:rPr>
                <w:szCs w:val="22"/>
                <w:highlight w:val="yellow"/>
              </w:rPr>
            </w:pPr>
          </w:p>
        </w:tc>
        <w:tc>
          <w:tcPr>
            <w:tcW w:w="7221" w:type="dxa"/>
          </w:tcPr>
          <w:p w14:paraId="51762C22" w14:textId="100FE484" w:rsidR="002D434F" w:rsidRPr="000A41D0" w:rsidRDefault="004D73BC" w:rsidP="00401F00">
            <w:pPr>
              <w:pStyle w:val="BodyText"/>
              <w:jc w:val="both"/>
              <w:rPr>
                <w:szCs w:val="18"/>
              </w:rPr>
            </w:pPr>
            <w:r w:rsidRPr="00F96FF4">
              <w:rPr>
                <w:szCs w:val="18"/>
              </w:rPr>
              <w:t xml:space="preserve">This report was prepared by </w:t>
            </w:r>
            <w:r w:rsidR="00E039D2">
              <w:rPr>
                <w:szCs w:val="18"/>
              </w:rPr>
              <w:t xml:space="preserve">Kishan Abeygunawardana and Ralph van Doorn </w:t>
            </w:r>
            <w:r w:rsidR="00541536">
              <w:rPr>
                <w:szCs w:val="18"/>
              </w:rPr>
              <w:t>(</w:t>
            </w:r>
            <w:r w:rsidR="002D434F">
              <w:rPr>
                <w:szCs w:val="18"/>
              </w:rPr>
              <w:t>Macroeconomics and Fiscal Management Global Practice</w:t>
            </w:r>
            <w:r w:rsidR="00541536">
              <w:rPr>
                <w:szCs w:val="18"/>
              </w:rPr>
              <w:t>)</w:t>
            </w:r>
            <w:r w:rsidR="002D434F">
              <w:rPr>
                <w:szCs w:val="18"/>
              </w:rPr>
              <w:t xml:space="preserve">, with inputs from </w:t>
            </w:r>
            <w:r w:rsidR="00E039D2">
              <w:rPr>
                <w:szCs w:val="18"/>
              </w:rPr>
              <w:t xml:space="preserve">David Newhouse </w:t>
            </w:r>
            <w:r w:rsidR="007574DA">
              <w:rPr>
                <w:szCs w:val="18"/>
              </w:rPr>
              <w:t>(</w:t>
            </w:r>
            <w:r w:rsidR="002D434F">
              <w:rPr>
                <w:szCs w:val="18"/>
              </w:rPr>
              <w:t>Poverty</w:t>
            </w:r>
            <w:r w:rsidR="00541536">
              <w:rPr>
                <w:szCs w:val="18"/>
              </w:rPr>
              <w:t xml:space="preserve"> and Equity</w:t>
            </w:r>
            <w:r w:rsidR="007574DA">
              <w:rPr>
                <w:szCs w:val="18"/>
              </w:rPr>
              <w:t>)</w:t>
            </w:r>
            <w:r w:rsidR="00E039D2">
              <w:rPr>
                <w:szCs w:val="18"/>
              </w:rPr>
              <w:t>, Emanuel Salinas-Munoz</w:t>
            </w:r>
            <w:r w:rsidR="00401F00">
              <w:rPr>
                <w:szCs w:val="18"/>
              </w:rPr>
              <w:t>, Amila Dahanayake</w:t>
            </w:r>
            <w:r w:rsidR="007574DA">
              <w:rPr>
                <w:szCs w:val="18"/>
              </w:rPr>
              <w:t xml:space="preserve"> and Dinesha Samarana</w:t>
            </w:r>
            <w:r w:rsidR="00541536">
              <w:rPr>
                <w:szCs w:val="18"/>
              </w:rPr>
              <w:t>yake (Trade and Competitiveness)</w:t>
            </w:r>
            <w:r w:rsidR="00401F00">
              <w:rPr>
                <w:szCs w:val="18"/>
              </w:rPr>
              <w:t>, Suranga Kahandawa</w:t>
            </w:r>
            <w:r w:rsidR="00541536">
              <w:rPr>
                <w:szCs w:val="18"/>
              </w:rPr>
              <w:t xml:space="preserve"> </w:t>
            </w:r>
            <w:r w:rsidR="00401F00">
              <w:rPr>
                <w:szCs w:val="18"/>
              </w:rPr>
              <w:t>(Social, Urban, Rural and Resilience)</w:t>
            </w:r>
            <w:r w:rsidR="005E64F6">
              <w:rPr>
                <w:szCs w:val="18"/>
              </w:rPr>
              <w:t>, Raffy Dominguez</w:t>
            </w:r>
            <w:r w:rsidR="00401F00">
              <w:rPr>
                <w:szCs w:val="18"/>
              </w:rPr>
              <w:t xml:space="preserve"> </w:t>
            </w:r>
            <w:r w:rsidR="005E64F6">
              <w:rPr>
                <w:szCs w:val="18"/>
              </w:rPr>
              <w:t xml:space="preserve">(IFC) </w:t>
            </w:r>
            <w:r w:rsidR="00541536">
              <w:rPr>
                <w:szCs w:val="18"/>
              </w:rPr>
              <w:t>and Juri Oka (Country Management Unit)</w:t>
            </w:r>
            <w:r w:rsidR="002D434F">
              <w:rPr>
                <w:szCs w:val="18"/>
              </w:rPr>
              <w:t xml:space="preserve">. </w:t>
            </w:r>
            <w:r w:rsidR="00401F00">
              <w:rPr>
                <w:szCs w:val="18"/>
              </w:rPr>
              <w:t xml:space="preserve">Sashikala Jeyaraj provided formatting support. </w:t>
            </w:r>
            <w:r w:rsidR="001B4A0C">
              <w:rPr>
                <w:szCs w:val="18"/>
              </w:rPr>
              <w:t xml:space="preserve">The report was prepared based on published data </w:t>
            </w:r>
            <w:r w:rsidR="00B1189B">
              <w:rPr>
                <w:szCs w:val="18"/>
              </w:rPr>
              <w:t>available on or before</w:t>
            </w:r>
            <w:r w:rsidR="00541536">
              <w:rPr>
                <w:szCs w:val="18"/>
              </w:rPr>
              <w:t xml:space="preserve"> June 20, 2017.</w:t>
            </w:r>
            <w:r w:rsidR="0003066F">
              <w:rPr>
                <w:szCs w:val="18"/>
              </w:rPr>
              <w:t xml:space="preserve"> Data sources included World Bank, International Monetary Fund, Central Bank of Sri Lanka, Ministry of Finance, Department of Census and Statistics</w:t>
            </w:r>
            <w:r w:rsidR="005F2564">
              <w:rPr>
                <w:szCs w:val="18"/>
              </w:rPr>
              <w:t>,</w:t>
            </w:r>
            <w:r w:rsidR="0003066F">
              <w:rPr>
                <w:szCs w:val="18"/>
              </w:rPr>
              <w:t xml:space="preserve"> and press reports.</w:t>
            </w:r>
            <w:r w:rsidR="002D434F">
              <w:rPr>
                <w:szCs w:val="18"/>
              </w:rPr>
              <w:t xml:space="preserve"> For questions, please contact: </w:t>
            </w:r>
            <w:hyperlink r:id="rId11" w:history="1">
              <w:r w:rsidR="002D434F" w:rsidRPr="0063449C">
                <w:rPr>
                  <w:rStyle w:val="Hyperlink"/>
                  <w:rFonts w:cs="Arial"/>
                  <w:szCs w:val="18"/>
                </w:rPr>
                <w:t>infosrilanka@worldbank.org</w:t>
              </w:r>
            </w:hyperlink>
            <w:r w:rsidR="002D434F">
              <w:rPr>
                <w:szCs w:val="18"/>
              </w:rPr>
              <w:t>.</w:t>
            </w:r>
          </w:p>
        </w:tc>
      </w:tr>
    </w:tbl>
    <w:p w14:paraId="26A0B33F" w14:textId="77777777" w:rsidR="00F6052B" w:rsidRPr="000A41D0" w:rsidRDefault="00F6052B" w:rsidP="00556DF3">
      <w:pPr>
        <w:rPr>
          <w:rFonts w:cs="Arial"/>
          <w:sz w:val="22"/>
        </w:rPr>
      </w:pPr>
    </w:p>
    <w:p w14:paraId="7E0934F3" w14:textId="77777777" w:rsidR="00F6052B" w:rsidRPr="000A41D0" w:rsidRDefault="00F6052B" w:rsidP="00556DF3">
      <w:pPr>
        <w:pStyle w:val="BodyText"/>
      </w:pPr>
    </w:p>
    <w:p w14:paraId="42414FE7" w14:textId="77777777" w:rsidR="00F6052B" w:rsidRPr="000A41D0" w:rsidRDefault="00F6052B" w:rsidP="00556DF3">
      <w:pPr>
        <w:rPr>
          <w:rFonts w:cs="Arial"/>
        </w:rPr>
      </w:pPr>
    </w:p>
    <w:p w14:paraId="5EA3340C" w14:textId="77777777" w:rsidR="002A0A47" w:rsidRDefault="002A0A47" w:rsidP="00556DF3">
      <w:pPr>
        <w:rPr>
          <w:rFonts w:cs="Arial"/>
        </w:rPr>
      </w:pPr>
    </w:p>
    <w:p w14:paraId="3610961D" w14:textId="77777777" w:rsidR="002A0A47" w:rsidRDefault="002A0A47" w:rsidP="00556DF3">
      <w:pPr>
        <w:rPr>
          <w:rFonts w:cs="Arial"/>
        </w:rPr>
      </w:pPr>
    </w:p>
    <w:p w14:paraId="355BA3A3" w14:textId="77777777" w:rsidR="002A0A47" w:rsidRDefault="002A0A47" w:rsidP="00556DF3">
      <w:pPr>
        <w:rPr>
          <w:rFonts w:cs="Arial"/>
        </w:rPr>
      </w:pPr>
    </w:p>
    <w:p w14:paraId="17A17A89" w14:textId="77777777" w:rsidR="002A0A47" w:rsidRDefault="002A0A47" w:rsidP="00556DF3">
      <w:pPr>
        <w:rPr>
          <w:rFonts w:cs="Arial"/>
        </w:rPr>
      </w:pPr>
    </w:p>
    <w:p w14:paraId="28E696D6" w14:textId="77777777" w:rsidR="002A0A47" w:rsidRDefault="002A0A47" w:rsidP="00556DF3">
      <w:pPr>
        <w:rPr>
          <w:rFonts w:cs="Arial"/>
        </w:rPr>
      </w:pPr>
    </w:p>
    <w:p w14:paraId="31356B02" w14:textId="77777777" w:rsidR="002A0A47" w:rsidRDefault="002A0A47" w:rsidP="00556DF3">
      <w:pPr>
        <w:rPr>
          <w:rFonts w:cs="Arial"/>
        </w:rPr>
      </w:pPr>
    </w:p>
    <w:p w14:paraId="472DA75D" w14:textId="77777777" w:rsidR="002A0A47" w:rsidRDefault="002A0A47" w:rsidP="00556DF3">
      <w:pPr>
        <w:rPr>
          <w:rFonts w:cs="Arial"/>
        </w:rPr>
      </w:pPr>
    </w:p>
    <w:p w14:paraId="3D7A705B" w14:textId="77777777" w:rsidR="002A0A47" w:rsidRDefault="002A0A47" w:rsidP="00556DF3">
      <w:pPr>
        <w:rPr>
          <w:rFonts w:cs="Arial"/>
        </w:rPr>
      </w:pPr>
    </w:p>
    <w:p w14:paraId="1D35172C" w14:textId="77777777" w:rsidR="002A0A47" w:rsidRDefault="002A0A47" w:rsidP="00556DF3">
      <w:pPr>
        <w:rPr>
          <w:rFonts w:cs="Arial"/>
        </w:rPr>
      </w:pPr>
    </w:p>
    <w:p w14:paraId="5B0BA311" w14:textId="77777777" w:rsidR="002A0A47" w:rsidRDefault="002A0A47" w:rsidP="00556DF3">
      <w:pPr>
        <w:rPr>
          <w:rFonts w:cs="Arial"/>
        </w:rPr>
      </w:pPr>
    </w:p>
    <w:p w14:paraId="3BE72AB6" w14:textId="77777777" w:rsidR="004C0312" w:rsidRDefault="004C0312" w:rsidP="00556DF3">
      <w:pPr>
        <w:rPr>
          <w:rFonts w:cs="Arial"/>
        </w:rPr>
      </w:pPr>
    </w:p>
    <w:tbl>
      <w:tblPr>
        <w:tblW w:w="9386" w:type="dxa"/>
        <w:tblInd w:w="-276" w:type="dxa"/>
        <w:tblLayout w:type="fixed"/>
        <w:tblCellMar>
          <w:left w:w="0" w:type="dxa"/>
          <w:right w:w="29" w:type="dxa"/>
        </w:tblCellMar>
        <w:tblLook w:val="01E0" w:firstRow="1" w:lastRow="1" w:firstColumn="1" w:lastColumn="1" w:noHBand="0" w:noVBand="0"/>
      </w:tblPr>
      <w:tblGrid>
        <w:gridCol w:w="2020"/>
        <w:gridCol w:w="145"/>
        <w:gridCol w:w="7221"/>
      </w:tblGrid>
      <w:tr w:rsidR="004C0312" w:rsidRPr="000A41D0" w14:paraId="503C106E" w14:textId="77777777" w:rsidTr="004246DE">
        <w:tc>
          <w:tcPr>
            <w:tcW w:w="2020" w:type="dxa"/>
          </w:tcPr>
          <w:p w14:paraId="2E5E561E" w14:textId="77777777" w:rsidR="004C0312" w:rsidRPr="004D73BC" w:rsidRDefault="004C0312" w:rsidP="00297180">
            <w:pPr>
              <w:pStyle w:val="BodyText"/>
              <w:rPr>
                <w:szCs w:val="22"/>
                <w:highlight w:val="yellow"/>
              </w:rPr>
            </w:pPr>
          </w:p>
        </w:tc>
        <w:tc>
          <w:tcPr>
            <w:tcW w:w="145" w:type="dxa"/>
          </w:tcPr>
          <w:p w14:paraId="741A9A1B" w14:textId="77777777" w:rsidR="004C0312" w:rsidRPr="004D73BC" w:rsidRDefault="004C0312" w:rsidP="00297180">
            <w:pPr>
              <w:pStyle w:val="BodyText"/>
              <w:rPr>
                <w:szCs w:val="22"/>
                <w:highlight w:val="yellow"/>
              </w:rPr>
            </w:pPr>
          </w:p>
        </w:tc>
        <w:tc>
          <w:tcPr>
            <w:tcW w:w="7221" w:type="dxa"/>
          </w:tcPr>
          <w:p w14:paraId="3B96FC83" w14:textId="3B253A3D" w:rsidR="00AD0D01" w:rsidRDefault="004246DE" w:rsidP="007E5EBE">
            <w:pPr>
              <w:pStyle w:val="BodyText"/>
              <w:rPr>
                <w:szCs w:val="18"/>
              </w:rPr>
            </w:pPr>
            <w:r>
              <w:rPr>
                <w:szCs w:val="18"/>
              </w:rPr>
              <w:t>This report and m</w:t>
            </w:r>
            <w:r w:rsidR="004C0312">
              <w:rPr>
                <w:szCs w:val="18"/>
              </w:rPr>
              <w:t xml:space="preserve">ore information </w:t>
            </w:r>
            <w:r>
              <w:rPr>
                <w:szCs w:val="18"/>
              </w:rPr>
              <w:t xml:space="preserve">on the Sri Lanka program </w:t>
            </w:r>
            <w:r w:rsidR="004C0312">
              <w:rPr>
                <w:szCs w:val="18"/>
              </w:rPr>
              <w:t xml:space="preserve">can be found at </w:t>
            </w:r>
          </w:p>
          <w:p w14:paraId="2A620D6D" w14:textId="0E3594A6" w:rsidR="004C0312" w:rsidRDefault="000A13BE" w:rsidP="007E5EBE">
            <w:pPr>
              <w:pStyle w:val="BodyText"/>
              <w:ind w:left="269"/>
              <w:rPr>
                <w:szCs w:val="18"/>
              </w:rPr>
            </w:pPr>
            <w:r>
              <w:rPr>
                <w:noProof/>
              </w:rPr>
              <w:pict w14:anchorId="30C6CB27">
                <v:shape id="_x0000_i1030" type="#_x0000_t75" alt="https://upload.wikimedia.org/wikipedia/commons/thumb/c/c4/Globe_icon.svg/1024px-Globe_icon.svg.png" style="width:14.25pt;height:14.25pt;flip:y;visibility:visible">
                  <v:imagedata r:id="rId12" o:title="1024px-Globe_icon"/>
                </v:shape>
              </w:pict>
            </w:r>
            <w:r w:rsidR="00AD0D01">
              <w:rPr>
                <w:szCs w:val="18"/>
              </w:rPr>
              <w:t xml:space="preserve"> </w:t>
            </w:r>
            <w:hyperlink r:id="rId13" w:history="1">
              <w:r w:rsidR="004C0312" w:rsidRPr="00A153A2">
                <w:rPr>
                  <w:rStyle w:val="Hyperlink"/>
                  <w:rFonts w:cs="Arial"/>
                  <w:szCs w:val="18"/>
                </w:rPr>
                <w:t>http://www.worldbank.org/en/country/srilanka</w:t>
              </w:r>
            </w:hyperlink>
          </w:p>
          <w:p w14:paraId="0EA9CE4A" w14:textId="77777777" w:rsidR="004C0312" w:rsidRDefault="004C0312" w:rsidP="007E5EBE">
            <w:pPr>
              <w:pStyle w:val="BodyText"/>
              <w:ind w:left="269"/>
              <w:rPr>
                <w:szCs w:val="18"/>
              </w:rPr>
            </w:pPr>
          </w:p>
          <w:p w14:paraId="235BAF7F" w14:textId="6AB062DC" w:rsidR="004C0312" w:rsidRDefault="004C0312" w:rsidP="007E5EBE">
            <w:pPr>
              <w:pStyle w:val="BodyText"/>
              <w:rPr>
                <w:szCs w:val="18"/>
              </w:rPr>
            </w:pPr>
            <w:r>
              <w:rPr>
                <w:szCs w:val="18"/>
              </w:rPr>
              <w:t xml:space="preserve">Stay in touch with the World Bank in Sri Lanka and South Asia via </w:t>
            </w:r>
          </w:p>
          <w:p w14:paraId="0F6860F9" w14:textId="2262D4F2" w:rsidR="004C0312" w:rsidRDefault="007E5EBE" w:rsidP="007E5EBE">
            <w:pPr>
              <w:pStyle w:val="BodyText"/>
              <w:ind w:left="269"/>
              <w:rPr>
                <w:rStyle w:val="Hyperlink"/>
                <w:rFonts w:eastAsiaTheme="minorHAnsi" w:cs="Arial"/>
                <w:kern w:val="0"/>
                <w:sz w:val="20"/>
                <w:szCs w:val="18"/>
              </w:rPr>
            </w:pPr>
            <w:r>
              <w:rPr>
                <w:noProof/>
              </w:rPr>
              <w:drawing>
                <wp:inline distT="0" distB="0" distL="0" distR="0" wp14:anchorId="625AB363" wp14:editId="0129AFF3">
                  <wp:extent cx="202758" cy="202758"/>
                  <wp:effectExtent l="0" t="0" r="698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428" cy="209428"/>
                          </a:xfrm>
                          <a:prstGeom prst="rect">
                            <a:avLst/>
                          </a:prstGeom>
                        </pic:spPr>
                      </pic:pic>
                    </a:graphicData>
                  </a:graphic>
                </wp:inline>
              </w:drawing>
            </w:r>
            <w:r w:rsidR="007661DE">
              <w:rPr>
                <w:szCs w:val="18"/>
              </w:rPr>
              <w:t xml:space="preserve"> </w:t>
            </w:r>
            <w:hyperlink r:id="rId15" w:history="1">
              <w:r w:rsidR="006C12B8" w:rsidRPr="00BB0C65">
                <w:rPr>
                  <w:rStyle w:val="Hyperlink"/>
                  <w:rFonts w:cs="Arial"/>
                  <w:szCs w:val="18"/>
                </w:rPr>
                <w:t>@WorldBank</w:t>
              </w:r>
            </w:hyperlink>
            <w:r w:rsidR="006C12B8">
              <w:rPr>
                <w:szCs w:val="18"/>
              </w:rPr>
              <w:t xml:space="preserve">, </w:t>
            </w:r>
            <w:hyperlink r:id="rId16" w:history="1">
              <w:r w:rsidR="006C12B8" w:rsidRPr="00BB0C65">
                <w:rPr>
                  <w:rStyle w:val="Hyperlink"/>
                  <w:rFonts w:cs="Arial"/>
                  <w:szCs w:val="18"/>
                </w:rPr>
                <w:t>@WorldBank</w:t>
              </w:r>
              <w:r w:rsidR="0041598E" w:rsidRPr="00BB0C65">
                <w:rPr>
                  <w:rStyle w:val="Hyperlink"/>
                  <w:rFonts w:cs="Arial"/>
                  <w:szCs w:val="18"/>
                </w:rPr>
                <w:t>S</w:t>
              </w:r>
              <w:r w:rsidR="006C12B8" w:rsidRPr="00BB0C65">
                <w:rPr>
                  <w:rStyle w:val="Hyperlink"/>
                  <w:rFonts w:cs="Arial"/>
                  <w:szCs w:val="18"/>
                </w:rPr>
                <w:t>Asia</w:t>
              </w:r>
            </w:hyperlink>
          </w:p>
          <w:p w14:paraId="325CEF06" w14:textId="2275D3D8" w:rsidR="00AD0D01" w:rsidRDefault="007E5EBE" w:rsidP="007E5EBE">
            <w:pPr>
              <w:pStyle w:val="BodyText"/>
              <w:tabs>
                <w:tab w:val="left" w:pos="1075"/>
              </w:tabs>
              <w:ind w:left="269"/>
              <w:rPr>
                <w:szCs w:val="18"/>
              </w:rPr>
            </w:pPr>
            <w:r>
              <w:rPr>
                <w:noProof/>
              </w:rPr>
              <w:drawing>
                <wp:inline distT="0" distB="0" distL="0" distR="0" wp14:anchorId="204D3DBF" wp14:editId="09FBB217">
                  <wp:extent cx="202565" cy="202565"/>
                  <wp:effectExtent l="0" t="0" r="698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546" cy="206546"/>
                          </a:xfrm>
                          <a:prstGeom prst="rect">
                            <a:avLst/>
                          </a:prstGeom>
                        </pic:spPr>
                      </pic:pic>
                    </a:graphicData>
                  </a:graphic>
                </wp:inline>
              </w:drawing>
            </w:r>
            <w:r w:rsidR="007661DE">
              <w:t xml:space="preserve"> </w:t>
            </w:r>
            <w:hyperlink r:id="rId18" w:history="1">
              <w:r w:rsidR="004C0312" w:rsidRPr="00A153A2">
                <w:rPr>
                  <w:rStyle w:val="Hyperlink"/>
                  <w:rFonts w:cs="Arial"/>
                  <w:szCs w:val="18"/>
                </w:rPr>
                <w:t>http://www.facebook.com/worldbank</w:t>
              </w:r>
            </w:hyperlink>
            <w:r w:rsidR="006C12B8">
              <w:rPr>
                <w:szCs w:val="18"/>
              </w:rPr>
              <w:t>,</w:t>
            </w:r>
          </w:p>
          <w:p w14:paraId="324A865B" w14:textId="4E42C915" w:rsidR="004C0312" w:rsidRDefault="007E5EBE" w:rsidP="007E5EBE">
            <w:pPr>
              <w:pStyle w:val="BodyText"/>
              <w:tabs>
                <w:tab w:val="left" w:pos="1075"/>
              </w:tabs>
              <w:ind w:left="269"/>
              <w:rPr>
                <w:szCs w:val="18"/>
              </w:rPr>
            </w:pPr>
            <w:r>
              <w:t xml:space="preserve">       </w:t>
            </w:r>
            <w:hyperlink r:id="rId19" w:history="1">
              <w:r w:rsidR="0041598E" w:rsidRPr="0041598E">
                <w:rPr>
                  <w:rStyle w:val="Hyperlink"/>
                  <w:rFonts w:cs="Arial"/>
                  <w:szCs w:val="18"/>
                </w:rPr>
                <w:t>http://www.facebook.com/worldbanksrilanka</w:t>
              </w:r>
            </w:hyperlink>
          </w:p>
          <w:p w14:paraId="70112E57" w14:textId="06472DA9" w:rsidR="004C0312" w:rsidRDefault="007E5EBE" w:rsidP="007E5EBE">
            <w:pPr>
              <w:pStyle w:val="BodyText"/>
              <w:ind w:left="269"/>
              <w:rPr>
                <w:rStyle w:val="Hyperlink"/>
                <w:rFonts w:cs="Arial"/>
                <w:szCs w:val="18"/>
              </w:rPr>
            </w:pPr>
            <w:r>
              <w:rPr>
                <w:noProof/>
              </w:rPr>
              <w:drawing>
                <wp:inline distT="0" distB="0" distL="0" distR="0" wp14:anchorId="3BEEE204" wp14:editId="7926E619">
                  <wp:extent cx="201168" cy="20116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1168" cy="201168"/>
                          </a:xfrm>
                          <a:prstGeom prst="rect">
                            <a:avLst/>
                          </a:prstGeom>
                        </pic:spPr>
                      </pic:pic>
                    </a:graphicData>
                  </a:graphic>
                </wp:inline>
              </w:drawing>
            </w:r>
            <w:r>
              <w:rPr>
                <w:szCs w:val="18"/>
              </w:rPr>
              <w:t xml:space="preserve"> </w:t>
            </w:r>
            <w:hyperlink r:id="rId21" w:history="1">
              <w:r w:rsidRPr="00317A32">
                <w:rPr>
                  <w:rStyle w:val="Hyperlink"/>
                  <w:rFonts w:cs="Arial"/>
                  <w:szCs w:val="18"/>
                </w:rPr>
                <w:t>https://instagram.com/worldbank/</w:t>
              </w:r>
            </w:hyperlink>
          </w:p>
          <w:p w14:paraId="72107EBE" w14:textId="633C49BE" w:rsidR="004C0312" w:rsidRDefault="007E5EBE" w:rsidP="007E5EBE">
            <w:pPr>
              <w:pStyle w:val="BodyText"/>
              <w:ind w:left="269"/>
              <w:rPr>
                <w:rStyle w:val="Hyperlink"/>
                <w:rFonts w:eastAsiaTheme="minorHAnsi" w:cs="Arial"/>
                <w:kern w:val="0"/>
                <w:sz w:val="20"/>
                <w:szCs w:val="18"/>
              </w:rPr>
            </w:pPr>
            <w:r>
              <w:rPr>
                <w:noProof/>
              </w:rPr>
              <w:drawing>
                <wp:inline distT="0" distB="0" distL="0" distR="0" wp14:anchorId="46F53636" wp14:editId="720EACA2">
                  <wp:extent cx="201168" cy="201168"/>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1168" cy="201168"/>
                          </a:xfrm>
                          <a:prstGeom prst="rect">
                            <a:avLst/>
                          </a:prstGeom>
                        </pic:spPr>
                      </pic:pic>
                    </a:graphicData>
                  </a:graphic>
                </wp:inline>
              </w:drawing>
            </w:r>
            <w:r>
              <w:rPr>
                <w:szCs w:val="18"/>
              </w:rPr>
              <w:t xml:space="preserve"> </w:t>
            </w:r>
            <w:hyperlink r:id="rId23" w:history="1">
              <w:r w:rsidRPr="00317A32">
                <w:rPr>
                  <w:rStyle w:val="Hyperlink"/>
                  <w:rFonts w:cs="Arial"/>
                  <w:szCs w:val="18"/>
                </w:rPr>
                <w:t>http://www.linkedin.com/company/the-world-bank</w:t>
              </w:r>
            </w:hyperlink>
          </w:p>
          <w:p w14:paraId="35A14C31" w14:textId="77777777" w:rsidR="0078731F" w:rsidRDefault="0078731F" w:rsidP="004246DE">
            <w:pPr>
              <w:pStyle w:val="BodyText"/>
              <w:rPr>
                <w:szCs w:val="18"/>
              </w:rPr>
            </w:pPr>
          </w:p>
          <w:p w14:paraId="5E2BC547" w14:textId="5DA8F3E4" w:rsidR="0078731F" w:rsidRPr="000A41D0" w:rsidRDefault="0078731F" w:rsidP="004246DE">
            <w:pPr>
              <w:pStyle w:val="BodyText"/>
              <w:rPr>
                <w:szCs w:val="18"/>
              </w:rPr>
            </w:pPr>
          </w:p>
        </w:tc>
      </w:tr>
    </w:tbl>
    <w:p w14:paraId="41545C3F" w14:textId="77777777" w:rsidR="00860A54" w:rsidRDefault="00860A54">
      <w:r>
        <w:br w:type="page"/>
      </w:r>
    </w:p>
    <w:p w14:paraId="09B019C7" w14:textId="7A000400" w:rsidR="00F6052B" w:rsidRPr="000A41D0" w:rsidRDefault="00F6052B" w:rsidP="00070835">
      <w:pPr>
        <w:pStyle w:val="Preface-TOC-Annex"/>
        <w:spacing w:line="240" w:lineRule="auto"/>
        <w:ind w:left="0"/>
        <w:rPr>
          <w:rFonts w:cs="Arial"/>
        </w:rPr>
      </w:pPr>
      <w:bookmarkStart w:id="47" w:name="_Toc415490114"/>
      <w:bookmarkStart w:id="48" w:name="_Toc432010881"/>
      <w:bookmarkStart w:id="49" w:name="_Toc432011630"/>
      <w:bookmarkStart w:id="50" w:name="_Toc433724595"/>
      <w:bookmarkStart w:id="51" w:name="_Toc454896840"/>
      <w:bookmarkStart w:id="52" w:name="_Toc454995885"/>
      <w:bookmarkStart w:id="53" w:name="_Toc455504515"/>
      <w:bookmarkStart w:id="54" w:name="_Toc456717592"/>
      <w:bookmarkStart w:id="55" w:name="_Toc465259617"/>
      <w:bookmarkStart w:id="56" w:name="_Toc485822600"/>
      <w:bookmarkStart w:id="57" w:name="_Toc485814811"/>
      <w:bookmarkStart w:id="58" w:name="_Toc273097596"/>
      <w:bookmarkStart w:id="59" w:name="_Toc273056071"/>
      <w:bookmarkStart w:id="60" w:name="_Toc272870158"/>
      <w:bookmarkStart w:id="61" w:name="_Toc264813858"/>
      <w:bookmarkStart w:id="62" w:name="_Toc264805640"/>
      <w:bookmarkStart w:id="63" w:name="_Toc264802705"/>
      <w:bookmarkStart w:id="64" w:name="_Toc264728356"/>
      <w:r w:rsidRPr="000A41D0">
        <w:rPr>
          <w:rFonts w:cs="Arial"/>
        </w:rPr>
        <w:lastRenderedPageBreak/>
        <w:t xml:space="preserve">Table of </w:t>
      </w:r>
      <w:r w:rsidR="00860A54">
        <w:rPr>
          <w:rFonts w:cs="Arial"/>
        </w:rPr>
        <w:t>C</w:t>
      </w:r>
      <w:r w:rsidRPr="000A41D0">
        <w:rPr>
          <w:rFonts w:cs="Arial"/>
        </w:rPr>
        <w:t>ontents</w:t>
      </w:r>
      <w:bookmarkEnd w:id="47"/>
      <w:bookmarkEnd w:id="48"/>
      <w:bookmarkEnd w:id="49"/>
      <w:bookmarkEnd w:id="50"/>
      <w:bookmarkEnd w:id="51"/>
      <w:bookmarkEnd w:id="52"/>
      <w:bookmarkEnd w:id="53"/>
      <w:bookmarkEnd w:id="54"/>
      <w:bookmarkEnd w:id="55"/>
      <w:bookmarkEnd w:id="56"/>
      <w:r w:rsidR="001E2FED">
        <w:rPr>
          <w:rFonts w:cs="Arial"/>
        </w:rPr>
        <w:t xml:space="preserve"> </w:t>
      </w:r>
      <w:bookmarkEnd w:id="57"/>
    </w:p>
    <w:bookmarkEnd w:id="58"/>
    <w:bookmarkEnd w:id="59"/>
    <w:bookmarkEnd w:id="60"/>
    <w:bookmarkEnd w:id="61"/>
    <w:bookmarkEnd w:id="62"/>
    <w:bookmarkEnd w:id="63"/>
    <w:bookmarkEnd w:id="64"/>
    <w:p w14:paraId="7B9DEBE0" w14:textId="31726380" w:rsidR="006032A5" w:rsidRDefault="006E229B" w:rsidP="004246DE">
      <w:pPr>
        <w:pStyle w:val="TOC2"/>
        <w:rPr>
          <w:rFonts w:asciiTheme="minorHAnsi" w:eastAsiaTheme="minorEastAsia" w:hAnsiTheme="minorHAnsi" w:cstheme="minorBidi"/>
          <w:b w:val="0"/>
        </w:rPr>
      </w:pPr>
      <w:r w:rsidRPr="000A41D0">
        <w:rPr>
          <w:caps/>
        </w:rPr>
        <w:fldChar w:fldCharType="begin"/>
      </w:r>
      <w:r w:rsidRPr="000A41D0">
        <w:instrText xml:space="preserve"> TOC \h \z \t "Heading 1,2,Heading 2,3,Preface-TOC-Annex,1,IEQ-Chapter heading,1" </w:instrText>
      </w:r>
      <w:r w:rsidRPr="000A41D0">
        <w:rPr>
          <w:caps/>
        </w:rPr>
        <w:fldChar w:fldCharType="separate"/>
      </w:r>
    </w:p>
    <w:p w14:paraId="746EDC0B" w14:textId="5C47F1AE" w:rsidR="006032A5" w:rsidRDefault="001A40CC" w:rsidP="004246DE">
      <w:pPr>
        <w:pStyle w:val="TOC1"/>
        <w:spacing w:before="0" w:after="0"/>
        <w:rPr>
          <w:rFonts w:asciiTheme="minorHAnsi" w:eastAsiaTheme="minorEastAsia" w:hAnsiTheme="minorHAnsi" w:cstheme="minorBidi"/>
          <w:b w:val="0"/>
          <w:caps w:val="0"/>
          <w:color w:val="auto"/>
          <w:sz w:val="22"/>
        </w:rPr>
      </w:pPr>
      <w:hyperlink w:anchor="_Toc485822601" w:history="1">
        <w:r w:rsidR="006032A5" w:rsidRPr="002E085F">
          <w:rPr>
            <w:rStyle w:val="Hyperlink"/>
            <w:rFonts w:cs="Arial"/>
          </w:rPr>
          <w:t>Executive Summary</w:t>
        </w:r>
        <w:r w:rsidR="006032A5">
          <w:rPr>
            <w:webHidden/>
          </w:rPr>
          <w:tab/>
        </w:r>
        <w:r w:rsidR="006032A5">
          <w:rPr>
            <w:webHidden/>
          </w:rPr>
          <w:fldChar w:fldCharType="begin"/>
        </w:r>
        <w:r w:rsidR="006032A5">
          <w:rPr>
            <w:webHidden/>
          </w:rPr>
          <w:instrText xml:space="preserve"> PAGEREF _Toc485822601 \h </w:instrText>
        </w:r>
        <w:r w:rsidR="006032A5">
          <w:rPr>
            <w:webHidden/>
          </w:rPr>
        </w:r>
        <w:r w:rsidR="006032A5">
          <w:rPr>
            <w:webHidden/>
          </w:rPr>
          <w:fldChar w:fldCharType="separate"/>
        </w:r>
        <w:r w:rsidR="00A12655">
          <w:rPr>
            <w:webHidden/>
          </w:rPr>
          <w:t>6</w:t>
        </w:r>
        <w:r w:rsidR="006032A5">
          <w:rPr>
            <w:webHidden/>
          </w:rPr>
          <w:fldChar w:fldCharType="end"/>
        </w:r>
      </w:hyperlink>
    </w:p>
    <w:p w14:paraId="5BFC92F2" w14:textId="08873E8E" w:rsidR="006032A5" w:rsidRDefault="001A40CC">
      <w:pPr>
        <w:pStyle w:val="TOC2"/>
        <w:rPr>
          <w:rFonts w:asciiTheme="minorHAnsi" w:eastAsiaTheme="minorEastAsia" w:hAnsiTheme="minorHAnsi" w:cstheme="minorBidi"/>
          <w:b w:val="0"/>
        </w:rPr>
      </w:pPr>
      <w:hyperlink w:anchor="_Toc485822602" w:history="1">
        <w:r w:rsidR="006032A5" w:rsidRPr="002E085F">
          <w:rPr>
            <w:rStyle w:val="Hyperlink"/>
          </w:rPr>
          <w:t>1.</w:t>
        </w:r>
        <w:r w:rsidR="006032A5">
          <w:rPr>
            <w:rFonts w:asciiTheme="minorHAnsi" w:eastAsiaTheme="minorEastAsia" w:hAnsiTheme="minorHAnsi" w:cstheme="minorBidi"/>
            <w:b w:val="0"/>
          </w:rPr>
          <w:tab/>
        </w:r>
        <w:r w:rsidR="006032A5" w:rsidRPr="002E085F">
          <w:rPr>
            <w:rStyle w:val="Hyperlink"/>
          </w:rPr>
          <w:t>Recent Developments</w:t>
        </w:r>
        <w:r w:rsidR="006032A5">
          <w:rPr>
            <w:webHidden/>
          </w:rPr>
          <w:tab/>
        </w:r>
        <w:r w:rsidR="006032A5">
          <w:rPr>
            <w:webHidden/>
          </w:rPr>
          <w:fldChar w:fldCharType="begin"/>
        </w:r>
        <w:r w:rsidR="006032A5">
          <w:rPr>
            <w:webHidden/>
          </w:rPr>
          <w:instrText xml:space="preserve"> PAGEREF _Toc485822602 \h </w:instrText>
        </w:r>
        <w:r w:rsidR="006032A5">
          <w:rPr>
            <w:webHidden/>
          </w:rPr>
        </w:r>
        <w:r w:rsidR="006032A5">
          <w:rPr>
            <w:webHidden/>
          </w:rPr>
          <w:fldChar w:fldCharType="separate"/>
        </w:r>
        <w:r w:rsidR="00A12655">
          <w:rPr>
            <w:webHidden/>
          </w:rPr>
          <w:t>6</w:t>
        </w:r>
        <w:r w:rsidR="006032A5">
          <w:rPr>
            <w:webHidden/>
          </w:rPr>
          <w:fldChar w:fldCharType="end"/>
        </w:r>
      </w:hyperlink>
    </w:p>
    <w:p w14:paraId="039E3EFC" w14:textId="4E2EF987" w:rsidR="006032A5" w:rsidRDefault="001A40CC">
      <w:pPr>
        <w:pStyle w:val="TOC2"/>
        <w:rPr>
          <w:rFonts w:asciiTheme="minorHAnsi" w:eastAsiaTheme="minorEastAsia" w:hAnsiTheme="minorHAnsi" w:cstheme="minorBidi"/>
          <w:b w:val="0"/>
        </w:rPr>
      </w:pPr>
      <w:hyperlink w:anchor="_Toc485822603" w:history="1">
        <w:r w:rsidR="006032A5" w:rsidRPr="002E085F">
          <w:rPr>
            <w:rStyle w:val="Hyperlink"/>
          </w:rPr>
          <w:t>2.</w:t>
        </w:r>
        <w:r w:rsidR="006032A5">
          <w:rPr>
            <w:rFonts w:asciiTheme="minorHAnsi" w:eastAsiaTheme="minorEastAsia" w:hAnsiTheme="minorHAnsi" w:cstheme="minorBidi"/>
            <w:b w:val="0"/>
          </w:rPr>
          <w:tab/>
        </w:r>
        <w:r w:rsidR="006032A5" w:rsidRPr="002E085F">
          <w:rPr>
            <w:rStyle w:val="Hyperlink"/>
          </w:rPr>
          <w:t>Outlook and risks</w:t>
        </w:r>
        <w:r w:rsidR="006032A5">
          <w:rPr>
            <w:webHidden/>
          </w:rPr>
          <w:tab/>
        </w:r>
        <w:r w:rsidR="006032A5">
          <w:rPr>
            <w:webHidden/>
          </w:rPr>
          <w:fldChar w:fldCharType="begin"/>
        </w:r>
        <w:r w:rsidR="006032A5">
          <w:rPr>
            <w:webHidden/>
          </w:rPr>
          <w:instrText xml:space="preserve"> PAGEREF _Toc485822603 \h </w:instrText>
        </w:r>
        <w:r w:rsidR="006032A5">
          <w:rPr>
            <w:webHidden/>
          </w:rPr>
        </w:r>
        <w:r w:rsidR="006032A5">
          <w:rPr>
            <w:webHidden/>
          </w:rPr>
          <w:fldChar w:fldCharType="separate"/>
        </w:r>
        <w:r w:rsidR="00A12655">
          <w:rPr>
            <w:webHidden/>
          </w:rPr>
          <w:t>8</w:t>
        </w:r>
        <w:r w:rsidR="006032A5">
          <w:rPr>
            <w:webHidden/>
          </w:rPr>
          <w:fldChar w:fldCharType="end"/>
        </w:r>
      </w:hyperlink>
    </w:p>
    <w:p w14:paraId="68E300B1" w14:textId="37E70901" w:rsidR="006032A5" w:rsidRDefault="001A40CC">
      <w:pPr>
        <w:pStyle w:val="TOC2"/>
        <w:rPr>
          <w:rFonts w:asciiTheme="minorHAnsi" w:eastAsiaTheme="minorEastAsia" w:hAnsiTheme="minorHAnsi" w:cstheme="minorBidi"/>
          <w:b w:val="0"/>
        </w:rPr>
      </w:pPr>
      <w:hyperlink w:anchor="_Toc485822604" w:history="1">
        <w:r w:rsidR="006032A5" w:rsidRPr="002E085F">
          <w:rPr>
            <w:rStyle w:val="Hyperlink"/>
          </w:rPr>
          <w:t>3.</w:t>
        </w:r>
        <w:r w:rsidR="006032A5">
          <w:rPr>
            <w:rFonts w:asciiTheme="minorHAnsi" w:eastAsiaTheme="minorEastAsia" w:hAnsiTheme="minorHAnsi" w:cstheme="minorBidi"/>
            <w:b w:val="0"/>
          </w:rPr>
          <w:tab/>
        </w:r>
        <w:r w:rsidR="006032A5" w:rsidRPr="002E085F">
          <w:rPr>
            <w:rStyle w:val="Hyperlink"/>
          </w:rPr>
          <w:t>Special focus</w:t>
        </w:r>
        <w:r w:rsidR="006032A5">
          <w:rPr>
            <w:webHidden/>
          </w:rPr>
          <w:tab/>
        </w:r>
        <w:r w:rsidR="006032A5">
          <w:rPr>
            <w:webHidden/>
          </w:rPr>
          <w:fldChar w:fldCharType="begin"/>
        </w:r>
        <w:r w:rsidR="006032A5">
          <w:rPr>
            <w:webHidden/>
          </w:rPr>
          <w:instrText xml:space="preserve"> PAGEREF _Toc485822604 \h </w:instrText>
        </w:r>
        <w:r w:rsidR="006032A5">
          <w:rPr>
            <w:webHidden/>
          </w:rPr>
        </w:r>
        <w:r w:rsidR="006032A5">
          <w:rPr>
            <w:webHidden/>
          </w:rPr>
          <w:fldChar w:fldCharType="separate"/>
        </w:r>
        <w:r w:rsidR="00A12655">
          <w:rPr>
            <w:webHidden/>
          </w:rPr>
          <w:t>9</w:t>
        </w:r>
        <w:r w:rsidR="006032A5">
          <w:rPr>
            <w:webHidden/>
          </w:rPr>
          <w:fldChar w:fldCharType="end"/>
        </w:r>
      </w:hyperlink>
    </w:p>
    <w:p w14:paraId="679E7A83" w14:textId="0B14DF57" w:rsidR="006032A5" w:rsidRDefault="001A40CC">
      <w:pPr>
        <w:pStyle w:val="TOC1"/>
        <w:rPr>
          <w:rFonts w:asciiTheme="minorHAnsi" w:eastAsiaTheme="minorEastAsia" w:hAnsiTheme="minorHAnsi" w:cstheme="minorBidi"/>
          <w:b w:val="0"/>
          <w:caps w:val="0"/>
          <w:color w:val="auto"/>
          <w:sz w:val="22"/>
        </w:rPr>
      </w:pPr>
      <w:hyperlink w:anchor="_Toc485822605" w:history="1">
        <w:r w:rsidR="006032A5" w:rsidRPr="002E085F">
          <w:rPr>
            <w:rStyle w:val="Hyperlink"/>
          </w:rPr>
          <w:t>A. Recent Developments</w:t>
        </w:r>
        <w:r w:rsidR="006032A5">
          <w:rPr>
            <w:webHidden/>
          </w:rPr>
          <w:tab/>
        </w:r>
        <w:r w:rsidR="006032A5">
          <w:rPr>
            <w:webHidden/>
          </w:rPr>
          <w:fldChar w:fldCharType="begin"/>
        </w:r>
        <w:r w:rsidR="006032A5">
          <w:rPr>
            <w:webHidden/>
          </w:rPr>
          <w:instrText xml:space="preserve"> PAGEREF _Toc485822605 \h </w:instrText>
        </w:r>
        <w:r w:rsidR="006032A5">
          <w:rPr>
            <w:webHidden/>
          </w:rPr>
        </w:r>
        <w:r w:rsidR="006032A5">
          <w:rPr>
            <w:webHidden/>
          </w:rPr>
          <w:fldChar w:fldCharType="separate"/>
        </w:r>
        <w:r w:rsidR="00A12655">
          <w:rPr>
            <w:webHidden/>
          </w:rPr>
          <w:t>11</w:t>
        </w:r>
        <w:r w:rsidR="006032A5">
          <w:rPr>
            <w:webHidden/>
          </w:rPr>
          <w:fldChar w:fldCharType="end"/>
        </w:r>
      </w:hyperlink>
    </w:p>
    <w:p w14:paraId="45CEE93A" w14:textId="437AABEC" w:rsidR="006032A5" w:rsidRDefault="001A40CC" w:rsidP="004246DE">
      <w:pPr>
        <w:pStyle w:val="TOC1"/>
        <w:spacing w:after="0"/>
        <w:rPr>
          <w:rFonts w:asciiTheme="minorHAnsi" w:eastAsiaTheme="minorEastAsia" w:hAnsiTheme="minorHAnsi" w:cstheme="minorBidi"/>
          <w:b w:val="0"/>
          <w:caps w:val="0"/>
          <w:color w:val="auto"/>
          <w:sz w:val="22"/>
        </w:rPr>
      </w:pPr>
      <w:hyperlink w:anchor="_Toc485822606" w:history="1">
        <w:r w:rsidR="006032A5" w:rsidRPr="002E085F">
          <w:rPr>
            <w:rStyle w:val="Hyperlink"/>
          </w:rPr>
          <w:t xml:space="preserve">B. Outlook, Risks and Policy </w:t>
        </w:r>
        <w:r w:rsidR="0076310E">
          <w:rPr>
            <w:rStyle w:val="Hyperlink"/>
          </w:rPr>
          <w:t>PRIORITIES</w:t>
        </w:r>
        <w:r w:rsidR="006032A5">
          <w:rPr>
            <w:webHidden/>
          </w:rPr>
          <w:tab/>
        </w:r>
        <w:r w:rsidR="006032A5">
          <w:rPr>
            <w:webHidden/>
          </w:rPr>
          <w:fldChar w:fldCharType="begin"/>
        </w:r>
        <w:r w:rsidR="006032A5">
          <w:rPr>
            <w:webHidden/>
          </w:rPr>
          <w:instrText xml:space="preserve"> PAGEREF _Toc485822606 \h </w:instrText>
        </w:r>
        <w:r w:rsidR="006032A5">
          <w:rPr>
            <w:webHidden/>
          </w:rPr>
        </w:r>
        <w:r w:rsidR="006032A5">
          <w:rPr>
            <w:webHidden/>
          </w:rPr>
          <w:fldChar w:fldCharType="separate"/>
        </w:r>
        <w:r w:rsidR="00A12655">
          <w:rPr>
            <w:webHidden/>
          </w:rPr>
          <w:t>22</w:t>
        </w:r>
        <w:r w:rsidR="006032A5">
          <w:rPr>
            <w:webHidden/>
          </w:rPr>
          <w:fldChar w:fldCharType="end"/>
        </w:r>
      </w:hyperlink>
    </w:p>
    <w:p w14:paraId="2DD636A8" w14:textId="41B3F5DB" w:rsidR="006032A5" w:rsidRDefault="001A40CC">
      <w:pPr>
        <w:pStyle w:val="TOC2"/>
        <w:rPr>
          <w:rFonts w:asciiTheme="minorHAnsi" w:eastAsiaTheme="minorEastAsia" w:hAnsiTheme="minorHAnsi" w:cstheme="minorBidi"/>
          <w:b w:val="0"/>
        </w:rPr>
      </w:pPr>
      <w:hyperlink w:anchor="_Toc485822607" w:history="1">
        <w:r w:rsidR="006032A5" w:rsidRPr="002E085F">
          <w:rPr>
            <w:rStyle w:val="Hyperlink"/>
          </w:rPr>
          <w:t>1.</w:t>
        </w:r>
        <w:r w:rsidR="006032A5">
          <w:rPr>
            <w:rFonts w:asciiTheme="minorHAnsi" w:eastAsiaTheme="minorEastAsia" w:hAnsiTheme="minorHAnsi" w:cstheme="minorBidi"/>
            <w:b w:val="0"/>
          </w:rPr>
          <w:tab/>
        </w:r>
        <w:r w:rsidR="006032A5" w:rsidRPr="002E085F">
          <w:rPr>
            <w:rStyle w:val="Hyperlink"/>
          </w:rPr>
          <w:t>Outlook</w:t>
        </w:r>
        <w:r w:rsidR="006032A5">
          <w:rPr>
            <w:webHidden/>
          </w:rPr>
          <w:tab/>
        </w:r>
        <w:r w:rsidR="006032A5">
          <w:rPr>
            <w:webHidden/>
          </w:rPr>
          <w:fldChar w:fldCharType="begin"/>
        </w:r>
        <w:r w:rsidR="006032A5">
          <w:rPr>
            <w:webHidden/>
          </w:rPr>
          <w:instrText xml:space="preserve"> PAGEREF _Toc485822607 \h </w:instrText>
        </w:r>
        <w:r w:rsidR="006032A5">
          <w:rPr>
            <w:webHidden/>
          </w:rPr>
        </w:r>
        <w:r w:rsidR="006032A5">
          <w:rPr>
            <w:webHidden/>
          </w:rPr>
          <w:fldChar w:fldCharType="separate"/>
        </w:r>
        <w:r w:rsidR="00A12655">
          <w:rPr>
            <w:webHidden/>
          </w:rPr>
          <w:t>22</w:t>
        </w:r>
        <w:r w:rsidR="006032A5">
          <w:rPr>
            <w:webHidden/>
          </w:rPr>
          <w:fldChar w:fldCharType="end"/>
        </w:r>
      </w:hyperlink>
    </w:p>
    <w:p w14:paraId="0DFB83AE" w14:textId="7CB23436" w:rsidR="006032A5" w:rsidRDefault="001A40CC">
      <w:pPr>
        <w:pStyle w:val="TOC2"/>
        <w:rPr>
          <w:rFonts w:asciiTheme="minorHAnsi" w:eastAsiaTheme="minorEastAsia" w:hAnsiTheme="minorHAnsi" w:cstheme="minorBidi"/>
          <w:b w:val="0"/>
        </w:rPr>
      </w:pPr>
      <w:hyperlink w:anchor="_Toc485822608" w:history="1">
        <w:r w:rsidR="006032A5" w:rsidRPr="002E085F">
          <w:rPr>
            <w:rStyle w:val="Hyperlink"/>
          </w:rPr>
          <w:t>2.</w:t>
        </w:r>
        <w:r w:rsidR="006032A5">
          <w:rPr>
            <w:rFonts w:asciiTheme="minorHAnsi" w:eastAsiaTheme="minorEastAsia" w:hAnsiTheme="minorHAnsi" w:cstheme="minorBidi"/>
            <w:b w:val="0"/>
          </w:rPr>
          <w:tab/>
        </w:r>
        <w:r w:rsidR="006032A5" w:rsidRPr="002E085F">
          <w:rPr>
            <w:rStyle w:val="Hyperlink"/>
          </w:rPr>
          <w:t>Risks</w:t>
        </w:r>
        <w:r w:rsidR="006032A5">
          <w:rPr>
            <w:webHidden/>
          </w:rPr>
          <w:tab/>
        </w:r>
        <w:r w:rsidR="006032A5">
          <w:rPr>
            <w:webHidden/>
          </w:rPr>
          <w:fldChar w:fldCharType="begin"/>
        </w:r>
        <w:r w:rsidR="006032A5">
          <w:rPr>
            <w:webHidden/>
          </w:rPr>
          <w:instrText xml:space="preserve"> PAGEREF _Toc485822608 \h </w:instrText>
        </w:r>
        <w:r w:rsidR="006032A5">
          <w:rPr>
            <w:webHidden/>
          </w:rPr>
        </w:r>
        <w:r w:rsidR="006032A5">
          <w:rPr>
            <w:webHidden/>
          </w:rPr>
          <w:fldChar w:fldCharType="separate"/>
        </w:r>
        <w:r w:rsidR="00A12655">
          <w:rPr>
            <w:webHidden/>
          </w:rPr>
          <w:t>25</w:t>
        </w:r>
        <w:r w:rsidR="006032A5">
          <w:rPr>
            <w:webHidden/>
          </w:rPr>
          <w:fldChar w:fldCharType="end"/>
        </w:r>
      </w:hyperlink>
    </w:p>
    <w:p w14:paraId="04F769FB" w14:textId="5491DB70" w:rsidR="006032A5" w:rsidRDefault="001A40CC">
      <w:pPr>
        <w:pStyle w:val="TOC2"/>
        <w:rPr>
          <w:rFonts w:asciiTheme="minorHAnsi" w:eastAsiaTheme="minorEastAsia" w:hAnsiTheme="minorHAnsi" w:cstheme="minorBidi"/>
          <w:b w:val="0"/>
        </w:rPr>
      </w:pPr>
      <w:hyperlink w:anchor="_Toc485822609" w:history="1">
        <w:r w:rsidR="006032A5" w:rsidRPr="002E085F">
          <w:rPr>
            <w:rStyle w:val="Hyperlink"/>
          </w:rPr>
          <w:t>3.</w:t>
        </w:r>
        <w:r w:rsidR="006032A5">
          <w:rPr>
            <w:rFonts w:asciiTheme="minorHAnsi" w:eastAsiaTheme="minorEastAsia" w:hAnsiTheme="minorHAnsi" w:cstheme="minorBidi"/>
            <w:b w:val="0"/>
          </w:rPr>
          <w:tab/>
        </w:r>
        <w:r w:rsidR="006032A5" w:rsidRPr="002E085F">
          <w:rPr>
            <w:rStyle w:val="Hyperlink"/>
          </w:rPr>
          <w:t>Challenges and policy priorities</w:t>
        </w:r>
        <w:r w:rsidR="006032A5">
          <w:rPr>
            <w:webHidden/>
          </w:rPr>
          <w:tab/>
        </w:r>
        <w:r w:rsidR="006032A5">
          <w:rPr>
            <w:webHidden/>
          </w:rPr>
          <w:fldChar w:fldCharType="begin"/>
        </w:r>
        <w:r w:rsidR="006032A5">
          <w:rPr>
            <w:webHidden/>
          </w:rPr>
          <w:instrText xml:space="preserve"> PAGEREF _Toc485822609 \h </w:instrText>
        </w:r>
        <w:r w:rsidR="006032A5">
          <w:rPr>
            <w:webHidden/>
          </w:rPr>
        </w:r>
        <w:r w:rsidR="006032A5">
          <w:rPr>
            <w:webHidden/>
          </w:rPr>
          <w:fldChar w:fldCharType="separate"/>
        </w:r>
        <w:r w:rsidR="00A12655">
          <w:rPr>
            <w:webHidden/>
          </w:rPr>
          <w:t>26</w:t>
        </w:r>
        <w:r w:rsidR="006032A5">
          <w:rPr>
            <w:webHidden/>
          </w:rPr>
          <w:fldChar w:fldCharType="end"/>
        </w:r>
      </w:hyperlink>
    </w:p>
    <w:p w14:paraId="22A96567" w14:textId="53AC4AA8" w:rsidR="006032A5" w:rsidRDefault="001A40CC" w:rsidP="004246DE">
      <w:pPr>
        <w:pStyle w:val="TOC1"/>
        <w:tabs>
          <w:tab w:val="left" w:pos="1080"/>
        </w:tabs>
        <w:spacing w:after="0"/>
        <w:rPr>
          <w:rFonts w:asciiTheme="minorHAnsi" w:eastAsiaTheme="minorEastAsia" w:hAnsiTheme="minorHAnsi" w:cstheme="minorBidi"/>
          <w:b w:val="0"/>
          <w:caps w:val="0"/>
          <w:color w:val="auto"/>
          <w:sz w:val="22"/>
        </w:rPr>
      </w:pPr>
      <w:hyperlink w:anchor="_Toc485822610" w:history="1">
        <w:r w:rsidR="006032A5" w:rsidRPr="002E085F">
          <w:rPr>
            <w:rStyle w:val="Hyperlink"/>
          </w:rPr>
          <w:t>C.</w:t>
        </w:r>
        <w:r w:rsidR="006032A5">
          <w:rPr>
            <w:rFonts w:asciiTheme="minorHAnsi" w:eastAsiaTheme="minorEastAsia" w:hAnsiTheme="minorHAnsi" w:cstheme="minorBidi"/>
            <w:b w:val="0"/>
            <w:caps w:val="0"/>
            <w:color w:val="auto"/>
            <w:sz w:val="22"/>
          </w:rPr>
          <w:t xml:space="preserve">  </w:t>
        </w:r>
        <w:r w:rsidR="006032A5" w:rsidRPr="002E085F">
          <w:rPr>
            <w:rStyle w:val="Hyperlink"/>
          </w:rPr>
          <w:t>Special Focus</w:t>
        </w:r>
        <w:r w:rsidR="006032A5">
          <w:rPr>
            <w:webHidden/>
          </w:rPr>
          <w:tab/>
        </w:r>
        <w:r w:rsidR="006032A5">
          <w:rPr>
            <w:webHidden/>
          </w:rPr>
          <w:fldChar w:fldCharType="begin"/>
        </w:r>
        <w:r w:rsidR="006032A5">
          <w:rPr>
            <w:webHidden/>
          </w:rPr>
          <w:instrText xml:space="preserve"> PAGEREF _Toc485822610 \h </w:instrText>
        </w:r>
        <w:r w:rsidR="006032A5">
          <w:rPr>
            <w:webHidden/>
          </w:rPr>
        </w:r>
        <w:r w:rsidR="006032A5">
          <w:rPr>
            <w:webHidden/>
          </w:rPr>
          <w:fldChar w:fldCharType="separate"/>
        </w:r>
        <w:r w:rsidR="00A12655">
          <w:rPr>
            <w:webHidden/>
          </w:rPr>
          <w:t>29</w:t>
        </w:r>
        <w:r w:rsidR="006032A5">
          <w:rPr>
            <w:webHidden/>
          </w:rPr>
          <w:fldChar w:fldCharType="end"/>
        </w:r>
      </w:hyperlink>
    </w:p>
    <w:p w14:paraId="57A3E221" w14:textId="3826808C" w:rsidR="006032A5" w:rsidRDefault="001A40CC">
      <w:pPr>
        <w:pStyle w:val="TOC2"/>
        <w:rPr>
          <w:rFonts w:asciiTheme="minorHAnsi" w:eastAsiaTheme="minorEastAsia" w:hAnsiTheme="minorHAnsi" w:cstheme="minorBidi"/>
          <w:b w:val="0"/>
        </w:rPr>
      </w:pPr>
      <w:hyperlink w:anchor="_Toc485822611" w:history="1">
        <w:r w:rsidR="006032A5" w:rsidRPr="002E085F">
          <w:rPr>
            <w:rStyle w:val="Hyperlink"/>
          </w:rPr>
          <w:t>1.</w:t>
        </w:r>
        <w:r w:rsidR="006032A5">
          <w:rPr>
            <w:rFonts w:asciiTheme="minorHAnsi" w:eastAsiaTheme="minorEastAsia" w:hAnsiTheme="minorHAnsi" w:cstheme="minorBidi"/>
            <w:b w:val="0"/>
          </w:rPr>
          <w:tab/>
        </w:r>
        <w:r w:rsidR="006032A5" w:rsidRPr="002E085F">
          <w:rPr>
            <w:rStyle w:val="Hyperlink"/>
          </w:rPr>
          <w:t>Special Focus: Unleashing Sri Lanka’s Trade Potential</w:t>
        </w:r>
        <w:r w:rsidR="006032A5">
          <w:rPr>
            <w:webHidden/>
          </w:rPr>
          <w:tab/>
        </w:r>
        <w:r w:rsidR="006032A5">
          <w:rPr>
            <w:webHidden/>
          </w:rPr>
          <w:fldChar w:fldCharType="begin"/>
        </w:r>
        <w:r w:rsidR="006032A5">
          <w:rPr>
            <w:webHidden/>
          </w:rPr>
          <w:instrText xml:space="preserve"> PAGEREF _Toc485822611 \h </w:instrText>
        </w:r>
        <w:r w:rsidR="006032A5">
          <w:rPr>
            <w:webHidden/>
          </w:rPr>
        </w:r>
        <w:r w:rsidR="006032A5">
          <w:rPr>
            <w:webHidden/>
          </w:rPr>
          <w:fldChar w:fldCharType="separate"/>
        </w:r>
        <w:r w:rsidR="00A12655">
          <w:rPr>
            <w:webHidden/>
          </w:rPr>
          <w:t>29</w:t>
        </w:r>
        <w:r w:rsidR="006032A5">
          <w:rPr>
            <w:webHidden/>
          </w:rPr>
          <w:fldChar w:fldCharType="end"/>
        </w:r>
      </w:hyperlink>
    </w:p>
    <w:p w14:paraId="4526F14B" w14:textId="7C0F0671" w:rsidR="006032A5" w:rsidRDefault="001A40CC">
      <w:pPr>
        <w:pStyle w:val="TOC1"/>
        <w:tabs>
          <w:tab w:val="left" w:pos="1080"/>
        </w:tabs>
        <w:rPr>
          <w:rFonts w:asciiTheme="minorHAnsi" w:eastAsiaTheme="minorEastAsia" w:hAnsiTheme="minorHAnsi" w:cstheme="minorBidi"/>
          <w:b w:val="0"/>
          <w:caps w:val="0"/>
          <w:color w:val="auto"/>
          <w:sz w:val="22"/>
        </w:rPr>
      </w:pPr>
      <w:hyperlink w:anchor="_Toc485822612" w:history="1">
        <w:r w:rsidR="006032A5" w:rsidRPr="002E085F">
          <w:rPr>
            <w:rStyle w:val="Hyperlink"/>
          </w:rPr>
          <w:t>D.</w:t>
        </w:r>
        <w:r w:rsidR="006032A5">
          <w:rPr>
            <w:rFonts w:asciiTheme="minorHAnsi" w:eastAsiaTheme="minorEastAsia" w:hAnsiTheme="minorHAnsi" w:cstheme="minorBidi"/>
            <w:b w:val="0"/>
            <w:caps w:val="0"/>
            <w:color w:val="auto"/>
            <w:sz w:val="22"/>
          </w:rPr>
          <w:t xml:space="preserve">  </w:t>
        </w:r>
        <w:r w:rsidR="006032A5" w:rsidRPr="002E085F">
          <w:rPr>
            <w:rStyle w:val="Hyperlink"/>
          </w:rPr>
          <w:t>World Bank Group Assistance</w:t>
        </w:r>
        <w:r w:rsidR="006032A5">
          <w:rPr>
            <w:webHidden/>
          </w:rPr>
          <w:tab/>
        </w:r>
        <w:r w:rsidR="006032A5">
          <w:rPr>
            <w:webHidden/>
          </w:rPr>
          <w:fldChar w:fldCharType="begin"/>
        </w:r>
        <w:r w:rsidR="006032A5">
          <w:rPr>
            <w:webHidden/>
          </w:rPr>
          <w:instrText xml:space="preserve"> PAGEREF _Toc485822612 \h </w:instrText>
        </w:r>
        <w:r w:rsidR="006032A5">
          <w:rPr>
            <w:webHidden/>
          </w:rPr>
        </w:r>
        <w:r w:rsidR="006032A5">
          <w:rPr>
            <w:webHidden/>
          </w:rPr>
          <w:fldChar w:fldCharType="separate"/>
        </w:r>
        <w:r w:rsidR="00A12655">
          <w:rPr>
            <w:webHidden/>
          </w:rPr>
          <w:t>36</w:t>
        </w:r>
        <w:r w:rsidR="006032A5">
          <w:rPr>
            <w:webHidden/>
          </w:rPr>
          <w:fldChar w:fldCharType="end"/>
        </w:r>
      </w:hyperlink>
    </w:p>
    <w:p w14:paraId="020393E8" w14:textId="5DE9AC89" w:rsidR="006032A5" w:rsidRDefault="001A40CC">
      <w:pPr>
        <w:pStyle w:val="TOC1"/>
        <w:rPr>
          <w:rFonts w:asciiTheme="minorHAnsi" w:eastAsiaTheme="minorEastAsia" w:hAnsiTheme="minorHAnsi" w:cstheme="minorBidi"/>
          <w:b w:val="0"/>
          <w:caps w:val="0"/>
          <w:color w:val="auto"/>
          <w:sz w:val="22"/>
        </w:rPr>
      </w:pPr>
      <w:hyperlink w:anchor="_Toc485822613" w:history="1">
        <w:r w:rsidR="006032A5" w:rsidRPr="002E085F">
          <w:rPr>
            <w:rStyle w:val="Hyperlink"/>
          </w:rPr>
          <w:t>Key Economic Indicators</w:t>
        </w:r>
        <w:r w:rsidR="006032A5">
          <w:rPr>
            <w:webHidden/>
          </w:rPr>
          <w:tab/>
        </w:r>
        <w:r w:rsidR="006032A5">
          <w:rPr>
            <w:webHidden/>
          </w:rPr>
          <w:fldChar w:fldCharType="begin"/>
        </w:r>
        <w:r w:rsidR="006032A5">
          <w:rPr>
            <w:webHidden/>
          </w:rPr>
          <w:instrText xml:space="preserve"> PAGEREF _Toc485822613 \h </w:instrText>
        </w:r>
        <w:r w:rsidR="006032A5">
          <w:rPr>
            <w:webHidden/>
          </w:rPr>
        </w:r>
        <w:r w:rsidR="006032A5">
          <w:rPr>
            <w:webHidden/>
          </w:rPr>
          <w:fldChar w:fldCharType="separate"/>
        </w:r>
        <w:r w:rsidR="00A12655">
          <w:rPr>
            <w:webHidden/>
          </w:rPr>
          <w:t>38</w:t>
        </w:r>
        <w:r w:rsidR="006032A5">
          <w:rPr>
            <w:webHidden/>
          </w:rPr>
          <w:fldChar w:fldCharType="end"/>
        </w:r>
      </w:hyperlink>
    </w:p>
    <w:p w14:paraId="7D3523D3" w14:textId="77777777" w:rsidR="00BD3BAB" w:rsidRDefault="006E229B" w:rsidP="004246DE">
      <w:pPr>
        <w:pStyle w:val="BodyText"/>
        <w:rPr>
          <w:noProof/>
          <w:color w:val="0C4DA2"/>
        </w:rPr>
      </w:pPr>
      <w:r w:rsidRPr="000A41D0">
        <w:rPr>
          <w:noProof/>
          <w:color w:val="0C4DA2"/>
        </w:rPr>
        <w:fldChar w:fldCharType="end"/>
      </w:r>
    </w:p>
    <w:p w14:paraId="7D4A495C" w14:textId="0772F745" w:rsidR="00BF13E9" w:rsidRPr="004246DE" w:rsidRDefault="00BF13E9" w:rsidP="004246DE">
      <w:pPr>
        <w:pStyle w:val="BodyText"/>
        <w:rPr>
          <w:b/>
          <w:color w:val="0C4DA2"/>
          <w:szCs w:val="22"/>
        </w:rPr>
      </w:pPr>
      <w:r w:rsidRPr="004246DE">
        <w:rPr>
          <w:b/>
          <w:color w:val="0C4DA2"/>
          <w:szCs w:val="22"/>
        </w:rPr>
        <w:t xml:space="preserve">LIST </w:t>
      </w:r>
      <w:r w:rsidRPr="004246DE">
        <w:rPr>
          <w:b/>
          <w:color w:val="0C4DA2"/>
          <w:kern w:val="0"/>
          <w:szCs w:val="22"/>
        </w:rPr>
        <w:t>OF</w:t>
      </w:r>
      <w:r w:rsidRPr="004246DE">
        <w:rPr>
          <w:b/>
          <w:color w:val="0C4DA2"/>
          <w:szCs w:val="22"/>
        </w:rPr>
        <w:t xml:space="preserve"> FIGURES</w:t>
      </w:r>
    </w:p>
    <w:p w14:paraId="68599E1B" w14:textId="5FC40309" w:rsidR="006032A5" w:rsidRPr="006032A5" w:rsidRDefault="00BF13E9">
      <w:pPr>
        <w:pStyle w:val="TableofFigures"/>
        <w:tabs>
          <w:tab w:val="right" w:leader="dot" w:pos="9080"/>
        </w:tabs>
        <w:rPr>
          <w:rFonts w:asciiTheme="minorHAnsi" w:eastAsiaTheme="minorEastAsia" w:hAnsiTheme="minorHAnsi"/>
          <w:noProof/>
          <w:sz w:val="22"/>
        </w:rPr>
      </w:pPr>
      <w:r w:rsidRPr="004A7AC1">
        <w:rPr>
          <w:sz w:val="22"/>
        </w:rPr>
        <w:fldChar w:fldCharType="begin"/>
      </w:r>
      <w:r w:rsidRPr="004A7AC1">
        <w:rPr>
          <w:sz w:val="22"/>
        </w:rPr>
        <w:instrText xml:space="preserve"> TOC \h \z \c "Figure" </w:instrText>
      </w:r>
      <w:r w:rsidRPr="004A7AC1">
        <w:rPr>
          <w:sz w:val="22"/>
        </w:rPr>
        <w:fldChar w:fldCharType="separate"/>
      </w:r>
      <w:hyperlink w:anchor="_Toc485822648" w:history="1">
        <w:r w:rsidR="006032A5" w:rsidRPr="004246DE">
          <w:rPr>
            <w:rStyle w:val="Hyperlink"/>
            <w:noProof/>
          </w:rPr>
          <w:t>Figure 1: Sri Lanka compared to peer countries</w:t>
        </w:r>
        <w:r w:rsidR="006032A5" w:rsidRPr="006032A5">
          <w:rPr>
            <w:noProof/>
            <w:webHidden/>
          </w:rPr>
          <w:tab/>
        </w:r>
        <w:r w:rsidR="006032A5" w:rsidRPr="00EA6B37">
          <w:rPr>
            <w:noProof/>
            <w:webHidden/>
          </w:rPr>
          <w:fldChar w:fldCharType="begin"/>
        </w:r>
        <w:r w:rsidR="006032A5" w:rsidRPr="006032A5">
          <w:rPr>
            <w:noProof/>
            <w:webHidden/>
          </w:rPr>
          <w:instrText xml:space="preserve"> PAGEREF _Toc485822648 \h </w:instrText>
        </w:r>
        <w:r w:rsidR="006032A5" w:rsidRPr="00EA6B37">
          <w:rPr>
            <w:noProof/>
            <w:webHidden/>
          </w:rPr>
        </w:r>
        <w:r w:rsidR="006032A5" w:rsidRPr="00EA6B37">
          <w:rPr>
            <w:noProof/>
            <w:webHidden/>
          </w:rPr>
          <w:fldChar w:fldCharType="separate"/>
        </w:r>
        <w:r w:rsidR="00A12655">
          <w:rPr>
            <w:noProof/>
            <w:webHidden/>
          </w:rPr>
          <w:t>10</w:t>
        </w:r>
        <w:r w:rsidR="006032A5" w:rsidRPr="00EA6B37">
          <w:rPr>
            <w:noProof/>
            <w:webHidden/>
          </w:rPr>
          <w:fldChar w:fldCharType="end"/>
        </w:r>
      </w:hyperlink>
    </w:p>
    <w:p w14:paraId="51136D24" w14:textId="332A54D5" w:rsidR="006032A5" w:rsidRPr="006032A5" w:rsidRDefault="001A40CC">
      <w:pPr>
        <w:pStyle w:val="TableofFigures"/>
        <w:tabs>
          <w:tab w:val="right" w:leader="dot" w:pos="9080"/>
        </w:tabs>
        <w:rPr>
          <w:rFonts w:asciiTheme="minorHAnsi" w:eastAsiaTheme="minorEastAsia" w:hAnsiTheme="minorHAnsi"/>
          <w:noProof/>
          <w:sz w:val="22"/>
        </w:rPr>
      </w:pPr>
      <w:hyperlink w:anchor="_Toc485822649" w:history="1">
        <w:r w:rsidR="006032A5" w:rsidRPr="004246DE">
          <w:rPr>
            <w:rStyle w:val="Hyperlink"/>
            <w:noProof/>
          </w:rPr>
          <w:t>Figure 2: Sri Lanka compared to peer countries</w:t>
        </w:r>
        <w:r w:rsidR="006032A5" w:rsidRPr="006032A5">
          <w:rPr>
            <w:noProof/>
            <w:webHidden/>
          </w:rPr>
          <w:tab/>
        </w:r>
        <w:r w:rsidR="006032A5" w:rsidRPr="00EA6B37">
          <w:rPr>
            <w:noProof/>
            <w:webHidden/>
          </w:rPr>
          <w:fldChar w:fldCharType="begin"/>
        </w:r>
        <w:r w:rsidR="006032A5" w:rsidRPr="006032A5">
          <w:rPr>
            <w:noProof/>
            <w:webHidden/>
          </w:rPr>
          <w:instrText xml:space="preserve"> PAGEREF _Toc485822649 \h </w:instrText>
        </w:r>
        <w:r w:rsidR="006032A5" w:rsidRPr="00EA6B37">
          <w:rPr>
            <w:noProof/>
            <w:webHidden/>
          </w:rPr>
        </w:r>
        <w:r w:rsidR="006032A5" w:rsidRPr="00EA6B37">
          <w:rPr>
            <w:noProof/>
            <w:webHidden/>
          </w:rPr>
          <w:fldChar w:fldCharType="separate"/>
        </w:r>
        <w:r w:rsidR="00A12655">
          <w:rPr>
            <w:noProof/>
            <w:webHidden/>
          </w:rPr>
          <w:t>10</w:t>
        </w:r>
        <w:r w:rsidR="006032A5" w:rsidRPr="00EA6B37">
          <w:rPr>
            <w:noProof/>
            <w:webHidden/>
          </w:rPr>
          <w:fldChar w:fldCharType="end"/>
        </w:r>
      </w:hyperlink>
    </w:p>
    <w:p w14:paraId="714ED72A" w14:textId="33AF2ADE" w:rsidR="006032A5" w:rsidRDefault="001A40CC">
      <w:pPr>
        <w:pStyle w:val="TableofFigures"/>
        <w:tabs>
          <w:tab w:val="right" w:leader="dot" w:pos="9080"/>
        </w:tabs>
        <w:rPr>
          <w:rFonts w:asciiTheme="minorHAnsi" w:eastAsiaTheme="minorEastAsia" w:hAnsiTheme="minorHAnsi"/>
          <w:noProof/>
          <w:sz w:val="22"/>
        </w:rPr>
      </w:pPr>
      <w:hyperlink w:anchor="_Toc485822650" w:history="1">
        <w:r w:rsidR="006032A5" w:rsidRPr="00FF3A46">
          <w:rPr>
            <w:rStyle w:val="Hyperlink"/>
            <w:noProof/>
          </w:rPr>
          <w:t>Figure 3: Contributors to growth (production side)</w:t>
        </w:r>
        <w:r w:rsidR="006032A5">
          <w:rPr>
            <w:noProof/>
            <w:webHidden/>
          </w:rPr>
          <w:tab/>
        </w:r>
        <w:r w:rsidR="006032A5">
          <w:rPr>
            <w:noProof/>
            <w:webHidden/>
          </w:rPr>
          <w:fldChar w:fldCharType="begin"/>
        </w:r>
        <w:r w:rsidR="006032A5">
          <w:rPr>
            <w:noProof/>
            <w:webHidden/>
          </w:rPr>
          <w:instrText xml:space="preserve"> PAGEREF _Toc485822650 \h </w:instrText>
        </w:r>
        <w:r w:rsidR="006032A5">
          <w:rPr>
            <w:noProof/>
            <w:webHidden/>
          </w:rPr>
        </w:r>
        <w:r w:rsidR="006032A5">
          <w:rPr>
            <w:noProof/>
            <w:webHidden/>
          </w:rPr>
          <w:fldChar w:fldCharType="separate"/>
        </w:r>
        <w:r w:rsidR="00A12655">
          <w:rPr>
            <w:noProof/>
            <w:webHidden/>
          </w:rPr>
          <w:t>12</w:t>
        </w:r>
        <w:r w:rsidR="006032A5">
          <w:rPr>
            <w:noProof/>
            <w:webHidden/>
          </w:rPr>
          <w:fldChar w:fldCharType="end"/>
        </w:r>
      </w:hyperlink>
    </w:p>
    <w:p w14:paraId="78A16555" w14:textId="0E577EAC" w:rsidR="006032A5" w:rsidRDefault="001A40CC">
      <w:pPr>
        <w:pStyle w:val="TableofFigures"/>
        <w:tabs>
          <w:tab w:val="right" w:leader="dot" w:pos="9080"/>
        </w:tabs>
        <w:rPr>
          <w:rFonts w:asciiTheme="minorHAnsi" w:eastAsiaTheme="minorEastAsia" w:hAnsiTheme="minorHAnsi"/>
          <w:noProof/>
          <w:sz w:val="22"/>
        </w:rPr>
      </w:pPr>
      <w:hyperlink w:anchor="_Toc485822651" w:history="1">
        <w:r w:rsidR="006032A5" w:rsidRPr="00FF3A46">
          <w:rPr>
            <w:rStyle w:val="Hyperlink"/>
            <w:noProof/>
          </w:rPr>
          <w:t>Figure 4:  Contributors to growth (demand side)</w:t>
        </w:r>
        <w:r w:rsidR="006032A5">
          <w:rPr>
            <w:noProof/>
            <w:webHidden/>
          </w:rPr>
          <w:tab/>
        </w:r>
        <w:r w:rsidR="006032A5">
          <w:rPr>
            <w:noProof/>
            <w:webHidden/>
          </w:rPr>
          <w:fldChar w:fldCharType="begin"/>
        </w:r>
        <w:r w:rsidR="006032A5">
          <w:rPr>
            <w:noProof/>
            <w:webHidden/>
          </w:rPr>
          <w:instrText xml:space="preserve"> PAGEREF _Toc485822651 \h </w:instrText>
        </w:r>
        <w:r w:rsidR="006032A5">
          <w:rPr>
            <w:noProof/>
            <w:webHidden/>
          </w:rPr>
        </w:r>
        <w:r w:rsidR="006032A5">
          <w:rPr>
            <w:noProof/>
            <w:webHidden/>
          </w:rPr>
          <w:fldChar w:fldCharType="separate"/>
        </w:r>
        <w:r w:rsidR="00A12655">
          <w:rPr>
            <w:noProof/>
            <w:webHidden/>
          </w:rPr>
          <w:t>12</w:t>
        </w:r>
        <w:r w:rsidR="006032A5">
          <w:rPr>
            <w:noProof/>
            <w:webHidden/>
          </w:rPr>
          <w:fldChar w:fldCharType="end"/>
        </w:r>
      </w:hyperlink>
    </w:p>
    <w:p w14:paraId="62B9707A" w14:textId="0E492A78" w:rsidR="006032A5" w:rsidRDefault="001A40CC">
      <w:pPr>
        <w:pStyle w:val="TableofFigures"/>
        <w:tabs>
          <w:tab w:val="right" w:leader="dot" w:pos="9080"/>
        </w:tabs>
        <w:rPr>
          <w:rFonts w:asciiTheme="minorHAnsi" w:eastAsiaTheme="minorEastAsia" w:hAnsiTheme="minorHAnsi"/>
          <w:noProof/>
          <w:sz w:val="22"/>
        </w:rPr>
      </w:pPr>
      <w:hyperlink w:anchor="_Toc485822652" w:history="1">
        <w:r w:rsidR="006032A5" w:rsidRPr="00FF3A46">
          <w:rPr>
            <w:rStyle w:val="Hyperlink"/>
            <w:noProof/>
          </w:rPr>
          <w:t>Figure 5: Inflation Drivers (</w:t>
        </w:r>
        <w:r w:rsidR="006032A5" w:rsidRPr="004246DE">
          <w:rPr>
            <w:rStyle w:val="Hyperlink"/>
            <w:noProof/>
            <w:sz w:val="22"/>
          </w:rPr>
          <w:t>CCPI</w:t>
        </w:r>
        <w:r w:rsidR="006032A5" w:rsidRPr="00FF3A46">
          <w:rPr>
            <w:rStyle w:val="Hyperlink"/>
            <w:noProof/>
          </w:rPr>
          <w:t>: 2013=100)</w:t>
        </w:r>
        <w:r w:rsidR="006032A5">
          <w:rPr>
            <w:noProof/>
            <w:webHidden/>
          </w:rPr>
          <w:tab/>
        </w:r>
        <w:r w:rsidR="006032A5">
          <w:rPr>
            <w:noProof/>
            <w:webHidden/>
          </w:rPr>
          <w:fldChar w:fldCharType="begin"/>
        </w:r>
        <w:r w:rsidR="006032A5">
          <w:rPr>
            <w:noProof/>
            <w:webHidden/>
          </w:rPr>
          <w:instrText xml:space="preserve"> PAGEREF _Toc485822652 \h </w:instrText>
        </w:r>
        <w:r w:rsidR="006032A5">
          <w:rPr>
            <w:noProof/>
            <w:webHidden/>
          </w:rPr>
        </w:r>
        <w:r w:rsidR="006032A5">
          <w:rPr>
            <w:noProof/>
            <w:webHidden/>
          </w:rPr>
          <w:fldChar w:fldCharType="separate"/>
        </w:r>
        <w:r w:rsidR="00A12655">
          <w:rPr>
            <w:noProof/>
            <w:webHidden/>
          </w:rPr>
          <w:t>14</w:t>
        </w:r>
        <w:r w:rsidR="006032A5">
          <w:rPr>
            <w:noProof/>
            <w:webHidden/>
          </w:rPr>
          <w:fldChar w:fldCharType="end"/>
        </w:r>
      </w:hyperlink>
    </w:p>
    <w:p w14:paraId="7F1CE93C" w14:textId="154F8974" w:rsidR="006032A5" w:rsidRDefault="001A40CC">
      <w:pPr>
        <w:pStyle w:val="TableofFigures"/>
        <w:tabs>
          <w:tab w:val="right" w:leader="dot" w:pos="9080"/>
        </w:tabs>
        <w:rPr>
          <w:rFonts w:asciiTheme="minorHAnsi" w:eastAsiaTheme="minorEastAsia" w:hAnsiTheme="minorHAnsi"/>
          <w:noProof/>
          <w:sz w:val="22"/>
        </w:rPr>
      </w:pPr>
      <w:hyperlink w:anchor="_Toc485822653" w:history="1">
        <w:r w:rsidR="006032A5" w:rsidRPr="00FF3A46">
          <w:rPr>
            <w:rStyle w:val="Hyperlink"/>
            <w:noProof/>
          </w:rPr>
          <w:t>Figure 6: Headline versus core inflation (CCPI: 2013=100)</w:t>
        </w:r>
        <w:r w:rsidR="006032A5">
          <w:rPr>
            <w:noProof/>
            <w:webHidden/>
          </w:rPr>
          <w:tab/>
        </w:r>
        <w:r w:rsidR="006032A5">
          <w:rPr>
            <w:noProof/>
            <w:webHidden/>
          </w:rPr>
          <w:fldChar w:fldCharType="begin"/>
        </w:r>
        <w:r w:rsidR="006032A5">
          <w:rPr>
            <w:noProof/>
            <w:webHidden/>
          </w:rPr>
          <w:instrText xml:space="preserve"> PAGEREF _Toc485822653 \h </w:instrText>
        </w:r>
        <w:r w:rsidR="006032A5">
          <w:rPr>
            <w:noProof/>
            <w:webHidden/>
          </w:rPr>
        </w:r>
        <w:r w:rsidR="006032A5">
          <w:rPr>
            <w:noProof/>
            <w:webHidden/>
          </w:rPr>
          <w:fldChar w:fldCharType="separate"/>
        </w:r>
        <w:r w:rsidR="00A12655">
          <w:rPr>
            <w:noProof/>
            <w:webHidden/>
          </w:rPr>
          <w:t>14</w:t>
        </w:r>
        <w:r w:rsidR="006032A5">
          <w:rPr>
            <w:noProof/>
            <w:webHidden/>
          </w:rPr>
          <w:fldChar w:fldCharType="end"/>
        </w:r>
      </w:hyperlink>
    </w:p>
    <w:p w14:paraId="132C98BD" w14:textId="19E6CD1F" w:rsidR="006032A5" w:rsidRDefault="001A40CC">
      <w:pPr>
        <w:pStyle w:val="TableofFigures"/>
        <w:tabs>
          <w:tab w:val="right" w:leader="dot" w:pos="9080"/>
        </w:tabs>
        <w:rPr>
          <w:rFonts w:asciiTheme="minorHAnsi" w:eastAsiaTheme="minorEastAsia" w:hAnsiTheme="minorHAnsi"/>
          <w:noProof/>
          <w:sz w:val="22"/>
        </w:rPr>
      </w:pPr>
      <w:hyperlink w:anchor="_Toc485822654" w:history="1">
        <w:r w:rsidR="006032A5" w:rsidRPr="00FF3A46">
          <w:rPr>
            <w:rStyle w:val="Hyperlink"/>
            <w:noProof/>
          </w:rPr>
          <w:t>Figure 7: Overall Fiscal Balance</w:t>
        </w:r>
        <w:r w:rsidR="006032A5">
          <w:rPr>
            <w:noProof/>
            <w:webHidden/>
          </w:rPr>
          <w:tab/>
        </w:r>
        <w:r w:rsidR="006032A5">
          <w:rPr>
            <w:noProof/>
            <w:webHidden/>
          </w:rPr>
          <w:fldChar w:fldCharType="begin"/>
        </w:r>
        <w:r w:rsidR="006032A5">
          <w:rPr>
            <w:noProof/>
            <w:webHidden/>
          </w:rPr>
          <w:instrText xml:space="preserve"> PAGEREF _Toc485822654 \h </w:instrText>
        </w:r>
        <w:r w:rsidR="006032A5">
          <w:rPr>
            <w:noProof/>
            <w:webHidden/>
          </w:rPr>
        </w:r>
        <w:r w:rsidR="006032A5">
          <w:rPr>
            <w:noProof/>
            <w:webHidden/>
          </w:rPr>
          <w:fldChar w:fldCharType="separate"/>
        </w:r>
        <w:r w:rsidR="00A12655">
          <w:rPr>
            <w:noProof/>
            <w:webHidden/>
          </w:rPr>
          <w:t>16</w:t>
        </w:r>
        <w:r w:rsidR="006032A5">
          <w:rPr>
            <w:noProof/>
            <w:webHidden/>
          </w:rPr>
          <w:fldChar w:fldCharType="end"/>
        </w:r>
      </w:hyperlink>
    </w:p>
    <w:p w14:paraId="30EC3A8A" w14:textId="32CE090E" w:rsidR="006032A5" w:rsidRDefault="001A40CC">
      <w:pPr>
        <w:pStyle w:val="TableofFigures"/>
        <w:tabs>
          <w:tab w:val="right" w:leader="dot" w:pos="9080"/>
        </w:tabs>
        <w:rPr>
          <w:rFonts w:asciiTheme="minorHAnsi" w:eastAsiaTheme="minorEastAsia" w:hAnsiTheme="minorHAnsi"/>
          <w:noProof/>
          <w:sz w:val="22"/>
        </w:rPr>
      </w:pPr>
      <w:hyperlink w:anchor="_Toc485822655" w:history="1">
        <w:r w:rsidR="006032A5" w:rsidRPr="00FF3A46">
          <w:rPr>
            <w:rStyle w:val="Hyperlink"/>
            <w:noProof/>
          </w:rPr>
          <w:t>Figure 8: Public Debt Drivers</w:t>
        </w:r>
        <w:r w:rsidR="006032A5">
          <w:rPr>
            <w:noProof/>
            <w:webHidden/>
          </w:rPr>
          <w:tab/>
        </w:r>
        <w:r w:rsidR="006032A5">
          <w:rPr>
            <w:noProof/>
            <w:webHidden/>
          </w:rPr>
          <w:fldChar w:fldCharType="begin"/>
        </w:r>
        <w:r w:rsidR="006032A5">
          <w:rPr>
            <w:noProof/>
            <w:webHidden/>
          </w:rPr>
          <w:instrText xml:space="preserve"> PAGEREF _Toc485822655 \h </w:instrText>
        </w:r>
        <w:r w:rsidR="006032A5">
          <w:rPr>
            <w:noProof/>
            <w:webHidden/>
          </w:rPr>
        </w:r>
        <w:r w:rsidR="006032A5">
          <w:rPr>
            <w:noProof/>
            <w:webHidden/>
          </w:rPr>
          <w:fldChar w:fldCharType="separate"/>
        </w:r>
        <w:r w:rsidR="00A12655">
          <w:rPr>
            <w:noProof/>
            <w:webHidden/>
          </w:rPr>
          <w:t>16</w:t>
        </w:r>
        <w:r w:rsidR="006032A5">
          <w:rPr>
            <w:noProof/>
            <w:webHidden/>
          </w:rPr>
          <w:fldChar w:fldCharType="end"/>
        </w:r>
      </w:hyperlink>
    </w:p>
    <w:p w14:paraId="718E9C97" w14:textId="5F9B0944" w:rsidR="006032A5" w:rsidRDefault="001A40CC">
      <w:pPr>
        <w:pStyle w:val="TableofFigures"/>
        <w:tabs>
          <w:tab w:val="right" w:leader="dot" w:pos="9080"/>
        </w:tabs>
        <w:rPr>
          <w:rFonts w:asciiTheme="minorHAnsi" w:eastAsiaTheme="minorEastAsia" w:hAnsiTheme="minorHAnsi"/>
          <w:noProof/>
          <w:sz w:val="22"/>
        </w:rPr>
      </w:pPr>
      <w:hyperlink w:anchor="_Toc485822656" w:history="1">
        <w:r w:rsidR="006032A5" w:rsidRPr="00FF3A46">
          <w:rPr>
            <w:rStyle w:val="Hyperlink"/>
            <w:noProof/>
          </w:rPr>
          <w:t>Figure 9: External Debt Indicators</w:t>
        </w:r>
        <w:r w:rsidR="006032A5">
          <w:rPr>
            <w:noProof/>
            <w:webHidden/>
          </w:rPr>
          <w:tab/>
        </w:r>
        <w:r w:rsidR="006032A5">
          <w:rPr>
            <w:noProof/>
            <w:webHidden/>
          </w:rPr>
          <w:fldChar w:fldCharType="begin"/>
        </w:r>
        <w:r w:rsidR="006032A5">
          <w:rPr>
            <w:noProof/>
            <w:webHidden/>
          </w:rPr>
          <w:instrText xml:space="preserve"> PAGEREF _Toc485822656 \h </w:instrText>
        </w:r>
        <w:r w:rsidR="006032A5">
          <w:rPr>
            <w:noProof/>
            <w:webHidden/>
          </w:rPr>
        </w:r>
        <w:r w:rsidR="006032A5">
          <w:rPr>
            <w:noProof/>
            <w:webHidden/>
          </w:rPr>
          <w:fldChar w:fldCharType="separate"/>
        </w:r>
        <w:r w:rsidR="00A12655">
          <w:rPr>
            <w:noProof/>
            <w:webHidden/>
          </w:rPr>
          <w:t>17</w:t>
        </w:r>
        <w:r w:rsidR="006032A5">
          <w:rPr>
            <w:noProof/>
            <w:webHidden/>
          </w:rPr>
          <w:fldChar w:fldCharType="end"/>
        </w:r>
      </w:hyperlink>
    </w:p>
    <w:p w14:paraId="071A529B" w14:textId="1FB6A6FE" w:rsidR="006032A5" w:rsidRDefault="001A40CC">
      <w:pPr>
        <w:pStyle w:val="TableofFigures"/>
        <w:tabs>
          <w:tab w:val="right" w:leader="dot" w:pos="9080"/>
        </w:tabs>
        <w:rPr>
          <w:rFonts w:asciiTheme="minorHAnsi" w:eastAsiaTheme="minorEastAsia" w:hAnsiTheme="minorHAnsi"/>
          <w:noProof/>
          <w:sz w:val="22"/>
        </w:rPr>
      </w:pPr>
      <w:hyperlink w:anchor="_Toc485822657" w:history="1">
        <w:r w:rsidR="006032A5" w:rsidRPr="00FF3A46">
          <w:rPr>
            <w:rStyle w:val="Hyperlink"/>
            <w:noProof/>
          </w:rPr>
          <w:t>Figure 10: Gross Official Reserves</w:t>
        </w:r>
        <w:r w:rsidR="006032A5">
          <w:rPr>
            <w:noProof/>
            <w:webHidden/>
          </w:rPr>
          <w:tab/>
        </w:r>
        <w:r w:rsidR="006032A5">
          <w:rPr>
            <w:noProof/>
            <w:webHidden/>
          </w:rPr>
          <w:fldChar w:fldCharType="begin"/>
        </w:r>
        <w:r w:rsidR="006032A5">
          <w:rPr>
            <w:noProof/>
            <w:webHidden/>
          </w:rPr>
          <w:instrText xml:space="preserve"> PAGEREF _Toc485822657 \h </w:instrText>
        </w:r>
        <w:r w:rsidR="006032A5">
          <w:rPr>
            <w:noProof/>
            <w:webHidden/>
          </w:rPr>
        </w:r>
        <w:r w:rsidR="006032A5">
          <w:rPr>
            <w:noProof/>
            <w:webHidden/>
          </w:rPr>
          <w:fldChar w:fldCharType="separate"/>
        </w:r>
        <w:r w:rsidR="00A12655">
          <w:rPr>
            <w:noProof/>
            <w:webHidden/>
          </w:rPr>
          <w:t>17</w:t>
        </w:r>
        <w:r w:rsidR="006032A5">
          <w:rPr>
            <w:noProof/>
            <w:webHidden/>
          </w:rPr>
          <w:fldChar w:fldCharType="end"/>
        </w:r>
      </w:hyperlink>
    </w:p>
    <w:p w14:paraId="17DFC0A1" w14:textId="2048EFFE" w:rsidR="006032A5" w:rsidRDefault="001A40CC">
      <w:pPr>
        <w:pStyle w:val="TableofFigures"/>
        <w:tabs>
          <w:tab w:val="right" w:leader="dot" w:pos="9080"/>
        </w:tabs>
        <w:rPr>
          <w:rFonts w:asciiTheme="minorHAnsi" w:eastAsiaTheme="minorEastAsia" w:hAnsiTheme="minorHAnsi"/>
          <w:noProof/>
          <w:sz w:val="22"/>
        </w:rPr>
      </w:pPr>
      <w:hyperlink w:anchor="_Toc485822658" w:history="1">
        <w:r w:rsidR="006032A5" w:rsidRPr="00FF3A46">
          <w:rPr>
            <w:rStyle w:val="Hyperlink"/>
            <w:noProof/>
          </w:rPr>
          <w:t>Figure 11: Breakdown of guarantees, end-2016</w:t>
        </w:r>
        <w:r w:rsidR="006032A5">
          <w:rPr>
            <w:noProof/>
            <w:webHidden/>
          </w:rPr>
          <w:tab/>
        </w:r>
        <w:r w:rsidR="006032A5">
          <w:rPr>
            <w:noProof/>
            <w:webHidden/>
          </w:rPr>
          <w:fldChar w:fldCharType="begin"/>
        </w:r>
        <w:r w:rsidR="006032A5">
          <w:rPr>
            <w:noProof/>
            <w:webHidden/>
          </w:rPr>
          <w:instrText xml:space="preserve"> PAGEREF _Toc485822658 \h </w:instrText>
        </w:r>
        <w:r w:rsidR="006032A5">
          <w:rPr>
            <w:noProof/>
            <w:webHidden/>
          </w:rPr>
        </w:r>
        <w:r w:rsidR="006032A5">
          <w:rPr>
            <w:noProof/>
            <w:webHidden/>
          </w:rPr>
          <w:fldChar w:fldCharType="separate"/>
        </w:r>
        <w:r w:rsidR="00A12655">
          <w:rPr>
            <w:noProof/>
            <w:webHidden/>
          </w:rPr>
          <w:t>17</w:t>
        </w:r>
        <w:r w:rsidR="006032A5">
          <w:rPr>
            <w:noProof/>
            <w:webHidden/>
          </w:rPr>
          <w:fldChar w:fldCharType="end"/>
        </w:r>
      </w:hyperlink>
    </w:p>
    <w:p w14:paraId="7DED9C6D" w14:textId="085A1464" w:rsidR="006032A5" w:rsidRDefault="001A40CC">
      <w:pPr>
        <w:pStyle w:val="TableofFigures"/>
        <w:tabs>
          <w:tab w:val="right" w:leader="dot" w:pos="9080"/>
        </w:tabs>
        <w:rPr>
          <w:rFonts w:asciiTheme="minorHAnsi" w:eastAsiaTheme="minorEastAsia" w:hAnsiTheme="minorHAnsi"/>
          <w:noProof/>
          <w:sz w:val="22"/>
        </w:rPr>
      </w:pPr>
      <w:hyperlink w:anchor="_Toc485822659" w:history="1">
        <w:r w:rsidR="006032A5" w:rsidRPr="00FF3A46">
          <w:rPr>
            <w:rStyle w:val="Hyperlink"/>
            <w:noProof/>
          </w:rPr>
          <w:t>Figure 12: Treasury bond and bills outflows were facilitated by foreign exchange sales</w:t>
        </w:r>
        <w:r w:rsidR="006032A5">
          <w:rPr>
            <w:noProof/>
            <w:webHidden/>
          </w:rPr>
          <w:tab/>
        </w:r>
        <w:r w:rsidR="006032A5">
          <w:rPr>
            <w:noProof/>
            <w:webHidden/>
          </w:rPr>
          <w:fldChar w:fldCharType="begin"/>
        </w:r>
        <w:r w:rsidR="006032A5">
          <w:rPr>
            <w:noProof/>
            <w:webHidden/>
          </w:rPr>
          <w:instrText xml:space="preserve"> PAGEREF _Toc485822659 \h </w:instrText>
        </w:r>
        <w:r w:rsidR="006032A5">
          <w:rPr>
            <w:noProof/>
            <w:webHidden/>
          </w:rPr>
        </w:r>
        <w:r w:rsidR="006032A5">
          <w:rPr>
            <w:noProof/>
            <w:webHidden/>
          </w:rPr>
          <w:fldChar w:fldCharType="separate"/>
        </w:r>
        <w:r w:rsidR="00A12655">
          <w:rPr>
            <w:noProof/>
            <w:webHidden/>
          </w:rPr>
          <w:t>17</w:t>
        </w:r>
        <w:r w:rsidR="006032A5">
          <w:rPr>
            <w:noProof/>
            <w:webHidden/>
          </w:rPr>
          <w:fldChar w:fldCharType="end"/>
        </w:r>
      </w:hyperlink>
    </w:p>
    <w:p w14:paraId="1F970DCA" w14:textId="0C6FAEFA" w:rsidR="006032A5" w:rsidRDefault="001A40CC">
      <w:pPr>
        <w:pStyle w:val="TableofFigures"/>
        <w:tabs>
          <w:tab w:val="right" w:leader="dot" w:pos="9080"/>
        </w:tabs>
        <w:rPr>
          <w:rFonts w:asciiTheme="minorHAnsi" w:eastAsiaTheme="minorEastAsia" w:hAnsiTheme="minorHAnsi"/>
          <w:noProof/>
          <w:sz w:val="22"/>
        </w:rPr>
      </w:pPr>
      <w:hyperlink w:anchor="_Toc485822660" w:history="1">
        <w:r w:rsidR="006032A5" w:rsidRPr="00FF3A46">
          <w:rPr>
            <w:rStyle w:val="Hyperlink"/>
            <w:noProof/>
          </w:rPr>
          <w:t>Figure 13: Credit Leverage</w:t>
        </w:r>
        <w:r w:rsidR="006032A5">
          <w:rPr>
            <w:noProof/>
            <w:webHidden/>
          </w:rPr>
          <w:tab/>
        </w:r>
        <w:r w:rsidR="006032A5">
          <w:rPr>
            <w:noProof/>
            <w:webHidden/>
          </w:rPr>
          <w:fldChar w:fldCharType="begin"/>
        </w:r>
        <w:r w:rsidR="006032A5">
          <w:rPr>
            <w:noProof/>
            <w:webHidden/>
          </w:rPr>
          <w:instrText xml:space="preserve"> PAGEREF _Toc485822660 \h </w:instrText>
        </w:r>
        <w:r w:rsidR="006032A5">
          <w:rPr>
            <w:noProof/>
            <w:webHidden/>
          </w:rPr>
        </w:r>
        <w:r w:rsidR="006032A5">
          <w:rPr>
            <w:noProof/>
            <w:webHidden/>
          </w:rPr>
          <w:fldChar w:fldCharType="separate"/>
        </w:r>
        <w:r w:rsidR="00A12655">
          <w:rPr>
            <w:noProof/>
            <w:webHidden/>
          </w:rPr>
          <w:t>20</w:t>
        </w:r>
        <w:r w:rsidR="006032A5">
          <w:rPr>
            <w:noProof/>
            <w:webHidden/>
          </w:rPr>
          <w:fldChar w:fldCharType="end"/>
        </w:r>
      </w:hyperlink>
    </w:p>
    <w:p w14:paraId="00F8D288" w14:textId="771DB2FF" w:rsidR="006032A5" w:rsidRDefault="001A40CC">
      <w:pPr>
        <w:pStyle w:val="TableofFigures"/>
        <w:tabs>
          <w:tab w:val="right" w:leader="dot" w:pos="9080"/>
        </w:tabs>
        <w:rPr>
          <w:rFonts w:asciiTheme="minorHAnsi" w:eastAsiaTheme="minorEastAsia" w:hAnsiTheme="minorHAnsi"/>
          <w:noProof/>
          <w:sz w:val="22"/>
        </w:rPr>
      </w:pPr>
      <w:hyperlink w:anchor="_Toc485822661" w:history="1">
        <w:r w:rsidR="006032A5" w:rsidRPr="00FF3A46">
          <w:rPr>
            <w:rStyle w:val="Hyperlink"/>
            <w:noProof/>
          </w:rPr>
          <w:t>Figure 14:  Drivers of Domestic Credit</w:t>
        </w:r>
        <w:r w:rsidR="006032A5">
          <w:rPr>
            <w:noProof/>
            <w:webHidden/>
          </w:rPr>
          <w:tab/>
        </w:r>
        <w:r w:rsidR="006032A5">
          <w:rPr>
            <w:noProof/>
            <w:webHidden/>
          </w:rPr>
          <w:fldChar w:fldCharType="begin"/>
        </w:r>
        <w:r w:rsidR="006032A5">
          <w:rPr>
            <w:noProof/>
            <w:webHidden/>
          </w:rPr>
          <w:instrText xml:space="preserve"> PAGEREF _Toc485822661 \h </w:instrText>
        </w:r>
        <w:r w:rsidR="006032A5">
          <w:rPr>
            <w:noProof/>
            <w:webHidden/>
          </w:rPr>
        </w:r>
        <w:r w:rsidR="006032A5">
          <w:rPr>
            <w:noProof/>
            <w:webHidden/>
          </w:rPr>
          <w:fldChar w:fldCharType="separate"/>
        </w:r>
        <w:r w:rsidR="00A12655">
          <w:rPr>
            <w:noProof/>
            <w:webHidden/>
          </w:rPr>
          <w:t>20</w:t>
        </w:r>
        <w:r w:rsidR="006032A5">
          <w:rPr>
            <w:noProof/>
            <w:webHidden/>
          </w:rPr>
          <w:fldChar w:fldCharType="end"/>
        </w:r>
      </w:hyperlink>
    </w:p>
    <w:p w14:paraId="64B15E35" w14:textId="572EBDD5" w:rsidR="006032A5" w:rsidRDefault="001A40CC">
      <w:pPr>
        <w:pStyle w:val="TableofFigures"/>
        <w:tabs>
          <w:tab w:val="right" w:leader="dot" w:pos="9080"/>
        </w:tabs>
        <w:rPr>
          <w:rFonts w:asciiTheme="minorHAnsi" w:eastAsiaTheme="minorEastAsia" w:hAnsiTheme="minorHAnsi"/>
          <w:noProof/>
          <w:sz w:val="22"/>
        </w:rPr>
      </w:pPr>
      <w:hyperlink w:anchor="_Toc485822662" w:history="1">
        <w:r w:rsidR="006032A5" w:rsidRPr="00FF3A46">
          <w:rPr>
            <w:rStyle w:val="Hyperlink"/>
            <w:noProof/>
          </w:rPr>
          <w:t>Figure 15: Fiscal balance</w:t>
        </w:r>
        <w:r w:rsidR="006032A5">
          <w:rPr>
            <w:noProof/>
            <w:webHidden/>
          </w:rPr>
          <w:tab/>
        </w:r>
        <w:r w:rsidR="006032A5">
          <w:rPr>
            <w:noProof/>
            <w:webHidden/>
          </w:rPr>
          <w:fldChar w:fldCharType="begin"/>
        </w:r>
        <w:r w:rsidR="006032A5">
          <w:rPr>
            <w:noProof/>
            <w:webHidden/>
          </w:rPr>
          <w:instrText xml:space="preserve"> PAGEREF _Toc485822662 \h </w:instrText>
        </w:r>
        <w:r w:rsidR="006032A5">
          <w:rPr>
            <w:noProof/>
            <w:webHidden/>
          </w:rPr>
        </w:r>
        <w:r w:rsidR="006032A5">
          <w:rPr>
            <w:noProof/>
            <w:webHidden/>
          </w:rPr>
          <w:fldChar w:fldCharType="separate"/>
        </w:r>
        <w:r w:rsidR="00A12655">
          <w:rPr>
            <w:noProof/>
            <w:webHidden/>
          </w:rPr>
          <w:t>23</w:t>
        </w:r>
        <w:r w:rsidR="006032A5">
          <w:rPr>
            <w:noProof/>
            <w:webHidden/>
          </w:rPr>
          <w:fldChar w:fldCharType="end"/>
        </w:r>
      </w:hyperlink>
    </w:p>
    <w:p w14:paraId="0377F6F1" w14:textId="1AE8A874" w:rsidR="006032A5" w:rsidRDefault="001A40CC">
      <w:pPr>
        <w:pStyle w:val="TableofFigures"/>
        <w:tabs>
          <w:tab w:val="right" w:leader="dot" w:pos="9080"/>
        </w:tabs>
        <w:rPr>
          <w:rFonts w:asciiTheme="minorHAnsi" w:eastAsiaTheme="minorEastAsia" w:hAnsiTheme="minorHAnsi"/>
          <w:noProof/>
          <w:sz w:val="22"/>
        </w:rPr>
      </w:pPr>
      <w:hyperlink w:anchor="_Toc485822663" w:history="1">
        <w:r w:rsidR="006032A5" w:rsidRPr="00FF3A46">
          <w:rPr>
            <w:rStyle w:val="Hyperlink"/>
            <w:noProof/>
          </w:rPr>
          <w:t>Figure 16: Public Debt</w:t>
        </w:r>
        <w:r w:rsidR="006032A5">
          <w:rPr>
            <w:noProof/>
            <w:webHidden/>
          </w:rPr>
          <w:tab/>
        </w:r>
        <w:r w:rsidR="006032A5">
          <w:rPr>
            <w:noProof/>
            <w:webHidden/>
          </w:rPr>
          <w:fldChar w:fldCharType="begin"/>
        </w:r>
        <w:r w:rsidR="006032A5">
          <w:rPr>
            <w:noProof/>
            <w:webHidden/>
          </w:rPr>
          <w:instrText xml:space="preserve"> PAGEREF _Toc485822663 \h </w:instrText>
        </w:r>
        <w:r w:rsidR="006032A5">
          <w:rPr>
            <w:noProof/>
            <w:webHidden/>
          </w:rPr>
        </w:r>
        <w:r w:rsidR="006032A5">
          <w:rPr>
            <w:noProof/>
            <w:webHidden/>
          </w:rPr>
          <w:fldChar w:fldCharType="separate"/>
        </w:r>
        <w:r w:rsidR="00A12655">
          <w:rPr>
            <w:noProof/>
            <w:webHidden/>
          </w:rPr>
          <w:t>23</w:t>
        </w:r>
        <w:r w:rsidR="006032A5">
          <w:rPr>
            <w:noProof/>
            <w:webHidden/>
          </w:rPr>
          <w:fldChar w:fldCharType="end"/>
        </w:r>
      </w:hyperlink>
    </w:p>
    <w:p w14:paraId="2C4938C5" w14:textId="2B764A75" w:rsidR="006032A5" w:rsidRDefault="001A40CC">
      <w:pPr>
        <w:pStyle w:val="TableofFigures"/>
        <w:tabs>
          <w:tab w:val="right" w:leader="dot" w:pos="9080"/>
        </w:tabs>
        <w:rPr>
          <w:rFonts w:asciiTheme="minorHAnsi" w:eastAsiaTheme="minorEastAsia" w:hAnsiTheme="minorHAnsi"/>
          <w:noProof/>
          <w:sz w:val="22"/>
        </w:rPr>
      </w:pPr>
      <w:hyperlink w:anchor="_Toc485822664" w:history="1">
        <w:r w:rsidR="006032A5" w:rsidRPr="00FF3A46">
          <w:rPr>
            <w:rStyle w:val="Hyperlink"/>
            <w:noProof/>
          </w:rPr>
          <w:t>Figure 17: Eurobond Repayments</w:t>
        </w:r>
        <w:r w:rsidR="006032A5">
          <w:rPr>
            <w:noProof/>
            <w:webHidden/>
          </w:rPr>
          <w:tab/>
        </w:r>
        <w:r w:rsidR="006032A5">
          <w:rPr>
            <w:noProof/>
            <w:webHidden/>
          </w:rPr>
          <w:fldChar w:fldCharType="begin"/>
        </w:r>
        <w:r w:rsidR="006032A5">
          <w:rPr>
            <w:noProof/>
            <w:webHidden/>
          </w:rPr>
          <w:instrText xml:space="preserve"> PAGEREF _Toc485822664 \h </w:instrText>
        </w:r>
        <w:r w:rsidR="006032A5">
          <w:rPr>
            <w:noProof/>
            <w:webHidden/>
          </w:rPr>
        </w:r>
        <w:r w:rsidR="006032A5">
          <w:rPr>
            <w:noProof/>
            <w:webHidden/>
          </w:rPr>
          <w:fldChar w:fldCharType="separate"/>
        </w:r>
        <w:r w:rsidR="00A12655">
          <w:rPr>
            <w:noProof/>
            <w:webHidden/>
          </w:rPr>
          <w:t>26</w:t>
        </w:r>
        <w:r w:rsidR="006032A5">
          <w:rPr>
            <w:noProof/>
            <w:webHidden/>
          </w:rPr>
          <w:fldChar w:fldCharType="end"/>
        </w:r>
      </w:hyperlink>
    </w:p>
    <w:p w14:paraId="1013A068" w14:textId="1EADFE1F" w:rsidR="006032A5" w:rsidRDefault="001A40CC">
      <w:pPr>
        <w:pStyle w:val="TableofFigures"/>
        <w:tabs>
          <w:tab w:val="right" w:leader="dot" w:pos="9080"/>
        </w:tabs>
        <w:rPr>
          <w:rFonts w:asciiTheme="minorHAnsi" w:eastAsiaTheme="minorEastAsia" w:hAnsiTheme="minorHAnsi"/>
          <w:noProof/>
          <w:sz w:val="22"/>
        </w:rPr>
      </w:pPr>
      <w:hyperlink w:anchor="_Toc485822665" w:history="1">
        <w:r w:rsidR="006032A5" w:rsidRPr="00FF3A46">
          <w:rPr>
            <w:rStyle w:val="Hyperlink"/>
            <w:noProof/>
          </w:rPr>
          <w:t>Figure 18: Sri Lanka's post conflict sectoral growth map 2010-2016</w:t>
        </w:r>
        <w:r w:rsidR="006032A5">
          <w:rPr>
            <w:noProof/>
            <w:webHidden/>
          </w:rPr>
          <w:tab/>
        </w:r>
        <w:r w:rsidR="006032A5">
          <w:rPr>
            <w:noProof/>
            <w:webHidden/>
          </w:rPr>
          <w:fldChar w:fldCharType="begin"/>
        </w:r>
        <w:r w:rsidR="006032A5">
          <w:rPr>
            <w:noProof/>
            <w:webHidden/>
          </w:rPr>
          <w:instrText xml:space="preserve"> PAGEREF _Toc485822665 \h </w:instrText>
        </w:r>
        <w:r w:rsidR="006032A5">
          <w:rPr>
            <w:noProof/>
            <w:webHidden/>
          </w:rPr>
        </w:r>
        <w:r w:rsidR="006032A5">
          <w:rPr>
            <w:noProof/>
            <w:webHidden/>
          </w:rPr>
          <w:fldChar w:fldCharType="separate"/>
        </w:r>
        <w:r w:rsidR="00A12655">
          <w:rPr>
            <w:noProof/>
            <w:webHidden/>
          </w:rPr>
          <w:t>30</w:t>
        </w:r>
        <w:r w:rsidR="006032A5">
          <w:rPr>
            <w:noProof/>
            <w:webHidden/>
          </w:rPr>
          <w:fldChar w:fldCharType="end"/>
        </w:r>
      </w:hyperlink>
    </w:p>
    <w:p w14:paraId="5BFD6A28" w14:textId="142F21BA" w:rsidR="006032A5" w:rsidRDefault="001A40CC">
      <w:pPr>
        <w:pStyle w:val="TableofFigures"/>
        <w:tabs>
          <w:tab w:val="right" w:leader="dot" w:pos="9080"/>
        </w:tabs>
        <w:rPr>
          <w:rFonts w:asciiTheme="minorHAnsi" w:eastAsiaTheme="minorEastAsia" w:hAnsiTheme="minorHAnsi"/>
          <w:noProof/>
          <w:sz w:val="22"/>
        </w:rPr>
      </w:pPr>
      <w:hyperlink w:anchor="_Toc485822666" w:history="1">
        <w:r w:rsidR="006032A5" w:rsidRPr="00FF3A46">
          <w:rPr>
            <w:rStyle w:val="Hyperlink"/>
            <w:noProof/>
          </w:rPr>
          <w:t>Figure 19: Sri Lanka's competitiveness indicators compared to peer countries</w:t>
        </w:r>
        <w:r w:rsidR="006032A5">
          <w:rPr>
            <w:noProof/>
            <w:webHidden/>
          </w:rPr>
          <w:tab/>
        </w:r>
        <w:r w:rsidR="006032A5">
          <w:rPr>
            <w:noProof/>
            <w:webHidden/>
          </w:rPr>
          <w:fldChar w:fldCharType="begin"/>
        </w:r>
        <w:r w:rsidR="006032A5">
          <w:rPr>
            <w:noProof/>
            <w:webHidden/>
          </w:rPr>
          <w:instrText xml:space="preserve"> PAGEREF _Toc485822666 \h </w:instrText>
        </w:r>
        <w:r w:rsidR="006032A5">
          <w:rPr>
            <w:noProof/>
            <w:webHidden/>
          </w:rPr>
        </w:r>
        <w:r w:rsidR="006032A5">
          <w:rPr>
            <w:noProof/>
            <w:webHidden/>
          </w:rPr>
          <w:fldChar w:fldCharType="separate"/>
        </w:r>
        <w:r w:rsidR="00A12655">
          <w:rPr>
            <w:noProof/>
            <w:webHidden/>
          </w:rPr>
          <w:t>31</w:t>
        </w:r>
        <w:r w:rsidR="006032A5">
          <w:rPr>
            <w:noProof/>
            <w:webHidden/>
          </w:rPr>
          <w:fldChar w:fldCharType="end"/>
        </w:r>
      </w:hyperlink>
    </w:p>
    <w:p w14:paraId="67A69B48" w14:textId="7A54713F" w:rsidR="000F5AC7" w:rsidRPr="004246DE" w:rsidRDefault="00BF13E9" w:rsidP="004246DE">
      <w:pPr>
        <w:pStyle w:val="BodyText"/>
        <w:spacing w:before="240"/>
        <w:rPr>
          <w:b/>
          <w:color w:val="0C4DA2"/>
          <w:szCs w:val="22"/>
        </w:rPr>
      </w:pPr>
      <w:r w:rsidRPr="004A7AC1">
        <w:fldChar w:fldCharType="end"/>
      </w:r>
      <w:r w:rsidR="000F5AC7" w:rsidRPr="004246DE">
        <w:rPr>
          <w:b/>
          <w:color w:val="0C4DA2"/>
          <w:szCs w:val="22"/>
        </w:rPr>
        <w:t xml:space="preserve">LIST </w:t>
      </w:r>
      <w:r w:rsidR="000F5AC7" w:rsidRPr="004246DE">
        <w:rPr>
          <w:b/>
          <w:color w:val="0C4DA2"/>
          <w:kern w:val="0"/>
          <w:szCs w:val="22"/>
        </w:rPr>
        <w:t>OF</w:t>
      </w:r>
      <w:r w:rsidR="000F5AC7" w:rsidRPr="004246DE">
        <w:rPr>
          <w:b/>
          <w:color w:val="0C4DA2"/>
          <w:szCs w:val="22"/>
        </w:rPr>
        <w:t xml:space="preserve"> TABLES</w:t>
      </w:r>
    </w:p>
    <w:p w14:paraId="1B16ECA8" w14:textId="43775CF6" w:rsidR="006032A5" w:rsidRPr="006032A5" w:rsidRDefault="000F5AC7">
      <w:pPr>
        <w:pStyle w:val="TableofFigures"/>
        <w:tabs>
          <w:tab w:val="right" w:leader="dot" w:pos="9080"/>
        </w:tabs>
        <w:rPr>
          <w:rFonts w:asciiTheme="minorHAnsi" w:eastAsiaTheme="minorEastAsia" w:hAnsiTheme="minorHAnsi"/>
          <w:noProof/>
          <w:sz w:val="22"/>
        </w:rPr>
      </w:pPr>
      <w:r w:rsidRPr="004246DE">
        <w:rPr>
          <w:sz w:val="22"/>
        </w:rPr>
        <w:fldChar w:fldCharType="begin"/>
      </w:r>
      <w:r w:rsidRPr="004246DE">
        <w:rPr>
          <w:sz w:val="22"/>
        </w:rPr>
        <w:instrText xml:space="preserve"> TOC \h \z \c "Table" </w:instrText>
      </w:r>
      <w:r w:rsidRPr="004246DE">
        <w:rPr>
          <w:sz w:val="22"/>
        </w:rPr>
        <w:fldChar w:fldCharType="separate"/>
      </w:r>
      <w:hyperlink w:anchor="_Toc485822690" w:history="1">
        <w:r w:rsidR="006032A5" w:rsidRPr="004246DE">
          <w:rPr>
            <w:rStyle w:val="Hyperlink"/>
            <w:noProof/>
            <w:sz w:val="22"/>
          </w:rPr>
          <w:t>Table 1: Budget and Fiscal Outcomes</w:t>
        </w:r>
        <w:r w:rsidR="006032A5" w:rsidRPr="004246DE">
          <w:rPr>
            <w:noProof/>
            <w:webHidden/>
            <w:sz w:val="22"/>
          </w:rPr>
          <w:tab/>
        </w:r>
        <w:r w:rsidR="006032A5" w:rsidRPr="004246DE">
          <w:rPr>
            <w:noProof/>
            <w:webHidden/>
            <w:sz w:val="22"/>
          </w:rPr>
          <w:fldChar w:fldCharType="begin"/>
        </w:r>
        <w:r w:rsidR="006032A5" w:rsidRPr="004246DE">
          <w:rPr>
            <w:noProof/>
            <w:webHidden/>
            <w:sz w:val="22"/>
          </w:rPr>
          <w:instrText xml:space="preserve"> PAGEREF _Toc485822690 \h </w:instrText>
        </w:r>
        <w:r w:rsidR="006032A5" w:rsidRPr="004246DE">
          <w:rPr>
            <w:noProof/>
            <w:webHidden/>
            <w:sz w:val="22"/>
          </w:rPr>
        </w:r>
        <w:r w:rsidR="006032A5" w:rsidRPr="004246DE">
          <w:rPr>
            <w:noProof/>
            <w:webHidden/>
            <w:sz w:val="22"/>
          </w:rPr>
          <w:fldChar w:fldCharType="separate"/>
        </w:r>
        <w:r w:rsidR="00A12655">
          <w:rPr>
            <w:noProof/>
            <w:webHidden/>
            <w:sz w:val="22"/>
          </w:rPr>
          <w:t>16</w:t>
        </w:r>
        <w:r w:rsidR="006032A5" w:rsidRPr="004246DE">
          <w:rPr>
            <w:noProof/>
            <w:webHidden/>
            <w:sz w:val="22"/>
          </w:rPr>
          <w:fldChar w:fldCharType="end"/>
        </w:r>
      </w:hyperlink>
    </w:p>
    <w:p w14:paraId="5981A68C" w14:textId="17DD8658" w:rsidR="006032A5" w:rsidRPr="006032A5" w:rsidRDefault="001A40CC">
      <w:pPr>
        <w:pStyle w:val="TableofFigures"/>
        <w:tabs>
          <w:tab w:val="right" w:leader="dot" w:pos="9080"/>
        </w:tabs>
        <w:rPr>
          <w:rFonts w:asciiTheme="minorHAnsi" w:eastAsiaTheme="minorEastAsia" w:hAnsiTheme="minorHAnsi"/>
          <w:noProof/>
          <w:sz w:val="22"/>
        </w:rPr>
      </w:pPr>
      <w:hyperlink w:anchor="_Toc485822691" w:history="1">
        <w:r w:rsidR="006032A5" w:rsidRPr="004246DE">
          <w:rPr>
            <w:rStyle w:val="Hyperlink"/>
            <w:noProof/>
            <w:sz w:val="22"/>
          </w:rPr>
          <w:t>Table 2: Balance of Payments</w:t>
        </w:r>
        <w:r w:rsidR="006032A5" w:rsidRPr="004246DE">
          <w:rPr>
            <w:noProof/>
            <w:webHidden/>
            <w:sz w:val="22"/>
          </w:rPr>
          <w:tab/>
        </w:r>
        <w:r w:rsidR="006032A5" w:rsidRPr="004246DE">
          <w:rPr>
            <w:noProof/>
            <w:webHidden/>
            <w:sz w:val="22"/>
          </w:rPr>
          <w:fldChar w:fldCharType="begin"/>
        </w:r>
        <w:r w:rsidR="006032A5" w:rsidRPr="004246DE">
          <w:rPr>
            <w:noProof/>
            <w:webHidden/>
            <w:sz w:val="22"/>
          </w:rPr>
          <w:instrText xml:space="preserve"> PAGEREF _Toc485822691 \h </w:instrText>
        </w:r>
        <w:r w:rsidR="006032A5" w:rsidRPr="004246DE">
          <w:rPr>
            <w:noProof/>
            <w:webHidden/>
            <w:sz w:val="22"/>
          </w:rPr>
        </w:r>
        <w:r w:rsidR="006032A5" w:rsidRPr="004246DE">
          <w:rPr>
            <w:noProof/>
            <w:webHidden/>
            <w:sz w:val="22"/>
          </w:rPr>
          <w:fldChar w:fldCharType="separate"/>
        </w:r>
        <w:r w:rsidR="00A12655">
          <w:rPr>
            <w:noProof/>
            <w:webHidden/>
            <w:sz w:val="22"/>
          </w:rPr>
          <w:t>19</w:t>
        </w:r>
        <w:r w:rsidR="006032A5" w:rsidRPr="004246DE">
          <w:rPr>
            <w:noProof/>
            <w:webHidden/>
            <w:sz w:val="22"/>
          </w:rPr>
          <w:fldChar w:fldCharType="end"/>
        </w:r>
      </w:hyperlink>
    </w:p>
    <w:p w14:paraId="5DDF2791" w14:textId="0FCE402C" w:rsidR="006032A5" w:rsidRPr="006032A5" w:rsidRDefault="001A40CC">
      <w:pPr>
        <w:pStyle w:val="TableofFigures"/>
        <w:tabs>
          <w:tab w:val="right" w:leader="dot" w:pos="9080"/>
        </w:tabs>
        <w:rPr>
          <w:rFonts w:asciiTheme="minorHAnsi" w:eastAsiaTheme="minorEastAsia" w:hAnsiTheme="minorHAnsi"/>
          <w:noProof/>
          <w:sz w:val="22"/>
        </w:rPr>
      </w:pPr>
      <w:hyperlink w:anchor="_Toc485822692" w:history="1">
        <w:r w:rsidR="006032A5" w:rsidRPr="004246DE">
          <w:rPr>
            <w:rStyle w:val="Hyperlink"/>
            <w:noProof/>
            <w:sz w:val="22"/>
          </w:rPr>
          <w:t xml:space="preserve">Table 3: </w:t>
        </w:r>
        <w:r w:rsidR="006032A5" w:rsidRPr="004246DE">
          <w:rPr>
            <w:rStyle w:val="Hyperlink"/>
            <w:noProof/>
            <w:szCs w:val="20"/>
          </w:rPr>
          <w:t>Growth</w:t>
        </w:r>
        <w:r w:rsidR="006032A5" w:rsidRPr="004246DE">
          <w:rPr>
            <w:rStyle w:val="Hyperlink"/>
            <w:noProof/>
            <w:sz w:val="22"/>
          </w:rPr>
          <w:t xml:space="preserve"> prospects for key partners of Sri Lanka</w:t>
        </w:r>
        <w:r w:rsidR="006032A5" w:rsidRPr="004246DE">
          <w:rPr>
            <w:noProof/>
            <w:webHidden/>
            <w:sz w:val="22"/>
          </w:rPr>
          <w:tab/>
        </w:r>
        <w:r w:rsidR="006032A5" w:rsidRPr="004246DE">
          <w:rPr>
            <w:noProof/>
            <w:webHidden/>
            <w:sz w:val="22"/>
          </w:rPr>
          <w:fldChar w:fldCharType="begin"/>
        </w:r>
        <w:r w:rsidR="006032A5" w:rsidRPr="004246DE">
          <w:rPr>
            <w:noProof/>
            <w:webHidden/>
            <w:sz w:val="22"/>
          </w:rPr>
          <w:instrText xml:space="preserve"> PAGEREF _Toc485822692 \h </w:instrText>
        </w:r>
        <w:r w:rsidR="006032A5" w:rsidRPr="004246DE">
          <w:rPr>
            <w:noProof/>
            <w:webHidden/>
            <w:sz w:val="22"/>
          </w:rPr>
        </w:r>
        <w:r w:rsidR="006032A5" w:rsidRPr="004246DE">
          <w:rPr>
            <w:noProof/>
            <w:webHidden/>
            <w:sz w:val="22"/>
          </w:rPr>
          <w:fldChar w:fldCharType="separate"/>
        </w:r>
        <w:r w:rsidR="00A12655">
          <w:rPr>
            <w:noProof/>
            <w:webHidden/>
            <w:sz w:val="22"/>
          </w:rPr>
          <w:t>25</w:t>
        </w:r>
        <w:r w:rsidR="006032A5" w:rsidRPr="004246DE">
          <w:rPr>
            <w:noProof/>
            <w:webHidden/>
            <w:sz w:val="22"/>
          </w:rPr>
          <w:fldChar w:fldCharType="end"/>
        </w:r>
      </w:hyperlink>
    </w:p>
    <w:p w14:paraId="300380AA" w14:textId="07797923" w:rsidR="006032A5" w:rsidRPr="004246DE" w:rsidRDefault="000F5AC7" w:rsidP="004246DE">
      <w:pPr>
        <w:pStyle w:val="BodyText"/>
        <w:spacing w:before="240"/>
        <w:rPr>
          <w:b/>
          <w:color w:val="0C4DA2"/>
          <w:szCs w:val="22"/>
        </w:rPr>
      </w:pPr>
      <w:r w:rsidRPr="004246DE">
        <w:rPr>
          <w:szCs w:val="22"/>
        </w:rPr>
        <w:fldChar w:fldCharType="end"/>
      </w:r>
      <w:r w:rsidR="006032A5" w:rsidRPr="004246DE">
        <w:rPr>
          <w:b/>
          <w:color w:val="0C4DA2"/>
          <w:szCs w:val="22"/>
        </w:rPr>
        <w:t xml:space="preserve">LIST </w:t>
      </w:r>
      <w:r w:rsidR="006032A5" w:rsidRPr="004246DE">
        <w:rPr>
          <w:b/>
          <w:color w:val="0C4DA2"/>
          <w:kern w:val="0"/>
          <w:szCs w:val="22"/>
        </w:rPr>
        <w:t>OF</w:t>
      </w:r>
      <w:r w:rsidR="006032A5" w:rsidRPr="004246DE">
        <w:rPr>
          <w:b/>
          <w:color w:val="0C4DA2"/>
          <w:szCs w:val="22"/>
        </w:rPr>
        <w:t xml:space="preserve"> BOXES</w:t>
      </w:r>
    </w:p>
    <w:p w14:paraId="34850E06" w14:textId="3F02620E" w:rsidR="003012B3" w:rsidRDefault="005B5671">
      <w:pPr>
        <w:pStyle w:val="TableofFigures"/>
        <w:tabs>
          <w:tab w:val="right" w:leader="dot" w:pos="9080"/>
        </w:tabs>
        <w:rPr>
          <w:rFonts w:asciiTheme="minorHAnsi" w:eastAsiaTheme="minorEastAsia" w:hAnsiTheme="minorHAnsi"/>
          <w:noProof/>
          <w:sz w:val="22"/>
        </w:rPr>
      </w:pPr>
      <w:r>
        <w:fldChar w:fldCharType="begin"/>
      </w:r>
      <w:r>
        <w:instrText xml:space="preserve"> TOC \h \z \t "Box caption-Dev-Update" \c </w:instrText>
      </w:r>
      <w:r>
        <w:fldChar w:fldCharType="separate"/>
      </w:r>
      <w:hyperlink w:anchor="_Toc485824095" w:history="1">
        <w:r w:rsidR="003012B3" w:rsidRPr="00296451">
          <w:rPr>
            <w:rStyle w:val="Hyperlink"/>
            <w:noProof/>
          </w:rPr>
          <w:t>Box 1: Sri Lanka: country context</w:t>
        </w:r>
        <w:r w:rsidR="003012B3">
          <w:rPr>
            <w:noProof/>
            <w:webHidden/>
          </w:rPr>
          <w:tab/>
        </w:r>
        <w:r w:rsidR="003012B3">
          <w:rPr>
            <w:noProof/>
            <w:webHidden/>
          </w:rPr>
          <w:fldChar w:fldCharType="begin"/>
        </w:r>
        <w:r w:rsidR="003012B3">
          <w:rPr>
            <w:noProof/>
            <w:webHidden/>
          </w:rPr>
          <w:instrText xml:space="preserve"> PAGEREF _Toc485824095 \h </w:instrText>
        </w:r>
        <w:r w:rsidR="003012B3">
          <w:rPr>
            <w:noProof/>
            <w:webHidden/>
          </w:rPr>
        </w:r>
        <w:r w:rsidR="003012B3">
          <w:rPr>
            <w:noProof/>
            <w:webHidden/>
          </w:rPr>
          <w:fldChar w:fldCharType="separate"/>
        </w:r>
        <w:r w:rsidR="00A12655">
          <w:rPr>
            <w:noProof/>
            <w:webHidden/>
          </w:rPr>
          <w:t>10</w:t>
        </w:r>
        <w:r w:rsidR="003012B3">
          <w:rPr>
            <w:noProof/>
            <w:webHidden/>
          </w:rPr>
          <w:fldChar w:fldCharType="end"/>
        </w:r>
      </w:hyperlink>
    </w:p>
    <w:p w14:paraId="6F77D917" w14:textId="7DE352E0" w:rsidR="003012B3" w:rsidRDefault="001A40CC">
      <w:pPr>
        <w:pStyle w:val="TableofFigures"/>
        <w:tabs>
          <w:tab w:val="right" w:leader="dot" w:pos="9080"/>
        </w:tabs>
        <w:rPr>
          <w:rFonts w:asciiTheme="minorHAnsi" w:eastAsiaTheme="minorEastAsia" w:hAnsiTheme="minorHAnsi"/>
          <w:noProof/>
          <w:sz w:val="22"/>
        </w:rPr>
      </w:pPr>
      <w:hyperlink w:anchor="_Toc485824096" w:history="1">
        <w:r w:rsidR="003012B3" w:rsidRPr="00296451">
          <w:rPr>
            <w:rStyle w:val="Hyperlink"/>
            <w:noProof/>
          </w:rPr>
          <w:t>Box 2: The impact of recurring natural disasters</w:t>
        </w:r>
        <w:r w:rsidR="003012B3">
          <w:rPr>
            <w:noProof/>
            <w:webHidden/>
          </w:rPr>
          <w:tab/>
        </w:r>
        <w:r w:rsidR="003012B3">
          <w:rPr>
            <w:noProof/>
            <w:webHidden/>
          </w:rPr>
          <w:fldChar w:fldCharType="begin"/>
        </w:r>
        <w:r w:rsidR="003012B3">
          <w:rPr>
            <w:noProof/>
            <w:webHidden/>
          </w:rPr>
          <w:instrText xml:space="preserve"> PAGEREF _Toc485824096 \h </w:instrText>
        </w:r>
        <w:r w:rsidR="003012B3">
          <w:rPr>
            <w:noProof/>
            <w:webHidden/>
          </w:rPr>
        </w:r>
        <w:r w:rsidR="003012B3">
          <w:rPr>
            <w:noProof/>
            <w:webHidden/>
          </w:rPr>
          <w:fldChar w:fldCharType="separate"/>
        </w:r>
        <w:r w:rsidR="00A12655">
          <w:rPr>
            <w:noProof/>
            <w:webHidden/>
          </w:rPr>
          <w:t>12</w:t>
        </w:r>
        <w:r w:rsidR="003012B3">
          <w:rPr>
            <w:noProof/>
            <w:webHidden/>
          </w:rPr>
          <w:fldChar w:fldCharType="end"/>
        </w:r>
      </w:hyperlink>
    </w:p>
    <w:p w14:paraId="63D02A2F" w14:textId="3AA7F065" w:rsidR="003012B3" w:rsidRDefault="001A40CC">
      <w:pPr>
        <w:pStyle w:val="TableofFigures"/>
        <w:tabs>
          <w:tab w:val="right" w:leader="dot" w:pos="9080"/>
        </w:tabs>
        <w:rPr>
          <w:rFonts w:asciiTheme="minorHAnsi" w:eastAsiaTheme="minorEastAsia" w:hAnsiTheme="minorHAnsi"/>
          <w:noProof/>
          <w:sz w:val="22"/>
        </w:rPr>
      </w:pPr>
      <w:hyperlink w:anchor="_Toc485824097" w:history="1">
        <w:r w:rsidR="003012B3" w:rsidRPr="00296451">
          <w:rPr>
            <w:rStyle w:val="Hyperlink"/>
            <w:noProof/>
          </w:rPr>
          <w:t xml:space="preserve">Box 3: Global economic </w:t>
        </w:r>
        <w:r w:rsidR="003012B3" w:rsidRPr="004246DE">
          <w:rPr>
            <w:rStyle w:val="Hyperlink"/>
            <w:noProof/>
            <w:sz w:val="22"/>
          </w:rPr>
          <w:t>context</w:t>
        </w:r>
        <w:r w:rsidR="003012B3">
          <w:rPr>
            <w:noProof/>
            <w:webHidden/>
          </w:rPr>
          <w:tab/>
        </w:r>
        <w:r w:rsidR="003012B3">
          <w:rPr>
            <w:noProof/>
            <w:webHidden/>
          </w:rPr>
          <w:fldChar w:fldCharType="begin"/>
        </w:r>
        <w:r w:rsidR="003012B3">
          <w:rPr>
            <w:noProof/>
            <w:webHidden/>
          </w:rPr>
          <w:instrText xml:space="preserve"> PAGEREF _Toc485824097 \h </w:instrText>
        </w:r>
        <w:r w:rsidR="003012B3">
          <w:rPr>
            <w:noProof/>
            <w:webHidden/>
          </w:rPr>
        </w:r>
        <w:r w:rsidR="003012B3">
          <w:rPr>
            <w:noProof/>
            <w:webHidden/>
          </w:rPr>
          <w:fldChar w:fldCharType="separate"/>
        </w:r>
        <w:r w:rsidR="00A12655">
          <w:rPr>
            <w:noProof/>
            <w:webHidden/>
          </w:rPr>
          <w:t>24</w:t>
        </w:r>
        <w:r w:rsidR="003012B3">
          <w:rPr>
            <w:noProof/>
            <w:webHidden/>
          </w:rPr>
          <w:fldChar w:fldCharType="end"/>
        </w:r>
      </w:hyperlink>
    </w:p>
    <w:p w14:paraId="43EF3D64" w14:textId="378DFA42" w:rsidR="003012B3" w:rsidRDefault="001A40CC">
      <w:pPr>
        <w:pStyle w:val="TableofFigures"/>
        <w:tabs>
          <w:tab w:val="right" w:leader="dot" w:pos="9080"/>
        </w:tabs>
        <w:rPr>
          <w:rFonts w:asciiTheme="minorHAnsi" w:eastAsiaTheme="minorEastAsia" w:hAnsiTheme="minorHAnsi"/>
          <w:noProof/>
          <w:sz w:val="22"/>
        </w:rPr>
      </w:pPr>
      <w:hyperlink w:anchor="_Toc485824098" w:history="1">
        <w:r w:rsidR="003012B3" w:rsidRPr="00296451">
          <w:rPr>
            <w:rStyle w:val="Hyperlink"/>
            <w:noProof/>
          </w:rPr>
          <w:t>Box 4: Policy recommendations to improve trade and business environment and FDI</w:t>
        </w:r>
        <w:r w:rsidR="003012B3">
          <w:rPr>
            <w:noProof/>
            <w:webHidden/>
          </w:rPr>
          <w:tab/>
        </w:r>
        <w:r w:rsidR="003012B3">
          <w:rPr>
            <w:noProof/>
            <w:webHidden/>
          </w:rPr>
          <w:fldChar w:fldCharType="begin"/>
        </w:r>
        <w:r w:rsidR="003012B3">
          <w:rPr>
            <w:noProof/>
            <w:webHidden/>
          </w:rPr>
          <w:instrText xml:space="preserve"> PAGEREF _Toc485824098 \h </w:instrText>
        </w:r>
        <w:r w:rsidR="003012B3">
          <w:rPr>
            <w:noProof/>
            <w:webHidden/>
          </w:rPr>
        </w:r>
        <w:r w:rsidR="003012B3">
          <w:rPr>
            <w:noProof/>
            <w:webHidden/>
          </w:rPr>
          <w:fldChar w:fldCharType="separate"/>
        </w:r>
        <w:r w:rsidR="00A12655">
          <w:rPr>
            <w:noProof/>
            <w:webHidden/>
          </w:rPr>
          <w:t>29</w:t>
        </w:r>
        <w:r w:rsidR="003012B3">
          <w:rPr>
            <w:noProof/>
            <w:webHidden/>
          </w:rPr>
          <w:fldChar w:fldCharType="end"/>
        </w:r>
      </w:hyperlink>
    </w:p>
    <w:p w14:paraId="1A7A9E9D" w14:textId="46C4CAE7" w:rsidR="00BF13E9" w:rsidRDefault="001A40CC" w:rsidP="004246DE">
      <w:pPr>
        <w:pStyle w:val="TableofFigures"/>
        <w:tabs>
          <w:tab w:val="right" w:leader="dot" w:pos="9080"/>
        </w:tabs>
      </w:pPr>
      <w:hyperlink w:anchor="_Toc485824099" w:history="1">
        <w:r w:rsidR="003012B3" w:rsidRPr="00296451">
          <w:rPr>
            <w:rStyle w:val="Hyperlink"/>
            <w:noProof/>
          </w:rPr>
          <w:t>Box 5: Impact of mega-regional trade agreements on South Asia and Sri Lanka</w:t>
        </w:r>
        <w:r w:rsidR="003012B3">
          <w:rPr>
            <w:noProof/>
            <w:webHidden/>
          </w:rPr>
          <w:tab/>
        </w:r>
        <w:r w:rsidR="003012B3">
          <w:rPr>
            <w:noProof/>
            <w:webHidden/>
          </w:rPr>
          <w:fldChar w:fldCharType="begin"/>
        </w:r>
        <w:r w:rsidR="003012B3">
          <w:rPr>
            <w:noProof/>
            <w:webHidden/>
          </w:rPr>
          <w:instrText xml:space="preserve"> PAGEREF _Toc485824099 \h </w:instrText>
        </w:r>
        <w:r w:rsidR="003012B3">
          <w:rPr>
            <w:noProof/>
            <w:webHidden/>
          </w:rPr>
        </w:r>
        <w:r w:rsidR="003012B3">
          <w:rPr>
            <w:noProof/>
            <w:webHidden/>
          </w:rPr>
          <w:fldChar w:fldCharType="separate"/>
        </w:r>
        <w:r w:rsidR="00A12655">
          <w:rPr>
            <w:noProof/>
            <w:webHidden/>
          </w:rPr>
          <w:t>34</w:t>
        </w:r>
        <w:r w:rsidR="003012B3">
          <w:rPr>
            <w:noProof/>
            <w:webHidden/>
          </w:rPr>
          <w:fldChar w:fldCharType="end"/>
        </w:r>
      </w:hyperlink>
      <w:r w:rsidR="005B5671">
        <w:fldChar w:fldCharType="end"/>
      </w:r>
    </w:p>
    <w:p w14:paraId="6D23A6CD" w14:textId="77777777" w:rsidR="00BF13E9" w:rsidRPr="000A41D0" w:rsidRDefault="00BF13E9" w:rsidP="00551F32">
      <w:pPr>
        <w:pStyle w:val="BodyText"/>
        <w:spacing w:after="160"/>
        <w:sectPr w:rsidR="00BF13E9" w:rsidRPr="000A41D0" w:rsidSect="00DC101E">
          <w:headerReference w:type="default" r:id="rId24"/>
          <w:footerReference w:type="default" r:id="rId25"/>
          <w:footerReference w:type="first" r:id="rId26"/>
          <w:pgSz w:w="12240" w:h="15840" w:code="1"/>
          <w:pgMar w:top="1440" w:right="1440" w:bottom="1440" w:left="1710" w:header="720" w:footer="720" w:gutter="0"/>
          <w:cols w:space="720"/>
          <w:titlePg/>
          <w:docGrid w:linePitch="360"/>
        </w:sectPr>
      </w:pPr>
    </w:p>
    <w:tbl>
      <w:tblPr>
        <w:tblStyle w:val="TableGrid"/>
        <w:tblW w:w="9468"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468"/>
      </w:tblGrid>
      <w:tr w:rsidR="002B32CC" w:rsidRPr="000A41D0" w14:paraId="542609B2" w14:textId="77777777" w:rsidTr="00F91BDE">
        <w:tc>
          <w:tcPr>
            <w:tcW w:w="9468" w:type="dxa"/>
          </w:tcPr>
          <w:p w14:paraId="0BC30867" w14:textId="77777777" w:rsidR="002B32CC" w:rsidRPr="000A41D0" w:rsidRDefault="00490A28" w:rsidP="00556DF3">
            <w:pPr>
              <w:pStyle w:val="IEQ-Chapterheading"/>
              <w:spacing w:line="240" w:lineRule="auto"/>
              <w:ind w:left="0"/>
              <w:rPr>
                <w:rFonts w:cs="Arial"/>
                <w:color w:val="0336A9"/>
              </w:rPr>
            </w:pPr>
            <w:bookmarkStart w:id="65" w:name="_Toc485822601"/>
            <w:r w:rsidRPr="006D5E1B">
              <w:rPr>
                <w:rFonts w:cs="Arial"/>
              </w:rPr>
              <w:lastRenderedPageBreak/>
              <w:t>Executive Summary</w:t>
            </w:r>
            <w:bookmarkEnd w:id="65"/>
          </w:p>
        </w:tc>
      </w:tr>
    </w:tbl>
    <w:p w14:paraId="524EC6EF" w14:textId="77777777" w:rsidR="00E47D9B" w:rsidRDefault="00E47D9B" w:rsidP="00556DF3"/>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tblGrid>
      <w:tr w:rsidR="00723490" w:rsidRPr="009E5733" w14:paraId="356856D4" w14:textId="77777777" w:rsidTr="00BF13E9">
        <w:trPr>
          <w:trHeight w:val="4320"/>
        </w:trPr>
        <w:tc>
          <w:tcPr>
            <w:tcW w:w="7200" w:type="dxa"/>
          </w:tcPr>
          <w:p w14:paraId="33328D6D" w14:textId="69F6C297" w:rsidR="00723490" w:rsidRPr="009E5733" w:rsidRDefault="00043193" w:rsidP="00417308">
            <w:pPr>
              <w:pStyle w:val="BodyText"/>
              <w:ind w:left="-108"/>
              <w:rPr>
                <w:sz w:val="40"/>
                <w:szCs w:val="40"/>
              </w:rPr>
            </w:pPr>
            <w:r>
              <w:rPr>
                <w:noProof/>
                <w:sz w:val="40"/>
                <w:szCs w:val="40"/>
              </w:rPr>
              <w:drawing>
                <wp:inline distT="0" distB="0" distL="0" distR="0" wp14:anchorId="3A93F97E" wp14:editId="5DC7D2FA">
                  <wp:extent cx="4572000" cy="3048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630 Executive Summary Joe Qian.JPG"/>
                          <pic:cNvPicPr/>
                        </pic:nvPicPr>
                        <pic:blipFill>
                          <a:blip r:embed="rId27"/>
                          <a:stretch>
                            <a:fillRect/>
                          </a:stretch>
                        </pic:blipFill>
                        <pic:spPr>
                          <a:xfrm>
                            <a:off x="0" y="0"/>
                            <a:ext cx="4572000" cy="3048635"/>
                          </a:xfrm>
                          <a:prstGeom prst="rect">
                            <a:avLst/>
                          </a:prstGeom>
                        </pic:spPr>
                      </pic:pic>
                    </a:graphicData>
                  </a:graphic>
                </wp:inline>
              </w:drawing>
            </w:r>
          </w:p>
        </w:tc>
      </w:tr>
    </w:tbl>
    <w:p w14:paraId="6F7B245B" w14:textId="77777777" w:rsidR="007E4DD8" w:rsidRDefault="007E4DD8" w:rsidP="003C40AE">
      <w:pPr>
        <w:jc w:val="both"/>
        <w:rPr>
          <w:i/>
          <w:sz w:val="24"/>
        </w:rPr>
      </w:pPr>
    </w:p>
    <w:p w14:paraId="7ED7E0BF" w14:textId="4C0A0BE0" w:rsidR="00D536E8" w:rsidRDefault="009337E7" w:rsidP="003C40AE">
      <w:pPr>
        <w:jc w:val="both"/>
        <w:rPr>
          <w:i/>
          <w:sz w:val="24"/>
        </w:rPr>
      </w:pPr>
      <w:r w:rsidRPr="009337E7">
        <w:rPr>
          <w:i/>
          <w:sz w:val="24"/>
        </w:rPr>
        <w:t xml:space="preserve">Sri Lanka </w:t>
      </w:r>
      <w:r w:rsidR="00723CE4" w:rsidRPr="00B201BF">
        <w:rPr>
          <w:i/>
          <w:sz w:val="24"/>
        </w:rPr>
        <w:t xml:space="preserve">has the opportunity to </w:t>
      </w:r>
      <w:r w:rsidR="006F3EDD">
        <w:rPr>
          <w:i/>
          <w:sz w:val="24"/>
        </w:rPr>
        <w:t xml:space="preserve">sustain </w:t>
      </w:r>
      <w:r w:rsidR="00723CE4" w:rsidRPr="00B201BF">
        <w:rPr>
          <w:i/>
          <w:sz w:val="24"/>
        </w:rPr>
        <w:t xml:space="preserve">growth, job creation and poverty reduction in the medium term, provided it </w:t>
      </w:r>
      <w:r w:rsidRPr="009337E7">
        <w:rPr>
          <w:i/>
          <w:sz w:val="24"/>
        </w:rPr>
        <w:t>shift</w:t>
      </w:r>
      <w:r w:rsidR="00723CE4">
        <w:rPr>
          <w:i/>
          <w:sz w:val="24"/>
        </w:rPr>
        <w:t>s</w:t>
      </w:r>
      <w:r w:rsidRPr="009337E7">
        <w:rPr>
          <w:i/>
          <w:sz w:val="24"/>
        </w:rPr>
        <w:t xml:space="preserve"> from </w:t>
      </w:r>
      <w:r w:rsidR="00070835">
        <w:rPr>
          <w:i/>
          <w:sz w:val="24"/>
        </w:rPr>
        <w:t xml:space="preserve">a public investment, </w:t>
      </w:r>
      <w:r w:rsidRPr="009337E7">
        <w:rPr>
          <w:i/>
          <w:sz w:val="24"/>
        </w:rPr>
        <w:t xml:space="preserve">non-tradable </w:t>
      </w:r>
      <w:r w:rsidR="00070835">
        <w:rPr>
          <w:i/>
          <w:sz w:val="24"/>
        </w:rPr>
        <w:t xml:space="preserve">sector-driven growth model </w:t>
      </w:r>
      <w:r w:rsidRPr="009337E7">
        <w:rPr>
          <w:i/>
          <w:sz w:val="24"/>
        </w:rPr>
        <w:t xml:space="preserve">to </w:t>
      </w:r>
      <w:r w:rsidR="00070835">
        <w:rPr>
          <w:i/>
          <w:sz w:val="24"/>
        </w:rPr>
        <w:t>a private investment, tradeable sector</w:t>
      </w:r>
      <w:r w:rsidR="006F3EDD">
        <w:rPr>
          <w:i/>
          <w:sz w:val="24"/>
        </w:rPr>
        <w:t>-led</w:t>
      </w:r>
      <w:r w:rsidR="00070835">
        <w:rPr>
          <w:i/>
          <w:sz w:val="24"/>
        </w:rPr>
        <w:t xml:space="preserve"> model</w:t>
      </w:r>
      <w:r w:rsidR="00723CE4">
        <w:rPr>
          <w:i/>
          <w:sz w:val="24"/>
        </w:rPr>
        <w:t xml:space="preserve">, and </w:t>
      </w:r>
      <w:r w:rsidRPr="003C40AE">
        <w:rPr>
          <w:i/>
          <w:sz w:val="24"/>
        </w:rPr>
        <w:t xml:space="preserve">benefit from its location close to the largest fast-growing economies in the world. </w:t>
      </w:r>
      <w:r w:rsidR="00723CE4">
        <w:rPr>
          <w:i/>
          <w:sz w:val="24"/>
        </w:rPr>
        <w:t xml:space="preserve">To get there it needs to maintain macro-fiscal stability and increase its resilience to natural disasters, while </w:t>
      </w:r>
      <w:r w:rsidR="00723CE4" w:rsidRPr="00723CE4">
        <w:rPr>
          <w:i/>
          <w:sz w:val="24"/>
        </w:rPr>
        <w:t>pursuing</w:t>
      </w:r>
      <w:r w:rsidRPr="003C40AE">
        <w:rPr>
          <w:i/>
          <w:sz w:val="24"/>
        </w:rPr>
        <w:t xml:space="preserve"> structural reforms to promote competitiveness</w:t>
      </w:r>
      <w:r w:rsidR="00723CE4">
        <w:rPr>
          <w:i/>
          <w:sz w:val="24"/>
        </w:rPr>
        <w:t xml:space="preserve"> and</w:t>
      </w:r>
      <w:r w:rsidRPr="003C40AE">
        <w:rPr>
          <w:i/>
          <w:sz w:val="24"/>
        </w:rPr>
        <w:t xml:space="preserve"> attract more FDI</w:t>
      </w:r>
      <w:r w:rsidR="00723CE4">
        <w:rPr>
          <w:i/>
          <w:sz w:val="24"/>
        </w:rPr>
        <w:t xml:space="preserve">, </w:t>
      </w:r>
      <w:r w:rsidR="007E4DD8">
        <w:rPr>
          <w:i/>
          <w:sz w:val="24"/>
        </w:rPr>
        <w:t xml:space="preserve">use policy instruments to support the structural adjustment and </w:t>
      </w:r>
      <w:r w:rsidR="00723CE4">
        <w:rPr>
          <w:i/>
          <w:sz w:val="24"/>
        </w:rPr>
        <w:t>protect the poor</w:t>
      </w:r>
      <w:r w:rsidR="007E4DD8">
        <w:rPr>
          <w:i/>
          <w:sz w:val="24"/>
        </w:rPr>
        <w:t xml:space="preserve">, </w:t>
      </w:r>
      <w:r w:rsidR="00723CE4">
        <w:rPr>
          <w:i/>
          <w:sz w:val="24"/>
        </w:rPr>
        <w:t xml:space="preserve">and improve accountability. </w:t>
      </w:r>
    </w:p>
    <w:p w14:paraId="4CB7240B" w14:textId="77777777" w:rsidR="007E4DD8" w:rsidRPr="003C40AE" w:rsidRDefault="007E4DD8" w:rsidP="003C40AE">
      <w:pPr>
        <w:jc w:val="both"/>
        <w:rPr>
          <w:i/>
          <w:sz w:val="24"/>
        </w:rPr>
      </w:pPr>
    </w:p>
    <w:p w14:paraId="3AD60882" w14:textId="77777777" w:rsidR="0004238A" w:rsidRDefault="00857C67" w:rsidP="00C32695">
      <w:pPr>
        <w:pStyle w:val="Heading1"/>
        <w:numPr>
          <w:ilvl w:val="0"/>
          <w:numId w:val="2"/>
        </w:numPr>
        <w:tabs>
          <w:tab w:val="left" w:pos="720"/>
        </w:tabs>
        <w:ind w:left="-360"/>
      </w:pPr>
      <w:bookmarkStart w:id="66" w:name="_Toc465259619"/>
      <w:bookmarkStart w:id="67" w:name="_Toc485822602"/>
      <w:r w:rsidRPr="00882CFB">
        <w:t>Recent Developments</w:t>
      </w:r>
      <w:bookmarkEnd w:id="66"/>
      <w:bookmarkEnd w:id="67"/>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C65CE5" w:rsidRPr="000A41D0" w14:paraId="27DA74DE" w14:textId="77777777" w:rsidTr="00C65CE5">
        <w:tc>
          <w:tcPr>
            <w:tcW w:w="2020" w:type="dxa"/>
          </w:tcPr>
          <w:p w14:paraId="12B5ED8D" w14:textId="65B56C3E" w:rsidR="00C65CE5" w:rsidRPr="00DA336A" w:rsidRDefault="00E33564" w:rsidP="00277E04">
            <w:pPr>
              <w:pStyle w:val="BodyText"/>
              <w:rPr>
                <w:b/>
              </w:rPr>
            </w:pPr>
            <w:r>
              <w:rPr>
                <w:b/>
              </w:rPr>
              <w:t>Sri Lanka recorded broadly satisfactory performance</w:t>
            </w:r>
            <w:r w:rsidR="00270E1B">
              <w:rPr>
                <w:b/>
              </w:rPr>
              <w:t xml:space="preserve"> in 2016.</w:t>
            </w:r>
          </w:p>
        </w:tc>
        <w:tc>
          <w:tcPr>
            <w:tcW w:w="145" w:type="dxa"/>
          </w:tcPr>
          <w:p w14:paraId="6866E47B" w14:textId="77777777" w:rsidR="00C65CE5" w:rsidRPr="000A41D0" w:rsidRDefault="00C65CE5" w:rsidP="00C65CE5">
            <w:pPr>
              <w:pStyle w:val="BodyText"/>
            </w:pPr>
          </w:p>
        </w:tc>
        <w:tc>
          <w:tcPr>
            <w:tcW w:w="7221" w:type="dxa"/>
          </w:tcPr>
          <w:p w14:paraId="4E582D9B" w14:textId="5222968F" w:rsidR="00C65CE5" w:rsidRPr="000A41D0" w:rsidRDefault="005F2146" w:rsidP="00723CE4">
            <w:pPr>
              <w:pStyle w:val="BodyText"/>
              <w:jc w:val="both"/>
            </w:pPr>
            <w:r>
              <w:t xml:space="preserve">Despite </w:t>
            </w:r>
            <w:r w:rsidR="00E039D2">
              <w:t xml:space="preserve">significant </w:t>
            </w:r>
            <w:r>
              <w:t xml:space="preserve">challenges, Sri Lanka’s </w:t>
            </w:r>
            <w:r w:rsidR="0096344B">
              <w:t>economic</w:t>
            </w:r>
            <w:r>
              <w:t xml:space="preserve"> performance remained broadly satisfactory in 2016</w:t>
            </w:r>
            <w:r w:rsidR="00E039D2">
              <w:t xml:space="preserve"> and early 2017</w:t>
            </w:r>
            <w:r>
              <w:t>.</w:t>
            </w:r>
            <w:r w:rsidR="00723CE4">
              <w:t xml:space="preserve"> T</w:t>
            </w:r>
            <w:r w:rsidR="00E33564">
              <w:t>he c</w:t>
            </w:r>
            <w:r>
              <w:t xml:space="preserve">orrective policy measures taken in 2016 following expansionary </w:t>
            </w:r>
            <w:r w:rsidR="00E33564">
              <w:t>fiscal and monetary policies</w:t>
            </w:r>
            <w:r>
              <w:t xml:space="preserve"> implemented in the </w:t>
            </w:r>
            <w:r w:rsidR="009E27FB">
              <w:t>previous year</w:t>
            </w:r>
            <w:r>
              <w:t xml:space="preserve"> </w:t>
            </w:r>
            <w:r w:rsidR="005C72C4">
              <w:t>have led to</w:t>
            </w:r>
            <w:r>
              <w:t xml:space="preserve"> early signs of stabilization. The construction sector’s rapid recovery supported by strong rebound in investment was able to partially mitigate the impact of inclement weather conditions on real sector. H</w:t>
            </w:r>
            <w:r w:rsidRPr="00BF0B9F">
              <w:t xml:space="preserve">owever, external buffers remained weak on account of </w:t>
            </w:r>
            <w:r w:rsidR="009E27FB">
              <w:t>a challenging external environment and</w:t>
            </w:r>
            <w:r w:rsidRPr="00BF0B9F">
              <w:t xml:space="preserve"> </w:t>
            </w:r>
            <w:r w:rsidR="00E33564">
              <w:t xml:space="preserve">continued </w:t>
            </w:r>
            <w:r w:rsidRPr="00BF0B9F">
              <w:t xml:space="preserve">low FDI </w:t>
            </w:r>
            <w:r w:rsidR="009E27FB">
              <w:t>flows</w:t>
            </w:r>
            <w:r w:rsidRPr="00BF0B9F">
              <w:t>.</w:t>
            </w:r>
            <w:r>
              <w:t xml:space="preserve"> Inflation has been rising since the second half of 2016 on account of drought and changes to the </w:t>
            </w:r>
            <w:r w:rsidR="005C72C4">
              <w:t>VAT</w:t>
            </w:r>
            <w:r>
              <w:t xml:space="preserve"> law.</w:t>
            </w:r>
            <w:r w:rsidR="000A5B10">
              <w:t xml:space="preserve"> </w:t>
            </w:r>
          </w:p>
        </w:tc>
      </w:tr>
    </w:tbl>
    <w:p w14:paraId="7C0666F4" w14:textId="77777777" w:rsidR="00270E1B" w:rsidRDefault="00270E1B" w:rsidP="00C65CE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12A96" w:rsidRPr="000A41D0" w14:paraId="3AC1E90F" w14:textId="77777777" w:rsidTr="00B818FE">
        <w:tc>
          <w:tcPr>
            <w:tcW w:w="2020" w:type="dxa"/>
          </w:tcPr>
          <w:p w14:paraId="180375B6" w14:textId="58C0D1E1" w:rsidR="00212A96" w:rsidRPr="00DA336A" w:rsidRDefault="00212A96" w:rsidP="00B818FE">
            <w:pPr>
              <w:pStyle w:val="BodyText"/>
              <w:rPr>
                <w:b/>
              </w:rPr>
            </w:pPr>
            <w:r>
              <w:rPr>
                <w:b/>
              </w:rPr>
              <w:t>Reform implementation was slower than expected.</w:t>
            </w:r>
          </w:p>
        </w:tc>
        <w:tc>
          <w:tcPr>
            <w:tcW w:w="145" w:type="dxa"/>
          </w:tcPr>
          <w:p w14:paraId="57C78FF2" w14:textId="77777777" w:rsidR="00212A96" w:rsidRPr="000A41D0" w:rsidRDefault="00212A96" w:rsidP="00B818FE">
            <w:pPr>
              <w:pStyle w:val="BodyText"/>
            </w:pPr>
          </w:p>
        </w:tc>
        <w:tc>
          <w:tcPr>
            <w:tcW w:w="7221" w:type="dxa"/>
          </w:tcPr>
          <w:p w14:paraId="1DEA2609" w14:textId="7FD3B066" w:rsidR="00212A96" w:rsidRPr="000A41D0" w:rsidRDefault="0066023F" w:rsidP="00541536">
            <w:pPr>
              <w:pStyle w:val="BodyText"/>
              <w:jc w:val="both"/>
            </w:pPr>
            <w:r>
              <w:t>Authorities pursued the economic reform agenda presented in the policy statement of the Prime Minister in 2015, albeit at a slower pace, owing to the difficulties faced in a complex coalition political environment</w:t>
            </w:r>
            <w:r w:rsidR="006F3EDD">
              <w:t xml:space="preserve"> and institutional constraints on policy implementation</w:t>
            </w:r>
            <w:r>
              <w:t>.</w:t>
            </w:r>
            <w:r w:rsidR="00A44E77">
              <w:t xml:space="preserve"> During the year, the government was able to pass the Right to Information Law, which marked a major improvement in transparency and governance. </w:t>
            </w:r>
            <w:r w:rsidR="0096344B">
              <w:t>Although</w:t>
            </w:r>
            <w:r w:rsidR="00A44E77">
              <w:t xml:space="preserve"> yet to be in full compliance, the progress made in 2016 helped </w:t>
            </w:r>
            <w:r w:rsidR="00A44E77">
              <w:lastRenderedPageBreak/>
              <w:t xml:space="preserve">the country regain </w:t>
            </w:r>
            <w:r w:rsidR="00541536">
              <w:t>concessions under the Generalized System of Preferences Plus (</w:t>
            </w:r>
            <w:r w:rsidR="00A44E77">
              <w:t>GSP+</w:t>
            </w:r>
            <w:r w:rsidR="00541536">
              <w:t>)</w:t>
            </w:r>
            <w:r w:rsidR="0096344B">
              <w:t xml:space="preserve"> from the European Union in May 2017. Amendments to the VAT law were introduced in November 201</w:t>
            </w:r>
            <w:r w:rsidR="005C72C4">
              <w:t>6</w:t>
            </w:r>
            <w:r w:rsidR="0096344B">
              <w:t xml:space="preserve">, advancing on the fiscal consolidation agenda. However, some other vital reforms were lagging behind; these included introduction of the proposed Inland Revenue Law, </w:t>
            </w:r>
            <w:r w:rsidR="006F3EDD">
              <w:t xml:space="preserve">implementing the One-Stop Shop for FDI, reforms to the investment climate and trade, </w:t>
            </w:r>
            <w:r w:rsidR="0096344B">
              <w:t xml:space="preserve">SOE reforms such as </w:t>
            </w:r>
            <w:r w:rsidR="006F3EDD">
              <w:t xml:space="preserve">for </w:t>
            </w:r>
            <w:r w:rsidR="009A1670">
              <w:t xml:space="preserve">Sri Lankan Airlines, drafting of a comprehensive public financial management law, progressing on the debt management agenda and </w:t>
            </w:r>
            <w:r w:rsidR="0096344B">
              <w:t>passing of the Audit Law.</w:t>
            </w:r>
          </w:p>
        </w:tc>
      </w:tr>
    </w:tbl>
    <w:p w14:paraId="2A8D8BE5" w14:textId="77777777" w:rsidR="00212A96" w:rsidRDefault="00212A96" w:rsidP="00C65CE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6023F" w:rsidRPr="000A41D0" w14:paraId="30D3C924" w14:textId="77777777" w:rsidTr="00B818FE">
        <w:tc>
          <w:tcPr>
            <w:tcW w:w="2020" w:type="dxa"/>
          </w:tcPr>
          <w:p w14:paraId="474AD9A4" w14:textId="51A4C271" w:rsidR="0066023F" w:rsidRPr="00DA336A" w:rsidRDefault="00A44E77" w:rsidP="00B818FE">
            <w:pPr>
              <w:pStyle w:val="BodyText"/>
              <w:rPr>
                <w:b/>
              </w:rPr>
            </w:pPr>
            <w:r>
              <w:rPr>
                <w:b/>
              </w:rPr>
              <w:t>Improvement in public finance was a key highlight</w:t>
            </w:r>
            <w:r w:rsidR="0066023F">
              <w:rPr>
                <w:b/>
              </w:rPr>
              <w:t>; however, fiscal risks remain high.</w:t>
            </w:r>
          </w:p>
        </w:tc>
        <w:tc>
          <w:tcPr>
            <w:tcW w:w="145" w:type="dxa"/>
          </w:tcPr>
          <w:p w14:paraId="1D8C486A" w14:textId="77777777" w:rsidR="0066023F" w:rsidRPr="000A41D0" w:rsidRDefault="0066023F" w:rsidP="00B818FE">
            <w:pPr>
              <w:pStyle w:val="BodyText"/>
            </w:pPr>
          </w:p>
        </w:tc>
        <w:tc>
          <w:tcPr>
            <w:tcW w:w="7221" w:type="dxa"/>
          </w:tcPr>
          <w:p w14:paraId="29C2CA33" w14:textId="6EE094D1" w:rsidR="0066023F" w:rsidRPr="000A41D0" w:rsidRDefault="0066023F" w:rsidP="00E23EE2">
            <w:pPr>
              <w:pStyle w:val="BodyText"/>
              <w:jc w:val="both"/>
            </w:pPr>
            <w:r>
              <w:t xml:space="preserve">A combination of increase in revenues and rationalization of expenditures helped reducing the fiscal deficit from a reported 7.6 percent in 2015 to a 5.4 percent of GDP in 2016. While the boost received from increased profits and dividend income from State Owned Enterprises (SOEs) played a key role in increasing revenues; the changes to the VAT Act implemented late 2016 and improved revenue administration helped strengthen the tax collection. </w:t>
            </w:r>
            <w:r w:rsidR="00A44E77">
              <w:t xml:space="preserve">As in the past, </w:t>
            </w:r>
            <w:r w:rsidR="00E23EE2">
              <w:t xml:space="preserve">low execution and cuts to </w:t>
            </w:r>
            <w:r w:rsidR="00A44E77">
              <w:t xml:space="preserve">public investment helped reduce the budget deficit while savings on purchase of goods and services kept current expenditures in check. </w:t>
            </w:r>
            <w:r>
              <w:t xml:space="preserve">Despite the favorable impact of a reduced primary deficit, rising real interest rates and past currency depreciation increased public debt to 79.3 percent of GDP. Treasury guarantees </w:t>
            </w:r>
            <w:r w:rsidR="004D3298">
              <w:t>issued</w:t>
            </w:r>
            <w:r>
              <w:t xml:space="preserve"> mainly for SOEs </w:t>
            </w:r>
            <w:r w:rsidR="009920AB">
              <w:t xml:space="preserve">and state agencies </w:t>
            </w:r>
            <w:r w:rsidRPr="004F327A">
              <w:t xml:space="preserve">increased </w:t>
            </w:r>
            <w:r w:rsidR="004F031D">
              <w:t>to 7.1</w:t>
            </w:r>
            <w:r w:rsidR="004D3298" w:rsidRPr="004F327A">
              <w:t xml:space="preserve"> percent of GDP.</w:t>
            </w:r>
          </w:p>
        </w:tc>
      </w:tr>
    </w:tbl>
    <w:p w14:paraId="133CA144" w14:textId="77777777" w:rsidR="00212A96" w:rsidRDefault="00212A96" w:rsidP="00C65CE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70E1B" w:rsidRPr="000A41D0" w14:paraId="22414FD3" w14:textId="77777777" w:rsidTr="008E69CF">
        <w:tc>
          <w:tcPr>
            <w:tcW w:w="2020" w:type="dxa"/>
          </w:tcPr>
          <w:p w14:paraId="7837C650" w14:textId="49C6FB29" w:rsidR="00270E1B" w:rsidRPr="00DA336A" w:rsidRDefault="00270E1B" w:rsidP="00270E1B">
            <w:pPr>
              <w:pStyle w:val="BodyText"/>
              <w:rPr>
                <w:b/>
              </w:rPr>
            </w:pPr>
            <w:r>
              <w:rPr>
                <w:b/>
              </w:rPr>
              <w:t>Impact of adverse weather was a drag on real and external sectors</w:t>
            </w:r>
            <w:r w:rsidR="005B37DE">
              <w:rPr>
                <w:b/>
              </w:rPr>
              <w:t xml:space="preserve"> in 2016.</w:t>
            </w:r>
          </w:p>
        </w:tc>
        <w:tc>
          <w:tcPr>
            <w:tcW w:w="145" w:type="dxa"/>
          </w:tcPr>
          <w:p w14:paraId="0EBFEC2B" w14:textId="77777777" w:rsidR="00270E1B" w:rsidRPr="000A41D0" w:rsidRDefault="00270E1B" w:rsidP="008E69CF">
            <w:pPr>
              <w:pStyle w:val="BodyText"/>
            </w:pPr>
          </w:p>
        </w:tc>
        <w:tc>
          <w:tcPr>
            <w:tcW w:w="7221" w:type="dxa"/>
          </w:tcPr>
          <w:p w14:paraId="73D3DFE5" w14:textId="31FDA636" w:rsidR="00270E1B" w:rsidRPr="000A41D0" w:rsidRDefault="00270E1B" w:rsidP="00E23EE2">
            <w:pPr>
              <w:pStyle w:val="BodyText"/>
              <w:jc w:val="both"/>
            </w:pPr>
            <w:r>
              <w:t xml:space="preserve">Floods and droughts that emerged within a single year had an adverse effect </w:t>
            </w:r>
            <w:r w:rsidR="005B37DE">
              <w:t>on the economic growth</w:t>
            </w:r>
            <w:r>
              <w:t xml:space="preserve"> </w:t>
            </w:r>
            <w:r w:rsidR="005B37DE">
              <w:t>and</w:t>
            </w:r>
            <w:r>
              <w:t xml:space="preserve"> exports performance. </w:t>
            </w:r>
            <w:r w:rsidR="005B37DE">
              <w:t>Despite significant contributions from construction, trade, financial and other services, t</w:t>
            </w:r>
            <w:r>
              <w:t xml:space="preserve">he real GDP growth </w:t>
            </w:r>
            <w:r w:rsidR="005B37DE">
              <w:t>for</w:t>
            </w:r>
            <w:r>
              <w:t xml:space="preserve"> 2016 slowed to 4.4 percent</w:t>
            </w:r>
            <w:r w:rsidR="00E23EE2">
              <w:t xml:space="preserve"> followed by a slow-down in Q1 2017</w:t>
            </w:r>
            <w:r>
              <w:t xml:space="preserve">, due to a </w:t>
            </w:r>
            <w:r w:rsidR="005B37DE">
              <w:t>significantly</w:t>
            </w:r>
            <w:r>
              <w:t xml:space="preserve"> large negative </w:t>
            </w:r>
            <w:r w:rsidR="005B37DE">
              <w:t>contribution to growth from agriculture sector.</w:t>
            </w:r>
            <w:r>
              <w:t xml:space="preserve"> </w:t>
            </w:r>
            <w:r w:rsidR="005B37DE">
              <w:t xml:space="preserve">Agriculture and related exports also weakened due to the shrink in production along with weak external demand. </w:t>
            </w:r>
            <w:r>
              <w:t xml:space="preserve">Inflationary pressures were seen in the second half of the year </w:t>
            </w:r>
            <w:r w:rsidR="005B37DE">
              <w:t xml:space="preserve">due to supply disruptions while </w:t>
            </w:r>
            <w:r>
              <w:t xml:space="preserve">measures to increase the VAT collection </w:t>
            </w:r>
            <w:r w:rsidR="00BE41C8">
              <w:t>and</w:t>
            </w:r>
            <w:r>
              <w:t xml:space="preserve"> demand pressures </w:t>
            </w:r>
            <w:r w:rsidR="005B37DE">
              <w:t>amid high monetary growth</w:t>
            </w:r>
            <w:r w:rsidR="00BE41C8">
              <w:t xml:space="preserve"> also contributed to a hike </w:t>
            </w:r>
            <w:r w:rsidR="005C72C4">
              <w:t xml:space="preserve">in </w:t>
            </w:r>
            <w:r w:rsidR="00BE41C8">
              <w:t>inflation</w:t>
            </w:r>
            <w:r w:rsidRPr="00BF0B9F">
              <w:t xml:space="preserve"> </w:t>
            </w:r>
          </w:p>
        </w:tc>
      </w:tr>
    </w:tbl>
    <w:p w14:paraId="0A92456D" w14:textId="77777777" w:rsidR="00270E1B" w:rsidRDefault="00270E1B" w:rsidP="00C65CE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70E1B" w:rsidRPr="000A41D0" w14:paraId="72093507" w14:textId="77777777" w:rsidTr="008E69CF">
        <w:tc>
          <w:tcPr>
            <w:tcW w:w="2020" w:type="dxa"/>
          </w:tcPr>
          <w:p w14:paraId="4ED9318D" w14:textId="77777777" w:rsidR="00270E1B" w:rsidRPr="00DA336A" w:rsidRDefault="00270E1B" w:rsidP="008E69CF">
            <w:pPr>
              <w:pStyle w:val="BodyText"/>
              <w:rPr>
                <w:b/>
              </w:rPr>
            </w:pPr>
            <w:r>
              <w:rPr>
                <w:b/>
              </w:rPr>
              <w:t xml:space="preserve">Reserves declined on structural weaknesses and subdued global demand. </w:t>
            </w:r>
          </w:p>
        </w:tc>
        <w:tc>
          <w:tcPr>
            <w:tcW w:w="145" w:type="dxa"/>
          </w:tcPr>
          <w:p w14:paraId="7D4ED625" w14:textId="77777777" w:rsidR="00270E1B" w:rsidRPr="000A41D0" w:rsidRDefault="00270E1B" w:rsidP="008E69CF">
            <w:pPr>
              <w:pStyle w:val="BodyText"/>
            </w:pPr>
          </w:p>
        </w:tc>
        <w:tc>
          <w:tcPr>
            <w:tcW w:w="7221" w:type="dxa"/>
          </w:tcPr>
          <w:p w14:paraId="547A472C" w14:textId="61A43B7A" w:rsidR="00270E1B" w:rsidRPr="000A41D0" w:rsidRDefault="00270E1B" w:rsidP="00432C1E">
            <w:pPr>
              <w:pStyle w:val="BodyText"/>
              <w:jc w:val="both"/>
            </w:pPr>
            <w:r>
              <w:t>An expanded trade deficit, n</w:t>
            </w:r>
            <w:r w:rsidRPr="002654D8">
              <w:t xml:space="preserve">et outflows from the government </w:t>
            </w:r>
            <w:r w:rsidRPr="00C311E2">
              <w:t>securities market</w:t>
            </w:r>
            <w:r>
              <w:t>,</w:t>
            </w:r>
            <w:r w:rsidRPr="00C311E2">
              <w:t xml:space="preserve"> sluggish FDI inflows</w:t>
            </w:r>
            <w:r>
              <w:t xml:space="preserve"> and debt repayment </w:t>
            </w:r>
            <w:r w:rsidRPr="00C311E2">
              <w:t>presented a challenging external landscape</w:t>
            </w:r>
            <w:r>
              <w:t xml:space="preserve"> </w:t>
            </w:r>
            <w:r w:rsidRPr="00C311E2">
              <w:t xml:space="preserve">despite </w:t>
            </w:r>
            <w:r>
              <w:t>strong tourism receipts and stable remittance inflows</w:t>
            </w:r>
            <w:r w:rsidRPr="00C311E2">
              <w:t xml:space="preserve">. </w:t>
            </w:r>
            <w:r>
              <w:t>Fresh</w:t>
            </w:r>
            <w:r w:rsidRPr="00C311E2">
              <w:t xml:space="preserve"> Eurobonds </w:t>
            </w:r>
            <w:r>
              <w:t xml:space="preserve">and syndicated term loans </w:t>
            </w:r>
            <w:r w:rsidRPr="00C311E2">
              <w:t>partially negated resultant</w:t>
            </w:r>
            <w:r>
              <w:t xml:space="preserve"> balance of payments pressures. However, official reserves declined to 3.1 months of imports of goods and services by end-2016 compared to 3.8 months reported in end-2015</w:t>
            </w:r>
            <w:r w:rsidR="00432C1E">
              <w:t>. T</w:t>
            </w:r>
            <w:r w:rsidRPr="00C311E2">
              <w:t xml:space="preserve">he </w:t>
            </w:r>
            <w:r w:rsidR="00432C1E">
              <w:t xml:space="preserve">Sri Lankan rupee </w:t>
            </w:r>
            <w:r w:rsidRPr="00C311E2">
              <w:t xml:space="preserve">depreciated by </w:t>
            </w:r>
            <w:r w:rsidR="0096344B">
              <w:t xml:space="preserve">4 percent against the US </w:t>
            </w:r>
            <w:r w:rsidR="00432C1E">
              <w:t>d</w:t>
            </w:r>
            <w:r>
              <w:t>ollar</w:t>
            </w:r>
            <w:r w:rsidR="00432C1E">
              <w:t xml:space="preserve"> over the year</w:t>
            </w:r>
            <w:r>
              <w:t>.</w:t>
            </w:r>
          </w:p>
        </w:tc>
      </w:tr>
    </w:tbl>
    <w:p w14:paraId="3FFF4768" w14:textId="77777777" w:rsidR="00270E1B" w:rsidRDefault="00270E1B"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6023F" w:rsidRPr="000A41D0" w14:paraId="0C06DE7A" w14:textId="77777777" w:rsidTr="00B818FE">
        <w:tc>
          <w:tcPr>
            <w:tcW w:w="2020" w:type="dxa"/>
          </w:tcPr>
          <w:p w14:paraId="2C11F8A3" w14:textId="592D382C" w:rsidR="0066023F" w:rsidRPr="00DA336A" w:rsidRDefault="0066023F" w:rsidP="00B818FE">
            <w:pPr>
              <w:pStyle w:val="BodyText"/>
              <w:rPr>
                <w:b/>
              </w:rPr>
            </w:pPr>
            <w:r>
              <w:rPr>
                <w:b/>
              </w:rPr>
              <w:t>IMF, World Bank and other development partners supported the reform work.</w:t>
            </w:r>
          </w:p>
        </w:tc>
        <w:tc>
          <w:tcPr>
            <w:tcW w:w="145" w:type="dxa"/>
          </w:tcPr>
          <w:p w14:paraId="487C5C95" w14:textId="77777777" w:rsidR="0066023F" w:rsidRPr="000A41D0" w:rsidRDefault="0066023F" w:rsidP="00B818FE">
            <w:pPr>
              <w:pStyle w:val="BodyText"/>
            </w:pPr>
          </w:p>
        </w:tc>
        <w:tc>
          <w:tcPr>
            <w:tcW w:w="7221" w:type="dxa"/>
          </w:tcPr>
          <w:p w14:paraId="65F89206" w14:textId="61B5188A" w:rsidR="0066023F" w:rsidRPr="000A41D0" w:rsidRDefault="0066023F" w:rsidP="00B818FE">
            <w:pPr>
              <w:pStyle w:val="BodyText"/>
              <w:jc w:val="both"/>
            </w:pPr>
            <w:r>
              <w:t>The key fiscal and monetary policy measures aimed at reinstating stability, in 2016, were supported by the IMF program.</w:t>
            </w:r>
            <w:r>
              <w:rPr>
                <w:rStyle w:val="FootnoteReference"/>
              </w:rPr>
              <w:footnoteReference w:id="1"/>
            </w:r>
            <w:r>
              <w:t xml:space="preserve"> The reforms in the program are</w:t>
            </w:r>
            <w:r w:rsidRPr="00BF0B9F">
              <w:t xml:space="preserve"> </w:t>
            </w:r>
            <w:r>
              <w:t xml:space="preserve">mainly focused on revenue led </w:t>
            </w:r>
            <w:r w:rsidRPr="00BF0B9F">
              <w:t xml:space="preserve">fiscal consolidation; </w:t>
            </w:r>
            <w:r>
              <w:t xml:space="preserve">transition to </w:t>
            </w:r>
            <w:r w:rsidRPr="00BF0B9F">
              <w:t xml:space="preserve">flexible inflation targeting; and reforms in </w:t>
            </w:r>
            <w:r>
              <w:t>SOE oversight</w:t>
            </w:r>
            <w:r w:rsidRPr="00BF0B9F">
              <w:t xml:space="preserve"> and trade and competitiveness. </w:t>
            </w:r>
            <w:r w:rsidRPr="0020417C">
              <w:t xml:space="preserve">The IMF reached a staff-level agreement with Sri Lankan authorities </w:t>
            </w:r>
            <w:r>
              <w:t xml:space="preserve">on the second review </w:t>
            </w:r>
            <w:r w:rsidRPr="0020417C">
              <w:t>subject to submission of a new Inland Revenue Act</w:t>
            </w:r>
            <w:r>
              <w:t xml:space="preserve"> to the Parliament by June 2017</w:t>
            </w:r>
            <w:r w:rsidRPr="00634853">
              <w:t>.</w:t>
            </w:r>
            <w:r>
              <w:t xml:space="preserve"> During the year 2016</w:t>
            </w:r>
            <w:r w:rsidRPr="00BF0B9F">
              <w:t xml:space="preserve">, </w:t>
            </w:r>
            <w:r>
              <w:t xml:space="preserve">the World Bank and </w:t>
            </w:r>
            <w:r w:rsidRPr="00BF0B9F">
              <w:t>Japan International Cooperation Agency</w:t>
            </w:r>
            <w:r>
              <w:t xml:space="preserve"> provided </w:t>
            </w:r>
            <w:r w:rsidRPr="00BF0B9F">
              <w:t>budget support reinforc</w:t>
            </w:r>
            <w:r>
              <w:t>ing</w:t>
            </w:r>
            <w:r w:rsidRPr="00BF0B9F">
              <w:t xml:space="preserve"> policy reforms to improve private sector competitiveness, transparency, public sector management,</w:t>
            </w:r>
            <w:r w:rsidR="00A12655">
              <w:rPr>
                <w:rStyle w:val="FootnoteReference"/>
              </w:rPr>
              <w:footnoteReference w:id="2"/>
            </w:r>
            <w:r w:rsidRPr="00BF0B9F">
              <w:t xml:space="preserve"> and fiscal sustainability</w:t>
            </w:r>
            <w:r w:rsidR="00A76683">
              <w:t xml:space="preserve"> while the Asian Development Bank provided support to strengthen the capital markets.</w:t>
            </w:r>
          </w:p>
        </w:tc>
      </w:tr>
    </w:tbl>
    <w:p w14:paraId="6FA74487" w14:textId="089F1D85" w:rsidR="008D5E59" w:rsidRDefault="008D5E59" w:rsidP="00556DF3">
      <w:pPr>
        <w:pStyle w:val="BodyText"/>
      </w:pPr>
    </w:p>
    <w:p w14:paraId="7EFCF108" w14:textId="271C6D13" w:rsidR="0004238A" w:rsidRPr="00687584" w:rsidRDefault="00CB6D0F" w:rsidP="00C32695">
      <w:pPr>
        <w:pStyle w:val="Heading1"/>
        <w:numPr>
          <w:ilvl w:val="0"/>
          <w:numId w:val="2"/>
        </w:numPr>
        <w:ind w:left="-360"/>
      </w:pPr>
      <w:bookmarkStart w:id="68" w:name="_Toc465259620"/>
      <w:bookmarkStart w:id="69" w:name="_Toc485822603"/>
      <w:r w:rsidRPr="00687584">
        <w:t>Outlook</w:t>
      </w:r>
      <w:r w:rsidR="0076310E">
        <w:t xml:space="preserve">, </w:t>
      </w:r>
      <w:r w:rsidRPr="00687584">
        <w:t>risks</w:t>
      </w:r>
      <w:bookmarkEnd w:id="68"/>
      <w:bookmarkEnd w:id="69"/>
      <w:r w:rsidR="0076310E">
        <w:t xml:space="preserve"> and policy priorities</w:t>
      </w: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B437E1" w:rsidRPr="000A41D0" w14:paraId="3F0C2C15" w14:textId="77777777" w:rsidTr="00B1009B">
        <w:tc>
          <w:tcPr>
            <w:tcW w:w="2020" w:type="dxa"/>
          </w:tcPr>
          <w:p w14:paraId="48B7B684" w14:textId="45FE5C3F" w:rsidR="00B437E1" w:rsidRPr="00DA336A" w:rsidRDefault="00332AAF" w:rsidP="00AF61C9">
            <w:pPr>
              <w:pStyle w:val="BodyText"/>
              <w:rPr>
                <w:b/>
              </w:rPr>
            </w:pPr>
            <w:r>
              <w:rPr>
                <w:b/>
              </w:rPr>
              <w:t>A relatively favorable outlook is projected in the backdrop of policy reforms</w:t>
            </w:r>
            <w:r w:rsidR="00AF61C9">
              <w:rPr>
                <w:b/>
              </w:rPr>
              <w:t>.</w:t>
            </w:r>
          </w:p>
        </w:tc>
        <w:tc>
          <w:tcPr>
            <w:tcW w:w="145" w:type="dxa"/>
          </w:tcPr>
          <w:p w14:paraId="4AE1D479" w14:textId="77777777" w:rsidR="00B437E1" w:rsidRPr="000A41D0" w:rsidRDefault="00B437E1" w:rsidP="00556DF3">
            <w:pPr>
              <w:pStyle w:val="BodyText"/>
            </w:pPr>
          </w:p>
        </w:tc>
        <w:tc>
          <w:tcPr>
            <w:tcW w:w="7221" w:type="dxa"/>
          </w:tcPr>
          <w:p w14:paraId="54A0FCB9" w14:textId="41EDEA4A" w:rsidR="00B437E1" w:rsidRPr="000A41D0" w:rsidRDefault="009E27FB" w:rsidP="0027286F">
            <w:pPr>
              <w:pStyle w:val="BodyText"/>
              <w:jc w:val="both"/>
            </w:pPr>
            <w:r>
              <w:t xml:space="preserve">The government </w:t>
            </w:r>
            <w:r w:rsidR="0027286F">
              <w:t>is committed</w:t>
            </w:r>
            <w:r>
              <w:t xml:space="preserve"> to implement an ambitious medium-term reform agenda aimed at improving competitiveness, governance and public financial management that would bring in long-term benefits. Continuation of reforms along with the </w:t>
            </w:r>
            <w:r w:rsidR="007907DD" w:rsidRPr="000A5E97">
              <w:t xml:space="preserve">IMF program </w:t>
            </w:r>
            <w:r w:rsidR="007907DD">
              <w:t xml:space="preserve">will add to the confidence while helping reform the tax system to </w:t>
            </w:r>
            <w:r w:rsidR="00931D78">
              <w:t>pursue revenue led fiscal consolidation</w:t>
            </w:r>
            <w:r w:rsidR="007907DD">
              <w:t>.</w:t>
            </w:r>
            <w:r w:rsidR="00931D78">
              <w:t xml:space="preserve"> </w:t>
            </w:r>
            <w:r w:rsidR="0097293F">
              <w:t xml:space="preserve">Monetary policy has shown that it stands ready to take appropriate action in the direction of stability. </w:t>
            </w:r>
            <w:r w:rsidR="007907DD">
              <w:t>These developments have contributed to an improved outlook.</w:t>
            </w:r>
          </w:p>
        </w:tc>
      </w:tr>
    </w:tbl>
    <w:p w14:paraId="51040A87" w14:textId="77777777" w:rsidR="00487DF3" w:rsidRDefault="00487DF3" w:rsidP="00487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487DF3" w:rsidRPr="000A41D0" w14:paraId="2251AB30" w14:textId="77777777" w:rsidTr="00687584">
        <w:tc>
          <w:tcPr>
            <w:tcW w:w="2020" w:type="dxa"/>
          </w:tcPr>
          <w:p w14:paraId="2314C246" w14:textId="77777777" w:rsidR="004B4D08" w:rsidRDefault="004B4D08" w:rsidP="00687584">
            <w:pPr>
              <w:pStyle w:val="BodyText"/>
              <w:rPr>
                <w:b/>
              </w:rPr>
            </w:pPr>
          </w:p>
          <w:p w14:paraId="6E6DBA1D" w14:textId="77777777" w:rsidR="004B4D08" w:rsidRPr="004B4D08" w:rsidRDefault="004B4D08" w:rsidP="004B4D08"/>
          <w:p w14:paraId="0289DDB4" w14:textId="77777777" w:rsidR="004B4D08" w:rsidRPr="004B4D08" w:rsidRDefault="004B4D08" w:rsidP="004B4D08"/>
          <w:p w14:paraId="7E0AFCE8" w14:textId="77777777" w:rsidR="004B4D08" w:rsidRPr="004B4D08" w:rsidRDefault="004B4D08" w:rsidP="004B4D08"/>
          <w:p w14:paraId="06954B2B" w14:textId="77777777" w:rsidR="004B4D08" w:rsidRPr="004B4D08" w:rsidRDefault="004B4D08" w:rsidP="004B4D08"/>
          <w:p w14:paraId="287176FB" w14:textId="77777777" w:rsidR="00487DF3" w:rsidRPr="004B4D08" w:rsidRDefault="00487DF3" w:rsidP="004B4D08"/>
        </w:tc>
        <w:tc>
          <w:tcPr>
            <w:tcW w:w="145" w:type="dxa"/>
          </w:tcPr>
          <w:p w14:paraId="23EE442A" w14:textId="77777777" w:rsidR="00487DF3" w:rsidRPr="000A41D0" w:rsidRDefault="00487DF3" w:rsidP="00687584">
            <w:pPr>
              <w:pStyle w:val="BodyText"/>
            </w:pPr>
          </w:p>
        </w:tc>
        <w:tc>
          <w:tcPr>
            <w:tcW w:w="7221" w:type="dxa"/>
          </w:tcPr>
          <w:p w14:paraId="041A6B90" w14:textId="060EBF9E" w:rsidR="006F3EDD" w:rsidRDefault="00B818FE" w:rsidP="00432C1E">
            <w:pPr>
              <w:pStyle w:val="BodyText"/>
              <w:jc w:val="both"/>
            </w:pPr>
            <w:r>
              <w:t>G</w:t>
            </w:r>
            <w:r w:rsidR="00A50DBF" w:rsidRPr="00A50DBF">
              <w:t xml:space="preserve">rowth is expected to </w:t>
            </w:r>
            <w:r w:rsidR="00735883">
              <w:t>reach 4.7 percent</w:t>
            </w:r>
            <w:r w:rsidR="00A50DBF" w:rsidRPr="00A50DBF">
              <w:t xml:space="preserve"> in 201</w:t>
            </w:r>
            <w:r w:rsidR="00735883">
              <w:t>7</w:t>
            </w:r>
            <w:r w:rsidR="0036561A">
              <w:rPr>
                <w:rStyle w:val="FootnoteReference"/>
              </w:rPr>
              <w:footnoteReference w:id="3"/>
            </w:r>
            <w:r w:rsidR="00A50DBF" w:rsidRPr="00A50DBF">
              <w:t xml:space="preserve"> and grow marginally over 5.0 percent beyond, driven by private consumption and </w:t>
            </w:r>
            <w:r w:rsidR="00735883">
              <w:t>investment</w:t>
            </w:r>
            <w:r w:rsidR="00A50DBF" w:rsidRPr="00A50DBF">
              <w:t xml:space="preserve">. </w:t>
            </w:r>
            <w:r w:rsidR="00487DF3" w:rsidRPr="00487DF3">
              <w:t xml:space="preserve">The impact of past </w:t>
            </w:r>
            <w:r w:rsidR="00735883">
              <w:t>high monetary growth</w:t>
            </w:r>
            <w:r w:rsidR="00487DF3" w:rsidRPr="00487DF3">
              <w:t xml:space="preserve"> along with the increase of VAT </w:t>
            </w:r>
            <w:r w:rsidR="00735883">
              <w:t>collection will increase inflation in 2017</w:t>
            </w:r>
            <w:r w:rsidR="00403906" w:rsidRPr="00403906">
              <w:t xml:space="preserve"> although low international commodity prices will maintain </w:t>
            </w:r>
            <w:r w:rsidR="00432C1E">
              <w:t xml:space="preserve">some </w:t>
            </w:r>
            <w:r w:rsidR="00403906" w:rsidRPr="00403906">
              <w:t>downward pressure.</w:t>
            </w:r>
            <w:r w:rsidR="00735883">
              <w:t xml:space="preserve"> </w:t>
            </w:r>
          </w:p>
          <w:p w14:paraId="4C7AF318" w14:textId="77777777" w:rsidR="006F3EDD" w:rsidRDefault="006F3EDD" w:rsidP="00432C1E">
            <w:pPr>
              <w:pStyle w:val="BodyText"/>
              <w:jc w:val="both"/>
            </w:pPr>
          </w:p>
          <w:p w14:paraId="55B2E862" w14:textId="4A2630E7" w:rsidR="006F3EDD" w:rsidRDefault="00735883" w:rsidP="00432C1E">
            <w:pPr>
              <w:pStyle w:val="BodyText"/>
              <w:jc w:val="both"/>
            </w:pPr>
            <w:r>
              <w:t xml:space="preserve">The external sector is poised to benefit from the reinstatement of GSP+ preferential access to European Union and rapidly growing tourism, although the drought could adversely impact exports and increase petroleum imports. </w:t>
            </w:r>
            <w:r w:rsidR="00432C1E">
              <w:t>Foreign capital i</w:t>
            </w:r>
            <w:r w:rsidR="00AF61C9">
              <w:t xml:space="preserve">nflows to government </w:t>
            </w:r>
            <w:r w:rsidR="00432C1E">
              <w:t xml:space="preserve">securities </w:t>
            </w:r>
            <w:r w:rsidR="00AF61C9">
              <w:t>and</w:t>
            </w:r>
            <w:r w:rsidR="00AF61C9" w:rsidRPr="00487DF3">
              <w:t xml:space="preserve"> FDI inflows will help closing the external financing needs with no Eurobond falling due in 201</w:t>
            </w:r>
            <w:r w:rsidR="00AF61C9">
              <w:t>7</w:t>
            </w:r>
            <w:r w:rsidR="00AF61C9" w:rsidRPr="00487DF3">
              <w:t xml:space="preserve">. </w:t>
            </w:r>
            <w:r>
              <w:t xml:space="preserve">External buffers are projected to improve, with emphasis placed on purchasing foreign exchange, maintaining a more market-determined exchange rate, using monetary policy and the sale of selected government assets. </w:t>
            </w:r>
          </w:p>
          <w:p w14:paraId="61319F69" w14:textId="77777777" w:rsidR="006F3EDD" w:rsidRDefault="006F3EDD" w:rsidP="00432C1E">
            <w:pPr>
              <w:pStyle w:val="BodyText"/>
              <w:jc w:val="both"/>
            </w:pPr>
          </w:p>
          <w:p w14:paraId="06B9D5F4" w14:textId="362EDBB2" w:rsidR="00487DF3" w:rsidRPr="000A41D0" w:rsidRDefault="00735883" w:rsidP="00432C1E">
            <w:pPr>
              <w:pStyle w:val="BodyText"/>
              <w:jc w:val="both"/>
            </w:pPr>
            <w:r>
              <w:t xml:space="preserve">The fiscal deficit is projected to </w:t>
            </w:r>
            <w:r w:rsidR="00432C1E">
              <w:t xml:space="preserve">narrow </w:t>
            </w:r>
            <w:r>
              <w:t xml:space="preserve">to 5.2 percent of GDP for 2017 </w:t>
            </w:r>
            <w:r w:rsidR="00B818FE">
              <w:t>creating space for planned increase in public investment thanks to</w:t>
            </w:r>
            <w:r w:rsidRPr="00C600FE">
              <w:t xml:space="preserve"> </w:t>
            </w:r>
            <w:r>
              <w:t>the</w:t>
            </w:r>
            <w:r w:rsidRPr="00C600FE">
              <w:t xml:space="preserve"> </w:t>
            </w:r>
            <w:r w:rsidR="00DA5AF2">
              <w:t>impact of VAT changes in its first full year</w:t>
            </w:r>
            <w:r w:rsidR="00696B9C">
              <w:t xml:space="preserve"> of implementation</w:t>
            </w:r>
            <w:r>
              <w:t>. Further revenue</w:t>
            </w:r>
            <w:r w:rsidR="00696B9C">
              <w:t>-</w:t>
            </w:r>
            <w:r>
              <w:t>increasing policy measures along with improved tax administration will help increase revenues and reduce the deficit to 3.5 of GDP by 2020.</w:t>
            </w:r>
          </w:p>
        </w:tc>
      </w:tr>
    </w:tbl>
    <w:p w14:paraId="39CEDA31" w14:textId="77777777" w:rsidR="00AF61C9" w:rsidRDefault="00AF61C9" w:rsidP="00487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04238A" w:rsidRPr="000A41D0" w14:paraId="0FF59470" w14:textId="77777777" w:rsidTr="007C3CE6">
        <w:tc>
          <w:tcPr>
            <w:tcW w:w="2020" w:type="dxa"/>
          </w:tcPr>
          <w:p w14:paraId="7D7E9AF6" w14:textId="0FCA55FD" w:rsidR="0004238A" w:rsidRPr="0094618C" w:rsidRDefault="00E12DCB" w:rsidP="00DA5AF2">
            <w:pPr>
              <w:pStyle w:val="BodyText"/>
              <w:jc w:val="both"/>
              <w:rPr>
                <w:b/>
              </w:rPr>
            </w:pPr>
            <w:r>
              <w:rPr>
                <w:b/>
              </w:rPr>
              <w:t>The outlook is subject to domestic and external risks.</w:t>
            </w:r>
            <w:r w:rsidR="00AF61C9">
              <w:rPr>
                <w:b/>
              </w:rPr>
              <w:t xml:space="preserve"> </w:t>
            </w:r>
          </w:p>
        </w:tc>
        <w:tc>
          <w:tcPr>
            <w:tcW w:w="145" w:type="dxa"/>
          </w:tcPr>
          <w:p w14:paraId="7D0BC1EE" w14:textId="77777777" w:rsidR="0004238A" w:rsidRPr="000A41D0" w:rsidRDefault="0004238A" w:rsidP="00EC3C18">
            <w:pPr>
              <w:pStyle w:val="BodyText"/>
              <w:jc w:val="both"/>
            </w:pPr>
          </w:p>
        </w:tc>
        <w:tc>
          <w:tcPr>
            <w:tcW w:w="7221" w:type="dxa"/>
          </w:tcPr>
          <w:p w14:paraId="0AEF5CCC" w14:textId="77777777" w:rsidR="0004238A" w:rsidRDefault="00E12DCB" w:rsidP="000A2020">
            <w:pPr>
              <w:pStyle w:val="BodyText"/>
              <w:jc w:val="both"/>
            </w:pPr>
            <w:r w:rsidRPr="00E12DCB">
              <w:t xml:space="preserve">External risks include disappointing growth performance in key countries </w:t>
            </w:r>
            <w:r>
              <w:t>that generate</w:t>
            </w:r>
            <w:r w:rsidRPr="00E12DCB">
              <w:t xml:space="preserve"> foreign exchange inflows to Sri Lanka: exports, tourism, remittances, FDI, private portfolio and o</w:t>
            </w:r>
            <w:r>
              <w:t xml:space="preserve">fficial financing. </w:t>
            </w:r>
            <w:r w:rsidR="000A2020">
              <w:t>Steeper than expected</w:t>
            </w:r>
            <w:r w:rsidRPr="00E12DCB">
              <w:t xml:space="preserve"> global financial conditions would increase the cost of debt and would make rolling over the maturing Eurobonds from 2019 more difficult.</w:t>
            </w:r>
            <w:r w:rsidR="000A2020">
              <w:t xml:space="preserve"> </w:t>
            </w:r>
            <w:r w:rsidRPr="00E12DCB">
              <w:t>Faster than expected rises in commodity prices would increase pressure on the balance of payments and make domestic fuel and electricity price reforms more difficult. On the fiscal side, risks include the delay in passing structural revenue measures and slower than expected improvement in tax administration. Finally, the increasing occurrence and impact of natural disasters could have an adverse impact on growth, the fiscal consolidation path, the trade balance and poverty reduction.</w:t>
            </w:r>
          </w:p>
          <w:p w14:paraId="471BC8DD" w14:textId="181223AD" w:rsidR="007574DA" w:rsidRPr="000A41D0" w:rsidRDefault="007574DA" w:rsidP="000A2020">
            <w:pPr>
              <w:pStyle w:val="BodyText"/>
              <w:jc w:val="both"/>
            </w:pPr>
          </w:p>
        </w:tc>
      </w:tr>
      <w:tr w:rsidR="00081307" w:rsidRPr="000A41D0" w14:paraId="506DC337" w14:textId="77777777" w:rsidTr="003D14A1">
        <w:tc>
          <w:tcPr>
            <w:tcW w:w="2019" w:type="dxa"/>
          </w:tcPr>
          <w:p w14:paraId="65C0BC4F" w14:textId="3AF090EC" w:rsidR="00081307" w:rsidRPr="00DA336A" w:rsidRDefault="009E40BE" w:rsidP="009E40BE">
            <w:pPr>
              <w:pStyle w:val="BodyText"/>
              <w:rPr>
                <w:b/>
              </w:rPr>
            </w:pPr>
            <w:r>
              <w:rPr>
                <w:b/>
              </w:rPr>
              <w:t>Tackling challenges through r</w:t>
            </w:r>
            <w:r w:rsidR="00BE41C8">
              <w:rPr>
                <w:b/>
              </w:rPr>
              <w:t xml:space="preserve">eforms </w:t>
            </w:r>
            <w:r>
              <w:rPr>
                <w:b/>
              </w:rPr>
              <w:t xml:space="preserve">is crucial for </w:t>
            </w:r>
            <w:r w:rsidR="00BE41C8">
              <w:rPr>
                <w:b/>
              </w:rPr>
              <w:t xml:space="preserve">sustained and </w:t>
            </w:r>
            <w:r>
              <w:rPr>
                <w:b/>
              </w:rPr>
              <w:t>equitable growth.</w:t>
            </w:r>
          </w:p>
        </w:tc>
        <w:tc>
          <w:tcPr>
            <w:tcW w:w="145" w:type="dxa"/>
          </w:tcPr>
          <w:p w14:paraId="2E04FFD6" w14:textId="77777777" w:rsidR="00081307" w:rsidRPr="000A41D0" w:rsidRDefault="00081307" w:rsidP="00931D78">
            <w:pPr>
              <w:pStyle w:val="BodyText"/>
            </w:pPr>
          </w:p>
        </w:tc>
        <w:tc>
          <w:tcPr>
            <w:tcW w:w="7218" w:type="dxa"/>
          </w:tcPr>
          <w:p w14:paraId="09E42F6C" w14:textId="30A85445" w:rsidR="00723CE4" w:rsidRDefault="009E40BE" w:rsidP="00266592">
            <w:pPr>
              <w:pStyle w:val="BodyText"/>
              <w:jc w:val="both"/>
            </w:pPr>
            <w:r w:rsidRPr="004259FF">
              <w:t>Sri Lanka faces a number of challenges that increasingly put its future economic growth and stability at risk</w:t>
            </w:r>
            <w:r>
              <w:t>,</w:t>
            </w:r>
            <w:r w:rsidRPr="004259FF">
              <w:t xml:space="preserve"> and thus must be addressed through determined reforms. These key challenges are inter-linked and require a comprehensive and coordinated approach.</w:t>
            </w:r>
            <w:r>
              <w:t xml:space="preserve"> </w:t>
            </w:r>
            <w:r w:rsidRPr="004259FF">
              <w:t>Adopting a piece</w:t>
            </w:r>
            <w:r w:rsidR="007574DA">
              <w:t>-</w:t>
            </w:r>
            <w:r w:rsidRPr="004259FF">
              <w:t>meal solution to address the challenges is unlikely to be successful.</w:t>
            </w:r>
            <w:r>
              <w:t xml:space="preserve"> </w:t>
            </w:r>
            <w:r w:rsidRPr="00524D50">
              <w:t>Although a turbulent external environment</w:t>
            </w:r>
            <w:r w:rsidR="00432C1E">
              <w:t>,</w:t>
            </w:r>
            <w:r w:rsidRPr="00524D50">
              <w:t xml:space="preserve"> domestic political </w:t>
            </w:r>
            <w:bookmarkStart w:id="70" w:name="_GoBack"/>
            <w:bookmarkEnd w:id="70"/>
            <w:r w:rsidRPr="00524D50">
              <w:lastRenderedPageBreak/>
              <w:t xml:space="preserve">onsiderations </w:t>
            </w:r>
            <w:r w:rsidR="00432C1E">
              <w:t xml:space="preserve">and institutional constraints on policy implementation </w:t>
            </w:r>
            <w:r w:rsidRPr="00524D50">
              <w:t xml:space="preserve">make it challenging, a strong political will and support of the bureaucracy </w:t>
            </w:r>
            <w:r>
              <w:t>could</w:t>
            </w:r>
            <w:r w:rsidRPr="00524D50">
              <w:t xml:space="preserve"> help advancing the reform agenda. Steps are needed to ensure the support of </w:t>
            </w:r>
            <w:r>
              <w:t xml:space="preserve">private sector, </w:t>
            </w:r>
            <w:r w:rsidRPr="00BE41C8">
              <w:t xml:space="preserve">civil society </w:t>
            </w:r>
            <w:r>
              <w:t xml:space="preserve">and other stakeholders through improved communications on costs and benefits of the reform </w:t>
            </w:r>
            <w:r w:rsidR="00432C1E">
              <w:t>agenda</w:t>
            </w:r>
            <w:r>
              <w:t>.</w:t>
            </w:r>
            <w:r w:rsidR="00B771EF">
              <w:t xml:space="preserve"> </w:t>
            </w:r>
          </w:p>
          <w:p w14:paraId="453CDA09" w14:textId="77777777" w:rsidR="00723CE4" w:rsidRDefault="00723CE4" w:rsidP="00266592">
            <w:pPr>
              <w:pStyle w:val="BodyText"/>
              <w:jc w:val="both"/>
            </w:pPr>
          </w:p>
          <w:p w14:paraId="66A1C4C2" w14:textId="77777777" w:rsidR="00432C1E" w:rsidRDefault="00B771EF" w:rsidP="00266592">
            <w:pPr>
              <w:pStyle w:val="BodyText"/>
              <w:jc w:val="both"/>
            </w:pPr>
            <w:r>
              <w:t xml:space="preserve">These </w:t>
            </w:r>
            <w:r w:rsidR="00B27FCE">
              <w:t xml:space="preserve">challenges </w:t>
            </w:r>
            <w:r>
              <w:t xml:space="preserve">include: </w:t>
            </w:r>
          </w:p>
          <w:p w14:paraId="4DCCB3B9" w14:textId="0B4FFCCC" w:rsidR="00432C1E" w:rsidRDefault="00B771EF" w:rsidP="003C40AE">
            <w:pPr>
              <w:pStyle w:val="BodyText"/>
              <w:numPr>
                <w:ilvl w:val="0"/>
                <w:numId w:val="18"/>
              </w:numPr>
              <w:jc w:val="both"/>
            </w:pPr>
            <w:r w:rsidRPr="00B771EF">
              <w:t>deal</w:t>
            </w:r>
            <w:r w:rsidR="00B27FCE">
              <w:t>ing</w:t>
            </w:r>
            <w:r w:rsidRPr="00B771EF">
              <w:t xml:space="preserve"> with the we</w:t>
            </w:r>
            <w:r>
              <w:t>ak external liquidity position and refinancing risks through managing l</w:t>
            </w:r>
            <w:r w:rsidR="00B27FCE">
              <w:t xml:space="preserve">iabilities actively; </w:t>
            </w:r>
          </w:p>
          <w:p w14:paraId="26F44EB4" w14:textId="16A1E824" w:rsidR="00432C1E" w:rsidRDefault="00B27FCE" w:rsidP="003C40AE">
            <w:pPr>
              <w:pStyle w:val="BodyText"/>
              <w:numPr>
                <w:ilvl w:val="0"/>
                <w:numId w:val="18"/>
              </w:numPr>
              <w:jc w:val="both"/>
            </w:pPr>
            <w:r>
              <w:t>improving</w:t>
            </w:r>
            <w:r w:rsidR="00B771EF">
              <w:t xml:space="preserve"> the debt management function with requisite institutional, legal and strategy </w:t>
            </w:r>
            <w:r w:rsidR="00266592">
              <w:t>frameworks</w:t>
            </w:r>
            <w:r w:rsidR="00B771EF">
              <w:t xml:space="preserve"> to manage the costs and risks of domestic and external debt portfolios; </w:t>
            </w:r>
          </w:p>
          <w:p w14:paraId="663C3A58" w14:textId="5145CFB6" w:rsidR="00432C1E" w:rsidRDefault="00B771EF" w:rsidP="003C40AE">
            <w:pPr>
              <w:pStyle w:val="BodyText"/>
              <w:numPr>
                <w:ilvl w:val="0"/>
                <w:numId w:val="18"/>
              </w:numPr>
              <w:jc w:val="both"/>
            </w:pPr>
            <w:r>
              <w:t>stay</w:t>
            </w:r>
            <w:r w:rsidR="00B27FCE">
              <w:t>ing</w:t>
            </w:r>
            <w:r>
              <w:t xml:space="preserve"> on the fiscal consolidation path creating fiscal space </w:t>
            </w:r>
            <w:r w:rsidR="00266592">
              <w:t xml:space="preserve">for </w:t>
            </w:r>
            <w:r w:rsidR="00F84426">
              <w:t>health, education, social protection and other public investments</w:t>
            </w:r>
            <w:r w:rsidR="004B2AF2">
              <w:t xml:space="preserve">, and </w:t>
            </w:r>
            <w:r w:rsidR="00B27FCE">
              <w:t>mitigating</w:t>
            </w:r>
            <w:r w:rsidR="00DD7A57">
              <w:t xml:space="preserve"> the impact on </w:t>
            </w:r>
            <w:r w:rsidR="004B2AF2">
              <w:t xml:space="preserve">the </w:t>
            </w:r>
            <w:r w:rsidR="00DD7A57">
              <w:t>poor</w:t>
            </w:r>
            <w:r w:rsidR="004B2AF2">
              <w:t xml:space="preserve"> by replacing untargeted effective subsidies to the non-poor by targeted spending</w:t>
            </w:r>
            <w:r w:rsidR="00DD7A57">
              <w:t xml:space="preserve">; </w:t>
            </w:r>
          </w:p>
          <w:p w14:paraId="724317D6" w14:textId="5C6535DE" w:rsidR="00432C1E" w:rsidRDefault="00E135FB" w:rsidP="003C40AE">
            <w:pPr>
              <w:pStyle w:val="BodyText"/>
              <w:numPr>
                <w:ilvl w:val="0"/>
                <w:numId w:val="18"/>
              </w:numPr>
              <w:jc w:val="both"/>
            </w:pPr>
            <w:r>
              <w:t>improving</w:t>
            </w:r>
            <w:r w:rsidR="00DD7A57">
              <w:t xml:space="preserve"> the econo</w:t>
            </w:r>
            <w:r>
              <w:t>my’s competitiveness and promoting</w:t>
            </w:r>
            <w:r w:rsidR="00DD7A57">
              <w:t xml:space="preserve"> trade and FDI</w:t>
            </w:r>
            <w:r w:rsidR="006F3EDD">
              <w:t xml:space="preserve"> to facilitate a shift in the growth model drive</w:t>
            </w:r>
            <w:r w:rsidR="00FC51DE">
              <w:t>n</w:t>
            </w:r>
            <w:r w:rsidR="006F3EDD">
              <w:t xml:space="preserve"> more by private investment and exports</w:t>
            </w:r>
            <w:r w:rsidR="00DD7A57">
              <w:t xml:space="preserve">; </w:t>
            </w:r>
          </w:p>
          <w:p w14:paraId="6BD671AD" w14:textId="5F0654FB" w:rsidR="00432C1E" w:rsidRDefault="00E135FB" w:rsidP="003C40AE">
            <w:pPr>
              <w:pStyle w:val="BodyText"/>
              <w:numPr>
                <w:ilvl w:val="0"/>
                <w:numId w:val="18"/>
              </w:numPr>
              <w:jc w:val="both"/>
            </w:pPr>
            <w:r>
              <w:t xml:space="preserve">making </w:t>
            </w:r>
            <w:r w:rsidR="00DD7A57">
              <w:t>progress</w:t>
            </w:r>
            <w:r>
              <w:t xml:space="preserve"> on and completing</w:t>
            </w:r>
            <w:r w:rsidR="00DD7A57">
              <w:t xml:space="preserve"> the already </w:t>
            </w:r>
            <w:r>
              <w:t xml:space="preserve">started </w:t>
            </w:r>
            <w:r w:rsidR="00DD7A57">
              <w:t xml:space="preserve">governance reforms such as Right to Information, </w:t>
            </w:r>
            <w:r w:rsidR="004C374B">
              <w:t xml:space="preserve">the </w:t>
            </w:r>
            <w:r w:rsidR="00DD7A57">
              <w:t>National Audit Law and</w:t>
            </w:r>
            <w:r w:rsidR="004C374B">
              <w:t xml:space="preserve"> the</w:t>
            </w:r>
            <w:r w:rsidR="00DD7A57">
              <w:t xml:space="preserve"> Public Finance Law</w:t>
            </w:r>
            <w:r w:rsidR="004C374B">
              <w:t xml:space="preserve">; and </w:t>
            </w:r>
          </w:p>
          <w:p w14:paraId="581E9D56" w14:textId="77777777" w:rsidR="00D36171" w:rsidRDefault="004C374B" w:rsidP="003C40AE">
            <w:pPr>
              <w:pStyle w:val="BodyText"/>
              <w:numPr>
                <w:ilvl w:val="0"/>
                <w:numId w:val="18"/>
              </w:numPr>
              <w:jc w:val="both"/>
            </w:pPr>
            <w:r>
              <w:t>enhancing</w:t>
            </w:r>
            <w:r w:rsidR="00DD7A57">
              <w:t xml:space="preserve"> the country’s resilience and disaster preparedness to deal with frequent natural disasters</w:t>
            </w:r>
            <w:r w:rsidR="006F3EDD">
              <w:t xml:space="preserve"> more pro-actively</w:t>
            </w:r>
            <w:r w:rsidR="00DD7A57">
              <w:t xml:space="preserve">. </w:t>
            </w:r>
          </w:p>
          <w:p w14:paraId="3740EA6A" w14:textId="15C24004" w:rsidR="00C32695" w:rsidRPr="000A41D0" w:rsidRDefault="00C32695" w:rsidP="004246DE">
            <w:pPr>
              <w:pStyle w:val="BodyText"/>
              <w:jc w:val="both"/>
            </w:pPr>
          </w:p>
        </w:tc>
      </w:tr>
    </w:tbl>
    <w:p w14:paraId="6B64EC4F" w14:textId="77777777" w:rsidR="002A0A47" w:rsidRDefault="002A0A47" w:rsidP="004246DE">
      <w:pPr>
        <w:pStyle w:val="Heading1"/>
        <w:numPr>
          <w:ilvl w:val="0"/>
          <w:numId w:val="2"/>
        </w:numPr>
        <w:ind w:left="-360"/>
      </w:pPr>
      <w:bookmarkStart w:id="71" w:name="_Toc465259621"/>
      <w:bookmarkStart w:id="72" w:name="_Toc485822604"/>
      <w:r>
        <w:lastRenderedPageBreak/>
        <w:t>Special focus</w:t>
      </w:r>
      <w:bookmarkEnd w:id="71"/>
      <w:bookmarkEnd w:id="72"/>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A0A47" w:rsidRPr="000A41D0" w14:paraId="681FD871" w14:textId="77777777" w:rsidTr="009214E5">
        <w:tc>
          <w:tcPr>
            <w:tcW w:w="2020" w:type="dxa"/>
          </w:tcPr>
          <w:p w14:paraId="19CA8B69" w14:textId="30092903" w:rsidR="002A0A47" w:rsidRPr="0094618C" w:rsidRDefault="00952815" w:rsidP="00952815">
            <w:pPr>
              <w:pStyle w:val="BodyText"/>
              <w:rPr>
                <w:b/>
              </w:rPr>
            </w:pPr>
            <w:r>
              <w:rPr>
                <w:b/>
              </w:rPr>
              <w:t>Trade and FDI reforms are needed for sustained economic progress.</w:t>
            </w:r>
          </w:p>
        </w:tc>
        <w:tc>
          <w:tcPr>
            <w:tcW w:w="145" w:type="dxa"/>
          </w:tcPr>
          <w:p w14:paraId="0A53069A" w14:textId="77777777" w:rsidR="002A0A47" w:rsidRPr="000A41D0" w:rsidRDefault="002A0A47" w:rsidP="009214E5">
            <w:pPr>
              <w:pStyle w:val="BodyText"/>
            </w:pPr>
          </w:p>
        </w:tc>
        <w:tc>
          <w:tcPr>
            <w:tcW w:w="7221" w:type="dxa"/>
          </w:tcPr>
          <w:p w14:paraId="0FEF3DBB" w14:textId="0D18606E" w:rsidR="002A0A47" w:rsidRPr="000A41D0" w:rsidRDefault="00AB1703" w:rsidP="00AB1703">
            <w:pPr>
              <w:jc w:val="both"/>
            </w:pPr>
            <w:r>
              <w:rPr>
                <w:sz w:val="22"/>
              </w:rPr>
              <w:t>Given the significance of improving the country’s outward orientation in order to realize its development goals and march towards an Upper Middle Income Country, t</w:t>
            </w:r>
            <w:r w:rsidR="00BE41C8">
              <w:rPr>
                <w:sz w:val="22"/>
              </w:rPr>
              <w:t>his Edition’s</w:t>
            </w:r>
            <w:r>
              <w:rPr>
                <w:sz w:val="22"/>
              </w:rPr>
              <w:t xml:space="preserve"> S</w:t>
            </w:r>
            <w:r w:rsidR="002A0A47">
              <w:rPr>
                <w:sz w:val="22"/>
              </w:rPr>
              <w:t xml:space="preserve">pecial </w:t>
            </w:r>
            <w:r>
              <w:rPr>
                <w:sz w:val="22"/>
              </w:rPr>
              <w:t>Focus S</w:t>
            </w:r>
            <w:r w:rsidR="002A0A47">
              <w:rPr>
                <w:sz w:val="22"/>
              </w:rPr>
              <w:t xml:space="preserve">ection </w:t>
            </w:r>
            <w:r>
              <w:rPr>
                <w:sz w:val="22"/>
              </w:rPr>
              <w:t xml:space="preserve">is dedicated to a policy discussion on promoting trade and investment. </w:t>
            </w:r>
          </w:p>
        </w:tc>
      </w:tr>
    </w:tbl>
    <w:p w14:paraId="28BF5905" w14:textId="77777777" w:rsidR="00F20483" w:rsidRDefault="00F20483" w:rsidP="00556DF3"/>
    <w:p w14:paraId="4FC6D2DB" w14:textId="77777777" w:rsidR="002A0A47" w:rsidRDefault="002A0A47"/>
    <w:p w14:paraId="199404B0" w14:textId="77777777" w:rsidR="008D5E59" w:rsidRDefault="008D5E59"/>
    <w:p w14:paraId="41704697" w14:textId="77777777" w:rsidR="00FF6905" w:rsidRDefault="00FF6905"/>
    <w:p w14:paraId="3A71AC80" w14:textId="77777777" w:rsidR="00FF6905" w:rsidRDefault="00FF6905"/>
    <w:p w14:paraId="18AC5464" w14:textId="32CED52E" w:rsidR="00192EA4" w:rsidRDefault="00192EA4">
      <w:r>
        <w:br w:type="page"/>
      </w:r>
    </w:p>
    <w:tbl>
      <w:tblPr>
        <w:tblStyle w:val="TableGrid"/>
        <w:tblW w:w="9720" w:type="dxa"/>
        <w:tblInd w:w="-225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43" w:type="dxa"/>
          <w:right w:w="43" w:type="dxa"/>
        </w:tblCellMar>
        <w:tblLook w:val="01E0" w:firstRow="1" w:lastRow="1" w:firstColumn="1" w:lastColumn="1" w:noHBand="0" w:noVBand="0"/>
      </w:tblPr>
      <w:tblGrid>
        <w:gridCol w:w="9720"/>
      </w:tblGrid>
      <w:tr w:rsidR="00AB1703" w:rsidRPr="000A41D0" w14:paraId="1FDCE2A4" w14:textId="4D6CE41A" w:rsidTr="004246DE">
        <w:trPr>
          <w:trHeight w:val="216"/>
        </w:trPr>
        <w:tc>
          <w:tcPr>
            <w:tcW w:w="9720" w:type="dxa"/>
            <w:tcBorders>
              <w:top w:val="nil"/>
              <w:left w:val="nil"/>
              <w:bottom w:val="nil"/>
              <w:right w:val="nil"/>
            </w:tcBorders>
            <w:shd w:val="clear" w:color="auto" w:fill="0C4DA2"/>
          </w:tcPr>
          <w:p w14:paraId="649AC0A2" w14:textId="23A3FDDF" w:rsidR="00AB1703" w:rsidRPr="00C14911" w:rsidRDefault="00AB1703">
            <w:pPr>
              <w:pStyle w:val="Boxcaption-Dev-Update"/>
              <w:ind w:left="0"/>
              <w:rPr>
                <w:sz w:val="22"/>
              </w:rPr>
            </w:pPr>
            <w:r w:rsidRPr="00C14911">
              <w:rPr>
                <w:sz w:val="22"/>
              </w:rPr>
              <w:lastRenderedPageBreak/>
              <w:br w:type="page"/>
            </w:r>
            <w:bookmarkStart w:id="73" w:name="_Toc485824095"/>
            <w:r w:rsidRPr="00C14911">
              <w:rPr>
                <w:sz w:val="22"/>
              </w:rPr>
              <w:t xml:space="preserve">Box </w:t>
            </w:r>
            <w:r w:rsidR="00C14911" w:rsidRPr="00C14911">
              <w:rPr>
                <w:sz w:val="22"/>
              </w:rPr>
              <w:t>1</w:t>
            </w:r>
            <w:r w:rsidR="005B5671">
              <w:rPr>
                <w:sz w:val="22"/>
              </w:rPr>
              <w:t>:</w:t>
            </w:r>
            <w:r w:rsidRPr="00C14911">
              <w:rPr>
                <w:sz w:val="22"/>
              </w:rPr>
              <w:t xml:space="preserve"> </w:t>
            </w:r>
            <w:r w:rsidR="001E2FED">
              <w:rPr>
                <w:sz w:val="22"/>
              </w:rPr>
              <w:t>Sri Lanka: co</w:t>
            </w:r>
            <w:r w:rsidRPr="00C14911">
              <w:rPr>
                <w:sz w:val="22"/>
              </w:rPr>
              <w:t>untry context</w:t>
            </w:r>
            <w:bookmarkEnd w:id="73"/>
            <w:r w:rsidR="005B5671">
              <w:rPr>
                <w:sz w:val="22"/>
              </w:rPr>
              <w:t xml:space="preserve"> </w:t>
            </w:r>
          </w:p>
        </w:tc>
      </w:tr>
      <w:tr w:rsidR="00AB1703" w:rsidRPr="000A41D0" w14:paraId="5585DBC3" w14:textId="5027C29B" w:rsidTr="004246DE">
        <w:tblPrEx>
          <w:tblCellMar>
            <w:left w:w="108" w:type="dxa"/>
            <w:right w:w="108" w:type="dxa"/>
          </w:tblCellMar>
        </w:tblPrEx>
        <w:trPr>
          <w:trHeight w:val="80"/>
        </w:trPr>
        <w:tc>
          <w:tcPr>
            <w:tcW w:w="9720" w:type="dxa"/>
            <w:tcBorders>
              <w:top w:val="nil"/>
              <w:left w:val="nil"/>
              <w:bottom w:val="nil"/>
              <w:right w:val="nil"/>
            </w:tcBorders>
            <w:shd w:val="clear" w:color="auto" w:fill="DBE5F1" w:themeFill="accent1" w:themeFillTint="33"/>
          </w:tcPr>
          <w:p w14:paraId="1E3866B8" w14:textId="77777777" w:rsidR="00F23885" w:rsidRPr="004246DE" w:rsidRDefault="00F23885" w:rsidP="004246DE">
            <w:pPr>
              <w:ind w:left="0"/>
              <w:jc w:val="both"/>
              <w:rPr>
                <w:sz w:val="10"/>
                <w:szCs w:val="10"/>
              </w:rPr>
            </w:pPr>
          </w:p>
          <w:p w14:paraId="067B66AE" w14:textId="6BEDD605" w:rsidR="00AB1703" w:rsidRPr="00C14911" w:rsidRDefault="00C14911" w:rsidP="00C14911">
            <w:pPr>
              <w:spacing w:after="80"/>
              <w:ind w:left="0"/>
              <w:jc w:val="both"/>
              <w:rPr>
                <w:sz w:val="21"/>
                <w:szCs w:val="21"/>
              </w:rPr>
            </w:pPr>
            <w:r w:rsidRPr="00C14911">
              <w:rPr>
                <w:sz w:val="21"/>
                <w:szCs w:val="21"/>
              </w:rPr>
              <w:t>Sri Lanka is a L</w:t>
            </w:r>
            <w:r w:rsidR="00AB1703" w:rsidRPr="00C14911">
              <w:rPr>
                <w:sz w:val="21"/>
                <w:szCs w:val="21"/>
              </w:rPr>
              <w:t xml:space="preserve">ower </w:t>
            </w:r>
            <w:r w:rsidRPr="00C14911">
              <w:rPr>
                <w:sz w:val="21"/>
                <w:szCs w:val="21"/>
              </w:rPr>
              <w:t>M</w:t>
            </w:r>
            <w:r w:rsidR="00AB1703" w:rsidRPr="00C14911">
              <w:rPr>
                <w:sz w:val="21"/>
                <w:szCs w:val="21"/>
              </w:rPr>
              <w:t>iddle-</w:t>
            </w:r>
            <w:r w:rsidRPr="00C14911">
              <w:rPr>
                <w:sz w:val="21"/>
                <w:szCs w:val="21"/>
              </w:rPr>
              <w:t>I</w:t>
            </w:r>
            <w:r w:rsidR="00AB1703" w:rsidRPr="00C14911">
              <w:rPr>
                <w:sz w:val="21"/>
                <w:szCs w:val="21"/>
              </w:rPr>
              <w:t xml:space="preserve">ncome country </w:t>
            </w:r>
            <w:r w:rsidR="006F3EDD" w:rsidRPr="00C14911">
              <w:rPr>
                <w:sz w:val="21"/>
                <w:szCs w:val="21"/>
              </w:rPr>
              <w:t xml:space="preserve">with a GDP per capita of </w:t>
            </w:r>
            <w:r w:rsidR="00AB1703" w:rsidRPr="00C14911">
              <w:rPr>
                <w:sz w:val="21"/>
                <w:szCs w:val="21"/>
              </w:rPr>
              <w:t>USD 3,835</w:t>
            </w:r>
            <w:r w:rsidR="006F3EDD" w:rsidRPr="00C14911">
              <w:rPr>
                <w:sz w:val="21"/>
                <w:szCs w:val="21"/>
              </w:rPr>
              <w:t xml:space="preserve"> in</w:t>
            </w:r>
            <w:r w:rsidR="00AB1703" w:rsidRPr="00C14911">
              <w:rPr>
                <w:sz w:val="21"/>
                <w:szCs w:val="21"/>
              </w:rPr>
              <w:t xml:space="preserve"> 2016 </w:t>
            </w:r>
            <w:r w:rsidR="004F71E1" w:rsidRPr="00C14911">
              <w:rPr>
                <w:sz w:val="21"/>
                <w:szCs w:val="21"/>
              </w:rPr>
              <w:t xml:space="preserve">and </w:t>
            </w:r>
            <w:r w:rsidR="00AB1703" w:rsidRPr="00C14911">
              <w:rPr>
                <w:sz w:val="21"/>
                <w:szCs w:val="21"/>
              </w:rPr>
              <w:t xml:space="preserve">a total population of 21.2 million people.  Following 30 years of civil war that ended in 2009, Sri Lanka’s economy grew at an average 6.2 percent during 2010-2016, reflecting a peace dividend and a determined policy thrust towards reconstruction and growth; although there were some signs of a slowdown in the last three years. The economy is transitioning from a previously predominantly rural-based economy towards a more urbanized economy oriented around manufacturing and services.  </w:t>
            </w:r>
          </w:p>
          <w:p w14:paraId="07B4F460" w14:textId="1672B25C" w:rsidR="00AB1703" w:rsidRPr="00C14911" w:rsidRDefault="00AB1703" w:rsidP="00C14911">
            <w:pPr>
              <w:spacing w:after="80"/>
              <w:ind w:left="0"/>
              <w:jc w:val="both"/>
              <w:rPr>
                <w:sz w:val="21"/>
                <w:szCs w:val="21"/>
              </w:rPr>
            </w:pPr>
            <w:r w:rsidRPr="00C14911">
              <w:rPr>
                <w:sz w:val="21"/>
                <w:szCs w:val="21"/>
              </w:rPr>
              <w:t>The country has made significant progress in its socio-economic and human development. Social indicators rank among the highest in South Asia and compare favorably with those in middle-income countries. The economic growth has translated into shared prosperity with national poverty headcount ratio declining from 15.3 percent in 2006/07 to 6.7 percent in 2012/13.  Extreme poverty is rare and concentrated in some geographical pockets; however, a relatively large share of the population subsists on little more than the extreme poverty line.  The country has comfortably surpassed most of the MDG targets set for 2015 and was ranked 73rd in Human Development Index in 2015.</w:t>
            </w:r>
          </w:p>
          <w:p w14:paraId="6513FF00" w14:textId="2FBA8AA7" w:rsidR="00582992" w:rsidRPr="00C14911" w:rsidRDefault="00582992" w:rsidP="00C14911">
            <w:pPr>
              <w:spacing w:after="80"/>
              <w:ind w:left="0"/>
              <w:jc w:val="both"/>
              <w:rPr>
                <w:sz w:val="21"/>
                <w:szCs w:val="21"/>
              </w:rPr>
            </w:pPr>
            <w:r w:rsidRPr="00C14911">
              <w:rPr>
                <w:sz w:val="21"/>
                <w:szCs w:val="21"/>
              </w:rPr>
              <w:t xml:space="preserve">The economy’s weak competitiveness is an issue to address. Restrictive trade policies over the past decade have created a strong anti-export bias, which has been reflected in a dramatic decline in trade. While growth in Sri Lanka has been strong over the past few years, it has been inward-oriented and based on growth of non-tradable sectors.  Sri Lanka also attracts a much lower volume of FDI than peer economies and the shortcomings in the investment climate pose obstacles for new firms. Moreover, significantly large state participation in the economy has implications on competitiveness in a number of sectors and labor market dynamics. </w:t>
            </w:r>
          </w:p>
          <w:p w14:paraId="2C9D6726" w14:textId="053A9C6C" w:rsidR="00AB1703" w:rsidRPr="00C14911" w:rsidRDefault="00AB1703" w:rsidP="00C14911">
            <w:pPr>
              <w:spacing w:after="80"/>
              <w:ind w:left="0"/>
              <w:jc w:val="both"/>
              <w:rPr>
                <w:sz w:val="21"/>
                <w:szCs w:val="21"/>
              </w:rPr>
            </w:pPr>
            <w:r w:rsidRPr="00C14911">
              <w:rPr>
                <w:sz w:val="21"/>
                <w:szCs w:val="21"/>
              </w:rPr>
              <w:t>Low revenues critically impact Sri Lanka’s fiscal position. The major causes of this decline are the low increase in the number of tax payers (less than 7 percent of the labor force and formal establishments pay income tax), reductions in statutory rates without commensurate efforts to expand the tax base, inefficiencies in administration and numerous exemptions. Low revenues combined with largely non-discretionary expenditure</w:t>
            </w:r>
            <w:r w:rsidR="00582992" w:rsidRPr="00C14911">
              <w:rPr>
                <w:sz w:val="21"/>
                <w:szCs w:val="21"/>
              </w:rPr>
              <w:t xml:space="preserve"> in salary bill, transfers, and interest payments </w:t>
            </w:r>
            <w:r w:rsidRPr="00C14911">
              <w:rPr>
                <w:sz w:val="21"/>
                <w:szCs w:val="21"/>
              </w:rPr>
              <w:t xml:space="preserve">has constrained critical development spending have squeezed expenditure on health, education and social protection, which are </w:t>
            </w:r>
            <w:r w:rsidR="00027F8E" w:rsidRPr="00C14911">
              <w:rPr>
                <w:sz w:val="21"/>
                <w:szCs w:val="21"/>
              </w:rPr>
              <w:t>low compared to</w:t>
            </w:r>
            <w:r w:rsidRPr="00C14911">
              <w:rPr>
                <w:sz w:val="21"/>
                <w:szCs w:val="21"/>
              </w:rPr>
              <w:t xml:space="preserve"> </w:t>
            </w:r>
            <w:r w:rsidR="00582992" w:rsidRPr="00C14911">
              <w:rPr>
                <w:sz w:val="21"/>
                <w:szCs w:val="21"/>
              </w:rPr>
              <w:t>peer</w:t>
            </w:r>
            <w:r w:rsidR="00027F8E" w:rsidRPr="00C14911">
              <w:rPr>
                <w:sz w:val="21"/>
                <w:szCs w:val="21"/>
              </w:rPr>
              <w:t>s</w:t>
            </w:r>
            <w:r w:rsidR="00582992" w:rsidRPr="00C14911">
              <w:rPr>
                <w:sz w:val="21"/>
                <w:szCs w:val="21"/>
              </w:rPr>
              <w:t>.</w:t>
            </w:r>
          </w:p>
          <w:p w14:paraId="476146E6" w14:textId="7FCC3F7C" w:rsidR="00AB1703" w:rsidRPr="00C14911" w:rsidRDefault="00AB1703" w:rsidP="00C14911">
            <w:pPr>
              <w:spacing w:after="80"/>
              <w:ind w:left="0"/>
              <w:jc w:val="both"/>
              <w:rPr>
                <w:sz w:val="21"/>
                <w:szCs w:val="21"/>
              </w:rPr>
            </w:pPr>
            <w:r w:rsidRPr="00C14911">
              <w:rPr>
                <w:sz w:val="21"/>
                <w:szCs w:val="21"/>
              </w:rPr>
              <w:t xml:space="preserve">Sri Lanka </w:t>
            </w:r>
            <w:r w:rsidR="004F71E1" w:rsidRPr="00C14911">
              <w:rPr>
                <w:sz w:val="21"/>
                <w:szCs w:val="21"/>
              </w:rPr>
              <w:t xml:space="preserve">has a 3-year Extended Fund Facility (EFF) program with the </w:t>
            </w:r>
            <w:r w:rsidRPr="00C14911">
              <w:rPr>
                <w:sz w:val="21"/>
                <w:szCs w:val="21"/>
              </w:rPr>
              <w:t xml:space="preserve">IMF, which is primarily focused on increasing revenues. The program calls for fiscal consolidation; transition to flexible inflation targeting; and reforms in public financial management, state enterprises and trade and competitiveness. The IMF announced that the second review reached a staff-level agreement with Sri Lankan authorities subject to submission of a new Inland Revenue Act to the Parliament by June 2017. </w:t>
            </w:r>
          </w:p>
          <w:p w14:paraId="439BA905" w14:textId="5F29A1D4" w:rsidR="00F40597" w:rsidRPr="00C14911" w:rsidRDefault="00AB1703" w:rsidP="00C14911">
            <w:pPr>
              <w:spacing w:after="80"/>
              <w:ind w:left="0"/>
              <w:jc w:val="both"/>
              <w:rPr>
                <w:sz w:val="21"/>
                <w:szCs w:val="21"/>
              </w:rPr>
            </w:pPr>
            <w:r w:rsidRPr="00C14911">
              <w:rPr>
                <w:sz w:val="21"/>
                <w:szCs w:val="21"/>
              </w:rPr>
              <w:t xml:space="preserve">The government that came to power in 2015 </w:t>
            </w:r>
            <w:r w:rsidR="00582992" w:rsidRPr="00C14911">
              <w:rPr>
                <w:sz w:val="21"/>
                <w:szCs w:val="21"/>
              </w:rPr>
              <w:t xml:space="preserve">envisions promoting a globally competitive, export-led economy with an emphasis on inclusion. </w:t>
            </w:r>
            <w:r w:rsidRPr="00C14911">
              <w:rPr>
                <w:sz w:val="21"/>
                <w:szCs w:val="21"/>
              </w:rPr>
              <w:t xml:space="preserve">It has indicated the keenness to undertake reforms in the areas of public finance, competitiveness, and governance and education sectors. </w:t>
            </w:r>
          </w:p>
          <w:tbl>
            <w:tblPr>
              <w:tblW w:w="9450" w:type="dxa"/>
              <w:tblBorders>
                <w:top w:val="single" w:sz="8" w:space="0" w:color="FF0000"/>
                <w:bottom w:val="single" w:sz="8" w:space="0" w:color="FF0000"/>
                <w:insideH w:val="single" w:sz="8" w:space="0" w:color="FF0000"/>
              </w:tblBorders>
              <w:tblCellMar>
                <w:left w:w="29" w:type="dxa"/>
                <w:right w:w="29" w:type="dxa"/>
              </w:tblCellMar>
              <w:tblLook w:val="01E0" w:firstRow="1" w:lastRow="1" w:firstColumn="1" w:lastColumn="1" w:noHBand="0" w:noVBand="0"/>
            </w:tblPr>
            <w:tblGrid>
              <w:gridCol w:w="4694"/>
              <w:gridCol w:w="4756"/>
            </w:tblGrid>
            <w:tr w:rsidR="00756B0A" w:rsidRPr="00525702" w14:paraId="6A734406" w14:textId="77777777" w:rsidTr="00A13DC2">
              <w:trPr>
                <w:trHeight w:val="218"/>
              </w:trPr>
              <w:tc>
                <w:tcPr>
                  <w:tcW w:w="4694" w:type="dxa"/>
                  <w:tcBorders>
                    <w:top w:val="nil"/>
                    <w:left w:val="nil"/>
                    <w:bottom w:val="dotted" w:sz="4" w:space="0" w:color="0C4DA2"/>
                    <w:right w:val="nil"/>
                  </w:tcBorders>
                  <w:hideMark/>
                </w:tcPr>
                <w:p w14:paraId="5A073131" w14:textId="49A11BD4" w:rsidR="00F23885" w:rsidRDefault="00F23885">
                  <w:pPr>
                    <w:pStyle w:val="IEQ-chart-subcaption"/>
                    <w:ind w:left="0"/>
                    <w:rPr>
                      <w:b/>
                      <w:i w:val="0"/>
                      <w:color w:val="0C4DA2"/>
                      <w:kern w:val="0"/>
                    </w:rPr>
                  </w:pPr>
                  <w:bookmarkStart w:id="74" w:name="_Toc455504730"/>
                  <w:bookmarkStart w:id="75" w:name="_Toc456718682"/>
                  <w:bookmarkStart w:id="76" w:name="_Toc465253406"/>
                  <w:bookmarkStart w:id="77" w:name="_Toc485822648"/>
                  <w:bookmarkEnd w:id="74"/>
                  <w:bookmarkEnd w:id="75"/>
                  <w:bookmarkEnd w:id="76"/>
                  <w:r w:rsidRPr="00F23885">
                    <w:rPr>
                      <w:b/>
                      <w:i w:val="0"/>
                      <w:color w:val="0C4DA2"/>
                      <w:kern w:val="0"/>
                    </w:rPr>
                    <w:t xml:space="preserve">Figure </w:t>
                  </w:r>
                  <w:r w:rsidRPr="00F23885">
                    <w:rPr>
                      <w:b/>
                      <w:i w:val="0"/>
                      <w:color w:val="0C4DA2"/>
                      <w:kern w:val="0"/>
                    </w:rPr>
                    <w:fldChar w:fldCharType="begin"/>
                  </w:r>
                  <w:r w:rsidRPr="00F23885">
                    <w:rPr>
                      <w:b/>
                      <w:i w:val="0"/>
                      <w:color w:val="0C4DA2"/>
                      <w:kern w:val="0"/>
                    </w:rPr>
                    <w:instrText xml:space="preserve"> SEQ Figure \* ARABIC </w:instrText>
                  </w:r>
                  <w:r w:rsidRPr="00F23885">
                    <w:rPr>
                      <w:b/>
                      <w:i w:val="0"/>
                      <w:color w:val="0C4DA2"/>
                      <w:kern w:val="0"/>
                    </w:rPr>
                    <w:fldChar w:fldCharType="separate"/>
                  </w:r>
                  <w:r w:rsidR="00A12655">
                    <w:rPr>
                      <w:b/>
                      <w:i w:val="0"/>
                      <w:noProof/>
                      <w:color w:val="0C4DA2"/>
                      <w:kern w:val="0"/>
                    </w:rPr>
                    <w:t>1</w:t>
                  </w:r>
                  <w:r w:rsidRPr="00F23885">
                    <w:rPr>
                      <w:b/>
                      <w:i w:val="0"/>
                      <w:color w:val="0C4DA2"/>
                      <w:kern w:val="0"/>
                    </w:rPr>
                    <w:fldChar w:fldCharType="end"/>
                  </w:r>
                  <w:r w:rsidRPr="00F23885">
                    <w:rPr>
                      <w:b/>
                      <w:i w:val="0"/>
                      <w:color w:val="0C4DA2"/>
                      <w:kern w:val="0"/>
                    </w:rPr>
                    <w:t xml:space="preserve">: </w:t>
                  </w:r>
                  <w:r w:rsidR="00756B0A" w:rsidRPr="00756B0A">
                    <w:rPr>
                      <w:b/>
                      <w:i w:val="0"/>
                      <w:color w:val="0C4DA2"/>
                      <w:kern w:val="0"/>
                    </w:rPr>
                    <w:t>Sri Lanka compared to peer countries</w:t>
                  </w:r>
                  <w:bookmarkEnd w:id="77"/>
                  <w:r w:rsidR="00756B0A" w:rsidRPr="00756B0A">
                    <w:rPr>
                      <w:b/>
                      <w:i w:val="0"/>
                      <w:color w:val="0C4DA2"/>
                      <w:kern w:val="0"/>
                    </w:rPr>
                    <w:t xml:space="preserve"> </w:t>
                  </w:r>
                </w:p>
                <w:p w14:paraId="7E6FBCB7" w14:textId="0DDFB3F3" w:rsidR="00756B0A" w:rsidRPr="00CE0CC3" w:rsidRDefault="00756B0A">
                  <w:pPr>
                    <w:pStyle w:val="IEQ-chart-subcaption"/>
                    <w:ind w:left="0"/>
                  </w:pPr>
                  <w:r w:rsidRPr="00756B0A">
                    <w:t>(Percent annual change)</w:t>
                  </w:r>
                </w:p>
              </w:tc>
              <w:tc>
                <w:tcPr>
                  <w:tcW w:w="4756" w:type="dxa"/>
                  <w:tcBorders>
                    <w:top w:val="nil"/>
                    <w:left w:val="nil"/>
                    <w:bottom w:val="dotted" w:sz="4" w:space="0" w:color="0C4DA2"/>
                    <w:right w:val="nil"/>
                  </w:tcBorders>
                  <w:hideMark/>
                </w:tcPr>
                <w:p w14:paraId="009CCA69" w14:textId="1A577F98" w:rsidR="00756B0A" w:rsidRDefault="00DB2A49" w:rsidP="00756B0A">
                  <w:pPr>
                    <w:pStyle w:val="IEQ-chart-subcaption"/>
                    <w:ind w:left="0"/>
                    <w:rPr>
                      <w:b/>
                      <w:i w:val="0"/>
                      <w:color w:val="0C4DA2"/>
                      <w:kern w:val="0"/>
                    </w:rPr>
                  </w:pPr>
                  <w:bookmarkStart w:id="78" w:name="_Toc485822649"/>
                  <w:r w:rsidRPr="00DB2A49">
                    <w:rPr>
                      <w:b/>
                      <w:i w:val="0"/>
                      <w:color w:val="0C4DA2"/>
                      <w:kern w:val="0"/>
                    </w:rPr>
                    <w:t xml:space="preserve">Figure </w:t>
                  </w:r>
                  <w:r w:rsidRPr="00DB2A49">
                    <w:rPr>
                      <w:b/>
                      <w:i w:val="0"/>
                      <w:color w:val="0C4DA2"/>
                      <w:kern w:val="0"/>
                    </w:rPr>
                    <w:fldChar w:fldCharType="begin"/>
                  </w:r>
                  <w:r w:rsidRPr="00DB2A49">
                    <w:rPr>
                      <w:b/>
                      <w:i w:val="0"/>
                      <w:color w:val="0C4DA2"/>
                      <w:kern w:val="0"/>
                    </w:rPr>
                    <w:instrText xml:space="preserve"> SEQ Figure \* ARABIC </w:instrText>
                  </w:r>
                  <w:r w:rsidRPr="00DB2A49">
                    <w:rPr>
                      <w:b/>
                      <w:i w:val="0"/>
                      <w:color w:val="0C4DA2"/>
                      <w:kern w:val="0"/>
                    </w:rPr>
                    <w:fldChar w:fldCharType="separate"/>
                  </w:r>
                  <w:r w:rsidR="00A12655">
                    <w:rPr>
                      <w:b/>
                      <w:i w:val="0"/>
                      <w:noProof/>
                      <w:color w:val="0C4DA2"/>
                      <w:kern w:val="0"/>
                    </w:rPr>
                    <w:t>2</w:t>
                  </w:r>
                  <w:r w:rsidRPr="00DB2A49">
                    <w:rPr>
                      <w:b/>
                      <w:i w:val="0"/>
                      <w:color w:val="0C4DA2"/>
                      <w:kern w:val="0"/>
                    </w:rPr>
                    <w:fldChar w:fldCharType="end"/>
                  </w:r>
                  <w:r w:rsidRPr="00DB2A49">
                    <w:rPr>
                      <w:b/>
                      <w:i w:val="0"/>
                      <w:color w:val="0C4DA2"/>
                      <w:kern w:val="0"/>
                    </w:rPr>
                    <w:t>:</w:t>
                  </w:r>
                  <w:r>
                    <w:rPr>
                      <w:b/>
                      <w:i w:val="0"/>
                      <w:color w:val="0C4DA2"/>
                      <w:kern w:val="0"/>
                    </w:rPr>
                    <w:t xml:space="preserve"> </w:t>
                  </w:r>
                  <w:r w:rsidR="00756B0A" w:rsidRPr="00756B0A">
                    <w:rPr>
                      <w:b/>
                      <w:i w:val="0"/>
                      <w:color w:val="0C4DA2"/>
                      <w:kern w:val="0"/>
                    </w:rPr>
                    <w:t>Sri Lanka compared to peer countries</w:t>
                  </w:r>
                  <w:bookmarkEnd w:id="78"/>
                  <w:r w:rsidR="00756B0A" w:rsidRPr="00756B0A">
                    <w:rPr>
                      <w:b/>
                      <w:i w:val="0"/>
                      <w:color w:val="0C4DA2"/>
                      <w:kern w:val="0"/>
                    </w:rPr>
                    <w:t xml:space="preserve"> </w:t>
                  </w:r>
                </w:p>
                <w:p w14:paraId="01BDD3CE" w14:textId="5145DF85" w:rsidR="00756B0A" w:rsidRPr="00525702" w:rsidRDefault="00756B0A" w:rsidP="00756B0A">
                  <w:pPr>
                    <w:pStyle w:val="IEQ-chart-subcaption"/>
                    <w:ind w:left="0"/>
                  </w:pPr>
                  <w:r w:rsidRPr="00756B0A">
                    <w:t>(Percent of GDP)</w:t>
                  </w:r>
                </w:p>
              </w:tc>
            </w:tr>
            <w:tr w:rsidR="00756B0A" w14:paraId="47371F75" w14:textId="77777777" w:rsidTr="00756B0A">
              <w:tblPrEx>
                <w:tblCellMar>
                  <w:left w:w="108" w:type="dxa"/>
                  <w:right w:w="108" w:type="dxa"/>
                </w:tblCellMar>
              </w:tblPrEx>
              <w:trPr>
                <w:trHeight w:val="3230"/>
              </w:trPr>
              <w:tc>
                <w:tcPr>
                  <w:tcW w:w="4694" w:type="dxa"/>
                  <w:tcBorders>
                    <w:top w:val="dotted" w:sz="4" w:space="0" w:color="0C4DA2"/>
                    <w:left w:val="nil"/>
                    <w:bottom w:val="dotted" w:sz="4" w:space="0" w:color="0C4DA2"/>
                    <w:right w:val="nil"/>
                  </w:tcBorders>
                  <w:hideMark/>
                </w:tcPr>
                <w:p w14:paraId="6305913E" w14:textId="46C786D3" w:rsidR="00756B0A" w:rsidRPr="00ED6AB4" w:rsidRDefault="00756B0A" w:rsidP="00756B0A">
                  <w:pPr>
                    <w:jc w:val="both"/>
                    <w:rPr>
                      <w:rFonts w:ascii="Arial" w:hAnsi="Arial" w:cs="Arial"/>
                      <w:i/>
                      <w:sz w:val="16"/>
                      <w:szCs w:val="16"/>
                    </w:rPr>
                  </w:pPr>
                  <w:r>
                    <w:rPr>
                      <w:noProof/>
                    </w:rPr>
                    <w:drawing>
                      <wp:inline distT="0" distB="0" distL="0" distR="0" wp14:anchorId="6F8C2750" wp14:editId="5265A036">
                        <wp:extent cx="2905125" cy="19621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56" w:type="dxa"/>
                  <w:tcBorders>
                    <w:top w:val="dotted" w:sz="4" w:space="0" w:color="0C4DA2"/>
                    <w:left w:val="nil"/>
                    <w:bottom w:val="dotted" w:sz="4" w:space="0" w:color="0C4DA2"/>
                    <w:right w:val="nil"/>
                  </w:tcBorders>
                  <w:hideMark/>
                </w:tcPr>
                <w:p w14:paraId="67A1DA0D" w14:textId="4952A81C" w:rsidR="00756B0A" w:rsidRPr="00ED6AB4" w:rsidRDefault="00756B0A" w:rsidP="00756B0A">
                  <w:pPr>
                    <w:ind w:hanging="92"/>
                    <w:rPr>
                      <w:rFonts w:ascii="Arial" w:hAnsi="Arial" w:cs="Arial"/>
                      <w:sz w:val="16"/>
                      <w:szCs w:val="16"/>
                    </w:rPr>
                  </w:pPr>
                  <w:r>
                    <w:rPr>
                      <w:noProof/>
                      <w:sz w:val="16"/>
                    </w:rPr>
                    <w:drawing>
                      <wp:inline distT="0" distB="0" distL="0" distR="0" wp14:anchorId="0308271F" wp14:editId="7731F965">
                        <wp:extent cx="2838450" cy="19526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56B0A" w14:paraId="322251F0" w14:textId="77777777" w:rsidTr="00A13DC2">
              <w:trPr>
                <w:trHeight w:val="98"/>
              </w:trPr>
              <w:tc>
                <w:tcPr>
                  <w:tcW w:w="9450" w:type="dxa"/>
                  <w:gridSpan w:val="2"/>
                  <w:tcBorders>
                    <w:top w:val="dotted" w:sz="4" w:space="0" w:color="0C4DA2"/>
                    <w:left w:val="nil"/>
                    <w:bottom w:val="nil"/>
                    <w:right w:val="nil"/>
                  </w:tcBorders>
                  <w:hideMark/>
                </w:tcPr>
                <w:p w14:paraId="28BE9336" w14:textId="69005BE1" w:rsidR="00756B0A" w:rsidRDefault="00756B0A" w:rsidP="00756B0A">
                  <w:pPr>
                    <w:pStyle w:val="IEQSources-notes"/>
                  </w:pPr>
                  <w:r w:rsidRPr="00CE0CC3">
                    <w:t xml:space="preserve">Source: </w:t>
                  </w:r>
                  <w:r w:rsidR="00A13DC2">
                    <w:t>World Economic Outlook</w:t>
                  </w:r>
                  <w:r w:rsidR="003742AC">
                    <w:t>, April 2017</w:t>
                  </w:r>
                </w:p>
              </w:tc>
            </w:tr>
          </w:tbl>
          <w:p w14:paraId="4DE7ED42" w14:textId="2CF96287" w:rsidR="00AB1703" w:rsidRPr="007A4A3C" w:rsidRDefault="00AB1703" w:rsidP="003C40AE">
            <w:pPr>
              <w:spacing w:before="120" w:after="120"/>
              <w:ind w:left="-120"/>
              <w:jc w:val="both"/>
              <w:rPr>
                <w:rFonts w:cs="Arial"/>
                <w:b/>
                <w:sz w:val="22"/>
                <w:szCs w:val="22"/>
              </w:rPr>
            </w:pPr>
          </w:p>
        </w:tc>
      </w:tr>
      <w:tr w:rsidR="00AB1703" w:rsidRPr="000A41D0" w14:paraId="1498D0C2" w14:textId="5CD2F43B" w:rsidTr="004246DE">
        <w:trPr>
          <w:trHeight w:val="297"/>
        </w:trPr>
        <w:tc>
          <w:tcPr>
            <w:tcW w:w="9720" w:type="dxa"/>
            <w:tcBorders>
              <w:top w:val="nil"/>
              <w:left w:val="nil"/>
              <w:bottom w:val="nil"/>
              <w:right w:val="nil"/>
            </w:tcBorders>
            <w:shd w:val="clear" w:color="auto" w:fill="0C4DA2"/>
          </w:tcPr>
          <w:p w14:paraId="0B4C9911" w14:textId="2061A3BB" w:rsidR="00AB1703" w:rsidRPr="000A41D0" w:rsidRDefault="00AB1703">
            <w:pPr>
              <w:pStyle w:val="BodyText"/>
              <w:keepNext/>
              <w:ind w:left="0"/>
              <w:rPr>
                <w:b/>
                <w:szCs w:val="22"/>
              </w:rPr>
            </w:pPr>
          </w:p>
        </w:tc>
      </w:tr>
    </w:tbl>
    <w:p w14:paraId="72EDCB3C" w14:textId="7CEF0104" w:rsidR="00235F02" w:rsidRDefault="00235F02" w:rsidP="00FF6905">
      <w:pPr>
        <w:jc w:val="both"/>
        <w:rPr>
          <w:noProof/>
        </w:rPr>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B45747" w:rsidRPr="000A41D0" w14:paraId="19AA9FF6" w14:textId="77777777" w:rsidTr="00882CFB">
        <w:tc>
          <w:tcPr>
            <w:tcW w:w="9360" w:type="dxa"/>
          </w:tcPr>
          <w:p w14:paraId="1C62E9A8" w14:textId="77777777" w:rsidR="00B45747" w:rsidRPr="000A41D0" w:rsidRDefault="009D4D04" w:rsidP="005975FE">
            <w:pPr>
              <w:pStyle w:val="IEQ-Chapterheading"/>
              <w:ind w:left="0"/>
              <w:rPr>
                <w:rFonts w:cs="Arial"/>
              </w:rPr>
            </w:pPr>
            <w:bookmarkStart w:id="79" w:name="_Toc350790615"/>
            <w:bookmarkStart w:id="80" w:name="_Toc350878036"/>
            <w:bookmarkStart w:id="81" w:name="_Toc360270529"/>
            <w:bookmarkStart w:id="82" w:name="_Toc485822605"/>
            <w:r w:rsidRPr="006D5E1B">
              <w:rPr>
                <w:color w:val="00B0F0"/>
              </w:rPr>
              <w:lastRenderedPageBreak/>
              <w:t>A</w:t>
            </w:r>
            <w:r w:rsidR="00B45747" w:rsidRPr="006D5E1B">
              <w:rPr>
                <w:color w:val="00B0F0"/>
              </w:rPr>
              <w:t xml:space="preserve">. </w:t>
            </w:r>
            <w:bookmarkEnd w:id="79"/>
            <w:bookmarkEnd w:id="80"/>
            <w:bookmarkEnd w:id="81"/>
            <w:r w:rsidR="009D1FF1" w:rsidRPr="006D5E1B">
              <w:rPr>
                <w:color w:val="00B0F0"/>
              </w:rPr>
              <w:t xml:space="preserve">Recent </w:t>
            </w:r>
            <w:r w:rsidR="00FC4F33" w:rsidRPr="006D5E1B">
              <w:rPr>
                <w:color w:val="00B0F0"/>
              </w:rPr>
              <w:t>D</w:t>
            </w:r>
            <w:r w:rsidR="009D1FF1" w:rsidRPr="006D5E1B">
              <w:rPr>
                <w:color w:val="00B0F0"/>
              </w:rPr>
              <w:t>evelopment</w:t>
            </w:r>
            <w:r w:rsidR="00FC4F33" w:rsidRPr="006D5E1B">
              <w:rPr>
                <w:color w:val="00B0F0"/>
              </w:rPr>
              <w:t>s</w:t>
            </w:r>
            <w:bookmarkEnd w:id="82"/>
          </w:p>
        </w:tc>
      </w:tr>
    </w:tbl>
    <w:p w14:paraId="41C7503F" w14:textId="77777777" w:rsidR="00B437E1" w:rsidRDefault="00B437E1" w:rsidP="00556DF3">
      <w:pPr>
        <w:rPr>
          <w:rFonts w:cs="Arial"/>
        </w:rPr>
      </w:pPr>
    </w:p>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tblGrid>
      <w:tr w:rsidR="001A4AA5" w14:paraId="3D2FFEB7" w14:textId="77777777" w:rsidTr="001A4AA5">
        <w:trPr>
          <w:trHeight w:val="4320"/>
        </w:trPr>
        <w:tc>
          <w:tcPr>
            <w:tcW w:w="7200" w:type="dxa"/>
          </w:tcPr>
          <w:p w14:paraId="165E5D5A" w14:textId="44EF95A7" w:rsidR="001A4AA5" w:rsidRDefault="00B412A1" w:rsidP="00BB07B6">
            <w:pPr>
              <w:ind w:left="-108"/>
              <w:rPr>
                <w:rFonts w:cs="Arial"/>
              </w:rPr>
            </w:pPr>
            <w:r>
              <w:rPr>
                <w:rFonts w:cs="Arial"/>
                <w:noProof/>
              </w:rPr>
              <w:drawing>
                <wp:inline distT="0" distB="0" distL="0" distR="0" wp14:anchorId="364CF5AB" wp14:editId="11E7BB61">
                  <wp:extent cx="4572000" cy="274254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712 A. Recent Developments Joe Qian.JPG"/>
                          <pic:cNvPicPr/>
                        </pic:nvPicPr>
                        <pic:blipFill>
                          <a:blip r:embed="rId30"/>
                          <a:stretch>
                            <a:fillRect/>
                          </a:stretch>
                        </pic:blipFill>
                        <pic:spPr>
                          <a:xfrm>
                            <a:off x="0" y="0"/>
                            <a:ext cx="4583105" cy="2749202"/>
                          </a:xfrm>
                          <a:prstGeom prst="rect">
                            <a:avLst/>
                          </a:prstGeom>
                        </pic:spPr>
                      </pic:pic>
                    </a:graphicData>
                  </a:graphic>
                </wp:inline>
              </w:drawing>
            </w:r>
          </w:p>
        </w:tc>
      </w:tr>
    </w:tbl>
    <w:p w14:paraId="754B9515" w14:textId="77777777" w:rsidR="001A4AA5" w:rsidRDefault="001A4AA5" w:rsidP="001A4AA5">
      <w:pPr>
        <w:pStyle w:val="BodyText"/>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ayout w:type="fixed"/>
        <w:tblLook w:val="04A0" w:firstRow="1" w:lastRow="0" w:firstColumn="1" w:lastColumn="0" w:noHBand="0" w:noVBand="1"/>
      </w:tblPr>
      <w:tblGrid>
        <w:gridCol w:w="9360"/>
      </w:tblGrid>
      <w:tr w:rsidR="00C839C1" w:rsidRPr="000A41D0" w14:paraId="31A1206A" w14:textId="77777777" w:rsidTr="00C839C1">
        <w:tc>
          <w:tcPr>
            <w:tcW w:w="9360" w:type="dxa"/>
          </w:tcPr>
          <w:p w14:paraId="0B3955E6" w14:textId="19012513" w:rsidR="00C839C1" w:rsidRPr="00F91BDE" w:rsidRDefault="00192EA4" w:rsidP="004F71E1">
            <w:pPr>
              <w:pStyle w:val="BodyText"/>
              <w:ind w:left="-18"/>
              <w:jc w:val="both"/>
              <w:rPr>
                <w:i/>
                <w:color w:val="0336A9"/>
                <w:sz w:val="24"/>
                <w:szCs w:val="24"/>
              </w:rPr>
            </w:pPr>
            <w:r>
              <w:rPr>
                <w:b/>
                <w:i/>
                <w:szCs w:val="22"/>
              </w:rPr>
              <w:t>Sri Lanka’s g</w:t>
            </w:r>
            <w:r w:rsidR="00CA4A5A" w:rsidRPr="00CA4A5A">
              <w:rPr>
                <w:b/>
                <w:i/>
                <w:szCs w:val="22"/>
              </w:rPr>
              <w:t xml:space="preserve">rowth </w:t>
            </w:r>
            <w:r w:rsidR="004F71E1">
              <w:rPr>
                <w:b/>
                <w:i/>
                <w:szCs w:val="22"/>
              </w:rPr>
              <w:t xml:space="preserve">slowed </w:t>
            </w:r>
            <w:r w:rsidR="00572C3E">
              <w:rPr>
                <w:b/>
                <w:i/>
                <w:szCs w:val="22"/>
              </w:rPr>
              <w:t xml:space="preserve">in </w:t>
            </w:r>
            <w:r w:rsidR="005466CD">
              <w:rPr>
                <w:b/>
                <w:i/>
                <w:szCs w:val="22"/>
              </w:rPr>
              <w:t>2</w:t>
            </w:r>
            <w:r w:rsidR="00572C3E">
              <w:rPr>
                <w:b/>
                <w:i/>
                <w:szCs w:val="22"/>
              </w:rPr>
              <w:t xml:space="preserve">016 </w:t>
            </w:r>
            <w:r w:rsidR="004F71E1">
              <w:rPr>
                <w:b/>
                <w:i/>
                <w:szCs w:val="22"/>
              </w:rPr>
              <w:t xml:space="preserve">due to a </w:t>
            </w:r>
            <w:r w:rsidR="00E10A63">
              <w:rPr>
                <w:b/>
                <w:i/>
                <w:szCs w:val="22"/>
              </w:rPr>
              <w:t xml:space="preserve">deceleration of consumption amid </w:t>
            </w:r>
            <w:r>
              <w:rPr>
                <w:b/>
                <w:i/>
                <w:szCs w:val="22"/>
              </w:rPr>
              <w:t>inclement</w:t>
            </w:r>
            <w:r w:rsidR="00E10A63">
              <w:rPr>
                <w:b/>
                <w:i/>
                <w:szCs w:val="22"/>
              </w:rPr>
              <w:t xml:space="preserve"> weather</w:t>
            </w:r>
            <w:r>
              <w:rPr>
                <w:b/>
                <w:i/>
                <w:szCs w:val="22"/>
              </w:rPr>
              <w:t>.</w:t>
            </w:r>
          </w:p>
        </w:tc>
      </w:tr>
    </w:tbl>
    <w:p w14:paraId="0D653D68" w14:textId="77777777" w:rsidR="00572C3E" w:rsidRDefault="00572C3E" w:rsidP="00572C3E">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72C3E" w:rsidRPr="000A41D0" w14:paraId="36610F0A" w14:textId="77777777" w:rsidTr="004F2A56">
        <w:tc>
          <w:tcPr>
            <w:tcW w:w="2020" w:type="dxa"/>
          </w:tcPr>
          <w:p w14:paraId="7FF16969" w14:textId="5BF80312" w:rsidR="00572C3E" w:rsidRPr="0094618C" w:rsidRDefault="004F71E1" w:rsidP="004F71E1">
            <w:pPr>
              <w:pStyle w:val="BodyText"/>
              <w:rPr>
                <w:b/>
              </w:rPr>
            </w:pPr>
            <w:r>
              <w:rPr>
                <w:b/>
              </w:rPr>
              <w:t>The r</w:t>
            </w:r>
            <w:r w:rsidR="00E10A63">
              <w:rPr>
                <w:b/>
              </w:rPr>
              <w:t>eal sector was adversely affected by weather.</w:t>
            </w:r>
          </w:p>
        </w:tc>
        <w:tc>
          <w:tcPr>
            <w:tcW w:w="145" w:type="dxa"/>
          </w:tcPr>
          <w:p w14:paraId="6B65EEE8" w14:textId="77777777" w:rsidR="00572C3E" w:rsidRPr="000A41D0" w:rsidRDefault="00572C3E" w:rsidP="004F2A56">
            <w:pPr>
              <w:pStyle w:val="BodyText"/>
            </w:pPr>
          </w:p>
        </w:tc>
        <w:tc>
          <w:tcPr>
            <w:tcW w:w="7221" w:type="dxa"/>
          </w:tcPr>
          <w:p w14:paraId="408B2D99" w14:textId="5E60BF9A" w:rsidR="00572C3E" w:rsidRPr="000A41D0" w:rsidRDefault="00770FAD" w:rsidP="004F71E1">
            <w:pPr>
              <w:pStyle w:val="BodyText"/>
              <w:jc w:val="both"/>
            </w:pPr>
            <w:r>
              <w:t>The impact of f</w:t>
            </w:r>
            <w:r w:rsidRPr="00770FAD">
              <w:t xml:space="preserve">loods </w:t>
            </w:r>
            <w:r>
              <w:t xml:space="preserve">in the </w:t>
            </w:r>
            <w:r w:rsidR="00855C24">
              <w:t>month of May</w:t>
            </w:r>
            <w:r>
              <w:t xml:space="preserve"> </w:t>
            </w:r>
            <w:r w:rsidR="00855C24">
              <w:t>a</w:t>
            </w:r>
            <w:r>
              <w:t>nd</w:t>
            </w:r>
            <w:r w:rsidRPr="00770FAD">
              <w:t xml:space="preserve"> droughts </w:t>
            </w:r>
            <w:r>
              <w:t xml:space="preserve">in the second half </w:t>
            </w:r>
            <w:r w:rsidR="00F8797F">
              <w:t xml:space="preserve">of 2016 </w:t>
            </w:r>
            <w:r w:rsidR="00FF44BF">
              <w:t xml:space="preserve">reduced the </w:t>
            </w:r>
            <w:r w:rsidR="00F8797F">
              <w:t xml:space="preserve">year’s </w:t>
            </w:r>
            <w:r w:rsidR="00CD734D">
              <w:t xml:space="preserve">economic </w:t>
            </w:r>
            <w:r w:rsidR="00FF44BF">
              <w:t xml:space="preserve">growth to 4.4 percent compared to 4.8 percent recorded in 2015. </w:t>
            </w:r>
            <w:r w:rsidR="00CD734D">
              <w:t>Adverse</w:t>
            </w:r>
            <w:r w:rsidR="00855C24">
              <w:t xml:space="preserve"> </w:t>
            </w:r>
            <w:r w:rsidR="00FF44BF">
              <w:t xml:space="preserve">weather </w:t>
            </w:r>
            <w:r w:rsidRPr="00770FAD">
              <w:t>turned the agriculture sector’s contribution to growth into a negative 0.3 percentage points</w:t>
            </w:r>
            <w:r w:rsidR="00FF44BF">
              <w:rPr>
                <w:rStyle w:val="FootnoteReference"/>
              </w:rPr>
              <w:footnoteReference w:id="4"/>
            </w:r>
            <w:r w:rsidR="00CF5D2A">
              <w:t xml:space="preserve"> while impacting related industry and service sectors</w:t>
            </w:r>
            <w:r w:rsidR="00F40597">
              <w:t xml:space="preserve"> (Box 2)</w:t>
            </w:r>
            <w:r w:rsidRPr="00770FAD">
              <w:t xml:space="preserve">. </w:t>
            </w:r>
            <w:r w:rsidR="00FF44BF">
              <w:t>In contrast</w:t>
            </w:r>
            <w:r w:rsidRPr="00770FAD">
              <w:t>, the construction sector</w:t>
            </w:r>
            <w:r w:rsidR="00FF44BF">
              <w:t>’s contribution to growth increased to 1.0 percentage point indicating a strong rebound from a negative contribution to growth in the previous</w:t>
            </w:r>
            <w:r w:rsidR="00CF5D2A">
              <w:t xml:space="preserve"> year</w:t>
            </w:r>
            <w:r w:rsidR="001E4234">
              <w:t xml:space="preserve">. This was mainly due to </w:t>
            </w:r>
            <w:r w:rsidR="00CF5D2A">
              <w:t>r</w:t>
            </w:r>
            <w:r w:rsidR="00423091">
              <w:t>e</w:t>
            </w:r>
            <w:r w:rsidR="004F71E1">
              <w:t xml:space="preserve">sumption </w:t>
            </w:r>
            <w:r w:rsidR="00423091">
              <w:t>of a few large</w:t>
            </w:r>
            <w:r w:rsidR="004C308D">
              <w:t>-</w:t>
            </w:r>
            <w:r w:rsidR="00423091">
              <w:t xml:space="preserve">scale infrastructure projects and </w:t>
            </w:r>
            <w:r w:rsidR="00CF5D2A">
              <w:t xml:space="preserve">increased </w:t>
            </w:r>
            <w:r w:rsidR="00423091">
              <w:t xml:space="preserve">private </w:t>
            </w:r>
            <w:r w:rsidR="00DC2FB9">
              <w:t>construction activities</w:t>
            </w:r>
            <w:r w:rsidR="00CF5D2A">
              <w:t>. Nevertheless, the construction rebound was not sufficient to fully compensate for the dampened performance of other</w:t>
            </w:r>
            <w:r w:rsidR="00CF5D2A" w:rsidRPr="00CF5D2A">
              <w:t xml:space="preserve"> industry and service sectors</w:t>
            </w:r>
            <w:r w:rsidR="00CF5D2A">
              <w:t xml:space="preserve"> amid unfavorable</w:t>
            </w:r>
            <w:r w:rsidR="001E4234">
              <w:t xml:space="preserve"> weather conditions,</w:t>
            </w:r>
            <w:r w:rsidR="00FA125F">
              <w:t xml:space="preserve"> </w:t>
            </w:r>
            <w:r w:rsidR="001E4234">
              <w:t>leading to a lower growth rate for 2016 compared to the previous year</w:t>
            </w:r>
            <w:r w:rsidR="008B65D8">
              <w:t xml:space="preserve"> (Figure 3</w:t>
            </w:r>
            <w:r w:rsidR="00F40597">
              <w:t>)</w:t>
            </w:r>
            <w:r w:rsidR="001E4234">
              <w:t>.</w:t>
            </w:r>
          </w:p>
        </w:tc>
      </w:tr>
    </w:tbl>
    <w:p w14:paraId="58556FA9" w14:textId="77777777" w:rsidR="0076553D" w:rsidRDefault="0076553D" w:rsidP="00572C3E">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7A0361" w:rsidRPr="000A41D0" w14:paraId="571A43F5" w14:textId="77777777" w:rsidTr="00601F39">
        <w:tc>
          <w:tcPr>
            <w:tcW w:w="2020" w:type="dxa"/>
          </w:tcPr>
          <w:p w14:paraId="780D5285" w14:textId="27F8B7E0" w:rsidR="007A0361" w:rsidRPr="0094618C" w:rsidRDefault="007A0361" w:rsidP="00601F39">
            <w:pPr>
              <w:pStyle w:val="BodyText"/>
              <w:rPr>
                <w:b/>
              </w:rPr>
            </w:pPr>
            <w:r>
              <w:rPr>
                <w:b/>
              </w:rPr>
              <w:t>Consumption and net exports recorded subdued performance.</w:t>
            </w:r>
          </w:p>
        </w:tc>
        <w:tc>
          <w:tcPr>
            <w:tcW w:w="145" w:type="dxa"/>
          </w:tcPr>
          <w:p w14:paraId="3223C243" w14:textId="77777777" w:rsidR="007A0361" w:rsidRPr="000A41D0" w:rsidRDefault="007A0361" w:rsidP="00601F39">
            <w:pPr>
              <w:pStyle w:val="BodyText"/>
            </w:pPr>
          </w:p>
        </w:tc>
        <w:tc>
          <w:tcPr>
            <w:tcW w:w="7221" w:type="dxa"/>
          </w:tcPr>
          <w:p w14:paraId="20E04741" w14:textId="3944D47B" w:rsidR="007A0361" w:rsidRPr="000A41D0" w:rsidRDefault="007A0361" w:rsidP="008B65D8">
            <w:pPr>
              <w:pStyle w:val="BodyText"/>
              <w:jc w:val="both"/>
            </w:pPr>
            <w:r>
              <w:t>Contribution to growth from consumption reached a six-year-low at 0.7 percentage points with both private and public c</w:t>
            </w:r>
            <w:r w:rsidR="00F8797F">
              <w:t>onsumption growing marginally. The i</w:t>
            </w:r>
            <w:r>
              <w:t xml:space="preserve">ncrease in interest rates and taxes and the impact of past currency depreciation affecting import prices reduced private consumption’s contribution to growth to 0.5 </w:t>
            </w:r>
            <w:r w:rsidR="001E4234">
              <w:t>percentage points</w:t>
            </w:r>
            <w:r>
              <w:t xml:space="preserve">. Meanwhile, on-going fiscal consolidation efforts kept public consumption in check </w:t>
            </w:r>
            <w:r w:rsidR="001E4234">
              <w:t xml:space="preserve">in real terms </w:t>
            </w:r>
            <w:r w:rsidR="00F8797F">
              <w:t>in 2016</w:t>
            </w:r>
            <w:r w:rsidR="004F71E1">
              <w:t>,</w:t>
            </w:r>
            <w:r w:rsidR="00F8797F">
              <w:t xml:space="preserve"> </w:t>
            </w:r>
            <w:r>
              <w:t xml:space="preserve">after the </w:t>
            </w:r>
            <w:r w:rsidR="00F8797F">
              <w:t>2015</w:t>
            </w:r>
            <w:r>
              <w:t xml:space="preserve"> fiscal budget</w:t>
            </w:r>
            <w:r w:rsidR="001E4234">
              <w:t xml:space="preserve"> increased public consumption significantly</w:t>
            </w:r>
            <w:r>
              <w:t xml:space="preserve">. However, </w:t>
            </w:r>
            <w:r w:rsidR="004F71E1">
              <w:t xml:space="preserve">mirroring </w:t>
            </w:r>
            <w:r>
              <w:t xml:space="preserve">construction </w:t>
            </w:r>
            <w:r w:rsidR="004F71E1">
              <w:t xml:space="preserve">sector </w:t>
            </w:r>
            <w:r>
              <w:t xml:space="preserve">growth, </w:t>
            </w:r>
            <w:r w:rsidR="004F71E1">
              <w:t xml:space="preserve">gross fixed capital formation </w:t>
            </w:r>
            <w:r>
              <w:t xml:space="preserve">made a significant contribution to growth </w:t>
            </w:r>
            <w:r w:rsidR="001E4234">
              <w:t>at 6.2 percentage points</w:t>
            </w:r>
            <w:r w:rsidR="001E4234">
              <w:rPr>
                <w:rStyle w:val="FootnoteReference"/>
              </w:rPr>
              <w:footnoteReference w:id="5"/>
            </w:r>
            <w:r w:rsidR="001E4234">
              <w:t xml:space="preserve"> while ne</w:t>
            </w:r>
            <w:r>
              <w:t xml:space="preserve">t exports had a negative impact </w:t>
            </w:r>
            <w:r w:rsidR="001E4234">
              <w:t xml:space="preserve">on growth of 2.5 percentage points </w:t>
            </w:r>
            <w:r>
              <w:t>due to increase in imports compared to exports</w:t>
            </w:r>
            <w:r w:rsidR="00F40597">
              <w:t xml:space="preserve"> (Figure </w:t>
            </w:r>
            <w:r w:rsidR="008B65D8">
              <w:t>4</w:t>
            </w:r>
            <w:r w:rsidR="00F40597">
              <w:t>)</w:t>
            </w:r>
            <w:r>
              <w:t xml:space="preserve">. </w:t>
            </w:r>
          </w:p>
        </w:tc>
      </w:tr>
    </w:tbl>
    <w:p w14:paraId="6A5098B6" w14:textId="137BFB4D" w:rsidR="002F3D40" w:rsidRDefault="002F3D40" w:rsidP="002F3D40">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4770"/>
      </w:tblGrid>
      <w:tr w:rsidR="00D7486E" w:rsidRPr="00525702" w14:paraId="0343BE7A" w14:textId="77777777" w:rsidTr="004246DE">
        <w:trPr>
          <w:trHeight w:val="218"/>
        </w:trPr>
        <w:tc>
          <w:tcPr>
            <w:tcW w:w="4680" w:type="dxa"/>
            <w:tcBorders>
              <w:top w:val="nil"/>
              <w:left w:val="nil"/>
              <w:bottom w:val="dotted" w:sz="4" w:space="0" w:color="0C4DA2"/>
              <w:right w:val="nil"/>
            </w:tcBorders>
            <w:hideMark/>
          </w:tcPr>
          <w:p w14:paraId="56AB8C44" w14:textId="5D291FDF" w:rsidR="00D7486E" w:rsidRPr="006229D9" w:rsidRDefault="00D7486E" w:rsidP="00A13DC2">
            <w:pPr>
              <w:pStyle w:val="Caption"/>
            </w:pPr>
            <w:bookmarkStart w:id="83" w:name="_Toc485822650"/>
            <w:r w:rsidRPr="006229D9">
              <w:lastRenderedPageBreak/>
              <w:t xml:space="preserve">Figure </w:t>
            </w:r>
            <w:fldSimple w:instr=" SEQ Figure \* ARABIC ">
              <w:r w:rsidR="00A12655">
                <w:rPr>
                  <w:noProof/>
                </w:rPr>
                <w:t>3</w:t>
              </w:r>
            </w:fldSimple>
            <w:r>
              <w:t>: Contributors to growth (production side)</w:t>
            </w:r>
            <w:bookmarkEnd w:id="83"/>
          </w:p>
          <w:p w14:paraId="0E30F036" w14:textId="77777777" w:rsidR="00D7486E" w:rsidRPr="00CE0CC3" w:rsidRDefault="00D7486E" w:rsidP="00A13DC2">
            <w:pPr>
              <w:pStyle w:val="IEQ-chart-subcaption"/>
              <w:ind w:left="0"/>
            </w:pPr>
            <w:r w:rsidRPr="00CE0CC3">
              <w:t>(</w:t>
            </w:r>
            <w:r w:rsidRPr="00B225B0">
              <w:t>Percent</w:t>
            </w:r>
            <w:r>
              <w:t>age points</w:t>
            </w:r>
            <w:r w:rsidRPr="00CE0CC3">
              <w:t>)</w:t>
            </w:r>
          </w:p>
        </w:tc>
        <w:tc>
          <w:tcPr>
            <w:tcW w:w="4770" w:type="dxa"/>
            <w:tcBorders>
              <w:top w:val="nil"/>
              <w:left w:val="nil"/>
              <w:bottom w:val="dotted" w:sz="4" w:space="0" w:color="0C4DA2"/>
              <w:right w:val="nil"/>
            </w:tcBorders>
            <w:hideMark/>
          </w:tcPr>
          <w:p w14:paraId="067C037D" w14:textId="00B84159" w:rsidR="00D7486E" w:rsidRDefault="00D7486E" w:rsidP="00A13DC2">
            <w:pPr>
              <w:pStyle w:val="Caption"/>
            </w:pPr>
            <w:bookmarkStart w:id="84" w:name="_Toc455504731"/>
            <w:bookmarkStart w:id="85" w:name="_Toc456718683"/>
            <w:bookmarkStart w:id="86" w:name="_Toc465253407"/>
            <w:bookmarkStart w:id="87" w:name="_Toc485822651"/>
            <w:r w:rsidRPr="00E93C4E">
              <w:t xml:space="preserve">Figure </w:t>
            </w:r>
            <w:fldSimple w:instr=" SEQ Figure \* ARABIC ">
              <w:r w:rsidR="00A12655">
                <w:rPr>
                  <w:noProof/>
                </w:rPr>
                <w:t>4</w:t>
              </w:r>
            </w:fldSimple>
            <w:r>
              <w:t xml:space="preserve">:  </w:t>
            </w:r>
            <w:r w:rsidRPr="00B225B0">
              <w:t xml:space="preserve">Contributors to </w:t>
            </w:r>
            <w:r>
              <w:t>growth (demand side)</w:t>
            </w:r>
            <w:bookmarkEnd w:id="84"/>
            <w:bookmarkEnd w:id="85"/>
            <w:bookmarkEnd w:id="86"/>
            <w:bookmarkEnd w:id="87"/>
          </w:p>
          <w:p w14:paraId="5E9E8AE8" w14:textId="77777777" w:rsidR="00D7486E" w:rsidRPr="00525702" w:rsidRDefault="00D7486E" w:rsidP="00A13DC2">
            <w:pPr>
              <w:pStyle w:val="IEQ-chart-subcaption"/>
              <w:ind w:left="0"/>
            </w:pPr>
            <w:r w:rsidRPr="00525702">
              <w:t>(</w:t>
            </w:r>
            <w:r w:rsidRPr="00B225B0">
              <w:t>Percent</w:t>
            </w:r>
            <w:r>
              <w:t>age points</w:t>
            </w:r>
            <w:r w:rsidRPr="00525702">
              <w:t>)</w:t>
            </w:r>
          </w:p>
        </w:tc>
      </w:tr>
      <w:tr w:rsidR="00D7486E" w14:paraId="599666BF" w14:textId="77777777" w:rsidTr="004246DE">
        <w:tblPrEx>
          <w:tblCellMar>
            <w:left w:w="108" w:type="dxa"/>
            <w:right w:w="108" w:type="dxa"/>
          </w:tblCellMar>
        </w:tblPrEx>
        <w:trPr>
          <w:trHeight w:val="3518"/>
        </w:trPr>
        <w:tc>
          <w:tcPr>
            <w:tcW w:w="4680" w:type="dxa"/>
            <w:tcBorders>
              <w:top w:val="dotted" w:sz="4" w:space="0" w:color="0C4DA2"/>
              <w:left w:val="nil"/>
              <w:bottom w:val="dotted" w:sz="4" w:space="0" w:color="0C4DA2"/>
              <w:right w:val="nil"/>
            </w:tcBorders>
            <w:hideMark/>
          </w:tcPr>
          <w:p w14:paraId="58EEF9C7" w14:textId="020F4FE2" w:rsidR="00D7486E" w:rsidRPr="00ED6AB4" w:rsidRDefault="00E23ECE" w:rsidP="00A13DC2">
            <w:pPr>
              <w:rPr>
                <w:rFonts w:ascii="Arial" w:hAnsi="Arial" w:cs="Arial"/>
                <w:i/>
                <w:sz w:val="16"/>
                <w:szCs w:val="16"/>
              </w:rPr>
            </w:pPr>
            <w:r w:rsidRPr="00E23ECE">
              <w:rPr>
                <w:rFonts w:ascii="Arial" w:hAnsi="Arial" w:cs="Arial"/>
                <w:i/>
                <w:noProof/>
                <w:sz w:val="16"/>
                <w:szCs w:val="16"/>
              </w:rPr>
              <w:drawing>
                <wp:inline distT="0" distB="0" distL="0" distR="0" wp14:anchorId="0AA7E3D4" wp14:editId="3E84A734">
                  <wp:extent cx="2843530" cy="22053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3530" cy="2205355"/>
                          </a:xfrm>
                          <a:prstGeom prst="rect">
                            <a:avLst/>
                          </a:prstGeom>
                          <a:noFill/>
                          <a:ln>
                            <a:noFill/>
                          </a:ln>
                        </pic:spPr>
                      </pic:pic>
                    </a:graphicData>
                  </a:graphic>
                </wp:inline>
              </w:drawing>
            </w:r>
            <w:r w:rsidRPr="00E23ECE">
              <w:rPr>
                <w:rStyle w:val="CommentReference"/>
                <w:rFonts w:ascii="Arial" w:hAnsi="Arial" w:cs="Arial"/>
                <w:i/>
              </w:rPr>
              <w:t xml:space="preserve"> </w:t>
            </w:r>
          </w:p>
        </w:tc>
        <w:tc>
          <w:tcPr>
            <w:tcW w:w="4770" w:type="dxa"/>
            <w:tcBorders>
              <w:top w:val="dotted" w:sz="4" w:space="0" w:color="0C4DA2"/>
              <w:left w:val="nil"/>
              <w:bottom w:val="dotted" w:sz="4" w:space="0" w:color="0C4DA2"/>
              <w:right w:val="nil"/>
            </w:tcBorders>
            <w:hideMark/>
          </w:tcPr>
          <w:p w14:paraId="62F12E9F" w14:textId="31962D50" w:rsidR="00D7486E" w:rsidRPr="00ED6AB4" w:rsidRDefault="00E23ECE" w:rsidP="00A13DC2">
            <w:pPr>
              <w:ind w:hanging="92"/>
              <w:jc w:val="right"/>
              <w:rPr>
                <w:rFonts w:ascii="Arial" w:hAnsi="Arial" w:cs="Arial"/>
                <w:sz w:val="16"/>
                <w:szCs w:val="16"/>
              </w:rPr>
            </w:pPr>
            <w:r>
              <w:rPr>
                <w:rFonts w:ascii="Arial" w:hAnsi="Arial" w:cs="Arial"/>
                <w:sz w:val="16"/>
                <w:szCs w:val="16"/>
              </w:rPr>
              <w:t xml:space="preserve"> </w:t>
            </w:r>
            <w:r w:rsidR="00560E1D" w:rsidRPr="00560E1D">
              <w:rPr>
                <w:rFonts w:ascii="Arial" w:hAnsi="Arial" w:cs="Arial"/>
                <w:noProof/>
                <w:sz w:val="16"/>
                <w:szCs w:val="16"/>
              </w:rPr>
              <w:drawing>
                <wp:inline distT="0" distB="0" distL="0" distR="0" wp14:anchorId="55AFAE19" wp14:editId="5FB15852">
                  <wp:extent cx="2881630" cy="21577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630" cy="2157730"/>
                          </a:xfrm>
                          <a:prstGeom prst="rect">
                            <a:avLst/>
                          </a:prstGeom>
                          <a:noFill/>
                          <a:ln>
                            <a:noFill/>
                          </a:ln>
                        </pic:spPr>
                      </pic:pic>
                    </a:graphicData>
                  </a:graphic>
                </wp:inline>
              </w:drawing>
            </w:r>
          </w:p>
        </w:tc>
      </w:tr>
      <w:tr w:rsidR="00805B33" w14:paraId="1DE4D233" w14:textId="77777777" w:rsidTr="004246DE">
        <w:trPr>
          <w:trHeight w:val="98"/>
        </w:trPr>
        <w:tc>
          <w:tcPr>
            <w:tcW w:w="4680" w:type="dxa"/>
            <w:tcBorders>
              <w:top w:val="dotted" w:sz="4" w:space="0" w:color="0C4DA2"/>
              <w:left w:val="nil"/>
              <w:bottom w:val="nil"/>
              <w:right w:val="nil"/>
            </w:tcBorders>
            <w:hideMark/>
          </w:tcPr>
          <w:p w14:paraId="2C59D381" w14:textId="77777777" w:rsidR="00805B33" w:rsidRDefault="00805B33" w:rsidP="00A13DC2">
            <w:pPr>
              <w:pStyle w:val="IEQSources-notes"/>
            </w:pPr>
            <w:r w:rsidRPr="00CE0CC3">
              <w:t xml:space="preserve">Source: </w:t>
            </w:r>
            <w:r w:rsidRPr="00B225B0">
              <w:t>Department of Census and Statistics</w:t>
            </w:r>
            <w:r>
              <w:t xml:space="preserve"> and staff calculations </w:t>
            </w:r>
            <w:r w:rsidRPr="00B225B0">
              <w:t xml:space="preserve"> </w:t>
            </w:r>
          </w:p>
        </w:tc>
        <w:tc>
          <w:tcPr>
            <w:tcW w:w="4770" w:type="dxa"/>
            <w:tcBorders>
              <w:top w:val="dotted" w:sz="4" w:space="0" w:color="0C4DA2"/>
              <w:left w:val="nil"/>
              <w:bottom w:val="nil"/>
              <w:right w:val="nil"/>
            </w:tcBorders>
          </w:tcPr>
          <w:p w14:paraId="79F0972F" w14:textId="23560A0C" w:rsidR="00805B33" w:rsidRDefault="00805B33" w:rsidP="00A13DC2">
            <w:pPr>
              <w:pStyle w:val="IEQSources-notes"/>
            </w:pPr>
            <w:r w:rsidRPr="00805B33">
              <w:t xml:space="preserve">Source: Department of Census and Statistics and staff calculations  </w:t>
            </w:r>
          </w:p>
        </w:tc>
      </w:tr>
    </w:tbl>
    <w:p w14:paraId="16647C09" w14:textId="77777777" w:rsidR="00D7486E" w:rsidRDefault="00D7486E" w:rsidP="002F3D40">
      <w:pPr>
        <w:pStyle w:val="BodyText"/>
      </w:pPr>
    </w:p>
    <w:p w14:paraId="78D3A620" w14:textId="77777777" w:rsidR="002F3D40" w:rsidRPr="000A41D0" w:rsidRDefault="002F3D40" w:rsidP="002F3D40">
      <w:pPr>
        <w:pStyle w:val="BodyText"/>
      </w:pPr>
    </w:p>
    <w:tbl>
      <w:tblPr>
        <w:tblStyle w:val="TableGrid"/>
        <w:tblW w:w="9360" w:type="dxa"/>
        <w:tblInd w:w="-215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43" w:type="dxa"/>
          <w:right w:w="43" w:type="dxa"/>
        </w:tblCellMar>
        <w:tblLook w:val="01E0" w:firstRow="1" w:lastRow="1" w:firstColumn="1" w:lastColumn="1" w:noHBand="0" w:noVBand="0"/>
      </w:tblPr>
      <w:tblGrid>
        <w:gridCol w:w="9360"/>
      </w:tblGrid>
      <w:tr w:rsidR="003C40AE" w:rsidRPr="000A41D0" w14:paraId="5156455D" w14:textId="77777777" w:rsidTr="003C40AE">
        <w:trPr>
          <w:trHeight w:val="216"/>
        </w:trPr>
        <w:tc>
          <w:tcPr>
            <w:tcW w:w="9360" w:type="dxa"/>
            <w:tcBorders>
              <w:top w:val="nil"/>
              <w:left w:val="nil"/>
              <w:bottom w:val="nil"/>
              <w:right w:val="nil"/>
            </w:tcBorders>
            <w:shd w:val="clear" w:color="auto" w:fill="0C4DA2"/>
          </w:tcPr>
          <w:p w14:paraId="11E67655" w14:textId="41E3A754" w:rsidR="003C40AE" w:rsidRPr="004D523C" w:rsidRDefault="003C40AE" w:rsidP="003C40AE">
            <w:pPr>
              <w:pStyle w:val="Boxcaption-Dev-Update"/>
              <w:ind w:left="0"/>
            </w:pPr>
            <w:bookmarkStart w:id="88" w:name="_Toc485824096"/>
            <w:r w:rsidRPr="003C40AE">
              <w:rPr>
                <w:sz w:val="22"/>
              </w:rPr>
              <w:t>Box 2</w:t>
            </w:r>
            <w:r w:rsidR="005B5671">
              <w:rPr>
                <w:sz w:val="22"/>
              </w:rPr>
              <w:t>:</w:t>
            </w:r>
            <w:r w:rsidRPr="003C40AE">
              <w:rPr>
                <w:sz w:val="22"/>
              </w:rPr>
              <w:t xml:space="preserve"> The impact of recurring natural disasters</w:t>
            </w:r>
            <w:bookmarkEnd w:id="88"/>
          </w:p>
        </w:tc>
      </w:tr>
      <w:tr w:rsidR="003C40AE" w:rsidRPr="004B1D8B" w14:paraId="6701403D" w14:textId="77777777" w:rsidTr="003C40AE">
        <w:tblPrEx>
          <w:tblCellMar>
            <w:left w:w="108" w:type="dxa"/>
            <w:right w:w="108" w:type="dxa"/>
          </w:tblCellMar>
        </w:tblPrEx>
        <w:trPr>
          <w:trHeight w:val="369"/>
        </w:trPr>
        <w:tc>
          <w:tcPr>
            <w:tcW w:w="9360" w:type="dxa"/>
            <w:tcBorders>
              <w:top w:val="nil"/>
              <w:left w:val="nil"/>
              <w:bottom w:val="nil"/>
              <w:right w:val="nil"/>
            </w:tcBorders>
            <w:shd w:val="clear" w:color="auto" w:fill="DBE5F1" w:themeFill="accent1" w:themeFillTint="33"/>
          </w:tcPr>
          <w:p w14:paraId="49E3BE7D" w14:textId="77777777" w:rsidR="00DB2A49" w:rsidRPr="004246DE" w:rsidRDefault="00DB2A49" w:rsidP="00756B0A">
            <w:pPr>
              <w:pStyle w:val="BodyText"/>
              <w:ind w:left="0"/>
              <w:jc w:val="both"/>
              <w:rPr>
                <w:sz w:val="16"/>
                <w:szCs w:val="16"/>
              </w:rPr>
            </w:pPr>
          </w:p>
          <w:p w14:paraId="2878B2B2" w14:textId="0162E47A" w:rsidR="003C40AE" w:rsidRDefault="003C40AE" w:rsidP="00756B0A">
            <w:pPr>
              <w:pStyle w:val="BodyText"/>
              <w:ind w:left="0"/>
              <w:jc w:val="both"/>
            </w:pPr>
            <w:r>
              <w:t xml:space="preserve">Sri Lanka is vulnerable to recurring natural disasters with a significant economic, fiscal and social impact: </w:t>
            </w:r>
          </w:p>
          <w:p w14:paraId="396C2471" w14:textId="015AF466" w:rsidR="003C40AE" w:rsidRDefault="003C40AE" w:rsidP="00756B0A">
            <w:pPr>
              <w:pStyle w:val="BodyText"/>
              <w:numPr>
                <w:ilvl w:val="0"/>
                <w:numId w:val="17"/>
              </w:numPr>
              <w:jc w:val="both"/>
            </w:pPr>
            <w:r>
              <w:t xml:space="preserve">The </w:t>
            </w:r>
            <w:r w:rsidRPr="003C40AE">
              <w:rPr>
                <w:b/>
              </w:rPr>
              <w:t>May</w:t>
            </w:r>
            <w:r>
              <w:t xml:space="preserve"> </w:t>
            </w:r>
            <w:r w:rsidRPr="004F71E1">
              <w:rPr>
                <w:b/>
              </w:rPr>
              <w:t>2016 floods and landslides</w:t>
            </w:r>
            <w:r>
              <w:t xml:space="preserve"> had a total estimated impact of LKR 100 billion. It was estimated that the damage was mainly to the private sector (housing, industry and commerce, LKR 90 billion), while the effect on the public sector was mainly through infrastructure and transport sector damage (LKR 8 billion). In the aftermath, the Government drew the USD 102 million World Bank’s Disaster Risk Management Development Policy Loan with a Catastrophe Deferred Drawdown Option (Cat-DDO) to provide immediate liquidity. The disaster affected mainly the Colombo and Gampaha urban areas, which has a large number of people living in or close to poverty.</w:t>
            </w:r>
            <w:r w:rsidR="00756B0A">
              <w:rPr>
                <w:vertAlign w:val="superscript"/>
              </w:rPr>
              <w:t>1</w:t>
            </w:r>
          </w:p>
          <w:p w14:paraId="04BECB5C" w14:textId="0A3FB7D0" w:rsidR="003C40AE" w:rsidRDefault="003C40AE" w:rsidP="00756B0A">
            <w:pPr>
              <w:pStyle w:val="BodyText"/>
              <w:numPr>
                <w:ilvl w:val="0"/>
                <w:numId w:val="17"/>
              </w:numPr>
              <w:jc w:val="both"/>
            </w:pPr>
            <w:r>
              <w:t xml:space="preserve">The </w:t>
            </w:r>
            <w:r w:rsidRPr="004F71E1">
              <w:rPr>
                <w:b/>
              </w:rPr>
              <w:t>late 2016 drought’s</w:t>
            </w:r>
            <w:r>
              <w:t xml:space="preserve"> impact mainly affected the agricultural sector, and led to widespread food insecurity in the affected regions. It led to decreased exports of agricultural exports, mainly tea, and increased imports of petrol, as hydropower reservoirs ran dry. The impact can also be seen on GDP growth, where the negative impact on agriculture dragged down growth.</w:t>
            </w:r>
            <w:r w:rsidR="0036272B" w:rsidRPr="0036272B">
              <w:rPr>
                <w:vertAlign w:val="superscript"/>
              </w:rPr>
              <w:t>2</w:t>
            </w:r>
          </w:p>
          <w:p w14:paraId="268C46C4" w14:textId="48274317" w:rsidR="003C40AE" w:rsidRDefault="003C40AE" w:rsidP="00756B0A">
            <w:pPr>
              <w:pStyle w:val="BodyText"/>
              <w:numPr>
                <w:ilvl w:val="0"/>
                <w:numId w:val="17"/>
              </w:numPr>
              <w:jc w:val="both"/>
            </w:pPr>
            <w:r w:rsidRPr="004F71E1">
              <w:rPr>
                <w:b/>
              </w:rPr>
              <w:t xml:space="preserve">Floods </w:t>
            </w:r>
            <w:r>
              <w:rPr>
                <w:b/>
              </w:rPr>
              <w:t xml:space="preserve">and landslides </w:t>
            </w:r>
            <w:r w:rsidRPr="004F71E1">
              <w:rPr>
                <w:b/>
              </w:rPr>
              <w:t>in late May</w:t>
            </w:r>
            <w:r>
              <w:rPr>
                <w:b/>
              </w:rPr>
              <w:t xml:space="preserve"> 2017</w:t>
            </w:r>
            <w:r>
              <w:t xml:space="preserve"> have affected districts in the South-West, </w:t>
            </w:r>
            <w:r w:rsidRPr="006F0DD6">
              <w:t>affected more than half a million people and caused 213 deaths and 77 people missing. This disaster destroyed over 3000 houses and partially damaged more than 20,000 houses. The economic impact of the event is being currently studied.</w:t>
            </w:r>
            <w:r w:rsidR="007E4DD8" w:rsidRPr="007E4DD8">
              <w:rPr>
                <w:vertAlign w:val="superscript"/>
              </w:rPr>
              <w:t>3</w:t>
            </w:r>
          </w:p>
          <w:p w14:paraId="6E838579" w14:textId="77777777" w:rsidR="003C40AE" w:rsidRDefault="003C40AE" w:rsidP="00756B0A">
            <w:pPr>
              <w:pStyle w:val="BodyText"/>
              <w:ind w:left="0"/>
              <w:jc w:val="both"/>
            </w:pPr>
          </w:p>
          <w:p w14:paraId="46A45C9B" w14:textId="5E6469B2" w:rsidR="003C40AE" w:rsidRDefault="003C40AE" w:rsidP="00756B0A">
            <w:pPr>
              <w:pStyle w:val="BodyText"/>
              <w:ind w:left="0"/>
              <w:jc w:val="both"/>
            </w:pPr>
            <w:r>
              <w:t>On average over the long term, annual losses for housing, infrastructure, agriculture, and relief from natural disasters are estimated at LKR 50 billion (or around USD 327 million), with the highest annual expected losses from floods (LKR 32 billion), cyclones or high winds (LKR 11 billion), droughts (LKR 5.2 billion) and landslides (LKR 1.8 billion). This is equivalent to 0.4 percent of GDP or 2.1 percent of government expenditure.</w:t>
            </w:r>
            <w:r w:rsidR="0036272B">
              <w:rPr>
                <w:vertAlign w:val="superscript"/>
              </w:rPr>
              <w:t>4</w:t>
            </w:r>
          </w:p>
          <w:p w14:paraId="2A8184A5" w14:textId="77777777" w:rsidR="003C40AE" w:rsidRDefault="003C40AE" w:rsidP="00756B0A">
            <w:pPr>
              <w:pStyle w:val="BodyText"/>
              <w:ind w:left="0"/>
              <w:jc w:val="both"/>
            </w:pPr>
          </w:p>
          <w:p w14:paraId="45CA7BB8" w14:textId="07110B73" w:rsidR="003C40AE" w:rsidRDefault="003C40AE" w:rsidP="00756B0A">
            <w:pPr>
              <w:pStyle w:val="BodyText"/>
              <w:ind w:left="0"/>
              <w:jc w:val="both"/>
            </w:pPr>
            <w:r>
              <w:t>The execution of the budget is knocked off track continuously due to the impact of natural disasters, which seem to have increased in frequency, severity and economic impact as Sri Lanka’s economy has grown and has become more sophisticated. Although fewer people were impacted than in previous floods, the damage caused by the 2016 floods and landslides was more than twice as high in US dollar terms than the worst flood disasters between 1992 and 2011.</w:t>
            </w:r>
            <w:r w:rsidR="0036272B">
              <w:rPr>
                <w:vertAlign w:val="superscript"/>
              </w:rPr>
              <w:t>4</w:t>
            </w:r>
          </w:p>
          <w:p w14:paraId="03F90A27" w14:textId="77777777" w:rsidR="003C40AE" w:rsidRDefault="003C40AE" w:rsidP="00756B0A">
            <w:pPr>
              <w:pStyle w:val="BodyText"/>
              <w:ind w:left="0"/>
              <w:jc w:val="both"/>
            </w:pPr>
          </w:p>
          <w:p w14:paraId="04073883" w14:textId="50E3C604" w:rsidR="003C40AE" w:rsidRDefault="003C40AE" w:rsidP="00756B0A">
            <w:pPr>
              <w:pStyle w:val="BodyText"/>
              <w:ind w:left="0"/>
              <w:jc w:val="both"/>
            </w:pPr>
            <w:r>
              <w:lastRenderedPageBreak/>
              <w:t xml:space="preserve">It is of utmost importance for Sri Lanka to increase its physical resilience (to reduce impact of disasters) and financial resilience (to deal with the impact when the disaster happens). To improve </w:t>
            </w:r>
            <w:r w:rsidRPr="004F71E1">
              <w:rPr>
                <w:b/>
              </w:rPr>
              <w:t>physical resilience</w:t>
            </w:r>
            <w:r w:rsidR="00756B0A">
              <w:rPr>
                <w:b/>
              </w:rPr>
              <w:t>,</w:t>
            </w:r>
            <w:r>
              <w:t xml:space="preserve"> the World Bank is supporting the Government’s Climate Resilience Improvement Project (CRIP)</w:t>
            </w:r>
            <w:r w:rsidR="0036272B">
              <w:rPr>
                <w:vertAlign w:val="superscript"/>
              </w:rPr>
              <w:t>5</w:t>
            </w:r>
            <w:r>
              <w:t xml:space="preserve"> and recommends: </w:t>
            </w:r>
          </w:p>
          <w:p w14:paraId="240FB1DD" w14:textId="77777777" w:rsidR="003C40AE" w:rsidRDefault="003C40AE" w:rsidP="00756B0A">
            <w:pPr>
              <w:pStyle w:val="BodyText"/>
              <w:numPr>
                <w:ilvl w:val="0"/>
                <w:numId w:val="15"/>
              </w:numPr>
              <w:jc w:val="both"/>
            </w:pPr>
            <w:r>
              <w:t xml:space="preserve">Identify current climate risk, and implement immediate risk mitigation interventions </w:t>
            </w:r>
          </w:p>
          <w:p w14:paraId="09272E93" w14:textId="77777777" w:rsidR="003C40AE" w:rsidRDefault="003C40AE" w:rsidP="00756B0A">
            <w:pPr>
              <w:pStyle w:val="BodyText"/>
              <w:numPr>
                <w:ilvl w:val="0"/>
                <w:numId w:val="15"/>
              </w:numPr>
              <w:jc w:val="both"/>
            </w:pPr>
            <w:r>
              <w:t>Identify future drivers of risk</w:t>
            </w:r>
          </w:p>
          <w:p w14:paraId="3F327539" w14:textId="77777777" w:rsidR="003C40AE" w:rsidRDefault="003C40AE" w:rsidP="00756B0A">
            <w:pPr>
              <w:pStyle w:val="BodyText"/>
              <w:numPr>
                <w:ilvl w:val="0"/>
                <w:numId w:val="15"/>
              </w:numPr>
              <w:jc w:val="both"/>
            </w:pPr>
            <w:r>
              <w:t>Create basin-level long-term risk mitigation investment plans, followed by physical investments</w:t>
            </w:r>
          </w:p>
          <w:p w14:paraId="0DC7F1EA" w14:textId="77777777" w:rsidR="003C40AE" w:rsidRDefault="003C40AE" w:rsidP="00756B0A">
            <w:pPr>
              <w:pStyle w:val="BodyText"/>
              <w:ind w:left="0"/>
              <w:jc w:val="both"/>
            </w:pPr>
          </w:p>
          <w:p w14:paraId="4A984831" w14:textId="77777777" w:rsidR="003C40AE" w:rsidRDefault="003C40AE" w:rsidP="00756B0A">
            <w:pPr>
              <w:pStyle w:val="BodyText"/>
              <w:ind w:left="0"/>
              <w:jc w:val="both"/>
            </w:pPr>
            <w:r>
              <w:t xml:space="preserve">To improve </w:t>
            </w:r>
            <w:r w:rsidRPr="004F71E1">
              <w:rPr>
                <w:b/>
              </w:rPr>
              <w:t>financial resilience</w:t>
            </w:r>
            <w:r>
              <w:t xml:space="preserve">, the World Bank recommends the following options to increase the Government’s immediate financial response capacity against natural disasters and better protect its fiscal balance </w:t>
            </w:r>
            <w:r w:rsidRPr="006F0DD6">
              <w:t>as well as to achieve timely response, relief and recovery</w:t>
            </w:r>
            <w:r>
              <w:t>:</w:t>
            </w:r>
          </w:p>
          <w:p w14:paraId="4F1663C1" w14:textId="77777777" w:rsidR="003C40AE" w:rsidRDefault="003C40AE" w:rsidP="00756B0A">
            <w:pPr>
              <w:pStyle w:val="BodyText"/>
              <w:ind w:left="0"/>
              <w:jc w:val="both"/>
            </w:pPr>
          </w:p>
          <w:p w14:paraId="28FDC8CB" w14:textId="77777777" w:rsidR="003C40AE" w:rsidRPr="003C40AE" w:rsidRDefault="003C40AE" w:rsidP="00756B0A">
            <w:pPr>
              <w:pStyle w:val="BodyText"/>
              <w:ind w:left="0"/>
              <w:jc w:val="both"/>
              <w:rPr>
                <w:i/>
              </w:rPr>
            </w:pPr>
            <w:r w:rsidRPr="003C40AE">
              <w:rPr>
                <w:i/>
              </w:rPr>
              <w:t xml:space="preserve">Short </w:t>
            </w:r>
            <w:r>
              <w:rPr>
                <w:i/>
              </w:rPr>
              <w:t>t</w:t>
            </w:r>
            <w:r w:rsidRPr="003C40AE">
              <w:rPr>
                <w:i/>
              </w:rPr>
              <w:t xml:space="preserve">erm </w:t>
            </w:r>
          </w:p>
          <w:p w14:paraId="2B0CD9E1" w14:textId="77777777" w:rsidR="003C40AE" w:rsidRPr="003C40AE" w:rsidRDefault="003C40AE" w:rsidP="00756B0A">
            <w:pPr>
              <w:pStyle w:val="BodyText"/>
              <w:numPr>
                <w:ilvl w:val="0"/>
                <w:numId w:val="21"/>
              </w:numPr>
              <w:jc w:val="both"/>
            </w:pPr>
            <w:r w:rsidRPr="003C40AE">
              <w:t>Streamline damage-and-loss data collection and reporting system</w:t>
            </w:r>
          </w:p>
          <w:p w14:paraId="270F672E" w14:textId="77777777" w:rsidR="003C40AE" w:rsidRPr="003C40AE" w:rsidRDefault="003C40AE" w:rsidP="00756B0A">
            <w:pPr>
              <w:pStyle w:val="BodyText"/>
              <w:numPr>
                <w:ilvl w:val="0"/>
                <w:numId w:val="21"/>
              </w:numPr>
              <w:jc w:val="both"/>
            </w:pPr>
            <w:r w:rsidRPr="003C40AE">
              <w:t>Develop a national disaster risk financing strategy</w:t>
            </w:r>
          </w:p>
          <w:p w14:paraId="14F60C68" w14:textId="77777777" w:rsidR="003C40AE" w:rsidRPr="003C40AE" w:rsidRDefault="003C40AE" w:rsidP="00756B0A">
            <w:pPr>
              <w:pStyle w:val="BodyText"/>
              <w:numPr>
                <w:ilvl w:val="0"/>
                <w:numId w:val="21"/>
              </w:numPr>
              <w:jc w:val="both"/>
            </w:pPr>
            <w:r w:rsidRPr="003C40AE">
              <w:t>Review the sustainability of the current catastrophe insurance program implemented by the government Enhance data sharing for insurance market development</w:t>
            </w:r>
          </w:p>
          <w:p w14:paraId="3E46AA34" w14:textId="77777777" w:rsidR="003C40AE" w:rsidRPr="003C40AE" w:rsidRDefault="003C40AE" w:rsidP="00756B0A">
            <w:pPr>
              <w:pStyle w:val="BodyText"/>
              <w:ind w:left="0"/>
              <w:jc w:val="both"/>
            </w:pPr>
          </w:p>
          <w:p w14:paraId="37FC5E1D" w14:textId="77777777" w:rsidR="003C40AE" w:rsidRPr="003C40AE" w:rsidRDefault="003C40AE" w:rsidP="00756B0A">
            <w:pPr>
              <w:pStyle w:val="BodyText"/>
              <w:ind w:left="0"/>
              <w:jc w:val="both"/>
              <w:rPr>
                <w:i/>
              </w:rPr>
            </w:pPr>
            <w:r w:rsidRPr="003C40AE">
              <w:rPr>
                <w:i/>
              </w:rPr>
              <w:t xml:space="preserve">Medium </w:t>
            </w:r>
            <w:r>
              <w:rPr>
                <w:i/>
              </w:rPr>
              <w:t>to l</w:t>
            </w:r>
            <w:r w:rsidRPr="003C40AE">
              <w:rPr>
                <w:i/>
              </w:rPr>
              <w:t xml:space="preserve">ong </w:t>
            </w:r>
            <w:r>
              <w:rPr>
                <w:i/>
              </w:rPr>
              <w:t>t</w:t>
            </w:r>
            <w:r w:rsidRPr="003C40AE">
              <w:rPr>
                <w:i/>
              </w:rPr>
              <w:t>erm</w:t>
            </w:r>
          </w:p>
          <w:p w14:paraId="67B3547A" w14:textId="77777777" w:rsidR="003C40AE" w:rsidRPr="003C40AE" w:rsidRDefault="003C40AE" w:rsidP="00756B0A">
            <w:pPr>
              <w:pStyle w:val="BodyText"/>
              <w:numPr>
                <w:ilvl w:val="0"/>
                <w:numId w:val="21"/>
              </w:numPr>
              <w:jc w:val="both"/>
            </w:pPr>
            <w:r w:rsidRPr="003C40AE">
              <w:t xml:space="preserve">Develop financial tools to support decision making, including a disaster risk model for Ministry of Finance Establish a National Disaster Reserve Fund as fast-disbursement mechanism for the financing of post-disaster operations; </w:t>
            </w:r>
          </w:p>
          <w:p w14:paraId="65BCB345" w14:textId="77777777" w:rsidR="003C40AE" w:rsidRPr="003C40AE" w:rsidRDefault="003C40AE" w:rsidP="00756B0A">
            <w:pPr>
              <w:pStyle w:val="BodyText"/>
              <w:numPr>
                <w:ilvl w:val="0"/>
                <w:numId w:val="21"/>
              </w:numPr>
              <w:jc w:val="both"/>
            </w:pPr>
            <w:r w:rsidRPr="003C40AE">
              <w:t xml:space="preserve">Explore catastrophe risk insurance options for public assets; </w:t>
            </w:r>
          </w:p>
          <w:p w14:paraId="13364DF0" w14:textId="77777777" w:rsidR="003C40AE" w:rsidRPr="003C40AE" w:rsidRDefault="003C40AE" w:rsidP="00756B0A">
            <w:pPr>
              <w:pStyle w:val="BodyText"/>
              <w:numPr>
                <w:ilvl w:val="0"/>
                <w:numId w:val="21"/>
              </w:numPr>
              <w:jc w:val="both"/>
            </w:pPr>
            <w:r w:rsidRPr="003C40AE">
              <w:t>Strengthen the agricultural insurance program</w:t>
            </w:r>
          </w:p>
          <w:p w14:paraId="2558AAEF" w14:textId="77777777" w:rsidR="003C40AE" w:rsidRDefault="003C40AE" w:rsidP="00756B0A">
            <w:pPr>
              <w:pStyle w:val="BodyText"/>
              <w:ind w:left="0"/>
              <w:jc w:val="both"/>
            </w:pPr>
          </w:p>
          <w:p w14:paraId="179F872F" w14:textId="3A71A3BF" w:rsidR="007E4DD8" w:rsidRPr="004246DE" w:rsidRDefault="0036272B" w:rsidP="004246DE">
            <w:pPr>
              <w:pStyle w:val="BodyText"/>
              <w:ind w:left="0"/>
              <w:rPr>
                <w:sz w:val="18"/>
                <w:szCs w:val="18"/>
              </w:rPr>
            </w:pPr>
            <w:r w:rsidRPr="004246DE">
              <w:rPr>
                <w:sz w:val="18"/>
                <w:szCs w:val="18"/>
                <w:vertAlign w:val="superscript"/>
              </w:rPr>
              <w:t>1</w:t>
            </w:r>
            <w:r w:rsidR="007E4DD8" w:rsidRPr="004246DE">
              <w:rPr>
                <w:sz w:val="18"/>
                <w:szCs w:val="18"/>
              </w:rPr>
              <w:t xml:space="preserve"> “Sri Lanka: Post-Disaster Needs Assessment. May 2016 Floods and Landslides”, Ministry of Disaster Management and Ministry of National Policies and Economic Affairs, in collaboration with the European Union, World Bank and United Nations, November 2016</w:t>
            </w:r>
          </w:p>
          <w:p w14:paraId="0828F1D8" w14:textId="77777777" w:rsidR="0036272B" w:rsidRPr="004246DE" w:rsidRDefault="0036272B" w:rsidP="004246DE">
            <w:pPr>
              <w:pStyle w:val="BodyText"/>
              <w:ind w:left="0"/>
              <w:rPr>
                <w:sz w:val="18"/>
                <w:szCs w:val="18"/>
              </w:rPr>
            </w:pPr>
            <w:r w:rsidRPr="004246DE">
              <w:rPr>
                <w:sz w:val="18"/>
                <w:szCs w:val="18"/>
                <w:vertAlign w:val="superscript"/>
              </w:rPr>
              <w:t>2</w:t>
            </w:r>
            <w:r w:rsidRPr="004246DE">
              <w:rPr>
                <w:sz w:val="18"/>
                <w:szCs w:val="18"/>
              </w:rPr>
              <w:t xml:space="preserve"> </w:t>
            </w:r>
            <w:r w:rsidR="007E4DD8" w:rsidRPr="004246DE">
              <w:rPr>
                <w:sz w:val="18"/>
                <w:szCs w:val="18"/>
              </w:rPr>
              <w:t>Sri Lanka. Joint Assessment of Drought Impact on Food Security and Livelihoods 15 March 2017, Ministry of Disaster Management, National Disaster Relief Centre, Disaster Management Centre and Hector Kobbekaduwa Agrarian Research &amp; Training Institute.</w:t>
            </w:r>
          </w:p>
          <w:p w14:paraId="6743F695" w14:textId="0AF03059" w:rsidR="0036272B" w:rsidRPr="004246DE" w:rsidRDefault="0036272B">
            <w:pPr>
              <w:pStyle w:val="BodyText"/>
              <w:ind w:left="0"/>
              <w:rPr>
                <w:sz w:val="18"/>
                <w:szCs w:val="18"/>
              </w:rPr>
            </w:pPr>
            <w:r w:rsidRPr="004246DE">
              <w:rPr>
                <w:sz w:val="18"/>
                <w:szCs w:val="18"/>
                <w:vertAlign w:val="superscript"/>
              </w:rPr>
              <w:t>3</w:t>
            </w:r>
            <w:r w:rsidRPr="004246DE">
              <w:rPr>
                <w:sz w:val="18"/>
                <w:szCs w:val="18"/>
              </w:rPr>
              <w:t xml:space="preserve"> Rapid Impact Assessment Report, June 1, 2017, </w:t>
            </w:r>
            <w:hyperlink r:id="rId33" w:history="1">
              <w:r w:rsidRPr="004246DE">
                <w:rPr>
                  <w:rStyle w:val="Hyperlink"/>
                  <w:rFonts w:cs="Arial"/>
                  <w:sz w:val="18"/>
                  <w:szCs w:val="18"/>
                </w:rPr>
                <w:t>http://www.dmc.gov.lk/attchments/20170602_SLA%202017%20flood%20%20Rapid%20Impact%20Assessment,v02.pdf</w:t>
              </w:r>
            </w:hyperlink>
          </w:p>
          <w:p w14:paraId="5C0D27EC" w14:textId="6F2E6DD8" w:rsidR="004D2F65" w:rsidRPr="004246DE" w:rsidRDefault="0036272B" w:rsidP="004246DE">
            <w:pPr>
              <w:pStyle w:val="BodyText"/>
              <w:ind w:left="0"/>
              <w:rPr>
                <w:sz w:val="18"/>
                <w:szCs w:val="18"/>
              </w:rPr>
            </w:pPr>
            <w:r w:rsidRPr="004246DE">
              <w:rPr>
                <w:sz w:val="18"/>
                <w:szCs w:val="18"/>
                <w:vertAlign w:val="superscript"/>
              </w:rPr>
              <w:t>4</w:t>
            </w:r>
            <w:r w:rsidR="004D2F65" w:rsidRPr="004246DE">
              <w:rPr>
                <w:sz w:val="18"/>
                <w:szCs w:val="18"/>
              </w:rPr>
              <w:t xml:space="preserve"> “Fiscal Disaster Risk Assessment and Risk Financing Options: Sri Lanka”, World Bank, January 2016. </w:t>
            </w:r>
            <w:hyperlink r:id="rId34" w:history="1">
              <w:r w:rsidR="007E4DD8" w:rsidRPr="004246DE">
                <w:rPr>
                  <w:rStyle w:val="Hyperlink"/>
                  <w:rFonts w:cs="Arial"/>
                  <w:sz w:val="18"/>
                  <w:szCs w:val="18"/>
                </w:rPr>
                <w:t>https://openknowledge.worldbank.org/handle/10986/24689</w:t>
              </w:r>
            </w:hyperlink>
          </w:p>
          <w:p w14:paraId="26CECFA9" w14:textId="3785E1F0" w:rsidR="003C40AE" w:rsidRPr="004B1D8B" w:rsidRDefault="0036272B" w:rsidP="004246DE">
            <w:pPr>
              <w:pStyle w:val="BodyText"/>
              <w:ind w:left="0"/>
              <w:rPr>
                <w:szCs w:val="22"/>
              </w:rPr>
            </w:pPr>
            <w:r w:rsidRPr="004246DE">
              <w:rPr>
                <w:sz w:val="18"/>
                <w:szCs w:val="18"/>
                <w:vertAlign w:val="superscript"/>
              </w:rPr>
              <w:t>5</w:t>
            </w:r>
            <w:r w:rsidR="007E4DD8" w:rsidRPr="004246DE">
              <w:rPr>
                <w:sz w:val="18"/>
                <w:szCs w:val="18"/>
              </w:rPr>
              <w:t xml:space="preserve"> </w:t>
            </w:r>
            <w:hyperlink r:id="rId35" w:history="1">
              <w:r w:rsidR="003C40AE" w:rsidRPr="004246DE">
                <w:rPr>
                  <w:rStyle w:val="Hyperlink"/>
                  <w:rFonts w:cs="Arial"/>
                  <w:sz w:val="18"/>
                  <w:szCs w:val="18"/>
                </w:rPr>
                <w:t>http://crip.lk/</w:t>
              </w:r>
            </w:hyperlink>
            <w:r w:rsidR="003C40AE" w:rsidRPr="004B1D8B">
              <w:rPr>
                <w:szCs w:val="22"/>
              </w:rPr>
              <w:t xml:space="preserve"> </w:t>
            </w:r>
          </w:p>
        </w:tc>
      </w:tr>
      <w:tr w:rsidR="003C40AE" w:rsidRPr="000A41D0" w14:paraId="4346C8AC" w14:textId="77777777" w:rsidTr="003C40AE">
        <w:trPr>
          <w:trHeight w:val="216"/>
        </w:trPr>
        <w:tc>
          <w:tcPr>
            <w:tcW w:w="9360" w:type="dxa"/>
            <w:tcBorders>
              <w:top w:val="nil"/>
              <w:left w:val="nil"/>
              <w:bottom w:val="nil"/>
              <w:right w:val="nil"/>
            </w:tcBorders>
            <w:shd w:val="clear" w:color="auto" w:fill="0C4DA2"/>
          </w:tcPr>
          <w:p w14:paraId="360A46B1" w14:textId="77777777" w:rsidR="003C40AE" w:rsidRPr="00C11406" w:rsidRDefault="003C40AE" w:rsidP="003C40AE">
            <w:pPr>
              <w:pStyle w:val="BodyText"/>
              <w:keepNext/>
              <w:ind w:left="0"/>
              <w:rPr>
                <w:b/>
                <w:color w:val="FFFFFF" w:themeColor="background1"/>
                <w:szCs w:val="22"/>
              </w:rPr>
            </w:pPr>
          </w:p>
        </w:tc>
      </w:tr>
    </w:tbl>
    <w:p w14:paraId="624A483A" w14:textId="6BCCC18A" w:rsidR="0076553D" w:rsidRDefault="0076553D" w:rsidP="00572C3E">
      <w:pPr>
        <w:pStyle w:val="BodyText"/>
      </w:pPr>
    </w:p>
    <w:p w14:paraId="2929BB14" w14:textId="77777777" w:rsidR="006543B8" w:rsidRDefault="006543B8" w:rsidP="00572C3E">
      <w:pPr>
        <w:pStyle w:val="BodyText"/>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FA125F" w:rsidRPr="000A41D0" w14:paraId="5CDCF427" w14:textId="77777777" w:rsidTr="00601F39">
        <w:tc>
          <w:tcPr>
            <w:tcW w:w="9360" w:type="dxa"/>
          </w:tcPr>
          <w:p w14:paraId="0CC42C1C" w14:textId="08841408" w:rsidR="00FA125F" w:rsidRPr="00F91BDE" w:rsidRDefault="00FA125F" w:rsidP="00FA125F">
            <w:pPr>
              <w:pStyle w:val="BodyText"/>
              <w:ind w:left="-18"/>
              <w:jc w:val="both"/>
              <w:rPr>
                <w:i/>
                <w:color w:val="0336A9"/>
                <w:sz w:val="24"/>
                <w:szCs w:val="24"/>
              </w:rPr>
            </w:pPr>
            <w:r>
              <w:rPr>
                <w:b/>
                <w:i/>
                <w:szCs w:val="22"/>
              </w:rPr>
              <w:t xml:space="preserve">Inflation rose </w:t>
            </w:r>
            <w:r w:rsidR="003D3486">
              <w:rPr>
                <w:b/>
                <w:i/>
                <w:szCs w:val="22"/>
              </w:rPr>
              <w:t xml:space="preserve">due to </w:t>
            </w:r>
            <w:r>
              <w:rPr>
                <w:b/>
                <w:i/>
                <w:szCs w:val="22"/>
              </w:rPr>
              <w:t>weather, VAT changes and demand pressures.</w:t>
            </w:r>
          </w:p>
        </w:tc>
      </w:tr>
    </w:tbl>
    <w:p w14:paraId="238F6F09" w14:textId="77777777" w:rsidR="00FA125F" w:rsidRPr="004A7AC1" w:rsidRDefault="00FA125F" w:rsidP="00FA125F">
      <w:pPr>
        <w:pStyle w:val="BodyText"/>
        <w:rPr>
          <w:sz w:val="18"/>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A125F" w:rsidRPr="000A41D0" w14:paraId="6B0D5193" w14:textId="77777777" w:rsidTr="00601F39">
        <w:tc>
          <w:tcPr>
            <w:tcW w:w="2020" w:type="dxa"/>
          </w:tcPr>
          <w:p w14:paraId="50A37134" w14:textId="652D4414" w:rsidR="00FA125F" w:rsidRPr="00BA50DD" w:rsidRDefault="00FA125F" w:rsidP="00D05040">
            <w:pPr>
              <w:pStyle w:val="BodyText"/>
              <w:rPr>
                <w:b/>
              </w:rPr>
            </w:pPr>
            <w:r>
              <w:rPr>
                <w:b/>
              </w:rPr>
              <w:t xml:space="preserve">Inflation has been rising </w:t>
            </w:r>
            <w:r w:rsidR="00D05040">
              <w:rPr>
                <w:b/>
              </w:rPr>
              <w:t>from the second half of 2016.</w:t>
            </w:r>
          </w:p>
        </w:tc>
        <w:tc>
          <w:tcPr>
            <w:tcW w:w="145" w:type="dxa"/>
          </w:tcPr>
          <w:p w14:paraId="293AB5ED" w14:textId="77777777" w:rsidR="00FA125F" w:rsidRPr="000A41D0" w:rsidRDefault="00FA125F" w:rsidP="00601F39">
            <w:pPr>
              <w:pStyle w:val="BodyText"/>
            </w:pPr>
          </w:p>
        </w:tc>
        <w:tc>
          <w:tcPr>
            <w:tcW w:w="7221" w:type="dxa"/>
          </w:tcPr>
          <w:p w14:paraId="4C621D5D" w14:textId="567B532F" w:rsidR="00FA125F" w:rsidRPr="000A41D0" w:rsidRDefault="00D05040" w:rsidP="00733C75">
            <w:pPr>
              <w:pStyle w:val="BodyText"/>
              <w:jc w:val="both"/>
            </w:pPr>
            <w:r>
              <w:t xml:space="preserve">A combination of factors including crop losses due to adverse weather, past currency depreciation and increased indirect taxes have contributed to </w:t>
            </w:r>
            <w:r w:rsidR="00D60DF9">
              <w:t xml:space="preserve">a rise in </w:t>
            </w:r>
            <w:r>
              <w:t>inflation since the second half of 2016</w:t>
            </w:r>
            <w:r w:rsidR="00855C24">
              <w:t xml:space="preserve"> while l</w:t>
            </w:r>
            <w:r w:rsidR="00D60DF9">
              <w:t xml:space="preserve">ow inflation levels observed in the year 2015 also pushed up </w:t>
            </w:r>
            <w:r w:rsidR="00855C24">
              <w:t>the change in prices</w:t>
            </w:r>
            <w:r w:rsidR="00D60DF9">
              <w:t xml:space="preserve"> through the base-effect. Accordingly, year-on-year inflation measured by the </w:t>
            </w:r>
            <w:r w:rsidR="005C0FF9">
              <w:t>widely</w:t>
            </w:r>
            <w:r w:rsidR="004C308D">
              <w:t xml:space="preserve"> </w:t>
            </w:r>
            <w:r w:rsidR="005C0FF9">
              <w:t xml:space="preserve">watched </w:t>
            </w:r>
            <w:r w:rsidR="00D60DF9">
              <w:t xml:space="preserve">Colombo Consumer Price Index (2013=100) </w:t>
            </w:r>
            <w:r>
              <w:t>reach</w:t>
            </w:r>
            <w:r w:rsidR="00D60DF9">
              <w:t>ed</w:t>
            </w:r>
            <w:r>
              <w:t xml:space="preserve"> </w:t>
            </w:r>
            <w:r w:rsidR="004D2F65">
              <w:t>6.0</w:t>
            </w:r>
            <w:r>
              <w:t xml:space="preserve"> percent </w:t>
            </w:r>
            <w:r w:rsidR="00D60DF9">
              <w:t xml:space="preserve">in </w:t>
            </w:r>
            <w:r w:rsidR="004D2F65">
              <w:t>May</w:t>
            </w:r>
            <w:r w:rsidR="00D60DF9">
              <w:t xml:space="preserve"> 2017 </w:t>
            </w:r>
            <w:r w:rsidR="004D2F65">
              <w:t>from 4.8</w:t>
            </w:r>
            <w:r>
              <w:t xml:space="preserve"> percent recorded a year earlier. Annual average i</w:t>
            </w:r>
            <w:r w:rsidR="00D60DF9">
              <w:t>nflation followed suit by ri</w:t>
            </w:r>
            <w:r w:rsidR="004D2F65">
              <w:t>sing to 5.4 percent from 2.7</w:t>
            </w:r>
            <w:r w:rsidR="00D60DF9">
              <w:t xml:space="preserve"> during the same period. In addition to food inflation, larger contribution</w:t>
            </w:r>
            <w:r w:rsidR="00855C24">
              <w:t>s</w:t>
            </w:r>
            <w:r w:rsidR="00D60DF9">
              <w:t xml:space="preserve"> to </w:t>
            </w:r>
            <w:r w:rsidR="00855C24">
              <w:t>the rise in prices</w:t>
            </w:r>
            <w:r w:rsidR="00D60DF9">
              <w:t xml:space="preserve"> came from health,</w:t>
            </w:r>
            <w:r w:rsidR="00F8797F">
              <w:rPr>
                <w:rStyle w:val="FootnoteReference"/>
              </w:rPr>
              <w:footnoteReference w:id="6"/>
            </w:r>
            <w:r w:rsidR="00D60DF9">
              <w:t xml:space="preserve"> education restaurant and hotel </w:t>
            </w:r>
            <w:r w:rsidR="00855C24">
              <w:t>segments with the increase in VAT rate.</w:t>
            </w:r>
            <w:r w:rsidR="00D60DF9">
              <w:t xml:space="preserve"> Reflecting demand pressures in the economy amid continued high monetary </w:t>
            </w:r>
            <w:r w:rsidR="00D60DF9">
              <w:lastRenderedPageBreak/>
              <w:t xml:space="preserve">growth, core inflation measured excluding fresh food and energy moved up </w:t>
            </w:r>
            <w:r w:rsidR="004D2F65">
              <w:t>to 5.5</w:t>
            </w:r>
            <w:r w:rsidR="00D60DF9">
              <w:t xml:space="preserve"> percent</w:t>
            </w:r>
            <w:r w:rsidR="004D2F65">
              <w:t xml:space="preserve"> by May 2017</w:t>
            </w:r>
            <w:r w:rsidR="00D60DF9">
              <w:t>, on a</w:t>
            </w:r>
            <w:r w:rsidR="004D2F65">
              <w:t xml:space="preserve">n annual average </w:t>
            </w:r>
            <w:r w:rsidR="00D60DF9">
              <w:t>basis</w:t>
            </w:r>
            <w:r w:rsidR="00733C75">
              <w:t xml:space="preserve"> </w:t>
            </w:r>
            <w:r w:rsidR="008B65D8">
              <w:t>(Figure 5 and 6</w:t>
            </w:r>
            <w:r w:rsidR="00733C75" w:rsidRPr="00EC6FBA">
              <w:t>).</w:t>
            </w:r>
            <w:r w:rsidR="00FA125F">
              <w:t xml:space="preserve"> </w:t>
            </w:r>
          </w:p>
        </w:tc>
      </w:tr>
    </w:tbl>
    <w:p w14:paraId="78FF579B" w14:textId="5BC61514" w:rsidR="00FA125F" w:rsidRPr="004A7AC1" w:rsidRDefault="00FA125F" w:rsidP="00FA125F">
      <w:pPr>
        <w:pStyle w:val="BodyText"/>
        <w:rPr>
          <w:sz w:val="18"/>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A125F" w:rsidRPr="000A41D0" w14:paraId="02D09434" w14:textId="77777777" w:rsidTr="00601F39">
        <w:tc>
          <w:tcPr>
            <w:tcW w:w="2020" w:type="dxa"/>
          </w:tcPr>
          <w:p w14:paraId="76D0C207" w14:textId="77777777" w:rsidR="00FA125F" w:rsidRPr="00EC6FBA" w:rsidRDefault="00FA125F" w:rsidP="00601F39">
            <w:pPr>
              <w:pStyle w:val="BodyText"/>
              <w:rPr>
                <w:b/>
                <w:szCs w:val="22"/>
              </w:rPr>
            </w:pPr>
            <w:r>
              <w:rPr>
                <w:b/>
                <w:szCs w:val="22"/>
              </w:rPr>
              <w:t xml:space="preserve">The new national price index echoed same trends. </w:t>
            </w:r>
          </w:p>
        </w:tc>
        <w:tc>
          <w:tcPr>
            <w:tcW w:w="145" w:type="dxa"/>
          </w:tcPr>
          <w:p w14:paraId="41B075F6" w14:textId="77777777" w:rsidR="00FA125F" w:rsidRPr="00EC6FBA" w:rsidRDefault="00FA125F" w:rsidP="00601F39">
            <w:pPr>
              <w:pStyle w:val="BodyText"/>
              <w:rPr>
                <w:szCs w:val="22"/>
              </w:rPr>
            </w:pPr>
          </w:p>
        </w:tc>
        <w:tc>
          <w:tcPr>
            <w:tcW w:w="7221" w:type="dxa"/>
          </w:tcPr>
          <w:p w14:paraId="29AA3C1B" w14:textId="262493F7" w:rsidR="00FA125F" w:rsidRPr="00EC6FBA" w:rsidRDefault="00FA125F" w:rsidP="00733C75">
            <w:pPr>
              <w:jc w:val="both"/>
              <w:rPr>
                <w:sz w:val="22"/>
              </w:rPr>
            </w:pPr>
            <w:r w:rsidRPr="00EC6FBA">
              <w:rPr>
                <w:sz w:val="22"/>
              </w:rPr>
              <w:t xml:space="preserve">The recently introduced National Consumer Price Index (NCPI, 2013=100) that reflects price movements of all provinces </w:t>
            </w:r>
            <w:r w:rsidR="005C0FF9">
              <w:rPr>
                <w:sz w:val="22"/>
              </w:rPr>
              <w:t xml:space="preserve">of the country </w:t>
            </w:r>
            <w:r w:rsidRPr="00EC6FBA">
              <w:rPr>
                <w:sz w:val="22"/>
              </w:rPr>
              <w:t xml:space="preserve">based on the Household Income and Expenditure Survey (HIES) reported a </w:t>
            </w:r>
            <w:r w:rsidR="005C0FF9">
              <w:rPr>
                <w:sz w:val="22"/>
              </w:rPr>
              <w:t xml:space="preserve">higher </w:t>
            </w:r>
            <w:r w:rsidRPr="00EC6FBA">
              <w:rPr>
                <w:sz w:val="22"/>
              </w:rPr>
              <w:t xml:space="preserve">year-on-year inflation of </w:t>
            </w:r>
            <w:r w:rsidR="00733C75">
              <w:rPr>
                <w:sz w:val="22"/>
              </w:rPr>
              <w:t>8.4</w:t>
            </w:r>
            <w:r w:rsidRPr="00EC6FBA">
              <w:rPr>
                <w:sz w:val="22"/>
              </w:rPr>
              <w:t xml:space="preserve"> percent and an annual average inflation of </w:t>
            </w:r>
            <w:r w:rsidR="00733C75">
              <w:rPr>
                <w:sz w:val="22"/>
              </w:rPr>
              <w:t>6.0</w:t>
            </w:r>
            <w:r w:rsidRPr="00EC6FBA">
              <w:rPr>
                <w:sz w:val="22"/>
              </w:rPr>
              <w:t xml:space="preserve"> percent by </w:t>
            </w:r>
            <w:r w:rsidR="00733C75">
              <w:rPr>
                <w:sz w:val="22"/>
              </w:rPr>
              <w:t>April</w:t>
            </w:r>
            <w:r w:rsidR="005C0FF9">
              <w:rPr>
                <w:sz w:val="22"/>
              </w:rPr>
              <w:t xml:space="preserve"> 2017</w:t>
            </w:r>
            <w:r w:rsidR="00733C75">
              <w:rPr>
                <w:sz w:val="22"/>
              </w:rPr>
              <w:t>.</w:t>
            </w:r>
            <w:r w:rsidRPr="00EC6FBA">
              <w:rPr>
                <w:sz w:val="22"/>
              </w:rPr>
              <w:t xml:space="preserve"> </w:t>
            </w:r>
          </w:p>
        </w:tc>
      </w:tr>
    </w:tbl>
    <w:p w14:paraId="1EAB4747" w14:textId="77777777" w:rsidR="00D837D5" w:rsidRDefault="00D837D5" w:rsidP="00D837D5">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14"/>
        <w:gridCol w:w="4756"/>
      </w:tblGrid>
      <w:tr w:rsidR="00D837D5" w:rsidRPr="00525702" w14:paraId="571020FE" w14:textId="77777777" w:rsidTr="002E79C8">
        <w:trPr>
          <w:trHeight w:val="218"/>
        </w:trPr>
        <w:tc>
          <w:tcPr>
            <w:tcW w:w="4694" w:type="dxa"/>
            <w:gridSpan w:val="2"/>
            <w:tcBorders>
              <w:top w:val="nil"/>
              <w:left w:val="nil"/>
              <w:bottom w:val="dotted" w:sz="4" w:space="0" w:color="0C4DA2"/>
              <w:right w:val="nil"/>
            </w:tcBorders>
            <w:hideMark/>
          </w:tcPr>
          <w:p w14:paraId="2BDA275E" w14:textId="0356AC0F" w:rsidR="00D837D5" w:rsidRPr="006229D9" w:rsidRDefault="00D837D5" w:rsidP="002E79C8">
            <w:pPr>
              <w:pStyle w:val="Caption"/>
            </w:pPr>
            <w:bookmarkStart w:id="89" w:name="_Toc485822652"/>
            <w:r w:rsidRPr="006229D9">
              <w:t xml:space="preserve">Figure </w:t>
            </w:r>
            <w:fldSimple w:instr=" SEQ Figure \* ARABIC ">
              <w:r w:rsidR="00A12655">
                <w:rPr>
                  <w:noProof/>
                </w:rPr>
                <w:t>5</w:t>
              </w:r>
            </w:fldSimple>
            <w:r>
              <w:t xml:space="preserve">: </w:t>
            </w:r>
            <w:r w:rsidR="004F54FB">
              <w:t>Inflation Drivers</w:t>
            </w:r>
            <w:r w:rsidR="00733C75">
              <w:t xml:space="preserve"> (CCPI: 2013=100)</w:t>
            </w:r>
            <w:bookmarkEnd w:id="89"/>
          </w:p>
          <w:p w14:paraId="6B24F9F1" w14:textId="77777777" w:rsidR="00D837D5" w:rsidRPr="00CE0CC3" w:rsidRDefault="00D837D5" w:rsidP="002E79C8">
            <w:pPr>
              <w:pStyle w:val="IEQ-chart-subcaption"/>
              <w:ind w:left="0"/>
            </w:pPr>
            <w:r w:rsidRPr="00CE0CC3">
              <w:t>(</w:t>
            </w:r>
            <w:r w:rsidRPr="00B225B0">
              <w:t>Percent</w:t>
            </w:r>
            <w:r w:rsidRPr="00CE0CC3">
              <w:t>)</w:t>
            </w:r>
          </w:p>
        </w:tc>
        <w:tc>
          <w:tcPr>
            <w:tcW w:w="4756" w:type="dxa"/>
            <w:tcBorders>
              <w:top w:val="nil"/>
              <w:left w:val="nil"/>
              <w:bottom w:val="dotted" w:sz="4" w:space="0" w:color="0C4DA2"/>
              <w:right w:val="nil"/>
            </w:tcBorders>
            <w:hideMark/>
          </w:tcPr>
          <w:p w14:paraId="0495869E" w14:textId="3838D4B7" w:rsidR="00D837D5" w:rsidRDefault="00D837D5" w:rsidP="002E79C8">
            <w:pPr>
              <w:pStyle w:val="Caption"/>
            </w:pPr>
            <w:bookmarkStart w:id="90" w:name="_Toc485822653"/>
            <w:r w:rsidRPr="00E93C4E">
              <w:t xml:space="preserve">Figure </w:t>
            </w:r>
            <w:fldSimple w:instr=" SEQ Figure \* ARABIC ">
              <w:r w:rsidR="00A12655">
                <w:rPr>
                  <w:noProof/>
                </w:rPr>
                <w:t>6</w:t>
              </w:r>
            </w:fldSimple>
            <w:r w:rsidR="00DC61D4">
              <w:t xml:space="preserve">: </w:t>
            </w:r>
            <w:r w:rsidR="00F40597">
              <w:t>Headline versus core inflation</w:t>
            </w:r>
            <w:r w:rsidR="00733C75">
              <w:t xml:space="preserve"> (CCPI: 2013=100)</w:t>
            </w:r>
            <w:bookmarkEnd w:id="90"/>
          </w:p>
          <w:p w14:paraId="775A1CCF" w14:textId="77777777" w:rsidR="00D837D5" w:rsidRPr="00525702" w:rsidRDefault="00D837D5" w:rsidP="002E79C8">
            <w:pPr>
              <w:pStyle w:val="IEQ-chart-subcaption"/>
              <w:ind w:left="0"/>
            </w:pPr>
            <w:r w:rsidRPr="00525702">
              <w:t>(</w:t>
            </w:r>
            <w:r w:rsidRPr="00B225B0">
              <w:t>Percent</w:t>
            </w:r>
            <w:r w:rsidRPr="00525702">
              <w:t>)</w:t>
            </w:r>
          </w:p>
        </w:tc>
      </w:tr>
      <w:tr w:rsidR="00D837D5" w14:paraId="69B30E34" w14:textId="77777777" w:rsidTr="002E79C8">
        <w:tblPrEx>
          <w:tblCellMar>
            <w:left w:w="108" w:type="dxa"/>
            <w:right w:w="108" w:type="dxa"/>
          </w:tblCellMar>
        </w:tblPrEx>
        <w:trPr>
          <w:trHeight w:val="3518"/>
        </w:trPr>
        <w:tc>
          <w:tcPr>
            <w:tcW w:w="4694" w:type="dxa"/>
            <w:gridSpan w:val="2"/>
            <w:tcBorders>
              <w:top w:val="dotted" w:sz="4" w:space="0" w:color="0C4DA2"/>
              <w:left w:val="nil"/>
              <w:bottom w:val="dotted" w:sz="4" w:space="0" w:color="0C4DA2"/>
              <w:right w:val="nil"/>
            </w:tcBorders>
            <w:hideMark/>
          </w:tcPr>
          <w:p w14:paraId="20CE8A6A" w14:textId="53CF650F" w:rsidR="00D837D5" w:rsidRPr="00ED6AB4" w:rsidRDefault="00380903" w:rsidP="002E79C8">
            <w:pPr>
              <w:rPr>
                <w:rFonts w:ascii="Arial" w:hAnsi="Arial" w:cs="Arial"/>
                <w:i/>
                <w:sz w:val="16"/>
                <w:szCs w:val="16"/>
              </w:rPr>
            </w:pPr>
            <w:r w:rsidRPr="00380903">
              <w:rPr>
                <w:rFonts w:ascii="Arial" w:hAnsi="Arial" w:cs="Arial"/>
                <w:i/>
                <w:noProof/>
                <w:sz w:val="16"/>
                <w:szCs w:val="16"/>
              </w:rPr>
              <w:drawing>
                <wp:inline distT="0" distB="0" distL="0" distR="0" wp14:anchorId="550FC63A" wp14:editId="23E2EDF4">
                  <wp:extent cx="2843530" cy="21037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3530" cy="2103755"/>
                          </a:xfrm>
                          <a:prstGeom prst="rect">
                            <a:avLst/>
                          </a:prstGeom>
                          <a:noFill/>
                          <a:ln>
                            <a:noFill/>
                          </a:ln>
                        </pic:spPr>
                      </pic:pic>
                    </a:graphicData>
                  </a:graphic>
                </wp:inline>
              </w:drawing>
            </w:r>
          </w:p>
        </w:tc>
        <w:tc>
          <w:tcPr>
            <w:tcW w:w="4756" w:type="dxa"/>
            <w:tcBorders>
              <w:top w:val="dotted" w:sz="4" w:space="0" w:color="0C4DA2"/>
              <w:left w:val="nil"/>
              <w:bottom w:val="dotted" w:sz="4" w:space="0" w:color="0C4DA2"/>
              <w:right w:val="nil"/>
            </w:tcBorders>
            <w:hideMark/>
          </w:tcPr>
          <w:p w14:paraId="2EA0CBB1" w14:textId="4991CB4A" w:rsidR="00D837D5" w:rsidRPr="00ED6AB4" w:rsidRDefault="00380903" w:rsidP="002E79C8">
            <w:pPr>
              <w:ind w:hanging="92"/>
              <w:jc w:val="right"/>
              <w:rPr>
                <w:rFonts w:ascii="Arial" w:hAnsi="Arial" w:cs="Arial"/>
                <w:sz w:val="16"/>
                <w:szCs w:val="16"/>
              </w:rPr>
            </w:pPr>
            <w:r w:rsidRPr="00380903">
              <w:rPr>
                <w:rFonts w:ascii="Arial" w:hAnsi="Arial" w:cs="Arial"/>
                <w:noProof/>
                <w:sz w:val="16"/>
                <w:szCs w:val="16"/>
              </w:rPr>
              <w:drawing>
                <wp:inline distT="0" distB="0" distL="0" distR="0" wp14:anchorId="3E5D06EF" wp14:editId="1D2C5A52">
                  <wp:extent cx="2880360" cy="21355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0360" cy="2135505"/>
                          </a:xfrm>
                          <a:prstGeom prst="rect">
                            <a:avLst/>
                          </a:prstGeom>
                          <a:noFill/>
                          <a:ln>
                            <a:noFill/>
                          </a:ln>
                        </pic:spPr>
                      </pic:pic>
                    </a:graphicData>
                  </a:graphic>
                </wp:inline>
              </w:drawing>
            </w:r>
          </w:p>
        </w:tc>
      </w:tr>
      <w:tr w:rsidR="006543B8" w14:paraId="272818DA" w14:textId="77777777" w:rsidTr="004246DE">
        <w:trPr>
          <w:trHeight w:val="98"/>
        </w:trPr>
        <w:tc>
          <w:tcPr>
            <w:tcW w:w="4680" w:type="dxa"/>
            <w:tcBorders>
              <w:top w:val="dotted" w:sz="4" w:space="0" w:color="0C4DA2"/>
              <w:left w:val="nil"/>
              <w:bottom w:val="nil"/>
              <w:right w:val="nil"/>
            </w:tcBorders>
            <w:hideMark/>
          </w:tcPr>
          <w:p w14:paraId="70CE28E7" w14:textId="77777777" w:rsidR="006543B8" w:rsidRDefault="006543B8" w:rsidP="00F40597">
            <w:pPr>
              <w:pStyle w:val="IEQSources-notes"/>
            </w:pPr>
            <w:r w:rsidRPr="00CE0CC3">
              <w:t xml:space="preserve">Source: </w:t>
            </w:r>
            <w:r w:rsidRPr="00B225B0">
              <w:t>Department of Census and Statistics</w:t>
            </w:r>
            <w:r>
              <w:t xml:space="preserve"> and staff calculations </w:t>
            </w:r>
            <w:r w:rsidRPr="00B225B0">
              <w:t xml:space="preserve"> </w:t>
            </w:r>
          </w:p>
        </w:tc>
        <w:tc>
          <w:tcPr>
            <w:tcW w:w="4770" w:type="dxa"/>
            <w:gridSpan w:val="2"/>
            <w:tcBorders>
              <w:top w:val="dotted" w:sz="4" w:space="0" w:color="0C4DA2"/>
              <w:left w:val="nil"/>
              <w:bottom w:val="nil"/>
              <w:right w:val="nil"/>
            </w:tcBorders>
          </w:tcPr>
          <w:p w14:paraId="1534D6FB" w14:textId="57EDEFEC" w:rsidR="006543B8" w:rsidRDefault="006543B8" w:rsidP="00F40597">
            <w:pPr>
              <w:pStyle w:val="IEQSources-notes"/>
            </w:pPr>
            <w:r w:rsidRPr="006543B8">
              <w:t xml:space="preserve">Source: Department of Census and Statistics and staff calculations  </w:t>
            </w:r>
          </w:p>
        </w:tc>
      </w:tr>
    </w:tbl>
    <w:p w14:paraId="028CF25C" w14:textId="6279EE48" w:rsidR="00F4007F" w:rsidRDefault="00F4007F" w:rsidP="00F4007F">
      <w:pPr>
        <w:pStyle w:val="BodyText"/>
        <w:rPr>
          <w:b/>
        </w:rPr>
      </w:pPr>
    </w:p>
    <w:p w14:paraId="7AB7205C" w14:textId="77777777" w:rsidR="006543B8" w:rsidRDefault="006543B8" w:rsidP="00F4007F">
      <w:pPr>
        <w:pStyle w:val="BodyText"/>
        <w:rPr>
          <w:b/>
        </w:rPr>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F4007F" w:rsidRPr="000A41D0" w14:paraId="30931D12" w14:textId="77777777" w:rsidTr="00771D33">
        <w:tc>
          <w:tcPr>
            <w:tcW w:w="9360" w:type="dxa"/>
          </w:tcPr>
          <w:p w14:paraId="7E7383C5" w14:textId="32677D20" w:rsidR="00F4007F" w:rsidRPr="00F91BDE" w:rsidRDefault="00FC665B" w:rsidP="00B35A95">
            <w:pPr>
              <w:pStyle w:val="BodyText"/>
              <w:ind w:left="-18"/>
              <w:jc w:val="both"/>
              <w:rPr>
                <w:i/>
                <w:color w:val="0336A9"/>
                <w:sz w:val="24"/>
                <w:szCs w:val="24"/>
              </w:rPr>
            </w:pPr>
            <w:r>
              <w:rPr>
                <w:b/>
                <w:i/>
                <w:szCs w:val="22"/>
              </w:rPr>
              <w:t>Rationalization</w:t>
            </w:r>
            <w:r w:rsidR="00F4007F">
              <w:rPr>
                <w:b/>
                <w:i/>
                <w:szCs w:val="22"/>
              </w:rPr>
              <w:t xml:space="preserve"> </w:t>
            </w:r>
            <w:r>
              <w:rPr>
                <w:b/>
                <w:i/>
                <w:szCs w:val="22"/>
              </w:rPr>
              <w:t>o</w:t>
            </w:r>
            <w:r w:rsidR="00F4007F">
              <w:rPr>
                <w:b/>
                <w:i/>
                <w:szCs w:val="22"/>
              </w:rPr>
              <w:t xml:space="preserve">f expenditure and improved revenue collection </w:t>
            </w:r>
            <w:r>
              <w:rPr>
                <w:b/>
                <w:i/>
                <w:szCs w:val="22"/>
              </w:rPr>
              <w:t>helped meeting fiscal targets.</w:t>
            </w:r>
          </w:p>
        </w:tc>
      </w:tr>
    </w:tbl>
    <w:p w14:paraId="16CF02CC" w14:textId="77777777" w:rsidR="00F4007F" w:rsidRPr="004A7AC1" w:rsidRDefault="00F4007F" w:rsidP="00F4007F">
      <w:pPr>
        <w:pStyle w:val="BodyText"/>
        <w:rPr>
          <w:sz w:val="18"/>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4007F" w:rsidRPr="000A41D0" w14:paraId="02C6A65E" w14:textId="77777777" w:rsidTr="00771D33">
        <w:tc>
          <w:tcPr>
            <w:tcW w:w="2020" w:type="dxa"/>
          </w:tcPr>
          <w:p w14:paraId="1EAB1BFC" w14:textId="51C55508" w:rsidR="00F4007F" w:rsidRPr="00BA50DD" w:rsidRDefault="00A1078F" w:rsidP="00A1078F">
            <w:pPr>
              <w:pStyle w:val="BodyText"/>
              <w:rPr>
                <w:b/>
              </w:rPr>
            </w:pPr>
            <w:r>
              <w:rPr>
                <w:b/>
              </w:rPr>
              <w:t>Expenditure was rationalized to meet the deficit target as revenue disappointed the budget despite improvements.</w:t>
            </w:r>
            <w:r w:rsidR="00F060DF">
              <w:rPr>
                <w:b/>
              </w:rPr>
              <w:t xml:space="preserve"> </w:t>
            </w:r>
          </w:p>
        </w:tc>
        <w:tc>
          <w:tcPr>
            <w:tcW w:w="145" w:type="dxa"/>
          </w:tcPr>
          <w:p w14:paraId="255D5E27" w14:textId="77777777" w:rsidR="00F4007F" w:rsidRPr="000A41D0" w:rsidRDefault="00F4007F" w:rsidP="00771D33">
            <w:pPr>
              <w:pStyle w:val="BodyText"/>
            </w:pPr>
          </w:p>
        </w:tc>
        <w:tc>
          <w:tcPr>
            <w:tcW w:w="7221" w:type="dxa"/>
          </w:tcPr>
          <w:p w14:paraId="1A712C8C" w14:textId="5224DC11" w:rsidR="00F4007F" w:rsidRPr="000A41D0" w:rsidRDefault="005A2E90" w:rsidP="000C233B">
            <w:pPr>
              <w:jc w:val="both"/>
            </w:pPr>
            <w:r>
              <w:rPr>
                <w:rFonts w:eastAsia="Times New Roman" w:cs="Arial"/>
                <w:kern w:val="28"/>
                <w:sz w:val="22"/>
                <w:szCs w:val="20"/>
              </w:rPr>
              <w:t xml:space="preserve">The </w:t>
            </w:r>
            <w:r w:rsidR="00A56AB4">
              <w:rPr>
                <w:rFonts w:eastAsia="Times New Roman" w:cs="Arial"/>
                <w:kern w:val="28"/>
                <w:sz w:val="22"/>
                <w:szCs w:val="20"/>
              </w:rPr>
              <w:t xml:space="preserve">government </w:t>
            </w:r>
            <w:r>
              <w:rPr>
                <w:rFonts w:eastAsia="Times New Roman" w:cs="Arial"/>
                <w:kern w:val="28"/>
                <w:sz w:val="22"/>
                <w:szCs w:val="20"/>
              </w:rPr>
              <w:t>r</w:t>
            </w:r>
            <w:r w:rsidR="00891B71">
              <w:rPr>
                <w:rFonts w:eastAsia="Times New Roman" w:cs="Arial"/>
                <w:kern w:val="28"/>
                <w:sz w:val="22"/>
                <w:szCs w:val="20"/>
              </w:rPr>
              <w:t xml:space="preserve">evenue </w:t>
            </w:r>
            <w:r>
              <w:rPr>
                <w:rFonts w:eastAsia="Times New Roman" w:cs="Arial"/>
                <w:kern w:val="28"/>
                <w:sz w:val="22"/>
                <w:szCs w:val="20"/>
              </w:rPr>
              <w:t xml:space="preserve">collection </w:t>
            </w:r>
            <w:r w:rsidR="00C63000">
              <w:rPr>
                <w:rFonts w:eastAsia="Times New Roman" w:cs="Arial"/>
                <w:kern w:val="28"/>
                <w:sz w:val="22"/>
                <w:szCs w:val="20"/>
              </w:rPr>
              <w:t xml:space="preserve">increased by 1.0 percentage point </w:t>
            </w:r>
            <w:r w:rsidR="00891B71">
              <w:rPr>
                <w:rFonts w:eastAsia="Times New Roman" w:cs="Arial"/>
                <w:kern w:val="28"/>
                <w:sz w:val="22"/>
                <w:szCs w:val="20"/>
              </w:rPr>
              <w:t xml:space="preserve">as a share of GDP </w:t>
            </w:r>
            <w:r w:rsidR="00C63000">
              <w:rPr>
                <w:rFonts w:eastAsia="Times New Roman" w:cs="Arial"/>
                <w:kern w:val="28"/>
                <w:sz w:val="22"/>
                <w:szCs w:val="20"/>
              </w:rPr>
              <w:t>in 2016 compared to the previous year</w:t>
            </w:r>
            <w:r w:rsidR="006B51A0">
              <w:rPr>
                <w:rFonts w:eastAsia="Times New Roman" w:cs="Arial"/>
                <w:kern w:val="28"/>
                <w:sz w:val="22"/>
                <w:szCs w:val="20"/>
              </w:rPr>
              <w:t>,</w:t>
            </w:r>
            <w:r w:rsidR="00891B71">
              <w:rPr>
                <w:rFonts w:eastAsia="Times New Roman" w:cs="Arial"/>
                <w:kern w:val="28"/>
                <w:sz w:val="22"/>
                <w:szCs w:val="20"/>
              </w:rPr>
              <w:t xml:space="preserve"> </w:t>
            </w:r>
            <w:r w:rsidR="00C63000">
              <w:rPr>
                <w:rFonts w:eastAsia="Times New Roman" w:cs="Arial"/>
                <w:kern w:val="28"/>
                <w:sz w:val="22"/>
                <w:szCs w:val="20"/>
              </w:rPr>
              <w:t>thanks to</w:t>
            </w:r>
            <w:r w:rsidR="0037537A">
              <w:rPr>
                <w:rFonts w:eastAsia="Times New Roman" w:cs="Arial"/>
                <w:kern w:val="28"/>
                <w:sz w:val="22"/>
                <w:szCs w:val="20"/>
              </w:rPr>
              <w:t xml:space="preserve"> </w:t>
            </w:r>
            <w:r>
              <w:rPr>
                <w:rFonts w:eastAsia="Times New Roman" w:cs="Arial"/>
                <w:kern w:val="28"/>
                <w:sz w:val="22"/>
                <w:szCs w:val="20"/>
              </w:rPr>
              <w:t>stronger</w:t>
            </w:r>
            <w:r w:rsidR="00C63000">
              <w:rPr>
                <w:rFonts w:eastAsia="Times New Roman" w:cs="Arial"/>
                <w:kern w:val="28"/>
                <w:sz w:val="22"/>
                <w:szCs w:val="20"/>
              </w:rPr>
              <w:t xml:space="preserve"> than expected </w:t>
            </w:r>
            <w:r w:rsidR="004B6450">
              <w:rPr>
                <w:rFonts w:eastAsia="Times New Roman" w:cs="Arial"/>
                <w:kern w:val="28"/>
                <w:sz w:val="22"/>
                <w:szCs w:val="20"/>
              </w:rPr>
              <w:t>p</w:t>
            </w:r>
            <w:r w:rsidR="0037537A">
              <w:rPr>
                <w:rFonts w:eastAsia="Times New Roman" w:cs="Arial"/>
                <w:kern w:val="28"/>
                <w:sz w:val="22"/>
                <w:szCs w:val="20"/>
              </w:rPr>
              <w:t xml:space="preserve">rofits and dividends from SOEs. </w:t>
            </w:r>
            <w:r w:rsidR="004B6450">
              <w:rPr>
                <w:rFonts w:eastAsia="Times New Roman" w:cs="Arial"/>
                <w:kern w:val="28"/>
                <w:sz w:val="22"/>
                <w:szCs w:val="20"/>
              </w:rPr>
              <w:t>In addition, b</w:t>
            </w:r>
            <w:r w:rsidR="00C63000">
              <w:rPr>
                <w:rFonts w:eastAsia="Times New Roman" w:cs="Arial"/>
                <w:kern w:val="28"/>
                <w:sz w:val="22"/>
                <w:szCs w:val="20"/>
              </w:rPr>
              <w:t>oth policy and administration reforms</w:t>
            </w:r>
            <w:r>
              <w:rPr>
                <w:rStyle w:val="FootnoteReference"/>
                <w:rFonts w:eastAsia="Times New Roman" w:cs="Arial"/>
                <w:kern w:val="28"/>
                <w:sz w:val="22"/>
                <w:szCs w:val="20"/>
              </w:rPr>
              <w:footnoteReference w:id="7"/>
            </w:r>
            <w:r w:rsidR="00C63000">
              <w:rPr>
                <w:rFonts w:eastAsia="Times New Roman" w:cs="Arial"/>
                <w:kern w:val="28"/>
                <w:sz w:val="22"/>
                <w:szCs w:val="20"/>
              </w:rPr>
              <w:t xml:space="preserve"> helped raise tax collection; however, the improvement was masked by the previous year’s one-off boost in tax revenues.</w:t>
            </w:r>
            <w:r w:rsidR="00C63000">
              <w:rPr>
                <w:rStyle w:val="FootnoteReference"/>
                <w:rFonts w:eastAsia="Times New Roman" w:cs="Arial"/>
                <w:kern w:val="28"/>
                <w:sz w:val="22"/>
                <w:szCs w:val="20"/>
              </w:rPr>
              <w:footnoteReference w:id="8"/>
            </w:r>
            <w:r w:rsidR="00C63000">
              <w:rPr>
                <w:rFonts w:eastAsia="Times New Roman" w:cs="Arial"/>
                <w:kern w:val="28"/>
                <w:sz w:val="22"/>
                <w:szCs w:val="20"/>
              </w:rPr>
              <w:t xml:space="preserve"> </w:t>
            </w:r>
            <w:r w:rsidR="00B35A95">
              <w:rPr>
                <w:rFonts w:eastAsia="Times New Roman" w:cs="Arial"/>
                <w:kern w:val="28"/>
                <w:sz w:val="22"/>
                <w:szCs w:val="20"/>
              </w:rPr>
              <w:t xml:space="preserve">In spite of recording an impressive growth, </w:t>
            </w:r>
            <w:r w:rsidR="006B51A0">
              <w:rPr>
                <w:rFonts w:eastAsia="Times New Roman" w:cs="Arial"/>
                <w:kern w:val="28"/>
                <w:sz w:val="22"/>
                <w:szCs w:val="20"/>
              </w:rPr>
              <w:t xml:space="preserve">the </w:t>
            </w:r>
            <w:r w:rsidR="004B6450">
              <w:rPr>
                <w:rFonts w:eastAsia="Times New Roman" w:cs="Arial"/>
                <w:kern w:val="28"/>
                <w:sz w:val="22"/>
                <w:szCs w:val="20"/>
              </w:rPr>
              <w:t xml:space="preserve">overall </w:t>
            </w:r>
            <w:r w:rsidR="006B51A0">
              <w:rPr>
                <w:rFonts w:eastAsia="Times New Roman" w:cs="Arial"/>
                <w:kern w:val="28"/>
                <w:sz w:val="22"/>
                <w:szCs w:val="20"/>
              </w:rPr>
              <w:t xml:space="preserve">revenue collection </w:t>
            </w:r>
            <w:r w:rsidR="003A3328">
              <w:rPr>
                <w:rFonts w:eastAsia="Times New Roman" w:cs="Arial"/>
                <w:kern w:val="28"/>
                <w:sz w:val="22"/>
                <w:szCs w:val="20"/>
              </w:rPr>
              <w:t xml:space="preserve">was below </w:t>
            </w:r>
            <w:r w:rsidR="006B51A0">
              <w:rPr>
                <w:rFonts w:eastAsia="Times New Roman" w:cs="Arial"/>
                <w:kern w:val="28"/>
                <w:sz w:val="22"/>
                <w:szCs w:val="20"/>
              </w:rPr>
              <w:t>the budget</w:t>
            </w:r>
            <w:r w:rsidR="004B6450">
              <w:rPr>
                <w:rFonts w:eastAsia="Times New Roman" w:cs="Arial"/>
                <w:kern w:val="28"/>
                <w:sz w:val="22"/>
                <w:szCs w:val="20"/>
              </w:rPr>
              <w:t>.</w:t>
            </w:r>
            <w:r w:rsidR="006B51A0">
              <w:rPr>
                <w:rStyle w:val="FootnoteReference"/>
                <w:rFonts w:eastAsia="Times New Roman" w:cs="Arial"/>
                <w:kern w:val="28"/>
                <w:sz w:val="22"/>
                <w:szCs w:val="20"/>
              </w:rPr>
              <w:footnoteReference w:id="9"/>
            </w:r>
            <w:r w:rsidR="006B51A0">
              <w:rPr>
                <w:rFonts w:eastAsia="Times New Roman" w:cs="Arial"/>
                <w:kern w:val="28"/>
                <w:sz w:val="22"/>
                <w:szCs w:val="20"/>
              </w:rPr>
              <w:t xml:space="preserve"> </w:t>
            </w:r>
            <w:r w:rsidR="003A3328">
              <w:rPr>
                <w:rFonts w:eastAsia="Times New Roman" w:cs="Arial"/>
                <w:kern w:val="28"/>
                <w:sz w:val="22"/>
                <w:szCs w:val="20"/>
              </w:rPr>
              <w:t xml:space="preserve">This </w:t>
            </w:r>
            <w:r w:rsidR="004B6450">
              <w:rPr>
                <w:rFonts w:eastAsia="Times New Roman" w:cs="Arial"/>
                <w:kern w:val="28"/>
                <w:sz w:val="22"/>
                <w:szCs w:val="20"/>
              </w:rPr>
              <w:t xml:space="preserve">warranted </w:t>
            </w:r>
            <w:r w:rsidR="000A06A3">
              <w:rPr>
                <w:rFonts w:eastAsia="Times New Roman" w:cs="Arial"/>
                <w:kern w:val="28"/>
                <w:sz w:val="22"/>
                <w:szCs w:val="20"/>
              </w:rPr>
              <w:t>a</w:t>
            </w:r>
            <w:r w:rsidR="006B51A0">
              <w:rPr>
                <w:rFonts w:eastAsia="Times New Roman" w:cs="Arial"/>
                <w:kern w:val="28"/>
                <w:sz w:val="22"/>
                <w:szCs w:val="20"/>
              </w:rPr>
              <w:t xml:space="preserve"> disciplined approach to expenditure management in order to meet the deficit target</w:t>
            </w:r>
            <w:r w:rsidR="00A02C73">
              <w:rPr>
                <w:rFonts w:eastAsia="Times New Roman" w:cs="Arial"/>
                <w:kern w:val="28"/>
                <w:sz w:val="22"/>
                <w:szCs w:val="20"/>
              </w:rPr>
              <w:t xml:space="preserve"> as a share of GDP</w:t>
            </w:r>
            <w:r w:rsidR="006B51A0">
              <w:rPr>
                <w:rFonts w:eastAsia="Times New Roman" w:cs="Arial"/>
                <w:kern w:val="28"/>
                <w:sz w:val="22"/>
                <w:szCs w:val="20"/>
              </w:rPr>
              <w:t xml:space="preserve"> for 2016</w:t>
            </w:r>
            <w:r w:rsidR="00B35A95">
              <w:rPr>
                <w:rFonts w:eastAsia="Times New Roman" w:cs="Arial"/>
                <w:kern w:val="28"/>
                <w:sz w:val="22"/>
                <w:szCs w:val="20"/>
              </w:rPr>
              <w:t xml:space="preserve">. As in the past, </w:t>
            </w:r>
            <w:r w:rsidR="000C233B">
              <w:rPr>
                <w:rFonts w:eastAsia="Times New Roman" w:cs="Arial"/>
                <w:kern w:val="28"/>
                <w:sz w:val="22"/>
                <w:szCs w:val="20"/>
              </w:rPr>
              <w:t xml:space="preserve">low execution of and </w:t>
            </w:r>
            <w:r w:rsidR="003A3328">
              <w:rPr>
                <w:rFonts w:eastAsia="Times New Roman" w:cs="Arial"/>
                <w:kern w:val="28"/>
                <w:sz w:val="22"/>
                <w:szCs w:val="20"/>
              </w:rPr>
              <w:t xml:space="preserve">cuts in </w:t>
            </w:r>
            <w:r w:rsidR="00B35A95">
              <w:rPr>
                <w:rFonts w:eastAsia="Times New Roman" w:cs="Arial"/>
                <w:kern w:val="28"/>
                <w:sz w:val="22"/>
                <w:szCs w:val="20"/>
              </w:rPr>
              <w:t>public investment</w:t>
            </w:r>
            <w:r w:rsidR="000C233B">
              <w:rPr>
                <w:rStyle w:val="FootnoteReference"/>
                <w:rFonts w:eastAsia="Times New Roman" w:cs="Arial"/>
                <w:kern w:val="28"/>
                <w:sz w:val="22"/>
                <w:szCs w:val="20"/>
              </w:rPr>
              <w:footnoteReference w:id="10"/>
            </w:r>
            <w:r w:rsidR="00B35A95">
              <w:rPr>
                <w:rFonts w:eastAsia="Times New Roman" w:cs="Arial"/>
                <w:kern w:val="28"/>
                <w:sz w:val="22"/>
                <w:szCs w:val="20"/>
              </w:rPr>
              <w:t xml:space="preserve"> helped reduce the budget deficit while savings on purchase of goods and services kept current expenditures in check notwithstanding </w:t>
            </w:r>
            <w:r w:rsidR="00A02C73">
              <w:rPr>
                <w:rFonts w:eastAsia="Times New Roman" w:cs="Arial"/>
                <w:kern w:val="28"/>
                <w:sz w:val="22"/>
                <w:szCs w:val="20"/>
              </w:rPr>
              <w:t xml:space="preserve">the </w:t>
            </w:r>
            <w:r w:rsidR="00B35A95">
              <w:rPr>
                <w:rFonts w:eastAsia="Times New Roman" w:cs="Arial"/>
                <w:kern w:val="28"/>
                <w:sz w:val="22"/>
                <w:szCs w:val="20"/>
              </w:rPr>
              <w:t>rising interest costs.</w:t>
            </w:r>
            <w:r w:rsidR="000A06A3">
              <w:rPr>
                <w:rFonts w:eastAsia="Times New Roman" w:cs="Arial"/>
                <w:kern w:val="28"/>
                <w:sz w:val="22"/>
                <w:szCs w:val="20"/>
              </w:rPr>
              <w:t xml:space="preserve"> </w:t>
            </w:r>
            <w:r w:rsidR="00B35A95">
              <w:rPr>
                <w:rFonts w:eastAsia="Times New Roman" w:cs="Arial"/>
                <w:kern w:val="28"/>
                <w:sz w:val="22"/>
                <w:szCs w:val="20"/>
              </w:rPr>
              <w:t xml:space="preserve">These measures </w:t>
            </w:r>
            <w:r w:rsidR="00A02C73">
              <w:rPr>
                <w:rFonts w:eastAsia="Times New Roman" w:cs="Arial"/>
                <w:kern w:val="28"/>
                <w:sz w:val="22"/>
                <w:szCs w:val="20"/>
              </w:rPr>
              <w:lastRenderedPageBreak/>
              <w:t>contained</w:t>
            </w:r>
            <w:r w:rsidR="00B35A95">
              <w:rPr>
                <w:rFonts w:eastAsia="Times New Roman" w:cs="Arial"/>
                <w:kern w:val="28"/>
                <w:sz w:val="22"/>
                <w:szCs w:val="20"/>
              </w:rPr>
              <w:t xml:space="preserve"> the fiscal deficit for 2016 </w:t>
            </w:r>
            <w:r w:rsidR="00A02C73">
              <w:rPr>
                <w:rFonts w:eastAsia="Times New Roman" w:cs="Arial"/>
                <w:kern w:val="28"/>
                <w:sz w:val="22"/>
                <w:szCs w:val="20"/>
              </w:rPr>
              <w:t>at the envisaged level of</w:t>
            </w:r>
            <w:r w:rsidR="00B35A95">
              <w:rPr>
                <w:rFonts w:eastAsia="Times New Roman" w:cs="Arial"/>
                <w:kern w:val="28"/>
                <w:sz w:val="22"/>
                <w:szCs w:val="20"/>
              </w:rPr>
              <w:t xml:space="preserve"> 5.4 percent of GDP as against a 7.6 percent reported for 2015</w:t>
            </w:r>
            <w:r w:rsidR="008B65D8">
              <w:rPr>
                <w:rFonts w:eastAsia="Times New Roman" w:cs="Arial"/>
                <w:kern w:val="28"/>
                <w:sz w:val="22"/>
                <w:szCs w:val="20"/>
              </w:rPr>
              <w:t xml:space="preserve"> (Table 1, Figure 7</w:t>
            </w:r>
            <w:r w:rsidR="00F40597">
              <w:rPr>
                <w:rFonts w:eastAsia="Times New Roman" w:cs="Arial"/>
                <w:kern w:val="28"/>
                <w:sz w:val="22"/>
                <w:szCs w:val="20"/>
              </w:rPr>
              <w:t>)</w:t>
            </w:r>
            <w:r w:rsidR="00B35A95">
              <w:rPr>
                <w:rFonts w:eastAsia="Times New Roman" w:cs="Arial"/>
                <w:kern w:val="28"/>
                <w:sz w:val="22"/>
                <w:szCs w:val="20"/>
              </w:rPr>
              <w:t>.</w:t>
            </w:r>
            <w:r w:rsidR="00A02C73">
              <w:rPr>
                <w:rStyle w:val="FootnoteReference"/>
                <w:rFonts w:eastAsia="Times New Roman" w:cs="Arial"/>
                <w:kern w:val="28"/>
                <w:sz w:val="22"/>
                <w:szCs w:val="20"/>
              </w:rPr>
              <w:footnoteReference w:id="11"/>
            </w:r>
            <w:r w:rsidR="00B35A95">
              <w:rPr>
                <w:rFonts w:eastAsia="Times New Roman" w:cs="Arial"/>
                <w:kern w:val="28"/>
                <w:sz w:val="22"/>
                <w:szCs w:val="20"/>
              </w:rPr>
              <w:t xml:space="preserve"> </w:t>
            </w:r>
          </w:p>
        </w:tc>
      </w:tr>
    </w:tbl>
    <w:p w14:paraId="0719BCEB" w14:textId="50652313" w:rsidR="00070560" w:rsidRDefault="00070560" w:rsidP="00070560">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7E486D" w:rsidRPr="000A41D0" w14:paraId="4794B8A7" w14:textId="77777777" w:rsidTr="00BB2CD3">
        <w:tc>
          <w:tcPr>
            <w:tcW w:w="2020" w:type="dxa"/>
          </w:tcPr>
          <w:p w14:paraId="5ED940F5" w14:textId="4E8287E2" w:rsidR="007E486D" w:rsidRPr="00BA50DD" w:rsidRDefault="007E486D" w:rsidP="009B6696">
            <w:pPr>
              <w:pStyle w:val="BodyText"/>
              <w:rPr>
                <w:b/>
              </w:rPr>
            </w:pPr>
            <w:r w:rsidRPr="00647A91">
              <w:rPr>
                <w:b/>
              </w:rPr>
              <w:t xml:space="preserve">The deficit was financed mainly using </w:t>
            </w:r>
            <w:r w:rsidR="009B6696">
              <w:rPr>
                <w:b/>
              </w:rPr>
              <w:t>foreign financing</w:t>
            </w:r>
            <w:r w:rsidRPr="00647A91">
              <w:rPr>
                <w:b/>
              </w:rPr>
              <w:t>.</w:t>
            </w:r>
          </w:p>
        </w:tc>
        <w:tc>
          <w:tcPr>
            <w:tcW w:w="145" w:type="dxa"/>
          </w:tcPr>
          <w:p w14:paraId="4F9DCF58" w14:textId="77777777" w:rsidR="007E486D" w:rsidRPr="000A41D0" w:rsidRDefault="007E486D" w:rsidP="00BB2CD3">
            <w:pPr>
              <w:pStyle w:val="BodyText"/>
            </w:pPr>
          </w:p>
        </w:tc>
        <w:tc>
          <w:tcPr>
            <w:tcW w:w="7221" w:type="dxa"/>
          </w:tcPr>
          <w:p w14:paraId="742842B9" w14:textId="36B0D5CA" w:rsidR="007E486D" w:rsidRPr="000A41D0" w:rsidRDefault="007E486D" w:rsidP="002E7F26">
            <w:pPr>
              <w:pStyle w:val="BodyText"/>
              <w:jc w:val="both"/>
            </w:pPr>
            <w:r w:rsidRPr="00647A91">
              <w:t xml:space="preserve">Foreign sources </w:t>
            </w:r>
            <w:r>
              <w:t>provided</w:t>
            </w:r>
            <w:r w:rsidRPr="00647A91">
              <w:t xml:space="preserve"> about </w:t>
            </w:r>
            <w:r w:rsidR="009B6696">
              <w:t>61</w:t>
            </w:r>
            <w:r w:rsidRPr="00647A91">
              <w:t xml:space="preserve"> percent of </w:t>
            </w:r>
            <w:r>
              <w:t>net financing</w:t>
            </w:r>
            <w:r w:rsidRPr="00647A91">
              <w:t xml:space="preserve">, which included </w:t>
            </w:r>
            <w:r w:rsidR="009B6696" w:rsidRPr="00647A91">
              <w:t xml:space="preserve">sovereign bonds </w:t>
            </w:r>
            <w:r w:rsidR="009B6696">
              <w:t xml:space="preserve">worth of </w:t>
            </w:r>
            <w:r w:rsidRPr="00647A91">
              <w:t>USD 1.</w:t>
            </w:r>
            <w:r w:rsidR="009B6696">
              <w:t>5</w:t>
            </w:r>
            <w:r w:rsidRPr="00647A91">
              <w:t xml:space="preserve"> billion</w:t>
            </w:r>
            <w:r w:rsidRPr="00647A91">
              <w:rPr>
                <w:vertAlign w:val="superscript"/>
              </w:rPr>
              <w:footnoteReference w:id="12"/>
            </w:r>
            <w:r w:rsidR="009B6696">
              <w:t xml:space="preserve"> and syndicated loans amounting to USD 700 million raised in external financial markets.</w:t>
            </w:r>
            <w:r w:rsidRPr="00647A91">
              <w:t xml:space="preserve"> The remaining </w:t>
            </w:r>
            <w:r w:rsidR="002E7F26">
              <w:t>39</w:t>
            </w:r>
            <w:r w:rsidRPr="00647A91">
              <w:t xml:space="preserve"> percent was financed through domestic sources</w:t>
            </w:r>
            <w:r w:rsidR="00710706">
              <w:t xml:space="preserve"> predominantly by the banking sector</w:t>
            </w:r>
            <w:r w:rsidR="002E7F26">
              <w:t xml:space="preserve">, especially by the central bank. This was manifested in the treasury bill stock held by the central bank almost tripling by end-2016 compared the previous year. As in the past, </w:t>
            </w:r>
            <w:r w:rsidR="002E7F26" w:rsidRPr="00647A91">
              <w:t>Employees’</w:t>
            </w:r>
            <w:r w:rsidRPr="00647A91">
              <w:t xml:space="preserve"> Provident Fund, National Savings Bank and other savings and insurance institutions </w:t>
            </w:r>
            <w:r w:rsidR="002E7F26">
              <w:t>made</w:t>
            </w:r>
            <w:r w:rsidRPr="00647A91">
              <w:t xml:space="preserve"> </w:t>
            </w:r>
            <w:r w:rsidR="002E7F26">
              <w:t xml:space="preserve">a significant contribution to the domestic non-bank financing component. </w:t>
            </w:r>
          </w:p>
        </w:tc>
      </w:tr>
      <w:tr w:rsidR="007A3AB4" w:rsidRPr="000A41D0" w14:paraId="600D4FBB" w14:textId="77777777" w:rsidTr="00BB2CD3">
        <w:tc>
          <w:tcPr>
            <w:tcW w:w="2020" w:type="dxa"/>
          </w:tcPr>
          <w:p w14:paraId="71560610" w14:textId="77777777" w:rsidR="007A3AB4" w:rsidRPr="00647A91" w:rsidRDefault="007A3AB4" w:rsidP="009B6696">
            <w:pPr>
              <w:pStyle w:val="BodyText"/>
              <w:rPr>
                <w:b/>
              </w:rPr>
            </w:pPr>
          </w:p>
        </w:tc>
        <w:tc>
          <w:tcPr>
            <w:tcW w:w="145" w:type="dxa"/>
          </w:tcPr>
          <w:p w14:paraId="0C3396DE" w14:textId="77777777" w:rsidR="007A3AB4" w:rsidRPr="000A41D0" w:rsidRDefault="007A3AB4" w:rsidP="00BB2CD3">
            <w:pPr>
              <w:pStyle w:val="BodyText"/>
            </w:pPr>
          </w:p>
        </w:tc>
        <w:tc>
          <w:tcPr>
            <w:tcW w:w="7221" w:type="dxa"/>
          </w:tcPr>
          <w:p w14:paraId="322F6A49" w14:textId="77777777" w:rsidR="007A3AB4" w:rsidRPr="00647A91" w:rsidRDefault="007A3AB4" w:rsidP="002E7F26">
            <w:pPr>
              <w:pStyle w:val="BodyText"/>
              <w:jc w:val="both"/>
            </w:pPr>
          </w:p>
        </w:tc>
      </w:tr>
      <w:tr w:rsidR="00070560" w:rsidRPr="000A41D0" w14:paraId="6084B41B" w14:textId="77777777" w:rsidTr="00687584">
        <w:tc>
          <w:tcPr>
            <w:tcW w:w="2020" w:type="dxa"/>
          </w:tcPr>
          <w:p w14:paraId="01713DBF" w14:textId="11687ED8" w:rsidR="00070560" w:rsidRPr="00BA50DD" w:rsidRDefault="00AD0679" w:rsidP="00AD0679">
            <w:pPr>
              <w:pStyle w:val="BodyText"/>
              <w:rPr>
                <w:b/>
              </w:rPr>
            </w:pPr>
            <w:r>
              <w:rPr>
                <w:b/>
              </w:rPr>
              <w:t>Exchange rate d</w:t>
            </w:r>
            <w:r w:rsidR="00A02C73">
              <w:rPr>
                <w:b/>
              </w:rPr>
              <w:t>epreciation and high interest rates pushed up central government debt</w:t>
            </w:r>
            <w:r>
              <w:rPr>
                <w:b/>
              </w:rPr>
              <w:t xml:space="preserve"> further</w:t>
            </w:r>
            <w:r w:rsidR="00A02C73">
              <w:rPr>
                <w:b/>
              </w:rPr>
              <w:t>.</w:t>
            </w:r>
          </w:p>
        </w:tc>
        <w:tc>
          <w:tcPr>
            <w:tcW w:w="145" w:type="dxa"/>
          </w:tcPr>
          <w:p w14:paraId="705A689A" w14:textId="77777777" w:rsidR="00070560" w:rsidRPr="000A41D0" w:rsidRDefault="00070560" w:rsidP="00687584">
            <w:pPr>
              <w:pStyle w:val="BodyText"/>
            </w:pPr>
          </w:p>
        </w:tc>
        <w:tc>
          <w:tcPr>
            <w:tcW w:w="7221" w:type="dxa"/>
          </w:tcPr>
          <w:p w14:paraId="576BE032" w14:textId="649CCB6E" w:rsidR="00070560" w:rsidRPr="000A41D0" w:rsidRDefault="00A02C73" w:rsidP="008B65D8">
            <w:pPr>
              <w:jc w:val="both"/>
            </w:pPr>
            <w:r w:rsidRPr="00704242">
              <w:rPr>
                <w:rFonts w:eastAsia="Times New Roman" w:cs="Arial"/>
                <w:kern w:val="28"/>
                <w:sz w:val="22"/>
                <w:szCs w:val="20"/>
              </w:rPr>
              <w:t>In spite</w:t>
            </w:r>
            <w:r>
              <w:rPr>
                <w:rFonts w:eastAsia="Times New Roman" w:cs="Arial"/>
                <w:kern w:val="28"/>
                <w:sz w:val="22"/>
                <w:szCs w:val="20"/>
              </w:rPr>
              <w:t xml:space="preserve"> </w:t>
            </w:r>
            <w:r w:rsidRPr="00704242">
              <w:rPr>
                <w:rFonts w:eastAsia="Times New Roman" w:cs="Arial"/>
                <w:kern w:val="28"/>
                <w:sz w:val="22"/>
                <w:szCs w:val="20"/>
              </w:rPr>
              <w:t xml:space="preserve">of </w:t>
            </w:r>
            <w:r>
              <w:rPr>
                <w:rFonts w:eastAsia="Times New Roman" w:cs="Arial"/>
                <w:kern w:val="28"/>
                <w:sz w:val="22"/>
                <w:szCs w:val="20"/>
              </w:rPr>
              <w:t>fiscal</w:t>
            </w:r>
            <w:r w:rsidRPr="00704242">
              <w:rPr>
                <w:rFonts w:eastAsia="Times New Roman" w:cs="Arial"/>
                <w:kern w:val="28"/>
                <w:sz w:val="22"/>
                <w:szCs w:val="20"/>
              </w:rPr>
              <w:t xml:space="preserve"> achievements, </w:t>
            </w:r>
            <w:r>
              <w:rPr>
                <w:rFonts w:eastAsia="Times New Roman" w:cs="Arial"/>
                <w:kern w:val="28"/>
                <w:sz w:val="22"/>
                <w:szCs w:val="20"/>
              </w:rPr>
              <w:t xml:space="preserve">the </w:t>
            </w:r>
            <w:r w:rsidRPr="00704242">
              <w:rPr>
                <w:rFonts w:eastAsia="Times New Roman" w:cs="Arial"/>
                <w:kern w:val="28"/>
                <w:sz w:val="22"/>
                <w:szCs w:val="20"/>
              </w:rPr>
              <w:t>central government</w:t>
            </w:r>
            <w:r w:rsidR="006B343C">
              <w:rPr>
                <w:rFonts w:eastAsia="Times New Roman" w:cs="Arial"/>
                <w:kern w:val="28"/>
                <w:sz w:val="22"/>
                <w:szCs w:val="20"/>
              </w:rPr>
              <w:t xml:space="preserve"> debt</w:t>
            </w:r>
            <w:r w:rsidRPr="00704242">
              <w:rPr>
                <w:rFonts w:eastAsia="Times New Roman" w:cs="Arial"/>
                <w:kern w:val="28"/>
                <w:sz w:val="22"/>
                <w:szCs w:val="20"/>
              </w:rPr>
              <w:t xml:space="preserve"> </w:t>
            </w:r>
            <w:r>
              <w:rPr>
                <w:rFonts w:eastAsia="Times New Roman" w:cs="Arial"/>
                <w:kern w:val="28"/>
                <w:sz w:val="22"/>
                <w:szCs w:val="20"/>
              </w:rPr>
              <w:t xml:space="preserve">increased </w:t>
            </w:r>
            <w:r w:rsidR="006B343C">
              <w:rPr>
                <w:rFonts w:eastAsia="Times New Roman" w:cs="Arial"/>
                <w:kern w:val="28"/>
                <w:sz w:val="22"/>
                <w:szCs w:val="20"/>
              </w:rPr>
              <w:t xml:space="preserve">by 1.6 percentage points to 79.3 percent of GDP in 2016 due mainly to exchange rate </w:t>
            </w:r>
            <w:r w:rsidR="0071127D">
              <w:rPr>
                <w:rFonts w:eastAsia="Times New Roman" w:cs="Arial"/>
                <w:kern w:val="28"/>
                <w:sz w:val="22"/>
                <w:szCs w:val="20"/>
              </w:rPr>
              <w:t xml:space="preserve">depreciation </w:t>
            </w:r>
            <w:r w:rsidR="006B343C">
              <w:rPr>
                <w:rFonts w:eastAsia="Times New Roman" w:cs="Arial"/>
                <w:kern w:val="28"/>
                <w:sz w:val="22"/>
                <w:szCs w:val="20"/>
              </w:rPr>
              <w:t xml:space="preserve">and </w:t>
            </w:r>
            <w:r w:rsidR="003A3328">
              <w:rPr>
                <w:rFonts w:eastAsia="Times New Roman" w:cs="Arial"/>
                <w:kern w:val="28"/>
                <w:sz w:val="22"/>
                <w:szCs w:val="20"/>
              </w:rPr>
              <w:t xml:space="preserve">the </w:t>
            </w:r>
            <w:r w:rsidR="006B343C">
              <w:rPr>
                <w:rFonts w:eastAsia="Times New Roman" w:cs="Arial"/>
                <w:kern w:val="28"/>
                <w:sz w:val="22"/>
                <w:szCs w:val="20"/>
              </w:rPr>
              <w:t xml:space="preserve">real interest rate </w:t>
            </w:r>
            <w:r w:rsidR="0071127D">
              <w:rPr>
                <w:rFonts w:eastAsia="Times New Roman" w:cs="Arial"/>
                <w:kern w:val="28"/>
                <w:sz w:val="22"/>
                <w:szCs w:val="20"/>
              </w:rPr>
              <w:t>effect</w:t>
            </w:r>
            <w:r w:rsidR="00F40597">
              <w:rPr>
                <w:rFonts w:eastAsia="Times New Roman" w:cs="Arial"/>
                <w:kern w:val="28"/>
                <w:sz w:val="22"/>
                <w:szCs w:val="20"/>
              </w:rPr>
              <w:t xml:space="preserve"> (Figure </w:t>
            </w:r>
            <w:r w:rsidR="008B65D8">
              <w:rPr>
                <w:rFonts w:eastAsia="Times New Roman" w:cs="Arial"/>
                <w:kern w:val="28"/>
                <w:sz w:val="22"/>
                <w:szCs w:val="20"/>
              </w:rPr>
              <w:t>8</w:t>
            </w:r>
            <w:r w:rsidR="00F40597">
              <w:rPr>
                <w:rFonts w:eastAsia="Times New Roman" w:cs="Arial"/>
                <w:kern w:val="28"/>
                <w:sz w:val="22"/>
                <w:szCs w:val="20"/>
              </w:rPr>
              <w:t>)</w:t>
            </w:r>
            <w:r w:rsidR="006B343C">
              <w:rPr>
                <w:rFonts w:eastAsia="Times New Roman" w:cs="Arial"/>
                <w:kern w:val="28"/>
                <w:sz w:val="22"/>
                <w:szCs w:val="20"/>
              </w:rPr>
              <w:t xml:space="preserve">. </w:t>
            </w:r>
            <w:r w:rsidR="006B343C" w:rsidRPr="006B343C">
              <w:rPr>
                <w:rFonts w:eastAsia="Times New Roman" w:cs="Arial"/>
                <w:kern w:val="28"/>
                <w:sz w:val="22"/>
                <w:szCs w:val="20"/>
              </w:rPr>
              <w:t xml:space="preserve">Meanwhile, the debt profile also indicated significant exposure to a variety of risks. </w:t>
            </w:r>
            <w:r w:rsidR="008F1127" w:rsidRPr="008F1127">
              <w:rPr>
                <w:rFonts w:eastAsia="Times New Roman" w:cs="Arial"/>
                <w:kern w:val="28"/>
                <w:sz w:val="22"/>
                <w:szCs w:val="20"/>
              </w:rPr>
              <w:t>The non-concessional and commercial component of the government foreign debt rose from 1 percent in 200</w:t>
            </w:r>
            <w:r w:rsidR="008F1127">
              <w:rPr>
                <w:rFonts w:eastAsia="Times New Roman" w:cs="Arial"/>
                <w:kern w:val="28"/>
                <w:sz w:val="22"/>
                <w:szCs w:val="20"/>
              </w:rPr>
              <w:t>0 to 53</w:t>
            </w:r>
            <w:r w:rsidR="008F1127" w:rsidRPr="008F1127">
              <w:rPr>
                <w:rFonts w:eastAsia="Times New Roman" w:cs="Arial"/>
                <w:kern w:val="28"/>
                <w:sz w:val="22"/>
                <w:szCs w:val="20"/>
              </w:rPr>
              <w:t xml:space="preserve"> percent in 201</w:t>
            </w:r>
            <w:r w:rsidR="008F1127">
              <w:rPr>
                <w:rFonts w:eastAsia="Times New Roman" w:cs="Arial"/>
                <w:kern w:val="28"/>
                <w:sz w:val="22"/>
                <w:szCs w:val="20"/>
              </w:rPr>
              <w:t>6</w:t>
            </w:r>
            <w:r w:rsidR="008F1127" w:rsidRPr="008F1127">
              <w:rPr>
                <w:rFonts w:eastAsia="Times New Roman" w:cs="Arial"/>
                <w:kern w:val="28"/>
                <w:sz w:val="22"/>
                <w:szCs w:val="20"/>
              </w:rPr>
              <w:t xml:space="preserve">. </w:t>
            </w:r>
            <w:r w:rsidR="008F1127">
              <w:rPr>
                <w:rFonts w:eastAsia="Times New Roman" w:cs="Arial"/>
                <w:kern w:val="28"/>
                <w:sz w:val="22"/>
                <w:szCs w:val="20"/>
              </w:rPr>
              <w:t>The</w:t>
            </w:r>
            <w:r w:rsidR="008F1127" w:rsidRPr="008F1127">
              <w:rPr>
                <w:rFonts w:eastAsia="Times New Roman" w:cs="Arial"/>
                <w:kern w:val="28"/>
                <w:sz w:val="22"/>
                <w:szCs w:val="20"/>
              </w:rPr>
              <w:t xml:space="preserve"> interest rate risks on foreign currency debt has risen</w:t>
            </w:r>
            <w:r w:rsidR="00AD0679">
              <w:rPr>
                <w:rFonts w:eastAsia="Times New Roman" w:cs="Arial"/>
                <w:kern w:val="28"/>
                <w:sz w:val="22"/>
                <w:szCs w:val="20"/>
              </w:rPr>
              <w:t>,</w:t>
            </w:r>
            <w:r w:rsidR="008F1127" w:rsidRPr="008F1127">
              <w:rPr>
                <w:rFonts w:eastAsia="Times New Roman" w:cs="Arial"/>
                <w:kern w:val="28"/>
                <w:sz w:val="22"/>
                <w:szCs w:val="20"/>
              </w:rPr>
              <w:t xml:space="preserve"> while average interest rate</w:t>
            </w:r>
            <w:r w:rsidR="00AD0679">
              <w:rPr>
                <w:rFonts w:eastAsia="Times New Roman" w:cs="Arial"/>
                <w:kern w:val="28"/>
                <w:sz w:val="22"/>
                <w:szCs w:val="20"/>
              </w:rPr>
              <w:t>s</w:t>
            </w:r>
            <w:r w:rsidR="008F1127" w:rsidRPr="008F1127">
              <w:rPr>
                <w:rFonts w:eastAsia="Times New Roman" w:cs="Arial"/>
                <w:kern w:val="28"/>
                <w:sz w:val="22"/>
                <w:szCs w:val="20"/>
              </w:rPr>
              <w:t xml:space="preserve"> also increased. </w:t>
            </w:r>
            <w:r w:rsidR="00AD0679">
              <w:rPr>
                <w:rFonts w:eastAsia="Times New Roman" w:cs="Arial"/>
                <w:kern w:val="28"/>
                <w:sz w:val="22"/>
                <w:szCs w:val="20"/>
              </w:rPr>
              <w:t>The a</w:t>
            </w:r>
            <w:r w:rsidR="008F1127" w:rsidRPr="008F1127">
              <w:rPr>
                <w:rFonts w:eastAsia="Times New Roman" w:cs="Arial"/>
                <w:kern w:val="28"/>
                <w:sz w:val="22"/>
                <w:szCs w:val="20"/>
              </w:rPr>
              <w:t xml:space="preserve">verage time to maturity </w:t>
            </w:r>
            <w:r w:rsidR="00A63CE6">
              <w:rPr>
                <w:rFonts w:eastAsia="Times New Roman" w:cs="Arial"/>
                <w:kern w:val="28"/>
                <w:sz w:val="22"/>
                <w:szCs w:val="20"/>
              </w:rPr>
              <w:t>has shortened</w:t>
            </w:r>
            <w:r w:rsidR="00AD0679">
              <w:rPr>
                <w:rFonts w:eastAsia="Times New Roman" w:cs="Arial"/>
                <w:kern w:val="28"/>
                <w:sz w:val="22"/>
                <w:szCs w:val="20"/>
              </w:rPr>
              <w:t>,</w:t>
            </w:r>
            <w:r w:rsidR="00A63CE6">
              <w:rPr>
                <w:rFonts w:eastAsia="Times New Roman" w:cs="Arial"/>
                <w:kern w:val="28"/>
                <w:sz w:val="22"/>
                <w:szCs w:val="20"/>
              </w:rPr>
              <w:t xml:space="preserve"> </w:t>
            </w:r>
            <w:r w:rsidR="00A63CE6" w:rsidRPr="008F1127">
              <w:rPr>
                <w:rFonts w:eastAsia="Times New Roman" w:cs="Arial"/>
                <w:kern w:val="28"/>
                <w:sz w:val="22"/>
                <w:szCs w:val="20"/>
              </w:rPr>
              <w:t>while</w:t>
            </w:r>
            <w:r w:rsidR="008F1127" w:rsidRPr="008F1127">
              <w:rPr>
                <w:rFonts w:eastAsia="Times New Roman" w:cs="Arial"/>
                <w:kern w:val="28"/>
                <w:sz w:val="22"/>
                <w:szCs w:val="20"/>
              </w:rPr>
              <w:t xml:space="preserve"> reserve adequacy in relation to share of </w:t>
            </w:r>
            <w:r w:rsidR="00AD0679">
              <w:rPr>
                <w:rFonts w:eastAsia="Times New Roman" w:cs="Arial"/>
                <w:kern w:val="28"/>
                <w:sz w:val="22"/>
                <w:szCs w:val="20"/>
              </w:rPr>
              <w:t xml:space="preserve">the </w:t>
            </w:r>
            <w:r w:rsidR="008F1127" w:rsidRPr="008F1127">
              <w:rPr>
                <w:rFonts w:eastAsia="Times New Roman" w:cs="Arial"/>
                <w:kern w:val="28"/>
                <w:sz w:val="22"/>
                <w:szCs w:val="20"/>
              </w:rPr>
              <w:t>foreign</w:t>
            </w:r>
            <w:r w:rsidR="00AD0679">
              <w:rPr>
                <w:rFonts w:eastAsia="Times New Roman" w:cs="Arial"/>
                <w:kern w:val="28"/>
                <w:sz w:val="22"/>
                <w:szCs w:val="20"/>
              </w:rPr>
              <w:t>-</w:t>
            </w:r>
            <w:r w:rsidR="008F1127" w:rsidRPr="008F1127">
              <w:rPr>
                <w:rFonts w:eastAsia="Times New Roman" w:cs="Arial"/>
                <w:kern w:val="28"/>
                <w:sz w:val="22"/>
                <w:szCs w:val="20"/>
              </w:rPr>
              <w:t xml:space="preserve">currency commercial debt component </w:t>
            </w:r>
            <w:r w:rsidR="00A63CE6">
              <w:rPr>
                <w:rFonts w:eastAsia="Times New Roman" w:cs="Arial"/>
                <w:kern w:val="28"/>
                <w:sz w:val="22"/>
                <w:szCs w:val="20"/>
              </w:rPr>
              <w:t>has deteriorated</w:t>
            </w:r>
            <w:r w:rsidR="008F1127" w:rsidRPr="008F1127">
              <w:rPr>
                <w:rFonts w:eastAsia="Times New Roman" w:cs="Arial"/>
                <w:kern w:val="28"/>
                <w:sz w:val="22"/>
                <w:szCs w:val="20"/>
              </w:rPr>
              <w:t>.</w:t>
            </w:r>
            <w:r w:rsidR="008F1127">
              <w:rPr>
                <w:rFonts w:eastAsia="Times New Roman" w:cs="Arial"/>
                <w:kern w:val="28"/>
                <w:sz w:val="22"/>
                <w:szCs w:val="20"/>
              </w:rPr>
              <w:t xml:space="preserve"> Given the bunching in </w:t>
            </w:r>
            <w:r w:rsidR="00AD0679">
              <w:rPr>
                <w:rFonts w:eastAsia="Times New Roman" w:cs="Arial"/>
                <w:kern w:val="28"/>
                <w:sz w:val="22"/>
                <w:szCs w:val="20"/>
              </w:rPr>
              <w:t xml:space="preserve">external Eurobond </w:t>
            </w:r>
            <w:r w:rsidR="008F1127">
              <w:rPr>
                <w:rFonts w:eastAsia="Times New Roman" w:cs="Arial"/>
                <w:kern w:val="28"/>
                <w:sz w:val="22"/>
                <w:szCs w:val="20"/>
              </w:rPr>
              <w:t>repayment</w:t>
            </w:r>
            <w:r w:rsidR="00AD0679">
              <w:rPr>
                <w:rFonts w:eastAsia="Times New Roman" w:cs="Arial"/>
                <w:kern w:val="28"/>
                <w:sz w:val="22"/>
                <w:szCs w:val="20"/>
              </w:rPr>
              <w:t>s</w:t>
            </w:r>
            <w:r w:rsidR="008F1127">
              <w:rPr>
                <w:rFonts w:eastAsia="Times New Roman" w:cs="Arial"/>
                <w:kern w:val="28"/>
                <w:sz w:val="22"/>
                <w:szCs w:val="20"/>
              </w:rPr>
              <w:t>, e</w:t>
            </w:r>
            <w:r w:rsidR="008F1127" w:rsidRPr="008F1127">
              <w:rPr>
                <w:rFonts w:eastAsia="Times New Roman" w:cs="Arial"/>
                <w:kern w:val="28"/>
                <w:sz w:val="22"/>
                <w:szCs w:val="20"/>
              </w:rPr>
              <w:t xml:space="preserve">xternal debt service </w:t>
            </w:r>
            <w:r w:rsidR="008F1127">
              <w:rPr>
                <w:rFonts w:eastAsia="Times New Roman" w:cs="Arial"/>
                <w:kern w:val="28"/>
                <w:sz w:val="22"/>
                <w:szCs w:val="20"/>
              </w:rPr>
              <w:t>could</w:t>
            </w:r>
            <w:r w:rsidR="008F1127" w:rsidRPr="008F1127">
              <w:rPr>
                <w:rFonts w:eastAsia="Times New Roman" w:cs="Arial"/>
                <w:kern w:val="28"/>
                <w:sz w:val="22"/>
                <w:szCs w:val="20"/>
              </w:rPr>
              <w:t xml:space="preserve"> become a matter of concern starting from 201</w:t>
            </w:r>
            <w:r w:rsidR="008F1127">
              <w:rPr>
                <w:rFonts w:eastAsia="Times New Roman" w:cs="Arial"/>
                <w:kern w:val="28"/>
                <w:sz w:val="22"/>
                <w:szCs w:val="20"/>
              </w:rPr>
              <w:t>9</w:t>
            </w:r>
            <w:r w:rsidR="008F1127" w:rsidRPr="008F1127">
              <w:rPr>
                <w:rFonts w:eastAsia="Times New Roman" w:cs="Arial"/>
                <w:kern w:val="28"/>
                <w:sz w:val="22"/>
                <w:szCs w:val="20"/>
              </w:rPr>
              <w:t xml:space="preserve">. </w:t>
            </w:r>
            <w:r w:rsidR="006B343C" w:rsidRPr="006B343C">
              <w:rPr>
                <w:rFonts w:eastAsia="Times New Roman" w:cs="Arial"/>
                <w:kern w:val="28"/>
                <w:sz w:val="22"/>
                <w:szCs w:val="20"/>
              </w:rPr>
              <w:t xml:space="preserve">These factors suggest that, in the absence of high growth rates seen in earlier years, fiscal consolidation and more efficient debt management are key to improving debt profile and bringing it </w:t>
            </w:r>
            <w:r w:rsidR="006B343C">
              <w:rPr>
                <w:rFonts w:eastAsia="Times New Roman" w:cs="Arial"/>
                <w:kern w:val="28"/>
                <w:sz w:val="22"/>
                <w:szCs w:val="20"/>
              </w:rPr>
              <w:t xml:space="preserve">back debt to a sustainable path. </w:t>
            </w:r>
          </w:p>
        </w:tc>
      </w:tr>
    </w:tbl>
    <w:p w14:paraId="2BB4B87B" w14:textId="77777777" w:rsidR="005A584D" w:rsidRDefault="005A584D" w:rsidP="00556DF3">
      <w:pPr>
        <w:pStyle w:val="BodyText"/>
        <w:rPr>
          <w:sz w:val="18"/>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A584D" w:rsidRPr="000A41D0" w14:paraId="3DE9B12A" w14:textId="77777777" w:rsidTr="005A584D">
        <w:tc>
          <w:tcPr>
            <w:tcW w:w="2020" w:type="dxa"/>
          </w:tcPr>
          <w:p w14:paraId="68BD2072" w14:textId="69CC9977" w:rsidR="005A584D" w:rsidRPr="00BA50DD" w:rsidRDefault="005A584D" w:rsidP="005A584D">
            <w:pPr>
              <w:pStyle w:val="BodyText"/>
              <w:rPr>
                <w:b/>
              </w:rPr>
            </w:pPr>
            <w:r>
              <w:rPr>
                <w:b/>
              </w:rPr>
              <w:t>The fiscal risk posed by Treasury guarantees has increased.</w:t>
            </w:r>
          </w:p>
        </w:tc>
        <w:tc>
          <w:tcPr>
            <w:tcW w:w="145" w:type="dxa"/>
          </w:tcPr>
          <w:p w14:paraId="3A92B624" w14:textId="77777777" w:rsidR="005A584D" w:rsidRPr="000A41D0" w:rsidRDefault="005A584D" w:rsidP="005A584D">
            <w:pPr>
              <w:pStyle w:val="BodyText"/>
            </w:pPr>
          </w:p>
        </w:tc>
        <w:tc>
          <w:tcPr>
            <w:tcW w:w="7221" w:type="dxa"/>
          </w:tcPr>
          <w:p w14:paraId="0751E6C6" w14:textId="1465EF91" w:rsidR="00B96834" w:rsidRPr="00B96834" w:rsidRDefault="005A584D" w:rsidP="00B96834">
            <w:pPr>
              <w:jc w:val="both"/>
              <w:rPr>
                <w:rFonts w:eastAsia="Times New Roman" w:cs="Arial"/>
                <w:kern w:val="28"/>
                <w:sz w:val="22"/>
                <w:szCs w:val="20"/>
              </w:rPr>
            </w:pPr>
            <w:r>
              <w:rPr>
                <w:rFonts w:eastAsia="Times New Roman" w:cs="Arial"/>
                <w:kern w:val="28"/>
                <w:sz w:val="22"/>
                <w:szCs w:val="20"/>
              </w:rPr>
              <w:t xml:space="preserve">Treasury guarantees primarily granted to SOEs and </w:t>
            </w:r>
            <w:r w:rsidR="00AD0679">
              <w:rPr>
                <w:rFonts w:eastAsia="Times New Roman" w:cs="Arial"/>
                <w:kern w:val="28"/>
                <w:sz w:val="22"/>
                <w:szCs w:val="20"/>
              </w:rPr>
              <w:t xml:space="preserve">state </w:t>
            </w:r>
            <w:r>
              <w:rPr>
                <w:rFonts w:eastAsia="Times New Roman" w:cs="Arial"/>
                <w:kern w:val="28"/>
                <w:sz w:val="22"/>
                <w:szCs w:val="20"/>
              </w:rPr>
              <w:t>agenc</w:t>
            </w:r>
            <w:r w:rsidR="00AD0679">
              <w:rPr>
                <w:rFonts w:eastAsia="Times New Roman" w:cs="Arial"/>
                <w:kern w:val="28"/>
                <w:sz w:val="22"/>
                <w:szCs w:val="20"/>
              </w:rPr>
              <w:t>ie</w:t>
            </w:r>
            <w:r>
              <w:rPr>
                <w:rFonts w:eastAsia="Times New Roman" w:cs="Arial"/>
                <w:kern w:val="28"/>
                <w:sz w:val="22"/>
                <w:szCs w:val="20"/>
              </w:rPr>
              <w:t xml:space="preserve">s to borrow from domestic and foreign financial institutions also </w:t>
            </w:r>
            <w:r w:rsidR="00AD0679">
              <w:rPr>
                <w:rFonts w:eastAsia="Times New Roman" w:cs="Arial"/>
                <w:kern w:val="28"/>
                <w:sz w:val="22"/>
                <w:szCs w:val="20"/>
              </w:rPr>
              <w:t xml:space="preserve">showed </w:t>
            </w:r>
            <w:r>
              <w:rPr>
                <w:rFonts w:eastAsia="Times New Roman" w:cs="Arial"/>
                <w:kern w:val="28"/>
                <w:sz w:val="22"/>
                <w:szCs w:val="20"/>
              </w:rPr>
              <w:t>a significant increase</w:t>
            </w:r>
            <w:r w:rsidR="00380B14">
              <w:rPr>
                <w:rFonts w:eastAsia="Times New Roman" w:cs="Arial"/>
                <w:kern w:val="28"/>
                <w:sz w:val="22"/>
                <w:szCs w:val="20"/>
              </w:rPr>
              <w:t xml:space="preserve"> </w:t>
            </w:r>
            <w:r w:rsidR="004F327A">
              <w:rPr>
                <w:rFonts w:eastAsia="Times New Roman" w:cs="Arial"/>
                <w:kern w:val="28"/>
                <w:sz w:val="22"/>
                <w:szCs w:val="20"/>
              </w:rPr>
              <w:t xml:space="preserve">in 2016 </w:t>
            </w:r>
            <w:r w:rsidR="00380B14">
              <w:rPr>
                <w:rFonts w:eastAsia="Times New Roman" w:cs="Arial"/>
                <w:kern w:val="28"/>
                <w:sz w:val="22"/>
                <w:szCs w:val="20"/>
              </w:rPr>
              <w:t xml:space="preserve">although the </w:t>
            </w:r>
            <w:r w:rsidR="00906D5B">
              <w:rPr>
                <w:rFonts w:eastAsia="Times New Roman" w:cs="Arial"/>
                <w:kern w:val="28"/>
                <w:sz w:val="22"/>
                <w:szCs w:val="20"/>
              </w:rPr>
              <w:t>utilization</w:t>
            </w:r>
            <w:r w:rsidR="00380B14">
              <w:rPr>
                <w:rFonts w:eastAsia="Times New Roman" w:cs="Arial"/>
                <w:kern w:val="28"/>
                <w:sz w:val="22"/>
                <w:szCs w:val="20"/>
              </w:rPr>
              <w:t xml:space="preserve"> remained relatively</w:t>
            </w:r>
            <w:r w:rsidR="00D34DED">
              <w:rPr>
                <w:rFonts w:eastAsia="Times New Roman" w:cs="Arial"/>
                <w:kern w:val="28"/>
                <w:sz w:val="22"/>
                <w:szCs w:val="20"/>
              </w:rPr>
              <w:t xml:space="preserve"> low</w:t>
            </w:r>
            <w:r>
              <w:rPr>
                <w:rFonts w:eastAsia="Times New Roman" w:cs="Arial"/>
                <w:kern w:val="28"/>
                <w:sz w:val="22"/>
                <w:szCs w:val="20"/>
              </w:rPr>
              <w:t>.</w:t>
            </w:r>
            <w:r>
              <w:rPr>
                <w:rStyle w:val="FootnoteReference"/>
                <w:rFonts w:eastAsia="Times New Roman" w:cs="Arial"/>
                <w:kern w:val="28"/>
                <w:sz w:val="22"/>
                <w:szCs w:val="20"/>
              </w:rPr>
              <w:footnoteReference w:id="13"/>
            </w:r>
            <w:r>
              <w:rPr>
                <w:rFonts w:eastAsia="Times New Roman" w:cs="Arial"/>
                <w:kern w:val="28"/>
                <w:sz w:val="22"/>
                <w:szCs w:val="20"/>
              </w:rPr>
              <w:t xml:space="preserve"> </w:t>
            </w:r>
            <w:r w:rsidR="00B96834" w:rsidRPr="00B96834">
              <w:rPr>
                <w:rFonts w:eastAsia="Times New Roman" w:cs="Arial"/>
                <w:kern w:val="28"/>
                <w:sz w:val="22"/>
                <w:szCs w:val="20"/>
              </w:rPr>
              <w:t xml:space="preserve">Moreover, the composition of guarantees has been changing over time, with the significance of guarantees given to institutions with </w:t>
            </w:r>
            <w:r w:rsidR="003248B3">
              <w:rPr>
                <w:rFonts w:eastAsia="Times New Roman" w:cs="Arial"/>
                <w:kern w:val="28"/>
                <w:sz w:val="22"/>
                <w:szCs w:val="20"/>
              </w:rPr>
              <w:t>stable</w:t>
            </w:r>
            <w:r w:rsidR="00B96834" w:rsidRPr="00B96834">
              <w:rPr>
                <w:rFonts w:eastAsia="Times New Roman" w:cs="Arial"/>
                <w:kern w:val="28"/>
                <w:sz w:val="22"/>
                <w:szCs w:val="20"/>
              </w:rPr>
              <w:t xml:space="preserve"> revenue streams, such as Ceylon Petroleum Corporation (CPC) and Ceylon Electricity Board (CEB), declining from 90 percent in 2006 to </w:t>
            </w:r>
            <w:r w:rsidR="00B96834">
              <w:rPr>
                <w:rFonts w:eastAsia="Times New Roman" w:cs="Arial"/>
                <w:kern w:val="28"/>
                <w:sz w:val="22"/>
                <w:szCs w:val="20"/>
              </w:rPr>
              <w:t>36</w:t>
            </w:r>
            <w:r w:rsidR="00B96834" w:rsidRPr="00B96834">
              <w:rPr>
                <w:rFonts w:eastAsia="Times New Roman" w:cs="Arial"/>
                <w:kern w:val="28"/>
                <w:sz w:val="22"/>
                <w:szCs w:val="20"/>
              </w:rPr>
              <w:t xml:space="preserve"> percent in 201</w:t>
            </w:r>
            <w:r w:rsidR="00B96834">
              <w:rPr>
                <w:rFonts w:eastAsia="Times New Roman" w:cs="Arial"/>
                <w:kern w:val="28"/>
                <w:sz w:val="22"/>
                <w:szCs w:val="20"/>
              </w:rPr>
              <w:t>6</w:t>
            </w:r>
            <w:r w:rsidR="003248B3">
              <w:rPr>
                <w:rFonts w:eastAsia="Times New Roman" w:cs="Arial"/>
                <w:kern w:val="28"/>
                <w:sz w:val="22"/>
                <w:szCs w:val="20"/>
              </w:rPr>
              <w:t xml:space="preserve"> while </w:t>
            </w:r>
            <w:r w:rsidR="00B96834" w:rsidRPr="00B96834">
              <w:rPr>
                <w:rFonts w:eastAsia="Times New Roman" w:cs="Arial"/>
                <w:kern w:val="28"/>
                <w:sz w:val="22"/>
                <w:szCs w:val="20"/>
              </w:rPr>
              <w:t>guarantees given to state establishments</w:t>
            </w:r>
            <w:r w:rsidR="003248B3">
              <w:rPr>
                <w:rFonts w:eastAsia="Times New Roman" w:cs="Arial"/>
                <w:kern w:val="28"/>
                <w:sz w:val="22"/>
                <w:szCs w:val="20"/>
              </w:rPr>
              <w:t>,</w:t>
            </w:r>
            <w:r w:rsidR="00B96834" w:rsidRPr="00B96834">
              <w:rPr>
                <w:rFonts w:eastAsia="Times New Roman" w:cs="Arial"/>
                <w:kern w:val="28"/>
                <w:sz w:val="22"/>
                <w:szCs w:val="20"/>
              </w:rPr>
              <w:t xml:space="preserve"> primarily dependent on the state budget</w:t>
            </w:r>
            <w:r w:rsidR="003248B3">
              <w:rPr>
                <w:rFonts w:eastAsia="Times New Roman" w:cs="Arial"/>
                <w:kern w:val="28"/>
                <w:sz w:val="22"/>
                <w:szCs w:val="20"/>
              </w:rPr>
              <w:t>, are</w:t>
            </w:r>
            <w:r w:rsidR="00B96834" w:rsidRPr="00B96834">
              <w:rPr>
                <w:rFonts w:eastAsia="Times New Roman" w:cs="Arial"/>
                <w:kern w:val="28"/>
                <w:sz w:val="22"/>
                <w:szCs w:val="20"/>
              </w:rPr>
              <w:t xml:space="preserve"> on the rise</w:t>
            </w:r>
            <w:r w:rsidR="008B65D8">
              <w:rPr>
                <w:rFonts w:eastAsia="Times New Roman" w:cs="Arial"/>
                <w:kern w:val="28"/>
                <w:sz w:val="22"/>
                <w:szCs w:val="20"/>
              </w:rPr>
              <w:t xml:space="preserve"> (Figure 11</w:t>
            </w:r>
            <w:r w:rsidR="005F4516">
              <w:rPr>
                <w:rFonts w:eastAsia="Times New Roman" w:cs="Arial"/>
                <w:kern w:val="28"/>
                <w:sz w:val="22"/>
                <w:szCs w:val="20"/>
              </w:rPr>
              <w:t>)</w:t>
            </w:r>
            <w:r w:rsidR="00B96834" w:rsidRPr="00B96834">
              <w:rPr>
                <w:rFonts w:eastAsia="Times New Roman" w:cs="Arial"/>
                <w:kern w:val="28"/>
                <w:sz w:val="22"/>
                <w:szCs w:val="20"/>
              </w:rPr>
              <w:t>.</w:t>
            </w:r>
            <w:r w:rsidR="00B96834">
              <w:rPr>
                <w:rStyle w:val="FootnoteReference"/>
                <w:rFonts w:eastAsia="Times New Roman" w:cs="Arial"/>
                <w:kern w:val="28"/>
                <w:sz w:val="22"/>
                <w:szCs w:val="20"/>
              </w:rPr>
              <w:footnoteReference w:id="14"/>
            </w:r>
            <w:r w:rsidR="00B96834" w:rsidRPr="00B96834">
              <w:rPr>
                <w:rFonts w:eastAsia="Times New Roman" w:cs="Arial"/>
                <w:kern w:val="28"/>
                <w:sz w:val="22"/>
                <w:szCs w:val="20"/>
              </w:rPr>
              <w:t xml:space="preserve"> </w:t>
            </w:r>
          </w:p>
          <w:p w14:paraId="29625F2B" w14:textId="3E3D1465" w:rsidR="005A584D" w:rsidRPr="000A41D0" w:rsidRDefault="005A584D" w:rsidP="003C37F7">
            <w:pPr>
              <w:jc w:val="both"/>
            </w:pPr>
          </w:p>
        </w:tc>
      </w:tr>
    </w:tbl>
    <w:p w14:paraId="50569EBA" w14:textId="0A1550CF" w:rsidR="00D56581" w:rsidRDefault="00D56581" w:rsidP="00556DF3">
      <w:pPr>
        <w:pStyle w:val="BodyText"/>
        <w:rPr>
          <w:sz w:val="18"/>
        </w:rPr>
      </w:pPr>
    </w:p>
    <w:p w14:paraId="177DF78E" w14:textId="237A9EAA" w:rsidR="00DB2A49" w:rsidRDefault="00DB2A49" w:rsidP="00556DF3">
      <w:pPr>
        <w:pStyle w:val="BodyText"/>
        <w:rPr>
          <w:sz w:val="18"/>
        </w:rPr>
      </w:pPr>
    </w:p>
    <w:p w14:paraId="32259AA7" w14:textId="45971A1C" w:rsidR="006543B8" w:rsidRDefault="006543B8" w:rsidP="00556DF3">
      <w:pPr>
        <w:pStyle w:val="BodyText"/>
        <w:rPr>
          <w:sz w:val="18"/>
        </w:rPr>
      </w:pPr>
    </w:p>
    <w:p w14:paraId="50D17ADD" w14:textId="21CAEC2D" w:rsidR="006543B8" w:rsidRDefault="006543B8" w:rsidP="00556DF3">
      <w:pPr>
        <w:pStyle w:val="BodyText"/>
        <w:rPr>
          <w:sz w:val="18"/>
        </w:rPr>
      </w:pPr>
    </w:p>
    <w:p w14:paraId="00D34E32" w14:textId="30697A43" w:rsidR="006543B8" w:rsidRDefault="006543B8" w:rsidP="00556DF3">
      <w:pPr>
        <w:pStyle w:val="BodyText"/>
        <w:rPr>
          <w:sz w:val="18"/>
        </w:rPr>
      </w:pPr>
    </w:p>
    <w:p w14:paraId="598437D3" w14:textId="01E412B7" w:rsidR="006543B8" w:rsidRDefault="006543B8" w:rsidP="00556DF3">
      <w:pPr>
        <w:pStyle w:val="BodyText"/>
        <w:rPr>
          <w:sz w:val="18"/>
        </w:rPr>
      </w:pPr>
    </w:p>
    <w:p w14:paraId="25AEBA71" w14:textId="1AE78275" w:rsidR="006543B8" w:rsidRDefault="006543B8" w:rsidP="00556DF3">
      <w:pPr>
        <w:pStyle w:val="BodyText"/>
        <w:rPr>
          <w:sz w:val="18"/>
        </w:rPr>
      </w:pPr>
    </w:p>
    <w:p w14:paraId="3E8480D8" w14:textId="16E254D3" w:rsidR="006543B8" w:rsidRDefault="006543B8" w:rsidP="00556DF3">
      <w:pPr>
        <w:pStyle w:val="BodyText"/>
        <w:rPr>
          <w:sz w:val="18"/>
        </w:rPr>
      </w:pPr>
    </w:p>
    <w:p w14:paraId="03DCDE60" w14:textId="73E6B147" w:rsidR="006543B8" w:rsidRDefault="006543B8" w:rsidP="00556DF3">
      <w:pPr>
        <w:pStyle w:val="BodyText"/>
        <w:rPr>
          <w:sz w:val="18"/>
        </w:rPr>
      </w:pPr>
    </w:p>
    <w:p w14:paraId="742BDE2F" w14:textId="1AE790AF" w:rsidR="006543B8" w:rsidRDefault="006543B8" w:rsidP="00556DF3">
      <w:pPr>
        <w:pStyle w:val="BodyText"/>
        <w:rPr>
          <w:sz w:val="18"/>
        </w:rPr>
      </w:pPr>
    </w:p>
    <w:p w14:paraId="40A65AA6" w14:textId="77777777" w:rsidR="006543B8" w:rsidRDefault="006543B8" w:rsidP="00556DF3">
      <w:pPr>
        <w:pStyle w:val="BodyText"/>
        <w:rPr>
          <w:sz w:val="18"/>
        </w:rPr>
      </w:pPr>
    </w:p>
    <w:p w14:paraId="6CF0073D" w14:textId="02398E58" w:rsidR="00D56581" w:rsidRDefault="00D56581" w:rsidP="00D56581">
      <w:pPr>
        <w:pStyle w:val="Caption"/>
      </w:pPr>
      <w:bookmarkStart w:id="91" w:name="_Toc485822690"/>
      <w:r>
        <w:lastRenderedPageBreak/>
        <w:t xml:space="preserve">Table </w:t>
      </w:r>
      <w:fldSimple w:instr=" SEQ Table \* ARABIC ">
        <w:r w:rsidR="00A12655">
          <w:rPr>
            <w:noProof/>
          </w:rPr>
          <w:t>1</w:t>
        </w:r>
      </w:fldSimple>
      <w:r>
        <w:t xml:space="preserve">: </w:t>
      </w:r>
      <w:r w:rsidRPr="00D56581">
        <w:t xml:space="preserve">Budget and </w:t>
      </w:r>
      <w:r>
        <w:t>F</w:t>
      </w:r>
      <w:r w:rsidRPr="00D56581">
        <w:t xml:space="preserve">iscal </w:t>
      </w:r>
      <w:r>
        <w:t>O</w:t>
      </w:r>
      <w:r w:rsidRPr="00D56581">
        <w:t>utcomes</w:t>
      </w:r>
      <w:bookmarkEnd w:id="91"/>
      <w:r w:rsidR="00380903">
        <w:t xml:space="preserve"> </w:t>
      </w:r>
    </w:p>
    <w:p w14:paraId="1E7F56D7" w14:textId="1E3391AF" w:rsidR="00380903" w:rsidRPr="00380903" w:rsidRDefault="00380903" w:rsidP="00380903">
      <w:pPr>
        <w:pStyle w:val="BodyText"/>
      </w:pPr>
      <w:r w:rsidRPr="003C40AE">
        <w:rPr>
          <w:i/>
          <w:sz w:val="20"/>
        </w:rPr>
        <w:t>(</w:t>
      </w:r>
      <w:r>
        <w:rPr>
          <w:i/>
          <w:sz w:val="20"/>
        </w:rPr>
        <w:t>Percent of GDP</w:t>
      </w:r>
      <w:r w:rsidRPr="003C40AE">
        <w:rPr>
          <w:i/>
          <w:sz w:val="20"/>
        </w:rPr>
        <w:t>)</w:t>
      </w:r>
    </w:p>
    <w:tbl>
      <w:tblPr>
        <w:tblW w:w="7500" w:type="dxa"/>
        <w:tblInd w:w="-1170" w:type="dxa"/>
        <w:tblLook w:val="04A0" w:firstRow="1" w:lastRow="0" w:firstColumn="1" w:lastColumn="0" w:noHBand="0" w:noVBand="1"/>
      </w:tblPr>
      <w:tblGrid>
        <w:gridCol w:w="3667"/>
        <w:gridCol w:w="1137"/>
        <w:gridCol w:w="1268"/>
        <w:gridCol w:w="1428"/>
      </w:tblGrid>
      <w:tr w:rsidR="00D56581" w:rsidRPr="000C233B" w14:paraId="22FC39B9" w14:textId="77777777" w:rsidTr="00D56581">
        <w:trPr>
          <w:trHeight w:val="300"/>
        </w:trPr>
        <w:tc>
          <w:tcPr>
            <w:tcW w:w="3667" w:type="dxa"/>
            <w:tcBorders>
              <w:top w:val="nil"/>
              <w:left w:val="nil"/>
              <w:bottom w:val="single" w:sz="8" w:space="0" w:color="7F7F7F"/>
              <w:right w:val="nil"/>
            </w:tcBorders>
            <w:shd w:val="clear" w:color="000000" w:fill="0C4DA2"/>
            <w:noWrap/>
            <w:vAlign w:val="center"/>
            <w:hideMark/>
          </w:tcPr>
          <w:p w14:paraId="2D61F3AD" w14:textId="77777777" w:rsidR="00D56581" w:rsidRPr="004246DE" w:rsidRDefault="00D56581" w:rsidP="00D56581">
            <w:pPr>
              <w:jc w:val="center"/>
              <w:rPr>
                <w:rFonts w:ascii="Arial" w:eastAsia="Times New Roman" w:hAnsi="Arial" w:cs="Arial"/>
                <w:color w:val="FFFFFF"/>
                <w:sz w:val="16"/>
                <w:szCs w:val="16"/>
              </w:rPr>
            </w:pPr>
            <w:r w:rsidRPr="004246DE">
              <w:rPr>
                <w:rFonts w:ascii="Arial" w:eastAsia="Times New Roman" w:hAnsi="Arial" w:cs="Arial"/>
                <w:color w:val="FFFFFF"/>
                <w:sz w:val="16"/>
                <w:szCs w:val="16"/>
              </w:rPr>
              <w:t> </w:t>
            </w:r>
          </w:p>
        </w:tc>
        <w:tc>
          <w:tcPr>
            <w:tcW w:w="1137" w:type="dxa"/>
            <w:tcBorders>
              <w:top w:val="nil"/>
              <w:left w:val="nil"/>
              <w:bottom w:val="single" w:sz="8" w:space="0" w:color="7F7F7F"/>
              <w:right w:val="nil"/>
            </w:tcBorders>
            <w:shd w:val="clear" w:color="000000" w:fill="0C4DA2"/>
            <w:vAlign w:val="center"/>
            <w:hideMark/>
          </w:tcPr>
          <w:p w14:paraId="21CE1209" w14:textId="77777777" w:rsidR="00D56581" w:rsidRPr="004246DE" w:rsidRDefault="00D56581" w:rsidP="00D56581">
            <w:pPr>
              <w:jc w:val="right"/>
              <w:rPr>
                <w:rFonts w:ascii="Arial" w:eastAsia="Times New Roman" w:hAnsi="Arial" w:cs="Arial"/>
                <w:b/>
                <w:bCs/>
                <w:color w:val="FFFFFF"/>
                <w:sz w:val="16"/>
                <w:szCs w:val="16"/>
              </w:rPr>
            </w:pPr>
            <w:r w:rsidRPr="004246DE">
              <w:rPr>
                <w:rFonts w:ascii="Arial" w:eastAsia="Times New Roman" w:hAnsi="Arial" w:cs="Arial"/>
                <w:b/>
                <w:bCs/>
                <w:color w:val="FFFFFF"/>
                <w:sz w:val="16"/>
                <w:szCs w:val="16"/>
              </w:rPr>
              <w:t>2015</w:t>
            </w:r>
          </w:p>
        </w:tc>
        <w:tc>
          <w:tcPr>
            <w:tcW w:w="2696" w:type="dxa"/>
            <w:gridSpan w:val="2"/>
            <w:tcBorders>
              <w:top w:val="nil"/>
              <w:left w:val="nil"/>
              <w:bottom w:val="single" w:sz="8" w:space="0" w:color="7F7F7F"/>
              <w:right w:val="nil"/>
            </w:tcBorders>
            <w:shd w:val="clear" w:color="000000" w:fill="0C4DA2"/>
            <w:noWrap/>
            <w:vAlign w:val="center"/>
            <w:hideMark/>
          </w:tcPr>
          <w:p w14:paraId="7996A31B" w14:textId="77777777" w:rsidR="00D56581" w:rsidRPr="004246DE" w:rsidRDefault="00D56581" w:rsidP="00D56581">
            <w:pPr>
              <w:jc w:val="center"/>
              <w:rPr>
                <w:rFonts w:ascii="Arial" w:eastAsia="Times New Roman" w:hAnsi="Arial" w:cs="Arial"/>
                <w:b/>
                <w:bCs/>
                <w:color w:val="FFFFFF"/>
                <w:sz w:val="16"/>
                <w:szCs w:val="16"/>
              </w:rPr>
            </w:pPr>
            <w:r w:rsidRPr="004246DE">
              <w:rPr>
                <w:rFonts w:ascii="Arial" w:eastAsia="Times New Roman" w:hAnsi="Arial" w:cs="Arial"/>
                <w:b/>
                <w:bCs/>
                <w:color w:val="FFFFFF"/>
                <w:sz w:val="16"/>
                <w:szCs w:val="16"/>
              </w:rPr>
              <w:t>2016</w:t>
            </w:r>
          </w:p>
        </w:tc>
      </w:tr>
      <w:tr w:rsidR="00D56581" w:rsidRPr="000C233B" w14:paraId="463EA1C1" w14:textId="77777777" w:rsidTr="00D56581">
        <w:trPr>
          <w:trHeight w:val="288"/>
        </w:trPr>
        <w:tc>
          <w:tcPr>
            <w:tcW w:w="3667" w:type="dxa"/>
            <w:tcBorders>
              <w:top w:val="nil"/>
              <w:left w:val="nil"/>
              <w:bottom w:val="nil"/>
              <w:right w:val="nil"/>
            </w:tcBorders>
            <w:shd w:val="clear" w:color="000000" w:fill="DBE5F1"/>
            <w:noWrap/>
            <w:vAlign w:val="center"/>
            <w:hideMark/>
          </w:tcPr>
          <w:p w14:paraId="413F2BE0" w14:textId="77777777" w:rsidR="00D56581" w:rsidRPr="004246DE" w:rsidRDefault="00D56581" w:rsidP="00D56581">
            <w:pPr>
              <w:jc w:val="center"/>
              <w:rPr>
                <w:rFonts w:ascii="Arial" w:eastAsia="Times New Roman" w:hAnsi="Arial" w:cs="Arial"/>
                <w:color w:val="000000"/>
                <w:sz w:val="16"/>
                <w:szCs w:val="16"/>
              </w:rPr>
            </w:pPr>
            <w:r w:rsidRPr="004246DE">
              <w:rPr>
                <w:rFonts w:ascii="Arial" w:eastAsia="Times New Roman" w:hAnsi="Arial" w:cs="Arial"/>
                <w:color w:val="000000"/>
                <w:sz w:val="16"/>
                <w:szCs w:val="16"/>
              </w:rPr>
              <w:t> </w:t>
            </w:r>
          </w:p>
        </w:tc>
        <w:tc>
          <w:tcPr>
            <w:tcW w:w="1137" w:type="dxa"/>
            <w:tcBorders>
              <w:top w:val="nil"/>
              <w:left w:val="nil"/>
              <w:bottom w:val="nil"/>
              <w:right w:val="nil"/>
            </w:tcBorders>
            <w:shd w:val="clear" w:color="000000" w:fill="DBE5F1"/>
            <w:vAlign w:val="center"/>
            <w:hideMark/>
          </w:tcPr>
          <w:p w14:paraId="2F82F6A9" w14:textId="77777777" w:rsidR="00D56581" w:rsidRPr="004246DE" w:rsidRDefault="00D56581" w:rsidP="00D56581">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Actual</w:t>
            </w:r>
          </w:p>
        </w:tc>
        <w:tc>
          <w:tcPr>
            <w:tcW w:w="1268" w:type="dxa"/>
            <w:tcBorders>
              <w:top w:val="nil"/>
              <w:left w:val="nil"/>
              <w:bottom w:val="nil"/>
              <w:right w:val="nil"/>
            </w:tcBorders>
            <w:shd w:val="clear" w:color="000000" w:fill="DBE5F1"/>
            <w:noWrap/>
            <w:vAlign w:val="center"/>
            <w:hideMark/>
          </w:tcPr>
          <w:p w14:paraId="4E3D7368" w14:textId="77777777" w:rsidR="00D56581" w:rsidRPr="004246DE" w:rsidRDefault="00D56581" w:rsidP="00D56581">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Approved</w:t>
            </w:r>
          </w:p>
        </w:tc>
        <w:tc>
          <w:tcPr>
            <w:tcW w:w="1428" w:type="dxa"/>
            <w:tcBorders>
              <w:top w:val="nil"/>
              <w:left w:val="nil"/>
              <w:bottom w:val="nil"/>
              <w:right w:val="nil"/>
            </w:tcBorders>
            <w:shd w:val="clear" w:color="000000" w:fill="DBE5F1"/>
            <w:noWrap/>
            <w:vAlign w:val="center"/>
            <w:hideMark/>
          </w:tcPr>
          <w:p w14:paraId="26813799" w14:textId="77777777" w:rsidR="00D56581" w:rsidRPr="004246DE" w:rsidRDefault="00D56581" w:rsidP="00D56581">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Provisional</w:t>
            </w:r>
          </w:p>
        </w:tc>
      </w:tr>
      <w:tr w:rsidR="00D56581" w:rsidRPr="000C233B" w14:paraId="2DC1B9AC" w14:textId="77777777" w:rsidTr="00D56581">
        <w:trPr>
          <w:trHeight w:val="288"/>
        </w:trPr>
        <w:tc>
          <w:tcPr>
            <w:tcW w:w="3667" w:type="dxa"/>
            <w:tcBorders>
              <w:top w:val="nil"/>
              <w:left w:val="nil"/>
              <w:bottom w:val="nil"/>
              <w:right w:val="nil"/>
            </w:tcBorders>
            <w:shd w:val="clear" w:color="auto" w:fill="auto"/>
            <w:noWrap/>
            <w:vAlign w:val="center"/>
            <w:hideMark/>
          </w:tcPr>
          <w:p w14:paraId="6BD0334A"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Total Revenue and Grants</w:t>
            </w:r>
          </w:p>
        </w:tc>
        <w:tc>
          <w:tcPr>
            <w:tcW w:w="1137" w:type="dxa"/>
            <w:tcBorders>
              <w:top w:val="nil"/>
              <w:left w:val="nil"/>
              <w:bottom w:val="nil"/>
              <w:right w:val="nil"/>
            </w:tcBorders>
            <w:shd w:val="clear" w:color="auto" w:fill="auto"/>
            <w:noWrap/>
            <w:vAlign w:val="center"/>
            <w:hideMark/>
          </w:tcPr>
          <w:p w14:paraId="2D4C9758"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13.3</w:t>
            </w:r>
          </w:p>
        </w:tc>
        <w:tc>
          <w:tcPr>
            <w:tcW w:w="1268" w:type="dxa"/>
            <w:tcBorders>
              <w:top w:val="nil"/>
              <w:left w:val="nil"/>
              <w:bottom w:val="nil"/>
              <w:right w:val="nil"/>
            </w:tcBorders>
            <w:shd w:val="clear" w:color="auto" w:fill="auto"/>
            <w:noWrap/>
            <w:vAlign w:val="center"/>
            <w:hideMark/>
          </w:tcPr>
          <w:p w14:paraId="6E56CF60"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14.7</w:t>
            </w:r>
          </w:p>
        </w:tc>
        <w:tc>
          <w:tcPr>
            <w:tcW w:w="1428" w:type="dxa"/>
            <w:tcBorders>
              <w:top w:val="nil"/>
              <w:left w:val="nil"/>
              <w:bottom w:val="nil"/>
              <w:right w:val="nil"/>
            </w:tcBorders>
            <w:shd w:val="clear" w:color="auto" w:fill="auto"/>
            <w:noWrap/>
            <w:vAlign w:val="center"/>
            <w:hideMark/>
          </w:tcPr>
          <w:p w14:paraId="135E8FDC"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14.3</w:t>
            </w:r>
          </w:p>
        </w:tc>
      </w:tr>
      <w:tr w:rsidR="00D56581" w:rsidRPr="000C233B" w14:paraId="58F00D45" w14:textId="77777777" w:rsidTr="00D56581">
        <w:trPr>
          <w:trHeight w:val="288"/>
        </w:trPr>
        <w:tc>
          <w:tcPr>
            <w:tcW w:w="3667" w:type="dxa"/>
            <w:tcBorders>
              <w:top w:val="nil"/>
              <w:left w:val="nil"/>
              <w:bottom w:val="nil"/>
              <w:right w:val="nil"/>
            </w:tcBorders>
            <w:shd w:val="clear" w:color="000000" w:fill="DBE5F1"/>
            <w:noWrap/>
            <w:vAlign w:val="center"/>
            <w:hideMark/>
          </w:tcPr>
          <w:p w14:paraId="7BFCD1A6" w14:textId="77777777" w:rsidR="00D56581" w:rsidRPr="004246DE" w:rsidRDefault="00D56581" w:rsidP="00D56581">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Total Revenue</w:t>
            </w:r>
          </w:p>
        </w:tc>
        <w:tc>
          <w:tcPr>
            <w:tcW w:w="1137" w:type="dxa"/>
            <w:tcBorders>
              <w:top w:val="nil"/>
              <w:left w:val="nil"/>
              <w:bottom w:val="nil"/>
              <w:right w:val="nil"/>
            </w:tcBorders>
            <w:shd w:val="clear" w:color="000000" w:fill="DBE5F1"/>
            <w:noWrap/>
            <w:vAlign w:val="center"/>
            <w:hideMark/>
          </w:tcPr>
          <w:p w14:paraId="2D03C92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13.3</w:t>
            </w:r>
          </w:p>
        </w:tc>
        <w:tc>
          <w:tcPr>
            <w:tcW w:w="1268" w:type="dxa"/>
            <w:tcBorders>
              <w:top w:val="nil"/>
              <w:left w:val="nil"/>
              <w:bottom w:val="nil"/>
              <w:right w:val="nil"/>
            </w:tcBorders>
            <w:shd w:val="clear" w:color="000000" w:fill="DBE5F1"/>
            <w:noWrap/>
            <w:vAlign w:val="center"/>
            <w:hideMark/>
          </w:tcPr>
          <w:p w14:paraId="05490D7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14.6</w:t>
            </w:r>
          </w:p>
        </w:tc>
        <w:tc>
          <w:tcPr>
            <w:tcW w:w="1428" w:type="dxa"/>
            <w:tcBorders>
              <w:top w:val="nil"/>
              <w:left w:val="nil"/>
              <w:bottom w:val="nil"/>
              <w:right w:val="nil"/>
            </w:tcBorders>
            <w:shd w:val="clear" w:color="000000" w:fill="DBE5F1"/>
            <w:noWrap/>
            <w:vAlign w:val="center"/>
            <w:hideMark/>
          </w:tcPr>
          <w:p w14:paraId="5E96C428"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14.2</w:t>
            </w:r>
          </w:p>
        </w:tc>
      </w:tr>
      <w:tr w:rsidR="00D56581" w:rsidRPr="000C233B" w14:paraId="690A4FD4" w14:textId="77777777" w:rsidTr="00D56581">
        <w:trPr>
          <w:trHeight w:val="288"/>
        </w:trPr>
        <w:tc>
          <w:tcPr>
            <w:tcW w:w="3667" w:type="dxa"/>
            <w:tcBorders>
              <w:top w:val="nil"/>
              <w:left w:val="nil"/>
              <w:bottom w:val="nil"/>
              <w:right w:val="nil"/>
            </w:tcBorders>
            <w:shd w:val="clear" w:color="auto" w:fill="auto"/>
            <w:noWrap/>
            <w:vAlign w:val="center"/>
            <w:hideMark/>
          </w:tcPr>
          <w:p w14:paraId="0C39E8A3" w14:textId="77777777" w:rsidR="00D56581" w:rsidRPr="004246DE" w:rsidRDefault="00D56581" w:rsidP="00D56581">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Tax Revenue</w:t>
            </w:r>
          </w:p>
        </w:tc>
        <w:tc>
          <w:tcPr>
            <w:tcW w:w="1137" w:type="dxa"/>
            <w:tcBorders>
              <w:top w:val="nil"/>
              <w:left w:val="nil"/>
              <w:bottom w:val="nil"/>
              <w:right w:val="nil"/>
            </w:tcBorders>
            <w:shd w:val="clear" w:color="auto" w:fill="auto"/>
            <w:noWrap/>
            <w:vAlign w:val="center"/>
            <w:hideMark/>
          </w:tcPr>
          <w:p w14:paraId="249E5D2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12.4</w:t>
            </w:r>
          </w:p>
        </w:tc>
        <w:tc>
          <w:tcPr>
            <w:tcW w:w="1268" w:type="dxa"/>
            <w:tcBorders>
              <w:top w:val="nil"/>
              <w:left w:val="nil"/>
              <w:bottom w:val="nil"/>
              <w:right w:val="nil"/>
            </w:tcBorders>
            <w:shd w:val="clear" w:color="auto" w:fill="auto"/>
            <w:noWrap/>
            <w:vAlign w:val="center"/>
            <w:hideMark/>
          </w:tcPr>
          <w:p w14:paraId="6A6873E3"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13.2</w:t>
            </w:r>
          </w:p>
        </w:tc>
        <w:tc>
          <w:tcPr>
            <w:tcW w:w="1428" w:type="dxa"/>
            <w:tcBorders>
              <w:top w:val="nil"/>
              <w:left w:val="nil"/>
              <w:bottom w:val="nil"/>
              <w:right w:val="nil"/>
            </w:tcBorders>
            <w:shd w:val="clear" w:color="auto" w:fill="auto"/>
            <w:noWrap/>
            <w:vAlign w:val="center"/>
            <w:hideMark/>
          </w:tcPr>
          <w:p w14:paraId="4432B9AF"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12.4</w:t>
            </w:r>
          </w:p>
        </w:tc>
      </w:tr>
      <w:tr w:rsidR="00D56581" w:rsidRPr="000C233B" w14:paraId="4AA6B6E0" w14:textId="77777777" w:rsidTr="00D56581">
        <w:trPr>
          <w:trHeight w:val="288"/>
        </w:trPr>
        <w:tc>
          <w:tcPr>
            <w:tcW w:w="3667" w:type="dxa"/>
            <w:tcBorders>
              <w:top w:val="nil"/>
              <w:left w:val="nil"/>
              <w:bottom w:val="nil"/>
              <w:right w:val="nil"/>
            </w:tcBorders>
            <w:shd w:val="clear" w:color="000000" w:fill="DBE5F1"/>
            <w:noWrap/>
            <w:vAlign w:val="center"/>
            <w:hideMark/>
          </w:tcPr>
          <w:p w14:paraId="4BA56F60" w14:textId="77777777" w:rsidR="00D56581" w:rsidRPr="004246DE" w:rsidRDefault="00D56581" w:rsidP="00D56581">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Non-Tax Revenue</w:t>
            </w:r>
          </w:p>
        </w:tc>
        <w:tc>
          <w:tcPr>
            <w:tcW w:w="1137" w:type="dxa"/>
            <w:tcBorders>
              <w:top w:val="nil"/>
              <w:left w:val="nil"/>
              <w:bottom w:val="nil"/>
              <w:right w:val="nil"/>
            </w:tcBorders>
            <w:shd w:val="clear" w:color="000000" w:fill="DBE5F1"/>
            <w:noWrap/>
            <w:vAlign w:val="center"/>
            <w:hideMark/>
          </w:tcPr>
          <w:p w14:paraId="24AE9D4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0.9</w:t>
            </w:r>
          </w:p>
        </w:tc>
        <w:tc>
          <w:tcPr>
            <w:tcW w:w="1268" w:type="dxa"/>
            <w:tcBorders>
              <w:top w:val="nil"/>
              <w:left w:val="nil"/>
              <w:bottom w:val="nil"/>
              <w:right w:val="nil"/>
            </w:tcBorders>
            <w:shd w:val="clear" w:color="000000" w:fill="DBE5F1"/>
            <w:noWrap/>
            <w:vAlign w:val="center"/>
            <w:hideMark/>
          </w:tcPr>
          <w:p w14:paraId="59D479B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w:t>
            </w:r>
          </w:p>
        </w:tc>
        <w:tc>
          <w:tcPr>
            <w:tcW w:w="1428" w:type="dxa"/>
            <w:tcBorders>
              <w:top w:val="nil"/>
              <w:left w:val="nil"/>
              <w:bottom w:val="nil"/>
              <w:right w:val="nil"/>
            </w:tcBorders>
            <w:shd w:val="clear" w:color="000000" w:fill="DBE5F1"/>
            <w:noWrap/>
            <w:vAlign w:val="center"/>
            <w:hideMark/>
          </w:tcPr>
          <w:p w14:paraId="474F5CC4"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1.9</w:t>
            </w:r>
          </w:p>
        </w:tc>
      </w:tr>
      <w:tr w:rsidR="00D56581" w:rsidRPr="000C233B" w14:paraId="10A971D1" w14:textId="77777777" w:rsidTr="00D56581">
        <w:trPr>
          <w:trHeight w:val="288"/>
        </w:trPr>
        <w:tc>
          <w:tcPr>
            <w:tcW w:w="3667" w:type="dxa"/>
            <w:tcBorders>
              <w:top w:val="nil"/>
              <w:left w:val="nil"/>
              <w:bottom w:val="nil"/>
              <w:right w:val="nil"/>
            </w:tcBorders>
            <w:shd w:val="clear" w:color="auto" w:fill="auto"/>
            <w:noWrap/>
            <w:vAlign w:val="center"/>
            <w:hideMark/>
          </w:tcPr>
          <w:p w14:paraId="78C289E3" w14:textId="77777777" w:rsidR="00D56581" w:rsidRPr="004246DE" w:rsidRDefault="00D56581" w:rsidP="00D56581">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Grants</w:t>
            </w:r>
          </w:p>
        </w:tc>
        <w:tc>
          <w:tcPr>
            <w:tcW w:w="1137" w:type="dxa"/>
            <w:tcBorders>
              <w:top w:val="nil"/>
              <w:left w:val="nil"/>
              <w:bottom w:val="nil"/>
              <w:right w:val="nil"/>
            </w:tcBorders>
            <w:shd w:val="clear" w:color="auto" w:fill="auto"/>
            <w:noWrap/>
            <w:vAlign w:val="center"/>
            <w:hideMark/>
          </w:tcPr>
          <w:p w14:paraId="5A30B37D"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0.1</w:t>
            </w:r>
          </w:p>
        </w:tc>
        <w:tc>
          <w:tcPr>
            <w:tcW w:w="1268" w:type="dxa"/>
            <w:tcBorders>
              <w:top w:val="nil"/>
              <w:left w:val="nil"/>
              <w:bottom w:val="nil"/>
              <w:right w:val="nil"/>
            </w:tcBorders>
            <w:shd w:val="clear" w:color="auto" w:fill="auto"/>
            <w:noWrap/>
            <w:vAlign w:val="center"/>
            <w:hideMark/>
          </w:tcPr>
          <w:p w14:paraId="19629D2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0.1</w:t>
            </w:r>
          </w:p>
        </w:tc>
        <w:tc>
          <w:tcPr>
            <w:tcW w:w="1428" w:type="dxa"/>
            <w:tcBorders>
              <w:top w:val="nil"/>
              <w:left w:val="nil"/>
              <w:bottom w:val="nil"/>
              <w:right w:val="nil"/>
            </w:tcBorders>
            <w:shd w:val="clear" w:color="auto" w:fill="auto"/>
            <w:noWrap/>
            <w:vAlign w:val="center"/>
            <w:hideMark/>
          </w:tcPr>
          <w:p w14:paraId="7733935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0.1</w:t>
            </w:r>
          </w:p>
        </w:tc>
      </w:tr>
      <w:tr w:rsidR="00D56581" w:rsidRPr="000C233B" w14:paraId="489E90F9" w14:textId="77777777" w:rsidTr="00D56581">
        <w:trPr>
          <w:trHeight w:val="288"/>
        </w:trPr>
        <w:tc>
          <w:tcPr>
            <w:tcW w:w="3667" w:type="dxa"/>
            <w:tcBorders>
              <w:top w:val="nil"/>
              <w:left w:val="nil"/>
              <w:bottom w:val="nil"/>
              <w:right w:val="nil"/>
            </w:tcBorders>
            <w:shd w:val="clear" w:color="000000" w:fill="DBE5F1"/>
            <w:noWrap/>
            <w:vAlign w:val="center"/>
            <w:hideMark/>
          </w:tcPr>
          <w:p w14:paraId="4F800B5C"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Expenditure and Net Lending </w:t>
            </w:r>
          </w:p>
        </w:tc>
        <w:tc>
          <w:tcPr>
            <w:tcW w:w="1137" w:type="dxa"/>
            <w:tcBorders>
              <w:top w:val="nil"/>
              <w:left w:val="nil"/>
              <w:bottom w:val="nil"/>
              <w:right w:val="nil"/>
            </w:tcBorders>
            <w:shd w:val="clear" w:color="000000" w:fill="DBE5F1"/>
            <w:noWrap/>
            <w:vAlign w:val="center"/>
            <w:hideMark/>
          </w:tcPr>
          <w:p w14:paraId="7E40973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20.9</w:t>
            </w:r>
          </w:p>
        </w:tc>
        <w:tc>
          <w:tcPr>
            <w:tcW w:w="1268" w:type="dxa"/>
            <w:tcBorders>
              <w:top w:val="nil"/>
              <w:left w:val="nil"/>
              <w:bottom w:val="nil"/>
              <w:right w:val="nil"/>
            </w:tcBorders>
            <w:shd w:val="clear" w:color="000000" w:fill="DBE5F1"/>
            <w:noWrap/>
            <w:vAlign w:val="center"/>
            <w:hideMark/>
          </w:tcPr>
          <w:p w14:paraId="0EF7290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20.6</w:t>
            </w:r>
          </w:p>
        </w:tc>
        <w:tc>
          <w:tcPr>
            <w:tcW w:w="1428" w:type="dxa"/>
            <w:tcBorders>
              <w:top w:val="nil"/>
              <w:left w:val="nil"/>
              <w:bottom w:val="nil"/>
              <w:right w:val="nil"/>
            </w:tcBorders>
            <w:shd w:val="clear" w:color="000000" w:fill="DBE5F1"/>
            <w:noWrap/>
            <w:vAlign w:val="center"/>
            <w:hideMark/>
          </w:tcPr>
          <w:p w14:paraId="3AED9CA1"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19.7</w:t>
            </w:r>
          </w:p>
        </w:tc>
      </w:tr>
      <w:tr w:rsidR="00D56581" w:rsidRPr="000C233B" w14:paraId="61A4044E" w14:textId="77777777" w:rsidTr="00D56581">
        <w:trPr>
          <w:trHeight w:val="288"/>
        </w:trPr>
        <w:tc>
          <w:tcPr>
            <w:tcW w:w="3667" w:type="dxa"/>
            <w:tcBorders>
              <w:top w:val="nil"/>
              <w:left w:val="nil"/>
              <w:bottom w:val="nil"/>
              <w:right w:val="nil"/>
            </w:tcBorders>
            <w:shd w:val="clear" w:color="auto" w:fill="auto"/>
            <w:noWrap/>
            <w:vAlign w:val="center"/>
            <w:hideMark/>
          </w:tcPr>
          <w:p w14:paraId="062C7B0D" w14:textId="77777777" w:rsidR="00D56581" w:rsidRPr="004246DE" w:rsidRDefault="00D56581" w:rsidP="00D56581">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Recurrent Expenditure</w:t>
            </w:r>
          </w:p>
        </w:tc>
        <w:tc>
          <w:tcPr>
            <w:tcW w:w="1137" w:type="dxa"/>
            <w:tcBorders>
              <w:top w:val="nil"/>
              <w:left w:val="nil"/>
              <w:bottom w:val="nil"/>
              <w:right w:val="nil"/>
            </w:tcBorders>
            <w:shd w:val="clear" w:color="auto" w:fill="auto"/>
            <w:noWrap/>
            <w:vAlign w:val="center"/>
            <w:hideMark/>
          </w:tcPr>
          <w:p w14:paraId="737945FC"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15.5</w:t>
            </w:r>
          </w:p>
        </w:tc>
        <w:tc>
          <w:tcPr>
            <w:tcW w:w="1268" w:type="dxa"/>
            <w:tcBorders>
              <w:top w:val="nil"/>
              <w:left w:val="nil"/>
              <w:bottom w:val="nil"/>
              <w:right w:val="nil"/>
            </w:tcBorders>
            <w:shd w:val="clear" w:color="auto" w:fill="auto"/>
            <w:noWrap/>
            <w:vAlign w:val="center"/>
            <w:hideMark/>
          </w:tcPr>
          <w:p w14:paraId="0E7ED175"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13.7</w:t>
            </w:r>
          </w:p>
        </w:tc>
        <w:tc>
          <w:tcPr>
            <w:tcW w:w="1428" w:type="dxa"/>
            <w:tcBorders>
              <w:top w:val="nil"/>
              <w:left w:val="nil"/>
              <w:bottom w:val="nil"/>
              <w:right w:val="nil"/>
            </w:tcBorders>
            <w:shd w:val="clear" w:color="auto" w:fill="auto"/>
            <w:noWrap/>
            <w:vAlign w:val="center"/>
            <w:hideMark/>
          </w:tcPr>
          <w:p w14:paraId="32362130"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14.8</w:t>
            </w:r>
          </w:p>
        </w:tc>
      </w:tr>
      <w:tr w:rsidR="00D56581" w:rsidRPr="000C233B" w14:paraId="6261E8B1" w14:textId="77777777" w:rsidTr="00D56581">
        <w:trPr>
          <w:trHeight w:val="288"/>
        </w:trPr>
        <w:tc>
          <w:tcPr>
            <w:tcW w:w="3667" w:type="dxa"/>
            <w:tcBorders>
              <w:top w:val="nil"/>
              <w:left w:val="nil"/>
              <w:bottom w:val="nil"/>
              <w:right w:val="nil"/>
            </w:tcBorders>
            <w:shd w:val="clear" w:color="000000" w:fill="DBE5F1"/>
            <w:noWrap/>
            <w:vAlign w:val="center"/>
            <w:hideMark/>
          </w:tcPr>
          <w:p w14:paraId="6C460451" w14:textId="77777777" w:rsidR="00D56581" w:rsidRPr="004246DE" w:rsidRDefault="00D56581" w:rsidP="00D56581">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Interest Payments</w:t>
            </w:r>
          </w:p>
        </w:tc>
        <w:tc>
          <w:tcPr>
            <w:tcW w:w="1137" w:type="dxa"/>
            <w:tcBorders>
              <w:top w:val="nil"/>
              <w:left w:val="nil"/>
              <w:bottom w:val="nil"/>
              <w:right w:val="nil"/>
            </w:tcBorders>
            <w:shd w:val="clear" w:color="000000" w:fill="DBE5F1"/>
            <w:noWrap/>
            <w:vAlign w:val="center"/>
            <w:hideMark/>
          </w:tcPr>
          <w:p w14:paraId="55208B6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4.7</w:t>
            </w:r>
          </w:p>
        </w:tc>
        <w:tc>
          <w:tcPr>
            <w:tcW w:w="1268" w:type="dxa"/>
            <w:tcBorders>
              <w:top w:val="nil"/>
              <w:left w:val="nil"/>
              <w:bottom w:val="nil"/>
              <w:right w:val="nil"/>
            </w:tcBorders>
            <w:shd w:val="clear" w:color="000000" w:fill="DBE5F1"/>
            <w:noWrap/>
            <w:vAlign w:val="center"/>
            <w:hideMark/>
          </w:tcPr>
          <w:p w14:paraId="5C91423D"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4.2</w:t>
            </w:r>
          </w:p>
        </w:tc>
        <w:tc>
          <w:tcPr>
            <w:tcW w:w="1428" w:type="dxa"/>
            <w:tcBorders>
              <w:top w:val="nil"/>
              <w:left w:val="nil"/>
              <w:bottom w:val="nil"/>
              <w:right w:val="nil"/>
            </w:tcBorders>
            <w:shd w:val="clear" w:color="000000" w:fill="DBE5F1"/>
            <w:noWrap/>
            <w:vAlign w:val="center"/>
            <w:hideMark/>
          </w:tcPr>
          <w:p w14:paraId="4BA70B1B"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5.2</w:t>
            </w:r>
          </w:p>
        </w:tc>
      </w:tr>
      <w:tr w:rsidR="00D56581" w:rsidRPr="000C233B" w14:paraId="2A526760" w14:textId="77777777" w:rsidTr="00D56581">
        <w:trPr>
          <w:trHeight w:val="288"/>
        </w:trPr>
        <w:tc>
          <w:tcPr>
            <w:tcW w:w="3667" w:type="dxa"/>
            <w:tcBorders>
              <w:top w:val="nil"/>
              <w:left w:val="nil"/>
              <w:bottom w:val="nil"/>
              <w:right w:val="nil"/>
            </w:tcBorders>
            <w:shd w:val="clear" w:color="auto" w:fill="auto"/>
            <w:noWrap/>
            <w:vAlign w:val="center"/>
            <w:hideMark/>
          </w:tcPr>
          <w:p w14:paraId="6128BEFE" w14:textId="77777777" w:rsidR="00D56581" w:rsidRPr="004246DE" w:rsidRDefault="00D56581" w:rsidP="00D56581">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Capital Expenditure and Net Lending</w:t>
            </w:r>
          </w:p>
        </w:tc>
        <w:tc>
          <w:tcPr>
            <w:tcW w:w="1137" w:type="dxa"/>
            <w:tcBorders>
              <w:top w:val="nil"/>
              <w:left w:val="nil"/>
              <w:bottom w:val="nil"/>
              <w:right w:val="nil"/>
            </w:tcBorders>
            <w:shd w:val="clear" w:color="auto" w:fill="auto"/>
            <w:noWrap/>
            <w:vAlign w:val="center"/>
            <w:hideMark/>
          </w:tcPr>
          <w:p w14:paraId="7333F74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5.4</w:t>
            </w:r>
          </w:p>
        </w:tc>
        <w:tc>
          <w:tcPr>
            <w:tcW w:w="1268" w:type="dxa"/>
            <w:tcBorders>
              <w:top w:val="nil"/>
              <w:left w:val="nil"/>
              <w:bottom w:val="nil"/>
              <w:right w:val="nil"/>
            </w:tcBorders>
            <w:shd w:val="clear" w:color="auto" w:fill="auto"/>
            <w:noWrap/>
            <w:vAlign w:val="center"/>
            <w:hideMark/>
          </w:tcPr>
          <w:p w14:paraId="2BA34DCB"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6.9</w:t>
            </w:r>
          </w:p>
        </w:tc>
        <w:tc>
          <w:tcPr>
            <w:tcW w:w="1428" w:type="dxa"/>
            <w:tcBorders>
              <w:top w:val="nil"/>
              <w:left w:val="nil"/>
              <w:bottom w:val="nil"/>
              <w:right w:val="nil"/>
            </w:tcBorders>
            <w:shd w:val="clear" w:color="auto" w:fill="auto"/>
            <w:noWrap/>
            <w:vAlign w:val="center"/>
            <w:hideMark/>
          </w:tcPr>
          <w:p w14:paraId="32EC324C"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4.9</w:t>
            </w:r>
          </w:p>
        </w:tc>
      </w:tr>
      <w:tr w:rsidR="00D56581" w:rsidRPr="000C233B" w14:paraId="4A61EB90" w14:textId="77777777" w:rsidTr="00D56581">
        <w:trPr>
          <w:trHeight w:val="288"/>
        </w:trPr>
        <w:tc>
          <w:tcPr>
            <w:tcW w:w="3667" w:type="dxa"/>
            <w:tcBorders>
              <w:top w:val="nil"/>
              <w:left w:val="nil"/>
              <w:bottom w:val="nil"/>
              <w:right w:val="nil"/>
            </w:tcBorders>
            <w:shd w:val="clear" w:color="000000" w:fill="DBE5F1"/>
            <w:noWrap/>
            <w:vAlign w:val="center"/>
            <w:hideMark/>
          </w:tcPr>
          <w:p w14:paraId="36549894" w14:textId="77777777" w:rsidR="00D56581" w:rsidRPr="004246DE" w:rsidRDefault="00D56581" w:rsidP="00D56581">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O/W Public Investment</w:t>
            </w:r>
          </w:p>
        </w:tc>
        <w:tc>
          <w:tcPr>
            <w:tcW w:w="1137" w:type="dxa"/>
            <w:tcBorders>
              <w:top w:val="nil"/>
              <w:left w:val="nil"/>
              <w:bottom w:val="nil"/>
              <w:right w:val="nil"/>
            </w:tcBorders>
            <w:shd w:val="clear" w:color="000000" w:fill="DBE5F1"/>
            <w:noWrap/>
            <w:vAlign w:val="center"/>
            <w:hideMark/>
          </w:tcPr>
          <w:p w14:paraId="666E4346"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5.5</w:t>
            </w:r>
          </w:p>
        </w:tc>
        <w:tc>
          <w:tcPr>
            <w:tcW w:w="1268" w:type="dxa"/>
            <w:tcBorders>
              <w:top w:val="nil"/>
              <w:left w:val="nil"/>
              <w:bottom w:val="nil"/>
              <w:right w:val="nil"/>
            </w:tcBorders>
            <w:shd w:val="clear" w:color="000000" w:fill="DBE5F1"/>
            <w:noWrap/>
            <w:vAlign w:val="center"/>
            <w:hideMark/>
          </w:tcPr>
          <w:p w14:paraId="2F17C8A5"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w:t>
            </w:r>
          </w:p>
        </w:tc>
        <w:tc>
          <w:tcPr>
            <w:tcW w:w="1428" w:type="dxa"/>
            <w:tcBorders>
              <w:top w:val="nil"/>
              <w:left w:val="nil"/>
              <w:bottom w:val="nil"/>
              <w:right w:val="nil"/>
            </w:tcBorders>
            <w:shd w:val="clear" w:color="000000" w:fill="DBE5F1"/>
            <w:noWrap/>
            <w:vAlign w:val="center"/>
            <w:hideMark/>
          </w:tcPr>
          <w:p w14:paraId="3E79313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w:t>
            </w:r>
          </w:p>
        </w:tc>
      </w:tr>
      <w:tr w:rsidR="00D56581" w:rsidRPr="000C233B" w14:paraId="6AB688FF" w14:textId="77777777" w:rsidTr="00D56581">
        <w:trPr>
          <w:trHeight w:val="288"/>
        </w:trPr>
        <w:tc>
          <w:tcPr>
            <w:tcW w:w="3667" w:type="dxa"/>
            <w:tcBorders>
              <w:top w:val="nil"/>
              <w:left w:val="nil"/>
              <w:bottom w:val="nil"/>
              <w:right w:val="nil"/>
            </w:tcBorders>
            <w:shd w:val="clear" w:color="auto" w:fill="auto"/>
            <w:noWrap/>
            <w:vAlign w:val="center"/>
            <w:hideMark/>
          </w:tcPr>
          <w:p w14:paraId="2996D253"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Current Account Balance*</w:t>
            </w:r>
          </w:p>
        </w:tc>
        <w:tc>
          <w:tcPr>
            <w:tcW w:w="1137" w:type="dxa"/>
            <w:tcBorders>
              <w:top w:val="nil"/>
              <w:left w:val="nil"/>
              <w:bottom w:val="nil"/>
              <w:right w:val="nil"/>
            </w:tcBorders>
            <w:shd w:val="clear" w:color="auto" w:fill="auto"/>
            <w:noWrap/>
            <w:vAlign w:val="center"/>
            <w:hideMark/>
          </w:tcPr>
          <w:p w14:paraId="1A0F79EB"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-2.3</w:t>
            </w:r>
          </w:p>
        </w:tc>
        <w:tc>
          <w:tcPr>
            <w:tcW w:w="1268" w:type="dxa"/>
            <w:tcBorders>
              <w:top w:val="nil"/>
              <w:left w:val="nil"/>
              <w:bottom w:val="nil"/>
              <w:right w:val="nil"/>
            </w:tcBorders>
            <w:shd w:val="clear" w:color="auto" w:fill="auto"/>
            <w:noWrap/>
            <w:vAlign w:val="center"/>
            <w:hideMark/>
          </w:tcPr>
          <w:p w14:paraId="5EC4F5F3"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0.8</w:t>
            </w:r>
          </w:p>
        </w:tc>
        <w:tc>
          <w:tcPr>
            <w:tcW w:w="1428" w:type="dxa"/>
            <w:tcBorders>
              <w:top w:val="nil"/>
              <w:left w:val="nil"/>
              <w:bottom w:val="nil"/>
              <w:right w:val="nil"/>
            </w:tcBorders>
            <w:shd w:val="clear" w:color="auto" w:fill="auto"/>
            <w:noWrap/>
            <w:vAlign w:val="center"/>
            <w:hideMark/>
          </w:tcPr>
          <w:p w14:paraId="451C535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-0.6</w:t>
            </w:r>
          </w:p>
        </w:tc>
      </w:tr>
      <w:tr w:rsidR="00D56581" w:rsidRPr="000C233B" w14:paraId="6A47994D" w14:textId="77777777" w:rsidTr="00D56581">
        <w:trPr>
          <w:trHeight w:val="288"/>
        </w:trPr>
        <w:tc>
          <w:tcPr>
            <w:tcW w:w="3667" w:type="dxa"/>
            <w:tcBorders>
              <w:top w:val="nil"/>
              <w:left w:val="nil"/>
              <w:bottom w:val="nil"/>
              <w:right w:val="nil"/>
            </w:tcBorders>
            <w:shd w:val="clear" w:color="000000" w:fill="DBE5F1"/>
            <w:noWrap/>
            <w:vAlign w:val="center"/>
            <w:hideMark/>
          </w:tcPr>
          <w:p w14:paraId="77B28EA7"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Primary Balance</w:t>
            </w:r>
          </w:p>
        </w:tc>
        <w:tc>
          <w:tcPr>
            <w:tcW w:w="1137" w:type="dxa"/>
            <w:tcBorders>
              <w:top w:val="nil"/>
              <w:left w:val="nil"/>
              <w:bottom w:val="nil"/>
              <w:right w:val="nil"/>
            </w:tcBorders>
            <w:shd w:val="clear" w:color="000000" w:fill="DBE5F1"/>
            <w:noWrap/>
            <w:vAlign w:val="center"/>
            <w:hideMark/>
          </w:tcPr>
          <w:p w14:paraId="18178BB7"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-2.9</w:t>
            </w:r>
          </w:p>
        </w:tc>
        <w:tc>
          <w:tcPr>
            <w:tcW w:w="1268" w:type="dxa"/>
            <w:tcBorders>
              <w:top w:val="nil"/>
              <w:left w:val="nil"/>
              <w:bottom w:val="nil"/>
              <w:right w:val="nil"/>
            </w:tcBorders>
            <w:shd w:val="clear" w:color="000000" w:fill="DBE5F1"/>
            <w:noWrap/>
            <w:vAlign w:val="center"/>
            <w:hideMark/>
          </w:tcPr>
          <w:p w14:paraId="5A57A673"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-1.8</w:t>
            </w:r>
          </w:p>
        </w:tc>
        <w:tc>
          <w:tcPr>
            <w:tcW w:w="1428" w:type="dxa"/>
            <w:tcBorders>
              <w:top w:val="nil"/>
              <w:left w:val="nil"/>
              <w:bottom w:val="nil"/>
              <w:right w:val="nil"/>
            </w:tcBorders>
            <w:shd w:val="clear" w:color="000000" w:fill="DBE5F1"/>
            <w:noWrap/>
            <w:vAlign w:val="center"/>
            <w:hideMark/>
          </w:tcPr>
          <w:p w14:paraId="6F9961B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-0.2</w:t>
            </w:r>
          </w:p>
        </w:tc>
      </w:tr>
      <w:tr w:rsidR="00D56581" w:rsidRPr="000C233B" w14:paraId="5D6E362E" w14:textId="77777777" w:rsidTr="00D56581">
        <w:trPr>
          <w:trHeight w:val="288"/>
        </w:trPr>
        <w:tc>
          <w:tcPr>
            <w:tcW w:w="3667" w:type="dxa"/>
            <w:tcBorders>
              <w:top w:val="nil"/>
              <w:left w:val="nil"/>
              <w:bottom w:val="nil"/>
              <w:right w:val="nil"/>
            </w:tcBorders>
            <w:shd w:val="clear" w:color="auto" w:fill="auto"/>
            <w:noWrap/>
            <w:vAlign w:val="center"/>
            <w:hideMark/>
          </w:tcPr>
          <w:p w14:paraId="57D112BC"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Overall Fiscal Balance</w:t>
            </w:r>
          </w:p>
        </w:tc>
        <w:tc>
          <w:tcPr>
            <w:tcW w:w="1137" w:type="dxa"/>
            <w:tcBorders>
              <w:top w:val="nil"/>
              <w:left w:val="nil"/>
              <w:bottom w:val="nil"/>
              <w:right w:val="nil"/>
            </w:tcBorders>
            <w:shd w:val="clear" w:color="auto" w:fill="auto"/>
            <w:noWrap/>
            <w:vAlign w:val="center"/>
            <w:hideMark/>
          </w:tcPr>
          <w:p w14:paraId="0AC8A87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-7.6</w:t>
            </w:r>
          </w:p>
        </w:tc>
        <w:tc>
          <w:tcPr>
            <w:tcW w:w="1268" w:type="dxa"/>
            <w:tcBorders>
              <w:top w:val="nil"/>
              <w:left w:val="nil"/>
              <w:bottom w:val="nil"/>
              <w:right w:val="nil"/>
            </w:tcBorders>
            <w:shd w:val="clear" w:color="auto" w:fill="auto"/>
            <w:noWrap/>
            <w:vAlign w:val="center"/>
            <w:hideMark/>
          </w:tcPr>
          <w:p w14:paraId="4EF4965B"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-5.9</w:t>
            </w:r>
          </w:p>
        </w:tc>
        <w:tc>
          <w:tcPr>
            <w:tcW w:w="1428" w:type="dxa"/>
            <w:tcBorders>
              <w:top w:val="nil"/>
              <w:left w:val="nil"/>
              <w:bottom w:val="nil"/>
              <w:right w:val="nil"/>
            </w:tcBorders>
            <w:shd w:val="clear" w:color="auto" w:fill="auto"/>
            <w:noWrap/>
            <w:vAlign w:val="center"/>
            <w:hideMark/>
          </w:tcPr>
          <w:p w14:paraId="1838FDD3"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-5.4</w:t>
            </w:r>
          </w:p>
        </w:tc>
      </w:tr>
      <w:tr w:rsidR="00D56581" w:rsidRPr="000C233B" w14:paraId="36E5AEBB" w14:textId="77777777" w:rsidTr="00D56581">
        <w:trPr>
          <w:trHeight w:val="288"/>
        </w:trPr>
        <w:tc>
          <w:tcPr>
            <w:tcW w:w="3667" w:type="dxa"/>
            <w:tcBorders>
              <w:top w:val="nil"/>
              <w:left w:val="nil"/>
              <w:bottom w:val="nil"/>
              <w:right w:val="nil"/>
            </w:tcBorders>
            <w:shd w:val="clear" w:color="000000" w:fill="DBE5F1"/>
            <w:noWrap/>
            <w:vAlign w:val="center"/>
            <w:hideMark/>
          </w:tcPr>
          <w:p w14:paraId="68217B32"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Total Net Financing</w:t>
            </w:r>
          </w:p>
        </w:tc>
        <w:tc>
          <w:tcPr>
            <w:tcW w:w="1137" w:type="dxa"/>
            <w:tcBorders>
              <w:top w:val="nil"/>
              <w:left w:val="nil"/>
              <w:bottom w:val="nil"/>
              <w:right w:val="nil"/>
            </w:tcBorders>
            <w:shd w:val="clear" w:color="000000" w:fill="DBE5F1"/>
            <w:noWrap/>
            <w:vAlign w:val="center"/>
            <w:hideMark/>
          </w:tcPr>
          <w:p w14:paraId="67800A00"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7.6</w:t>
            </w:r>
          </w:p>
        </w:tc>
        <w:tc>
          <w:tcPr>
            <w:tcW w:w="1268" w:type="dxa"/>
            <w:tcBorders>
              <w:top w:val="nil"/>
              <w:left w:val="nil"/>
              <w:bottom w:val="nil"/>
              <w:right w:val="nil"/>
            </w:tcBorders>
            <w:shd w:val="clear" w:color="000000" w:fill="DBE5F1"/>
            <w:noWrap/>
            <w:vAlign w:val="center"/>
            <w:hideMark/>
          </w:tcPr>
          <w:p w14:paraId="360C7DDD"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5.9</w:t>
            </w:r>
          </w:p>
        </w:tc>
        <w:tc>
          <w:tcPr>
            <w:tcW w:w="1428" w:type="dxa"/>
            <w:tcBorders>
              <w:top w:val="nil"/>
              <w:left w:val="nil"/>
              <w:bottom w:val="nil"/>
              <w:right w:val="nil"/>
            </w:tcBorders>
            <w:shd w:val="clear" w:color="000000" w:fill="DBE5F1"/>
            <w:noWrap/>
            <w:vAlign w:val="center"/>
            <w:hideMark/>
          </w:tcPr>
          <w:p w14:paraId="1845554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5.4</w:t>
            </w:r>
          </w:p>
        </w:tc>
      </w:tr>
      <w:tr w:rsidR="00D56581" w:rsidRPr="000C233B" w14:paraId="6854EBF7" w14:textId="77777777" w:rsidTr="00D56581">
        <w:trPr>
          <w:trHeight w:val="288"/>
        </w:trPr>
        <w:tc>
          <w:tcPr>
            <w:tcW w:w="3667" w:type="dxa"/>
            <w:tcBorders>
              <w:top w:val="nil"/>
              <w:left w:val="nil"/>
              <w:bottom w:val="nil"/>
              <w:right w:val="nil"/>
            </w:tcBorders>
            <w:shd w:val="clear" w:color="auto" w:fill="auto"/>
            <w:noWrap/>
            <w:vAlign w:val="center"/>
            <w:hideMark/>
          </w:tcPr>
          <w:p w14:paraId="246D1447"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Net Foreign Financing </w:t>
            </w:r>
          </w:p>
        </w:tc>
        <w:tc>
          <w:tcPr>
            <w:tcW w:w="1137" w:type="dxa"/>
            <w:tcBorders>
              <w:top w:val="nil"/>
              <w:left w:val="nil"/>
              <w:bottom w:val="nil"/>
              <w:right w:val="nil"/>
            </w:tcBorders>
            <w:shd w:val="clear" w:color="auto" w:fill="auto"/>
            <w:noWrap/>
            <w:vAlign w:val="center"/>
            <w:hideMark/>
          </w:tcPr>
          <w:p w14:paraId="07AFA131"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2.2</w:t>
            </w:r>
          </w:p>
        </w:tc>
        <w:tc>
          <w:tcPr>
            <w:tcW w:w="1268" w:type="dxa"/>
            <w:tcBorders>
              <w:top w:val="nil"/>
              <w:left w:val="nil"/>
              <w:bottom w:val="nil"/>
              <w:right w:val="nil"/>
            </w:tcBorders>
            <w:shd w:val="clear" w:color="auto" w:fill="auto"/>
            <w:noWrap/>
            <w:vAlign w:val="center"/>
            <w:hideMark/>
          </w:tcPr>
          <w:p w14:paraId="77C78D85"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2.3</w:t>
            </w:r>
          </w:p>
        </w:tc>
        <w:tc>
          <w:tcPr>
            <w:tcW w:w="1428" w:type="dxa"/>
            <w:tcBorders>
              <w:top w:val="nil"/>
              <w:left w:val="nil"/>
              <w:bottom w:val="nil"/>
              <w:right w:val="nil"/>
            </w:tcBorders>
            <w:shd w:val="clear" w:color="auto" w:fill="auto"/>
            <w:noWrap/>
            <w:vAlign w:val="center"/>
            <w:hideMark/>
          </w:tcPr>
          <w:p w14:paraId="3D8D146A"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3.3</w:t>
            </w:r>
          </w:p>
        </w:tc>
      </w:tr>
      <w:tr w:rsidR="00D56581" w:rsidRPr="000C233B" w14:paraId="49258CD9" w14:textId="77777777" w:rsidTr="00D56581">
        <w:trPr>
          <w:trHeight w:val="288"/>
        </w:trPr>
        <w:tc>
          <w:tcPr>
            <w:tcW w:w="3667" w:type="dxa"/>
            <w:tcBorders>
              <w:top w:val="nil"/>
              <w:left w:val="nil"/>
              <w:bottom w:val="nil"/>
              <w:right w:val="nil"/>
            </w:tcBorders>
            <w:shd w:val="clear" w:color="000000" w:fill="DBE5F1"/>
            <w:noWrap/>
            <w:vAlign w:val="center"/>
            <w:hideMark/>
          </w:tcPr>
          <w:p w14:paraId="1CED4B2F" w14:textId="77777777" w:rsidR="00D56581" w:rsidRPr="004246DE" w:rsidRDefault="00D56581" w:rsidP="00D56581">
            <w:pPr>
              <w:rPr>
                <w:rFonts w:ascii="Arial" w:eastAsia="Times New Roman" w:hAnsi="Arial" w:cs="Arial"/>
                <w:color w:val="000000"/>
                <w:sz w:val="16"/>
                <w:szCs w:val="16"/>
              </w:rPr>
            </w:pPr>
            <w:r w:rsidRPr="004246DE">
              <w:rPr>
                <w:rFonts w:ascii="Arial" w:eastAsia="Times New Roman" w:hAnsi="Arial" w:cs="Arial"/>
                <w:color w:val="000000"/>
                <w:sz w:val="16"/>
                <w:szCs w:val="16"/>
              </w:rPr>
              <w:t>Net Domestic Financing</w:t>
            </w:r>
          </w:p>
        </w:tc>
        <w:tc>
          <w:tcPr>
            <w:tcW w:w="1137" w:type="dxa"/>
            <w:tcBorders>
              <w:top w:val="nil"/>
              <w:left w:val="nil"/>
              <w:bottom w:val="nil"/>
              <w:right w:val="nil"/>
            </w:tcBorders>
            <w:shd w:val="clear" w:color="000000" w:fill="DBE5F1"/>
            <w:noWrap/>
            <w:vAlign w:val="center"/>
            <w:hideMark/>
          </w:tcPr>
          <w:p w14:paraId="566A057E"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5.4</w:t>
            </w:r>
          </w:p>
        </w:tc>
        <w:tc>
          <w:tcPr>
            <w:tcW w:w="1268" w:type="dxa"/>
            <w:tcBorders>
              <w:top w:val="nil"/>
              <w:left w:val="nil"/>
              <w:bottom w:val="nil"/>
              <w:right w:val="nil"/>
            </w:tcBorders>
            <w:shd w:val="clear" w:color="000000" w:fill="DBE5F1"/>
            <w:noWrap/>
            <w:vAlign w:val="center"/>
            <w:hideMark/>
          </w:tcPr>
          <w:p w14:paraId="3C618E30"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3.7</w:t>
            </w:r>
          </w:p>
        </w:tc>
        <w:tc>
          <w:tcPr>
            <w:tcW w:w="1428" w:type="dxa"/>
            <w:tcBorders>
              <w:top w:val="nil"/>
              <w:left w:val="nil"/>
              <w:bottom w:val="nil"/>
              <w:right w:val="nil"/>
            </w:tcBorders>
            <w:shd w:val="clear" w:color="000000" w:fill="DBE5F1"/>
            <w:noWrap/>
            <w:vAlign w:val="center"/>
            <w:hideMark/>
          </w:tcPr>
          <w:p w14:paraId="059891FF" w14:textId="77777777" w:rsidR="00D56581" w:rsidRPr="004246DE" w:rsidRDefault="00D56581" w:rsidP="00D56581">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2.1</w:t>
            </w:r>
          </w:p>
        </w:tc>
      </w:tr>
    </w:tbl>
    <w:p w14:paraId="320CA41D" w14:textId="0F4DD309" w:rsidR="00EC34A7" w:rsidRDefault="003A3328">
      <w:pPr>
        <w:rPr>
          <w:sz w:val="18"/>
        </w:rPr>
      </w:pPr>
      <w:r>
        <w:rPr>
          <w:sz w:val="18"/>
        </w:rPr>
        <w:t>* Revenue minus current expenditure</w:t>
      </w:r>
    </w:p>
    <w:p w14:paraId="1BEF35DD" w14:textId="3B6A8A50" w:rsidR="002E79C8" w:rsidRPr="003C40AE" w:rsidRDefault="00F40597" w:rsidP="002E79C8">
      <w:pPr>
        <w:pStyle w:val="BodyText"/>
        <w:rPr>
          <w:b/>
          <w:sz w:val="16"/>
          <w:szCs w:val="16"/>
        </w:rPr>
      </w:pPr>
      <w:r w:rsidRPr="003C40AE">
        <w:rPr>
          <w:b/>
          <w:color w:val="808080"/>
          <w:sz w:val="16"/>
        </w:rPr>
        <w:t>Source: Ministry of Finance, staff calculations</w:t>
      </w:r>
      <w:r w:rsidRPr="00F40597">
        <w:rPr>
          <w:rFonts w:ascii="Arial" w:hAnsi="Arial"/>
          <w:i/>
          <w:noProof/>
          <w:sz w:val="16"/>
          <w:szCs w:val="16"/>
        </w:rPr>
        <w:t xml:space="preserve"> </w:t>
      </w:r>
    </w:p>
    <w:p w14:paraId="042A517A" w14:textId="0A25628D" w:rsidR="00F40597" w:rsidRDefault="00F40597" w:rsidP="002E79C8">
      <w:pPr>
        <w:pStyle w:val="BodyText"/>
      </w:pPr>
    </w:p>
    <w:p w14:paraId="574274EB" w14:textId="77777777" w:rsidR="006543B8" w:rsidRDefault="006543B8" w:rsidP="002E79C8">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14"/>
        <w:gridCol w:w="4756"/>
      </w:tblGrid>
      <w:tr w:rsidR="002E79C8" w:rsidRPr="00525702" w14:paraId="35B615E3" w14:textId="77777777" w:rsidTr="002E79C8">
        <w:trPr>
          <w:trHeight w:val="218"/>
        </w:trPr>
        <w:tc>
          <w:tcPr>
            <w:tcW w:w="4694" w:type="dxa"/>
            <w:gridSpan w:val="2"/>
            <w:tcBorders>
              <w:top w:val="nil"/>
              <w:left w:val="nil"/>
              <w:bottom w:val="dotted" w:sz="4" w:space="0" w:color="0C4DA2"/>
              <w:right w:val="nil"/>
            </w:tcBorders>
            <w:hideMark/>
          </w:tcPr>
          <w:p w14:paraId="42F225A5" w14:textId="46F1E6C7" w:rsidR="002E79C8" w:rsidRPr="006229D9" w:rsidRDefault="002E79C8" w:rsidP="002E79C8">
            <w:pPr>
              <w:pStyle w:val="Caption"/>
            </w:pPr>
            <w:bookmarkStart w:id="92" w:name="_Toc485822654"/>
            <w:r w:rsidRPr="006229D9">
              <w:t xml:space="preserve">Figure </w:t>
            </w:r>
            <w:fldSimple w:instr=" SEQ Figure \* ARABIC ">
              <w:r w:rsidR="00A12655">
                <w:rPr>
                  <w:noProof/>
                </w:rPr>
                <w:t>7</w:t>
              </w:r>
            </w:fldSimple>
            <w:r>
              <w:t xml:space="preserve">: </w:t>
            </w:r>
            <w:r w:rsidR="00F40597">
              <w:t>Overall Fiscal Balance</w:t>
            </w:r>
            <w:bookmarkEnd w:id="92"/>
          </w:p>
          <w:p w14:paraId="5E9AF3EC" w14:textId="0E9CAD71" w:rsidR="002E79C8" w:rsidRPr="00CE0CC3" w:rsidRDefault="002E79C8" w:rsidP="003C40AE">
            <w:pPr>
              <w:pStyle w:val="IEQ-chart-subcaption"/>
              <w:ind w:left="0"/>
            </w:pPr>
            <w:r w:rsidRPr="00CE0CC3">
              <w:t>(</w:t>
            </w:r>
            <w:r w:rsidRPr="00B225B0">
              <w:t>Percent</w:t>
            </w:r>
            <w:r w:rsidR="00F40597">
              <w:t xml:space="preserve"> of GDP</w:t>
            </w:r>
            <w:r w:rsidRPr="00CE0CC3">
              <w:t>)</w:t>
            </w:r>
            <w:r w:rsidR="005F4516">
              <w:t xml:space="preserve">                                         </w:t>
            </w:r>
            <w:r w:rsidR="005F4516" w:rsidRPr="00CE0CC3">
              <w:t>(</w:t>
            </w:r>
            <w:r w:rsidR="005F4516" w:rsidRPr="00B225B0">
              <w:t>Percent</w:t>
            </w:r>
            <w:r w:rsidR="005F4516">
              <w:t xml:space="preserve"> of GDP</w:t>
            </w:r>
            <w:r w:rsidR="005F4516" w:rsidRPr="00CE0CC3">
              <w:t>)</w:t>
            </w:r>
            <w:r w:rsidR="005F4516">
              <w:t xml:space="preserve">                             </w:t>
            </w:r>
          </w:p>
        </w:tc>
        <w:tc>
          <w:tcPr>
            <w:tcW w:w="4756" w:type="dxa"/>
            <w:tcBorders>
              <w:top w:val="nil"/>
              <w:left w:val="nil"/>
              <w:bottom w:val="dotted" w:sz="4" w:space="0" w:color="0C4DA2"/>
              <w:right w:val="nil"/>
            </w:tcBorders>
            <w:hideMark/>
          </w:tcPr>
          <w:p w14:paraId="798C7B6C" w14:textId="7F0C037B" w:rsidR="002E79C8" w:rsidRDefault="002E79C8" w:rsidP="002E79C8">
            <w:pPr>
              <w:pStyle w:val="Caption"/>
            </w:pPr>
            <w:bookmarkStart w:id="93" w:name="_Toc485822655"/>
            <w:r w:rsidRPr="00E93C4E">
              <w:t xml:space="preserve">Figure </w:t>
            </w:r>
            <w:fldSimple w:instr=" SEQ Figure \* ARABIC ">
              <w:r w:rsidR="00A12655">
                <w:rPr>
                  <w:noProof/>
                </w:rPr>
                <w:t>8</w:t>
              </w:r>
            </w:fldSimple>
            <w:r>
              <w:t xml:space="preserve">: </w:t>
            </w:r>
            <w:r w:rsidR="00F40597">
              <w:t>Public Debt Drivers</w:t>
            </w:r>
            <w:bookmarkEnd w:id="93"/>
            <w:r>
              <w:t xml:space="preserve"> </w:t>
            </w:r>
          </w:p>
          <w:p w14:paraId="1D67E482" w14:textId="78C5AF0A" w:rsidR="002E79C8" w:rsidRPr="00525702" w:rsidRDefault="002E79C8" w:rsidP="00B85827">
            <w:pPr>
              <w:pStyle w:val="IEQ-chart-subcaption"/>
              <w:ind w:left="0"/>
            </w:pPr>
            <w:r w:rsidRPr="00525702">
              <w:t>(</w:t>
            </w:r>
            <w:r w:rsidRPr="00B225B0">
              <w:t>Percent</w:t>
            </w:r>
            <w:r w:rsidR="00F40597">
              <w:t>age points of GDP</w:t>
            </w:r>
            <w:r w:rsidRPr="00525702">
              <w:t>)</w:t>
            </w:r>
            <w:r w:rsidR="00B85827">
              <w:t xml:space="preserve">                               </w:t>
            </w:r>
            <w:r w:rsidR="00B85827" w:rsidRPr="00525702">
              <w:t>(</w:t>
            </w:r>
            <w:r w:rsidR="00B85827" w:rsidRPr="00B225B0">
              <w:t>Percen</w:t>
            </w:r>
            <w:r w:rsidR="00B85827">
              <w:t>t of GDP</w:t>
            </w:r>
            <w:r w:rsidR="00B85827" w:rsidRPr="00525702">
              <w:t>)</w:t>
            </w:r>
          </w:p>
        </w:tc>
      </w:tr>
      <w:tr w:rsidR="002E79C8" w14:paraId="0B841D07" w14:textId="77777777" w:rsidTr="002E79C8">
        <w:tblPrEx>
          <w:tblCellMar>
            <w:left w:w="108" w:type="dxa"/>
            <w:right w:w="108" w:type="dxa"/>
          </w:tblCellMar>
        </w:tblPrEx>
        <w:trPr>
          <w:trHeight w:val="3518"/>
        </w:trPr>
        <w:tc>
          <w:tcPr>
            <w:tcW w:w="4694" w:type="dxa"/>
            <w:gridSpan w:val="2"/>
            <w:tcBorders>
              <w:top w:val="dotted" w:sz="4" w:space="0" w:color="0C4DA2"/>
              <w:left w:val="nil"/>
              <w:bottom w:val="dotted" w:sz="4" w:space="0" w:color="0C4DA2"/>
              <w:right w:val="nil"/>
            </w:tcBorders>
            <w:hideMark/>
          </w:tcPr>
          <w:p w14:paraId="257263F5" w14:textId="7E180A3A" w:rsidR="002E79C8" w:rsidRPr="00ED6AB4" w:rsidRDefault="00B55199" w:rsidP="002E79C8">
            <w:pPr>
              <w:rPr>
                <w:rFonts w:ascii="Arial" w:hAnsi="Arial" w:cs="Arial"/>
                <w:i/>
                <w:sz w:val="16"/>
                <w:szCs w:val="16"/>
              </w:rPr>
            </w:pPr>
            <w:r w:rsidRPr="00B55199">
              <w:rPr>
                <w:rFonts w:ascii="Arial" w:hAnsi="Arial" w:cs="Arial"/>
                <w:i/>
                <w:noProof/>
                <w:sz w:val="16"/>
                <w:szCs w:val="16"/>
              </w:rPr>
              <w:drawing>
                <wp:inline distT="0" distB="0" distL="0" distR="0" wp14:anchorId="12D8915D" wp14:editId="59A084EB">
                  <wp:extent cx="2842260" cy="2217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2260" cy="2217420"/>
                          </a:xfrm>
                          <a:prstGeom prst="rect">
                            <a:avLst/>
                          </a:prstGeom>
                          <a:noFill/>
                          <a:ln>
                            <a:noFill/>
                          </a:ln>
                        </pic:spPr>
                      </pic:pic>
                    </a:graphicData>
                  </a:graphic>
                </wp:inline>
              </w:drawing>
            </w:r>
          </w:p>
        </w:tc>
        <w:tc>
          <w:tcPr>
            <w:tcW w:w="4756" w:type="dxa"/>
            <w:tcBorders>
              <w:top w:val="dotted" w:sz="4" w:space="0" w:color="0C4DA2"/>
              <w:left w:val="nil"/>
              <w:bottom w:val="dotted" w:sz="4" w:space="0" w:color="0C4DA2"/>
              <w:right w:val="nil"/>
            </w:tcBorders>
            <w:hideMark/>
          </w:tcPr>
          <w:p w14:paraId="30717437" w14:textId="7D21BC0E" w:rsidR="002E79C8" w:rsidRPr="00ED6AB4" w:rsidRDefault="00560E1D" w:rsidP="002E79C8">
            <w:pPr>
              <w:ind w:hanging="92"/>
              <w:jc w:val="right"/>
              <w:rPr>
                <w:rFonts w:ascii="Arial" w:hAnsi="Arial" w:cs="Arial"/>
                <w:sz w:val="16"/>
                <w:szCs w:val="16"/>
              </w:rPr>
            </w:pPr>
            <w:r w:rsidRPr="00560E1D">
              <w:rPr>
                <w:rFonts w:ascii="Arial" w:hAnsi="Arial" w:cs="Arial"/>
                <w:noProof/>
                <w:sz w:val="16"/>
                <w:szCs w:val="16"/>
              </w:rPr>
              <w:drawing>
                <wp:inline distT="0" distB="0" distL="0" distR="0" wp14:anchorId="747D7AA5" wp14:editId="568D1314">
                  <wp:extent cx="2881630" cy="2129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1630" cy="2129155"/>
                          </a:xfrm>
                          <a:prstGeom prst="rect">
                            <a:avLst/>
                          </a:prstGeom>
                          <a:noFill/>
                          <a:ln>
                            <a:noFill/>
                          </a:ln>
                        </pic:spPr>
                      </pic:pic>
                    </a:graphicData>
                  </a:graphic>
                </wp:inline>
              </w:drawing>
            </w:r>
            <w:r w:rsidR="00F40597" w:rsidRPr="003274C8" w:rsidDel="00F40597">
              <w:rPr>
                <w:rFonts w:ascii="Arial" w:hAnsi="Arial" w:cs="Arial"/>
                <w:noProof/>
                <w:sz w:val="16"/>
                <w:szCs w:val="16"/>
              </w:rPr>
              <w:t xml:space="preserve"> </w:t>
            </w:r>
          </w:p>
        </w:tc>
      </w:tr>
      <w:tr w:rsidR="006543B8" w14:paraId="31738DB2" w14:textId="77777777" w:rsidTr="004246DE">
        <w:trPr>
          <w:trHeight w:val="70"/>
        </w:trPr>
        <w:tc>
          <w:tcPr>
            <w:tcW w:w="4680" w:type="dxa"/>
            <w:tcBorders>
              <w:top w:val="dotted" w:sz="4" w:space="0" w:color="0C4DA2"/>
              <w:left w:val="nil"/>
              <w:bottom w:val="nil"/>
              <w:right w:val="nil"/>
            </w:tcBorders>
            <w:hideMark/>
          </w:tcPr>
          <w:p w14:paraId="0E7D45F0" w14:textId="77777777" w:rsidR="006543B8" w:rsidRPr="003C40AE" w:rsidRDefault="006543B8" w:rsidP="002E79C8">
            <w:pPr>
              <w:pStyle w:val="IEQSources-notes"/>
            </w:pPr>
            <w:r w:rsidRPr="003C40AE">
              <w:t>Source: Ministry of Finance, staff calculations</w:t>
            </w:r>
          </w:p>
        </w:tc>
        <w:tc>
          <w:tcPr>
            <w:tcW w:w="4770" w:type="dxa"/>
            <w:gridSpan w:val="2"/>
            <w:tcBorders>
              <w:top w:val="dotted" w:sz="4" w:space="0" w:color="0C4DA2"/>
              <w:left w:val="nil"/>
              <w:bottom w:val="nil"/>
              <w:right w:val="nil"/>
            </w:tcBorders>
          </w:tcPr>
          <w:p w14:paraId="665A4E1D" w14:textId="3349F93C" w:rsidR="006543B8" w:rsidRPr="003C40AE" w:rsidRDefault="006543B8" w:rsidP="002E79C8">
            <w:pPr>
              <w:pStyle w:val="IEQSources-notes"/>
            </w:pPr>
            <w:r w:rsidRPr="006543B8">
              <w:t>Source: Ministry of Finance, staff calculations</w:t>
            </w:r>
          </w:p>
        </w:tc>
      </w:tr>
    </w:tbl>
    <w:p w14:paraId="420B9C94" w14:textId="1FEF89F8" w:rsidR="003F26BC" w:rsidRDefault="003F26BC" w:rsidP="003F26BC">
      <w:pPr>
        <w:pStyle w:val="BodyText"/>
      </w:pPr>
    </w:p>
    <w:p w14:paraId="438CA6B1" w14:textId="446CC344" w:rsidR="002C1D11" w:rsidRDefault="002C1D11" w:rsidP="003F26BC">
      <w:pPr>
        <w:pStyle w:val="BodyText"/>
      </w:pPr>
    </w:p>
    <w:p w14:paraId="1B8BE6F1" w14:textId="46C36B10" w:rsidR="002C1D11" w:rsidRDefault="002C1D11" w:rsidP="003F26BC">
      <w:pPr>
        <w:pStyle w:val="BodyText"/>
      </w:pPr>
    </w:p>
    <w:p w14:paraId="51EF22EC" w14:textId="370AAA5F" w:rsidR="002C1D11" w:rsidRDefault="002C1D11" w:rsidP="003F26BC">
      <w:pPr>
        <w:pStyle w:val="BodyText"/>
      </w:pPr>
    </w:p>
    <w:p w14:paraId="2F36D92D" w14:textId="3216E582" w:rsidR="002C1D11" w:rsidRDefault="002C1D11" w:rsidP="003F26BC">
      <w:pPr>
        <w:pStyle w:val="BodyText"/>
      </w:pPr>
    </w:p>
    <w:p w14:paraId="336F7DC0" w14:textId="105A7747" w:rsidR="002C1D11" w:rsidRDefault="002C1D11" w:rsidP="003F26BC">
      <w:pPr>
        <w:pStyle w:val="BodyText"/>
      </w:pPr>
    </w:p>
    <w:p w14:paraId="799EAA64" w14:textId="39EA9833" w:rsidR="002C1D11" w:rsidRDefault="002C1D11" w:rsidP="003F26BC">
      <w:pPr>
        <w:pStyle w:val="BodyText"/>
      </w:pPr>
    </w:p>
    <w:p w14:paraId="77DDA8BA" w14:textId="6878035F" w:rsidR="002C1D11" w:rsidRDefault="002C1D11" w:rsidP="003F26BC">
      <w:pPr>
        <w:pStyle w:val="BodyText"/>
      </w:pPr>
    </w:p>
    <w:p w14:paraId="5F263930" w14:textId="07B276C4" w:rsidR="002C1D11" w:rsidRDefault="002C1D11" w:rsidP="003F26BC">
      <w:pPr>
        <w:pStyle w:val="BodyText"/>
      </w:pPr>
    </w:p>
    <w:p w14:paraId="6482DFE5" w14:textId="77777777" w:rsidR="002C1D11" w:rsidRDefault="002C1D11" w:rsidP="003F26BC">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14"/>
        <w:gridCol w:w="4756"/>
      </w:tblGrid>
      <w:tr w:rsidR="003F26BC" w:rsidRPr="00525702" w14:paraId="40F10DB9" w14:textId="77777777" w:rsidTr="00104383">
        <w:trPr>
          <w:trHeight w:val="218"/>
        </w:trPr>
        <w:tc>
          <w:tcPr>
            <w:tcW w:w="4694" w:type="dxa"/>
            <w:gridSpan w:val="2"/>
            <w:tcBorders>
              <w:top w:val="nil"/>
              <w:left w:val="nil"/>
              <w:bottom w:val="dotted" w:sz="4" w:space="0" w:color="0C4DA2"/>
              <w:right w:val="nil"/>
            </w:tcBorders>
            <w:hideMark/>
          </w:tcPr>
          <w:p w14:paraId="366A5629" w14:textId="72487417" w:rsidR="003F26BC" w:rsidRPr="006229D9" w:rsidRDefault="003F26BC" w:rsidP="003F26BC">
            <w:pPr>
              <w:pStyle w:val="Caption"/>
            </w:pPr>
            <w:bookmarkStart w:id="94" w:name="_Toc485822656"/>
            <w:r w:rsidRPr="006229D9">
              <w:t xml:space="preserve">Figure </w:t>
            </w:r>
            <w:fldSimple w:instr=" SEQ Figure \* ARABIC ">
              <w:r w:rsidR="00A12655">
                <w:rPr>
                  <w:noProof/>
                </w:rPr>
                <w:t>9</w:t>
              </w:r>
            </w:fldSimple>
            <w:r>
              <w:t xml:space="preserve">: </w:t>
            </w:r>
            <w:r w:rsidRPr="009D0386">
              <w:t>External Debt Indicators</w:t>
            </w:r>
            <w:bookmarkEnd w:id="94"/>
          </w:p>
          <w:p w14:paraId="7D505A89" w14:textId="28783445" w:rsidR="003F26BC" w:rsidRPr="00CE0CC3" w:rsidRDefault="003F26BC" w:rsidP="003F26BC">
            <w:pPr>
              <w:pStyle w:val="IEQ-chart-subcaption"/>
              <w:ind w:left="0"/>
            </w:pPr>
            <w:r w:rsidRPr="00CE0CC3">
              <w:t>(</w:t>
            </w:r>
            <w:r>
              <w:t>Years</w:t>
            </w:r>
            <w:r w:rsidRPr="00CE0CC3">
              <w:t>)</w:t>
            </w:r>
            <w:r>
              <w:t xml:space="preserve">                                                            (Percent)</w:t>
            </w:r>
          </w:p>
        </w:tc>
        <w:tc>
          <w:tcPr>
            <w:tcW w:w="4756" w:type="dxa"/>
            <w:tcBorders>
              <w:top w:val="nil"/>
              <w:left w:val="nil"/>
              <w:bottom w:val="dotted" w:sz="4" w:space="0" w:color="0C4DA2"/>
              <w:right w:val="nil"/>
            </w:tcBorders>
            <w:hideMark/>
          </w:tcPr>
          <w:p w14:paraId="4CE350B6" w14:textId="717DFA7A" w:rsidR="003F26BC" w:rsidRDefault="003F26BC" w:rsidP="003F26BC">
            <w:pPr>
              <w:pStyle w:val="Caption"/>
            </w:pPr>
            <w:bookmarkStart w:id="95" w:name="_Toc485822657"/>
            <w:r w:rsidRPr="00E93C4E">
              <w:t xml:space="preserve">Figure </w:t>
            </w:r>
            <w:fldSimple w:instr=" SEQ Figure \* ARABIC ">
              <w:r w:rsidR="00A12655">
                <w:rPr>
                  <w:noProof/>
                </w:rPr>
                <w:t>10</w:t>
              </w:r>
            </w:fldSimple>
            <w:r>
              <w:t xml:space="preserve">: </w:t>
            </w:r>
            <w:r w:rsidRPr="009D0386">
              <w:t>Gross Official Reserves</w:t>
            </w:r>
            <w:bookmarkEnd w:id="95"/>
          </w:p>
          <w:p w14:paraId="4B240C1A" w14:textId="34D7136F" w:rsidR="003F26BC" w:rsidRPr="00525702" w:rsidRDefault="003F26BC">
            <w:pPr>
              <w:pStyle w:val="IEQ-chart-subcaption"/>
              <w:ind w:left="0"/>
            </w:pPr>
            <w:r w:rsidRPr="00525702">
              <w:t>(</w:t>
            </w:r>
            <w:r>
              <w:t>USD Million)</w:t>
            </w:r>
            <w:r w:rsidRPr="00B225B0" w:rsidDel="00F40597">
              <w:t xml:space="preserve"> </w:t>
            </w:r>
            <w:r>
              <w:t xml:space="preserve">                                                          (Months)</w:t>
            </w:r>
          </w:p>
        </w:tc>
      </w:tr>
      <w:tr w:rsidR="003F26BC" w14:paraId="0C6A1754" w14:textId="77777777" w:rsidTr="00104383">
        <w:tblPrEx>
          <w:tblCellMar>
            <w:left w:w="108" w:type="dxa"/>
            <w:right w:w="108" w:type="dxa"/>
          </w:tblCellMar>
        </w:tblPrEx>
        <w:trPr>
          <w:trHeight w:val="3518"/>
        </w:trPr>
        <w:tc>
          <w:tcPr>
            <w:tcW w:w="4694" w:type="dxa"/>
            <w:gridSpan w:val="2"/>
            <w:tcBorders>
              <w:top w:val="dotted" w:sz="4" w:space="0" w:color="0C4DA2"/>
              <w:left w:val="nil"/>
              <w:bottom w:val="dotted" w:sz="4" w:space="0" w:color="0C4DA2"/>
              <w:right w:val="nil"/>
            </w:tcBorders>
            <w:hideMark/>
          </w:tcPr>
          <w:p w14:paraId="7AA84899" w14:textId="7D09B60E" w:rsidR="003F26BC" w:rsidRPr="00ED6AB4" w:rsidRDefault="003F26BC" w:rsidP="00104383">
            <w:pPr>
              <w:rPr>
                <w:rFonts w:ascii="Arial" w:hAnsi="Arial" w:cs="Arial"/>
                <w:i/>
                <w:sz w:val="16"/>
                <w:szCs w:val="16"/>
              </w:rPr>
            </w:pPr>
            <w:r w:rsidRPr="003274C8" w:rsidDel="00F40597">
              <w:rPr>
                <w:rFonts w:ascii="Arial" w:hAnsi="Arial" w:cs="Arial"/>
                <w:i/>
                <w:noProof/>
                <w:sz w:val="16"/>
                <w:szCs w:val="16"/>
              </w:rPr>
              <w:t xml:space="preserve"> </w:t>
            </w:r>
            <w:r w:rsidRPr="003F26BC">
              <w:rPr>
                <w:rFonts w:ascii="Arial" w:hAnsi="Arial" w:cs="Arial"/>
                <w:i/>
                <w:noProof/>
                <w:sz w:val="16"/>
                <w:szCs w:val="16"/>
              </w:rPr>
              <w:drawing>
                <wp:inline distT="0" distB="0" distL="0" distR="0" wp14:anchorId="70F30455" wp14:editId="71D98BEF">
                  <wp:extent cx="2834640" cy="2118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4640" cy="2118360"/>
                          </a:xfrm>
                          <a:prstGeom prst="rect">
                            <a:avLst/>
                          </a:prstGeom>
                          <a:noFill/>
                          <a:ln>
                            <a:noFill/>
                          </a:ln>
                        </pic:spPr>
                      </pic:pic>
                    </a:graphicData>
                  </a:graphic>
                </wp:inline>
              </w:drawing>
            </w:r>
          </w:p>
        </w:tc>
        <w:tc>
          <w:tcPr>
            <w:tcW w:w="4756" w:type="dxa"/>
            <w:tcBorders>
              <w:top w:val="dotted" w:sz="4" w:space="0" w:color="0C4DA2"/>
              <w:left w:val="nil"/>
              <w:bottom w:val="dotted" w:sz="4" w:space="0" w:color="0C4DA2"/>
              <w:right w:val="nil"/>
            </w:tcBorders>
            <w:hideMark/>
          </w:tcPr>
          <w:p w14:paraId="24F5FFFB" w14:textId="1C617ADC" w:rsidR="003F26BC" w:rsidRPr="00ED6AB4" w:rsidRDefault="00A43C78" w:rsidP="00104383">
            <w:pPr>
              <w:ind w:hanging="92"/>
              <w:jc w:val="right"/>
              <w:rPr>
                <w:rFonts w:ascii="Arial" w:hAnsi="Arial" w:cs="Arial"/>
                <w:sz w:val="16"/>
                <w:szCs w:val="16"/>
              </w:rPr>
            </w:pPr>
            <w:r w:rsidRPr="00A43C78">
              <w:rPr>
                <w:rFonts w:ascii="Arial" w:hAnsi="Arial" w:cs="Arial"/>
                <w:noProof/>
                <w:sz w:val="16"/>
                <w:szCs w:val="16"/>
              </w:rPr>
              <w:drawing>
                <wp:inline distT="0" distB="0" distL="0" distR="0" wp14:anchorId="37DBEE62" wp14:editId="4C601063">
                  <wp:extent cx="2872740" cy="24003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2740" cy="2400300"/>
                          </a:xfrm>
                          <a:prstGeom prst="rect">
                            <a:avLst/>
                          </a:prstGeom>
                          <a:noFill/>
                          <a:ln>
                            <a:noFill/>
                          </a:ln>
                        </pic:spPr>
                      </pic:pic>
                    </a:graphicData>
                  </a:graphic>
                </wp:inline>
              </w:drawing>
            </w:r>
            <w:r w:rsidR="003F26BC" w:rsidRPr="003274C8" w:rsidDel="00F40597">
              <w:rPr>
                <w:rFonts w:ascii="Arial" w:hAnsi="Arial" w:cs="Arial"/>
                <w:noProof/>
                <w:sz w:val="16"/>
                <w:szCs w:val="16"/>
              </w:rPr>
              <w:t xml:space="preserve"> </w:t>
            </w:r>
          </w:p>
        </w:tc>
      </w:tr>
      <w:tr w:rsidR="006543B8" w14:paraId="70EC8585" w14:textId="77777777" w:rsidTr="004246DE">
        <w:trPr>
          <w:trHeight w:val="70"/>
        </w:trPr>
        <w:tc>
          <w:tcPr>
            <w:tcW w:w="4680" w:type="dxa"/>
            <w:tcBorders>
              <w:top w:val="dotted" w:sz="4" w:space="0" w:color="0C4DA2"/>
              <w:left w:val="nil"/>
              <w:bottom w:val="nil"/>
              <w:right w:val="nil"/>
            </w:tcBorders>
            <w:hideMark/>
          </w:tcPr>
          <w:p w14:paraId="0C67ADF7" w14:textId="77777777" w:rsidR="006543B8" w:rsidRPr="003C40AE" w:rsidRDefault="006543B8" w:rsidP="00104383">
            <w:pPr>
              <w:pStyle w:val="IEQSources-notes"/>
            </w:pPr>
            <w:r w:rsidRPr="003C40AE">
              <w:t>Source: Ministry of Finance, staff calculations</w:t>
            </w:r>
          </w:p>
        </w:tc>
        <w:tc>
          <w:tcPr>
            <w:tcW w:w="4770" w:type="dxa"/>
            <w:gridSpan w:val="2"/>
            <w:tcBorders>
              <w:top w:val="dotted" w:sz="4" w:space="0" w:color="0C4DA2"/>
              <w:left w:val="nil"/>
              <w:bottom w:val="nil"/>
              <w:right w:val="nil"/>
            </w:tcBorders>
          </w:tcPr>
          <w:p w14:paraId="5D0DAE81" w14:textId="68A8A33D" w:rsidR="006543B8" w:rsidRPr="003C40AE" w:rsidRDefault="006543B8" w:rsidP="00104383">
            <w:pPr>
              <w:pStyle w:val="IEQSources-notes"/>
            </w:pPr>
            <w:r w:rsidRPr="006543B8">
              <w:t>Source: Central Bank of Sri Lanka, staff calculations</w:t>
            </w:r>
          </w:p>
        </w:tc>
      </w:tr>
    </w:tbl>
    <w:p w14:paraId="353CDED2" w14:textId="514CED55" w:rsidR="009D0386" w:rsidRDefault="009D0386" w:rsidP="009D0386">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94"/>
        <w:gridCol w:w="31"/>
        <w:gridCol w:w="4725"/>
      </w:tblGrid>
      <w:tr w:rsidR="009D0386" w:rsidRPr="00525702" w14:paraId="675BE092" w14:textId="77777777" w:rsidTr="00E039D2">
        <w:trPr>
          <w:trHeight w:val="218"/>
        </w:trPr>
        <w:tc>
          <w:tcPr>
            <w:tcW w:w="4694" w:type="dxa"/>
            <w:tcBorders>
              <w:top w:val="nil"/>
              <w:left w:val="nil"/>
              <w:bottom w:val="dotted" w:sz="4" w:space="0" w:color="0C4DA2"/>
              <w:right w:val="nil"/>
            </w:tcBorders>
            <w:hideMark/>
          </w:tcPr>
          <w:p w14:paraId="7B3D00E4" w14:textId="54266934" w:rsidR="009D0386" w:rsidRPr="006229D9" w:rsidRDefault="009D0386" w:rsidP="00E039D2">
            <w:pPr>
              <w:pStyle w:val="Caption"/>
            </w:pPr>
            <w:bookmarkStart w:id="96" w:name="_Toc485822658"/>
            <w:r w:rsidRPr="006229D9">
              <w:t xml:space="preserve">Figure </w:t>
            </w:r>
            <w:fldSimple w:instr=" SEQ Figure \* ARABIC ">
              <w:r w:rsidR="00A12655">
                <w:rPr>
                  <w:noProof/>
                </w:rPr>
                <w:t>11</w:t>
              </w:r>
            </w:fldSimple>
            <w:r>
              <w:t xml:space="preserve">: </w:t>
            </w:r>
            <w:r w:rsidR="00A43C78" w:rsidRPr="00A43C78">
              <w:t>Breakdown of guarantees, end-2016</w:t>
            </w:r>
            <w:bookmarkEnd w:id="96"/>
          </w:p>
          <w:p w14:paraId="07B1B450" w14:textId="77777777" w:rsidR="00A43C78" w:rsidRDefault="00A43C78">
            <w:pPr>
              <w:pStyle w:val="IEQ-chart-subcaption"/>
              <w:ind w:left="0"/>
            </w:pPr>
          </w:p>
          <w:p w14:paraId="6E582C87" w14:textId="62426BF0" w:rsidR="009D0386" w:rsidRPr="00CE0CC3" w:rsidRDefault="009D0386">
            <w:pPr>
              <w:pStyle w:val="IEQ-chart-subcaption"/>
              <w:ind w:left="0"/>
            </w:pPr>
            <w:r w:rsidRPr="00CE0CC3">
              <w:t>(</w:t>
            </w:r>
            <w:r w:rsidR="00A43C78">
              <w:t>Percent of GDP</w:t>
            </w:r>
            <w:r w:rsidRPr="00CE0CC3">
              <w:t>)</w:t>
            </w:r>
            <w:r w:rsidR="00F40597">
              <w:t xml:space="preserve">                                                       </w:t>
            </w:r>
          </w:p>
        </w:tc>
        <w:tc>
          <w:tcPr>
            <w:tcW w:w="4756" w:type="dxa"/>
            <w:gridSpan w:val="2"/>
            <w:tcBorders>
              <w:top w:val="nil"/>
              <w:left w:val="nil"/>
              <w:bottom w:val="dotted" w:sz="4" w:space="0" w:color="0C4DA2"/>
              <w:right w:val="nil"/>
            </w:tcBorders>
            <w:hideMark/>
          </w:tcPr>
          <w:p w14:paraId="47B12111" w14:textId="419482C2" w:rsidR="009D0386" w:rsidRDefault="009D0386" w:rsidP="00E039D2">
            <w:pPr>
              <w:pStyle w:val="Caption"/>
            </w:pPr>
            <w:bookmarkStart w:id="97" w:name="_Toc485822659"/>
            <w:r w:rsidRPr="00E93C4E">
              <w:t xml:space="preserve">Figure </w:t>
            </w:r>
            <w:fldSimple w:instr=" SEQ Figure \* ARABIC ">
              <w:r w:rsidR="00A12655">
                <w:rPr>
                  <w:noProof/>
                </w:rPr>
                <w:t>12</w:t>
              </w:r>
            </w:fldSimple>
            <w:r>
              <w:t xml:space="preserve">: </w:t>
            </w:r>
            <w:r w:rsidR="00A43C78" w:rsidRPr="00A43C78">
              <w:t>Treasury bond and bills outflows were facilitated by foreign exchange sales</w:t>
            </w:r>
            <w:bookmarkEnd w:id="97"/>
          </w:p>
          <w:p w14:paraId="714E63E9" w14:textId="161102D5" w:rsidR="009D0386" w:rsidRPr="00525702" w:rsidRDefault="009D0386">
            <w:pPr>
              <w:pStyle w:val="IEQ-chart-subcaption"/>
              <w:ind w:left="0"/>
            </w:pPr>
            <w:r w:rsidRPr="00525702">
              <w:t>(</w:t>
            </w:r>
            <w:r w:rsidR="00F40597">
              <w:t xml:space="preserve">USD </w:t>
            </w:r>
            <w:r w:rsidR="00A43C78">
              <w:t>M</w:t>
            </w:r>
            <w:r w:rsidR="00F40597">
              <w:t>illion)</w:t>
            </w:r>
            <w:r w:rsidR="00F40597" w:rsidRPr="00B225B0" w:rsidDel="00F40597">
              <w:t xml:space="preserve"> </w:t>
            </w:r>
            <w:r w:rsidR="00F40597">
              <w:t xml:space="preserve">                                                          </w:t>
            </w:r>
          </w:p>
        </w:tc>
      </w:tr>
      <w:tr w:rsidR="009D0386" w14:paraId="19C0AD2D" w14:textId="77777777" w:rsidTr="00B85827">
        <w:tblPrEx>
          <w:tblCellMar>
            <w:left w:w="108" w:type="dxa"/>
            <w:right w:w="108" w:type="dxa"/>
          </w:tblCellMar>
        </w:tblPrEx>
        <w:trPr>
          <w:trHeight w:val="3518"/>
        </w:trPr>
        <w:tc>
          <w:tcPr>
            <w:tcW w:w="4694" w:type="dxa"/>
            <w:tcBorders>
              <w:top w:val="dotted" w:sz="4" w:space="0" w:color="0C4DA2"/>
              <w:left w:val="nil"/>
              <w:bottom w:val="dotted" w:sz="4" w:space="0" w:color="0C4DA2"/>
              <w:right w:val="nil"/>
            </w:tcBorders>
            <w:hideMark/>
          </w:tcPr>
          <w:p w14:paraId="4AC335DA" w14:textId="19E4CA04" w:rsidR="009D0386" w:rsidRPr="00ED6AB4" w:rsidRDefault="00A43C78" w:rsidP="00E039D2">
            <w:pPr>
              <w:rPr>
                <w:rFonts w:ascii="Arial" w:hAnsi="Arial" w:cs="Arial"/>
                <w:i/>
                <w:sz w:val="16"/>
                <w:szCs w:val="16"/>
              </w:rPr>
            </w:pPr>
            <w:r w:rsidRPr="00A43C78">
              <w:rPr>
                <w:rFonts w:ascii="Arial" w:hAnsi="Arial" w:cs="Arial"/>
                <w:i/>
                <w:noProof/>
                <w:sz w:val="16"/>
                <w:szCs w:val="16"/>
              </w:rPr>
              <w:drawing>
                <wp:inline distT="0" distB="0" distL="0" distR="0" wp14:anchorId="54BC7755" wp14:editId="402CF81A">
                  <wp:extent cx="2834640" cy="1988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4640" cy="1988820"/>
                          </a:xfrm>
                          <a:prstGeom prst="rect">
                            <a:avLst/>
                          </a:prstGeom>
                          <a:noFill/>
                          <a:ln>
                            <a:noFill/>
                          </a:ln>
                        </pic:spPr>
                      </pic:pic>
                    </a:graphicData>
                  </a:graphic>
                </wp:inline>
              </w:drawing>
            </w:r>
          </w:p>
        </w:tc>
        <w:tc>
          <w:tcPr>
            <w:tcW w:w="4756" w:type="dxa"/>
            <w:gridSpan w:val="2"/>
            <w:tcBorders>
              <w:top w:val="dotted" w:sz="4" w:space="0" w:color="0C4DA2"/>
              <w:left w:val="nil"/>
              <w:bottom w:val="dotted" w:sz="4" w:space="0" w:color="0C4DA2"/>
              <w:right w:val="nil"/>
            </w:tcBorders>
            <w:hideMark/>
          </w:tcPr>
          <w:p w14:paraId="3DF5CCDA" w14:textId="15650E43" w:rsidR="009D0386" w:rsidRPr="00ED6AB4" w:rsidRDefault="00A43C78" w:rsidP="00E039D2">
            <w:pPr>
              <w:ind w:hanging="92"/>
              <w:jc w:val="right"/>
              <w:rPr>
                <w:rFonts w:ascii="Arial" w:hAnsi="Arial" w:cs="Arial"/>
                <w:sz w:val="16"/>
                <w:szCs w:val="16"/>
              </w:rPr>
            </w:pPr>
            <w:r w:rsidRPr="00A43C78">
              <w:rPr>
                <w:rStyle w:val="CommentReference"/>
                <w:noProof/>
              </w:rPr>
              <w:drawing>
                <wp:inline distT="0" distB="0" distL="0" distR="0" wp14:anchorId="1A26B7ED" wp14:editId="6C73C5D6">
                  <wp:extent cx="2937510" cy="2217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9218" cy="2218709"/>
                          </a:xfrm>
                          <a:prstGeom prst="rect">
                            <a:avLst/>
                          </a:prstGeom>
                          <a:noFill/>
                          <a:ln>
                            <a:noFill/>
                          </a:ln>
                        </pic:spPr>
                      </pic:pic>
                    </a:graphicData>
                  </a:graphic>
                </wp:inline>
              </w:drawing>
            </w:r>
            <w:r w:rsidRPr="00A43C78" w:rsidDel="00A43C78">
              <w:rPr>
                <w:sz w:val="16"/>
                <w:szCs w:val="16"/>
              </w:rPr>
              <w:t xml:space="preserve"> </w:t>
            </w:r>
            <w:r w:rsidR="006516DE">
              <w:rPr>
                <w:rStyle w:val="CommentReference"/>
              </w:rPr>
              <w:t xml:space="preserve"> </w:t>
            </w:r>
          </w:p>
        </w:tc>
      </w:tr>
      <w:tr w:rsidR="00A43C78" w14:paraId="603CA43A" w14:textId="77777777" w:rsidTr="00104383">
        <w:trPr>
          <w:trHeight w:val="98"/>
        </w:trPr>
        <w:tc>
          <w:tcPr>
            <w:tcW w:w="4725" w:type="dxa"/>
            <w:gridSpan w:val="2"/>
            <w:tcBorders>
              <w:top w:val="dotted" w:sz="4" w:space="0" w:color="0C4DA2"/>
              <w:left w:val="nil"/>
              <w:bottom w:val="nil"/>
              <w:right w:val="nil"/>
            </w:tcBorders>
            <w:hideMark/>
          </w:tcPr>
          <w:p w14:paraId="30037A07" w14:textId="335EED04" w:rsidR="00A43C78" w:rsidRDefault="00A43C78" w:rsidP="00E039D2">
            <w:pPr>
              <w:pStyle w:val="IEQSources-notes"/>
            </w:pPr>
            <w:r w:rsidRPr="00A43C78">
              <w:t>Source: Ministry of Finance, Central Bank of Sri Lanka, Sri Lankan Airlines, staff calculations</w:t>
            </w:r>
          </w:p>
        </w:tc>
        <w:tc>
          <w:tcPr>
            <w:tcW w:w="4725" w:type="dxa"/>
            <w:tcBorders>
              <w:top w:val="dotted" w:sz="4" w:space="0" w:color="0C4DA2"/>
              <w:left w:val="nil"/>
              <w:bottom w:val="nil"/>
              <w:right w:val="nil"/>
            </w:tcBorders>
          </w:tcPr>
          <w:p w14:paraId="0FC052FE" w14:textId="65CD06AD" w:rsidR="00A43C78" w:rsidRDefault="00A43C78" w:rsidP="00E039D2">
            <w:pPr>
              <w:pStyle w:val="IEQSources-notes"/>
            </w:pPr>
            <w:r w:rsidRPr="00A43C78">
              <w:t>Source: Central Bank of Sri Lanka, staff calculations</w:t>
            </w:r>
          </w:p>
        </w:tc>
      </w:tr>
      <w:tr w:rsidR="00A43C78" w14:paraId="33A07B86" w14:textId="77777777" w:rsidTr="00104383">
        <w:trPr>
          <w:trHeight w:val="98"/>
        </w:trPr>
        <w:tc>
          <w:tcPr>
            <w:tcW w:w="4725" w:type="dxa"/>
            <w:gridSpan w:val="2"/>
            <w:tcBorders>
              <w:top w:val="dotted" w:sz="4" w:space="0" w:color="0C4DA2"/>
              <w:left w:val="nil"/>
              <w:bottom w:val="nil"/>
              <w:right w:val="nil"/>
            </w:tcBorders>
          </w:tcPr>
          <w:p w14:paraId="7A6556B0" w14:textId="0B247358" w:rsidR="00A43C78" w:rsidRPr="00CE0CC3" w:rsidRDefault="00A43C78">
            <w:pPr>
              <w:pStyle w:val="IEQSources-notes"/>
            </w:pPr>
            <w:r>
              <w:t>Note: CEB – Ceylon Electricity Board, CPC – Ceylon Petroleum Corporation, RDA- Road Development Authority, UDA – Urban Development Authority, NWSDB – National Water Supply and Drainage Board, JKDU – Sir John Kotelawala Defence University, SLA - Sri Lankan Airlines, A&amp;A – Airport and Aviation Company. UDA, RDA and JKDU may not have stable revenue streams.</w:t>
            </w:r>
          </w:p>
        </w:tc>
        <w:tc>
          <w:tcPr>
            <w:tcW w:w="4725" w:type="dxa"/>
            <w:tcBorders>
              <w:top w:val="dotted" w:sz="4" w:space="0" w:color="0C4DA2"/>
              <w:left w:val="nil"/>
              <w:bottom w:val="nil"/>
              <w:right w:val="nil"/>
            </w:tcBorders>
          </w:tcPr>
          <w:p w14:paraId="4744C0AD" w14:textId="278D7F9C" w:rsidR="00A43C78" w:rsidRPr="00CE0CC3" w:rsidRDefault="00A43C78" w:rsidP="00E039D2">
            <w:pPr>
              <w:pStyle w:val="IEQSources-notes"/>
            </w:pPr>
          </w:p>
        </w:tc>
      </w:tr>
    </w:tbl>
    <w:p w14:paraId="2430BF0F" w14:textId="77777777" w:rsidR="002C1D11" w:rsidRDefault="002C1D11" w:rsidP="009D0386">
      <w:pPr>
        <w:pStyle w:val="BodyText"/>
      </w:pPr>
    </w:p>
    <w:p w14:paraId="03A7952B" w14:textId="77777777" w:rsidR="003C37F7" w:rsidRDefault="003C37F7" w:rsidP="00D33288">
      <w:pPr>
        <w:pStyle w:val="BodyText"/>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D33288" w:rsidRPr="000A41D0" w14:paraId="06BE06E5" w14:textId="77777777" w:rsidTr="00BB2CD3">
        <w:tc>
          <w:tcPr>
            <w:tcW w:w="9360" w:type="dxa"/>
          </w:tcPr>
          <w:p w14:paraId="1B6181D2" w14:textId="77777777" w:rsidR="00D33288" w:rsidRPr="00F91BDE" w:rsidRDefault="00D33288" w:rsidP="00BB2CD3">
            <w:pPr>
              <w:pStyle w:val="BodyText"/>
              <w:ind w:left="-18"/>
              <w:jc w:val="both"/>
              <w:rPr>
                <w:i/>
                <w:color w:val="0336A9"/>
                <w:sz w:val="24"/>
                <w:szCs w:val="24"/>
              </w:rPr>
            </w:pPr>
            <w:r>
              <w:rPr>
                <w:b/>
                <w:i/>
                <w:szCs w:val="22"/>
              </w:rPr>
              <w:t>Mixed external sector performance led to deterioration of external buffers.</w:t>
            </w:r>
          </w:p>
        </w:tc>
      </w:tr>
    </w:tbl>
    <w:p w14:paraId="431B3C1C" w14:textId="77777777" w:rsidR="00D33288" w:rsidRPr="000A41D0" w:rsidRDefault="00D33288" w:rsidP="00D33288">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D33288" w:rsidRPr="000A41D0" w14:paraId="50F579CC" w14:textId="77777777" w:rsidTr="00BB2CD3">
        <w:tc>
          <w:tcPr>
            <w:tcW w:w="2020" w:type="dxa"/>
          </w:tcPr>
          <w:p w14:paraId="06DDCB80" w14:textId="27C887BC" w:rsidR="00D33288" w:rsidRPr="00D33288" w:rsidRDefault="00E1712F" w:rsidP="00486F5F">
            <w:pPr>
              <w:pStyle w:val="BodyText"/>
              <w:rPr>
                <w:b/>
              </w:rPr>
            </w:pPr>
            <w:r>
              <w:rPr>
                <w:b/>
              </w:rPr>
              <w:t>T</w:t>
            </w:r>
            <w:r w:rsidR="00D33288" w:rsidRPr="00D33288">
              <w:rPr>
                <w:b/>
              </w:rPr>
              <w:t xml:space="preserve">rade performance </w:t>
            </w:r>
            <w:r>
              <w:rPr>
                <w:b/>
              </w:rPr>
              <w:t xml:space="preserve">weakened the external sector </w:t>
            </w:r>
            <w:r w:rsidR="00D33288" w:rsidRPr="00D33288">
              <w:rPr>
                <w:b/>
              </w:rPr>
              <w:t>in 2016.</w:t>
            </w:r>
          </w:p>
        </w:tc>
        <w:tc>
          <w:tcPr>
            <w:tcW w:w="145" w:type="dxa"/>
          </w:tcPr>
          <w:p w14:paraId="05D4B25D" w14:textId="77777777" w:rsidR="00D33288" w:rsidRPr="000A41D0" w:rsidRDefault="00D33288" w:rsidP="00BB2CD3">
            <w:pPr>
              <w:pStyle w:val="BodyText"/>
            </w:pPr>
          </w:p>
        </w:tc>
        <w:tc>
          <w:tcPr>
            <w:tcW w:w="7221" w:type="dxa"/>
          </w:tcPr>
          <w:p w14:paraId="4BCB4A7D" w14:textId="04DDE07E" w:rsidR="00D33288" w:rsidRPr="000A41D0" w:rsidRDefault="00D33288" w:rsidP="008B65D8">
            <w:pPr>
              <w:jc w:val="both"/>
            </w:pPr>
            <w:r w:rsidRPr="00D33288">
              <w:rPr>
                <w:rFonts w:eastAsia="Times New Roman" w:cs="Arial"/>
                <w:kern w:val="28"/>
                <w:sz w:val="22"/>
                <w:szCs w:val="20"/>
              </w:rPr>
              <w:t xml:space="preserve">The trade deficit expanded by 8.4 percent to USD 9.1 billion in 2016 compared to the previous year. Despite a marginal recovery of garment exports, the total exports declined with lackluster performance of agricultural exports amid drought conditions and weak demand for tea from </w:t>
            </w:r>
            <w:r w:rsidR="00486F5F">
              <w:rPr>
                <w:rFonts w:eastAsia="Times New Roman" w:cs="Arial"/>
                <w:kern w:val="28"/>
                <w:sz w:val="22"/>
                <w:szCs w:val="20"/>
              </w:rPr>
              <w:t xml:space="preserve">the </w:t>
            </w:r>
            <w:r w:rsidRPr="00D33288">
              <w:rPr>
                <w:rFonts w:eastAsia="Times New Roman" w:cs="Arial"/>
                <w:kern w:val="28"/>
                <w:sz w:val="22"/>
                <w:szCs w:val="20"/>
              </w:rPr>
              <w:t xml:space="preserve">main buyers: Russia and the Middle East. Imports grew by 2.5 percent on a year-on-year basis due mainly to increased imports of </w:t>
            </w:r>
            <w:r w:rsidRPr="00D33288">
              <w:rPr>
                <w:rFonts w:eastAsia="Times New Roman" w:cs="Arial"/>
                <w:kern w:val="28"/>
                <w:sz w:val="22"/>
                <w:szCs w:val="20"/>
              </w:rPr>
              <w:lastRenderedPageBreak/>
              <w:t>investment goo</w:t>
            </w:r>
            <w:r>
              <w:rPr>
                <w:rFonts w:eastAsia="Times New Roman" w:cs="Arial"/>
                <w:kern w:val="28"/>
                <w:sz w:val="22"/>
                <w:szCs w:val="20"/>
              </w:rPr>
              <w:t xml:space="preserve">ds reflecting the impact of FDI, which </w:t>
            </w:r>
            <w:r w:rsidRPr="00D33288">
              <w:rPr>
                <w:rFonts w:eastAsia="Times New Roman" w:cs="Arial"/>
                <w:kern w:val="28"/>
                <w:sz w:val="22"/>
                <w:szCs w:val="20"/>
              </w:rPr>
              <w:t>increased in the last quarter. Prolonged drought condition</w:t>
            </w:r>
            <w:r w:rsidR="00B30D87">
              <w:rPr>
                <w:rFonts w:eastAsia="Times New Roman" w:cs="Arial"/>
                <w:kern w:val="28"/>
                <w:sz w:val="22"/>
                <w:szCs w:val="20"/>
              </w:rPr>
              <w:t>s led to the depletion of hydropower capacity and increased petroleum imports for thermal power generation</w:t>
            </w:r>
            <w:r w:rsidR="008A3C6B">
              <w:rPr>
                <w:rFonts w:eastAsia="Times New Roman" w:cs="Arial"/>
                <w:kern w:val="28"/>
                <w:sz w:val="22"/>
                <w:szCs w:val="20"/>
              </w:rPr>
              <w:t xml:space="preserve"> towards the end of the year</w:t>
            </w:r>
            <w:r w:rsidRPr="00D33288">
              <w:rPr>
                <w:rFonts w:eastAsia="Times New Roman" w:cs="Arial"/>
                <w:kern w:val="28"/>
                <w:sz w:val="22"/>
                <w:szCs w:val="20"/>
              </w:rPr>
              <w:t>. Although strong growth in tourism flows along with</w:t>
            </w:r>
            <w:r w:rsidR="00B30D87">
              <w:rPr>
                <w:rFonts w:eastAsia="Times New Roman" w:cs="Arial"/>
                <w:kern w:val="28"/>
                <w:sz w:val="22"/>
                <w:szCs w:val="20"/>
              </w:rPr>
              <w:t xml:space="preserve"> stable</w:t>
            </w:r>
            <w:r w:rsidRPr="00D33288">
              <w:rPr>
                <w:rFonts w:eastAsia="Times New Roman" w:cs="Arial"/>
                <w:kern w:val="28"/>
                <w:sz w:val="22"/>
                <w:szCs w:val="20"/>
              </w:rPr>
              <w:t xml:space="preserve"> worker remittances continued to cover the trade deficit, service outflows and interest payments are expected to have led to a curre</w:t>
            </w:r>
            <w:r>
              <w:rPr>
                <w:rFonts w:eastAsia="Times New Roman" w:cs="Arial"/>
                <w:kern w:val="28"/>
                <w:sz w:val="22"/>
                <w:szCs w:val="20"/>
              </w:rPr>
              <w:t>nt account deficit of 2.4</w:t>
            </w:r>
            <w:r w:rsidRPr="00D33288">
              <w:rPr>
                <w:rFonts w:eastAsia="Times New Roman" w:cs="Arial"/>
                <w:kern w:val="28"/>
                <w:sz w:val="22"/>
                <w:szCs w:val="20"/>
              </w:rPr>
              <w:t xml:space="preserve"> percent of GDP.</w:t>
            </w:r>
            <w:r>
              <w:rPr>
                <w:rFonts w:eastAsia="Times New Roman" w:cs="Arial"/>
                <w:kern w:val="28"/>
                <w:sz w:val="22"/>
                <w:szCs w:val="20"/>
              </w:rPr>
              <w:t xml:space="preserve"> </w:t>
            </w:r>
          </w:p>
        </w:tc>
      </w:tr>
    </w:tbl>
    <w:p w14:paraId="476BFCF9" w14:textId="77777777" w:rsidR="00D33288" w:rsidRDefault="00D33288" w:rsidP="00556DF3">
      <w:pPr>
        <w:pStyle w:val="BodyText"/>
        <w:rPr>
          <w:sz w:val="18"/>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D33288" w:rsidRPr="000A41D0" w14:paraId="3ACCFA0E" w14:textId="77777777" w:rsidTr="00BB2CD3">
        <w:tc>
          <w:tcPr>
            <w:tcW w:w="2020" w:type="dxa"/>
          </w:tcPr>
          <w:p w14:paraId="236EAD2C" w14:textId="761EFBD9" w:rsidR="00D33288" w:rsidRPr="00D33288" w:rsidRDefault="00E1712F" w:rsidP="00486F5F">
            <w:pPr>
              <w:pStyle w:val="BodyText"/>
              <w:rPr>
                <w:b/>
              </w:rPr>
            </w:pPr>
            <w:r>
              <w:rPr>
                <w:b/>
              </w:rPr>
              <w:t>Debt</w:t>
            </w:r>
            <w:r w:rsidR="00486F5F">
              <w:rPr>
                <w:b/>
              </w:rPr>
              <w:t>-</w:t>
            </w:r>
            <w:r>
              <w:rPr>
                <w:b/>
              </w:rPr>
              <w:t>creating flows dominated the financial account.</w:t>
            </w:r>
          </w:p>
        </w:tc>
        <w:tc>
          <w:tcPr>
            <w:tcW w:w="145" w:type="dxa"/>
          </w:tcPr>
          <w:p w14:paraId="67F62834" w14:textId="77777777" w:rsidR="00D33288" w:rsidRPr="000A41D0" w:rsidRDefault="00D33288" w:rsidP="00BB2CD3">
            <w:pPr>
              <w:pStyle w:val="BodyText"/>
            </w:pPr>
          </w:p>
        </w:tc>
        <w:tc>
          <w:tcPr>
            <w:tcW w:w="7221" w:type="dxa"/>
          </w:tcPr>
          <w:p w14:paraId="69714E12" w14:textId="65AF0EC5" w:rsidR="00D33288" w:rsidRPr="000A41D0" w:rsidRDefault="003C68AF" w:rsidP="008B65D8">
            <w:pPr>
              <w:jc w:val="both"/>
            </w:pPr>
            <w:r>
              <w:rPr>
                <w:rFonts w:eastAsia="Times New Roman" w:cs="Arial"/>
                <w:kern w:val="28"/>
                <w:sz w:val="22"/>
                <w:szCs w:val="20"/>
              </w:rPr>
              <w:t>Volatile c</w:t>
            </w:r>
            <w:r w:rsidR="00D33288" w:rsidRPr="00D33288">
              <w:rPr>
                <w:rFonts w:eastAsia="Times New Roman" w:cs="Arial"/>
                <w:kern w:val="28"/>
                <w:sz w:val="22"/>
                <w:szCs w:val="20"/>
              </w:rPr>
              <w:t xml:space="preserve">apital </w:t>
            </w:r>
            <w:r>
              <w:rPr>
                <w:rFonts w:eastAsia="Times New Roman" w:cs="Arial"/>
                <w:kern w:val="28"/>
                <w:sz w:val="22"/>
                <w:szCs w:val="20"/>
              </w:rPr>
              <w:t xml:space="preserve">in- and </w:t>
            </w:r>
            <w:r w:rsidR="00D33288" w:rsidRPr="00D33288">
              <w:rPr>
                <w:rFonts w:eastAsia="Times New Roman" w:cs="Arial"/>
                <w:kern w:val="28"/>
                <w:sz w:val="22"/>
                <w:szCs w:val="20"/>
              </w:rPr>
              <w:t>outflows from th</w:t>
            </w:r>
            <w:r w:rsidR="00D33288">
              <w:rPr>
                <w:rFonts w:eastAsia="Times New Roman" w:cs="Arial"/>
                <w:kern w:val="28"/>
                <w:sz w:val="22"/>
                <w:szCs w:val="20"/>
              </w:rPr>
              <w:t xml:space="preserve">e government securities market </w:t>
            </w:r>
            <w:r w:rsidR="00D33288" w:rsidRPr="00D33288">
              <w:rPr>
                <w:rFonts w:eastAsia="Times New Roman" w:cs="Arial"/>
                <w:kern w:val="28"/>
                <w:sz w:val="22"/>
                <w:szCs w:val="20"/>
              </w:rPr>
              <w:t>in the wake of rising global interest rates</w:t>
            </w:r>
            <w:r>
              <w:rPr>
                <w:rFonts w:eastAsia="Times New Roman" w:cs="Arial"/>
                <w:kern w:val="28"/>
                <w:sz w:val="22"/>
                <w:szCs w:val="20"/>
              </w:rPr>
              <w:t xml:space="preserve"> and political developments</w:t>
            </w:r>
            <w:r w:rsidR="005F4516">
              <w:rPr>
                <w:rFonts w:eastAsia="Times New Roman" w:cs="Arial"/>
                <w:kern w:val="28"/>
                <w:sz w:val="22"/>
                <w:szCs w:val="20"/>
              </w:rPr>
              <w:t xml:space="preserve"> (Figure 1</w:t>
            </w:r>
            <w:r w:rsidR="008B65D8">
              <w:rPr>
                <w:rFonts w:eastAsia="Times New Roman" w:cs="Arial"/>
                <w:kern w:val="28"/>
                <w:sz w:val="22"/>
                <w:szCs w:val="20"/>
              </w:rPr>
              <w:t>2</w:t>
            </w:r>
            <w:r w:rsidR="005F4516">
              <w:rPr>
                <w:rFonts w:eastAsia="Times New Roman" w:cs="Arial"/>
                <w:kern w:val="28"/>
                <w:sz w:val="22"/>
                <w:szCs w:val="20"/>
              </w:rPr>
              <w:t>)</w:t>
            </w:r>
            <w:r w:rsidR="00FB64F1">
              <w:rPr>
                <w:rFonts w:eastAsia="Times New Roman" w:cs="Arial"/>
                <w:kern w:val="28"/>
                <w:sz w:val="22"/>
                <w:szCs w:val="20"/>
              </w:rPr>
              <w:t>, external debt service payments</w:t>
            </w:r>
            <w:r w:rsidR="00D33288" w:rsidRPr="00D33288">
              <w:rPr>
                <w:rFonts w:eastAsia="Times New Roman" w:cs="Arial"/>
                <w:kern w:val="28"/>
                <w:sz w:val="22"/>
                <w:szCs w:val="20"/>
              </w:rPr>
              <w:t xml:space="preserve"> and lower than ex</w:t>
            </w:r>
            <w:r w:rsidR="00D33288">
              <w:rPr>
                <w:rFonts w:eastAsia="Times New Roman" w:cs="Arial"/>
                <w:kern w:val="28"/>
                <w:sz w:val="22"/>
                <w:szCs w:val="20"/>
              </w:rPr>
              <w:t>pected FDI inflows</w:t>
            </w:r>
            <w:r w:rsidR="00397BA2">
              <w:rPr>
                <w:rStyle w:val="FootnoteReference"/>
                <w:rFonts w:eastAsia="Times New Roman" w:cs="Arial"/>
                <w:kern w:val="28"/>
                <w:sz w:val="22"/>
                <w:szCs w:val="20"/>
              </w:rPr>
              <w:footnoteReference w:id="15"/>
            </w:r>
            <w:r w:rsidR="00D33288">
              <w:rPr>
                <w:rFonts w:eastAsia="Times New Roman" w:cs="Arial"/>
                <w:kern w:val="28"/>
                <w:sz w:val="22"/>
                <w:szCs w:val="20"/>
              </w:rPr>
              <w:t xml:space="preserve"> </w:t>
            </w:r>
            <w:r w:rsidR="00D33288" w:rsidRPr="00D33288">
              <w:rPr>
                <w:rFonts w:eastAsia="Times New Roman" w:cs="Arial"/>
                <w:kern w:val="28"/>
                <w:sz w:val="22"/>
                <w:szCs w:val="20"/>
              </w:rPr>
              <w:t>exerted pressure on the ex</w:t>
            </w:r>
            <w:r w:rsidR="00D33288">
              <w:rPr>
                <w:rFonts w:eastAsia="Times New Roman" w:cs="Arial"/>
                <w:kern w:val="28"/>
                <w:sz w:val="22"/>
                <w:szCs w:val="20"/>
              </w:rPr>
              <w:t>ternal financial account in 2016</w:t>
            </w:r>
            <w:r w:rsidR="00D33288" w:rsidRPr="00D33288">
              <w:rPr>
                <w:rFonts w:eastAsia="Times New Roman" w:cs="Arial"/>
                <w:kern w:val="28"/>
                <w:sz w:val="22"/>
                <w:szCs w:val="20"/>
              </w:rPr>
              <w:t xml:space="preserve">. </w:t>
            </w:r>
            <w:r w:rsidR="00FB64F1">
              <w:rPr>
                <w:rFonts w:eastAsia="Times New Roman" w:cs="Arial"/>
                <w:kern w:val="28"/>
                <w:sz w:val="22"/>
                <w:szCs w:val="20"/>
              </w:rPr>
              <w:t>P</w:t>
            </w:r>
            <w:r w:rsidR="00FB64F1" w:rsidRPr="00D33288">
              <w:rPr>
                <w:rFonts w:eastAsia="Times New Roman" w:cs="Arial"/>
                <w:kern w:val="28"/>
                <w:sz w:val="22"/>
                <w:szCs w:val="20"/>
              </w:rPr>
              <w:t>roject financing</w:t>
            </w:r>
            <w:r w:rsidR="00377BB7">
              <w:rPr>
                <w:rFonts w:eastAsia="Times New Roman" w:cs="Arial"/>
                <w:kern w:val="28"/>
                <w:sz w:val="22"/>
                <w:szCs w:val="20"/>
              </w:rPr>
              <w:t>-</w:t>
            </w:r>
            <w:r w:rsidR="00FB64F1" w:rsidRPr="00D33288">
              <w:rPr>
                <w:rFonts w:eastAsia="Times New Roman" w:cs="Arial"/>
                <w:kern w:val="28"/>
                <w:sz w:val="22"/>
                <w:szCs w:val="20"/>
              </w:rPr>
              <w:t>related debt flows</w:t>
            </w:r>
            <w:r w:rsidR="00FB64F1">
              <w:rPr>
                <w:rStyle w:val="FootnoteReference"/>
                <w:rFonts w:eastAsia="Times New Roman" w:cs="Arial"/>
                <w:kern w:val="28"/>
                <w:sz w:val="22"/>
                <w:szCs w:val="20"/>
              </w:rPr>
              <w:footnoteReference w:id="16"/>
            </w:r>
            <w:r w:rsidR="00FB64F1" w:rsidRPr="00D33288">
              <w:rPr>
                <w:rFonts w:eastAsia="Times New Roman" w:cs="Arial"/>
                <w:kern w:val="28"/>
                <w:sz w:val="22"/>
                <w:szCs w:val="20"/>
              </w:rPr>
              <w:t xml:space="preserve"> </w:t>
            </w:r>
            <w:r w:rsidR="00FB64F1">
              <w:rPr>
                <w:rFonts w:eastAsia="Times New Roman" w:cs="Arial"/>
                <w:kern w:val="28"/>
                <w:sz w:val="22"/>
                <w:szCs w:val="20"/>
              </w:rPr>
              <w:t xml:space="preserve">and proceeds from sovereign bonds </w:t>
            </w:r>
            <w:r w:rsidR="00EA0E56">
              <w:rPr>
                <w:rFonts w:eastAsia="Times New Roman" w:cs="Arial"/>
                <w:kern w:val="28"/>
                <w:sz w:val="22"/>
                <w:szCs w:val="20"/>
              </w:rPr>
              <w:t xml:space="preserve">and the syndicated loans </w:t>
            </w:r>
            <w:r w:rsidR="00377BB7">
              <w:rPr>
                <w:rFonts w:eastAsia="Times New Roman" w:cs="Arial"/>
                <w:kern w:val="28"/>
                <w:sz w:val="22"/>
                <w:szCs w:val="20"/>
              </w:rPr>
              <w:t xml:space="preserve">mentioned above </w:t>
            </w:r>
            <w:r w:rsidR="00FB64F1">
              <w:rPr>
                <w:rFonts w:eastAsia="Times New Roman" w:cs="Arial"/>
                <w:kern w:val="28"/>
                <w:sz w:val="22"/>
                <w:szCs w:val="20"/>
              </w:rPr>
              <w:t>remained the key inflows</w:t>
            </w:r>
            <w:r w:rsidR="00EA0E56">
              <w:rPr>
                <w:rFonts w:eastAsia="Times New Roman" w:cs="Arial"/>
                <w:kern w:val="28"/>
                <w:sz w:val="22"/>
                <w:szCs w:val="20"/>
              </w:rPr>
              <w:t xml:space="preserve">. </w:t>
            </w:r>
            <w:r w:rsidR="00397BA2">
              <w:rPr>
                <w:rFonts w:eastAsia="Times New Roman" w:cs="Arial"/>
                <w:kern w:val="28"/>
                <w:sz w:val="22"/>
                <w:szCs w:val="20"/>
              </w:rPr>
              <w:t>Reflecting external sector pressures, the end</w:t>
            </w:r>
            <w:r w:rsidR="00377BB7">
              <w:rPr>
                <w:rFonts w:eastAsia="Times New Roman" w:cs="Arial"/>
                <w:kern w:val="28"/>
                <w:sz w:val="22"/>
                <w:szCs w:val="20"/>
              </w:rPr>
              <w:t>-</w:t>
            </w:r>
            <w:r w:rsidR="00397BA2">
              <w:rPr>
                <w:rFonts w:eastAsia="Times New Roman" w:cs="Arial"/>
                <w:kern w:val="28"/>
                <w:sz w:val="22"/>
                <w:szCs w:val="20"/>
              </w:rPr>
              <w:t>period exchange rate depreciated by 4.0 p</w:t>
            </w:r>
            <w:r w:rsidR="00377BB7">
              <w:rPr>
                <w:rFonts w:eastAsia="Times New Roman" w:cs="Arial"/>
                <w:kern w:val="28"/>
                <w:sz w:val="22"/>
                <w:szCs w:val="20"/>
              </w:rPr>
              <w:t>ercent against a strengthening d</w:t>
            </w:r>
            <w:r w:rsidR="00397BA2">
              <w:rPr>
                <w:rFonts w:eastAsia="Times New Roman" w:cs="Arial"/>
                <w:kern w:val="28"/>
                <w:sz w:val="22"/>
                <w:szCs w:val="20"/>
              </w:rPr>
              <w:t xml:space="preserve">ollar and 3.2 percent against the </w:t>
            </w:r>
            <w:r w:rsidR="00377BB7">
              <w:rPr>
                <w:rFonts w:eastAsia="Times New Roman" w:cs="Arial"/>
                <w:kern w:val="28"/>
                <w:sz w:val="22"/>
                <w:szCs w:val="20"/>
              </w:rPr>
              <w:t>e</w:t>
            </w:r>
            <w:r w:rsidR="00397BA2">
              <w:rPr>
                <w:rFonts w:eastAsia="Times New Roman" w:cs="Arial"/>
                <w:kern w:val="28"/>
                <w:sz w:val="22"/>
                <w:szCs w:val="20"/>
              </w:rPr>
              <w:t>uro during the year.</w:t>
            </w:r>
          </w:p>
        </w:tc>
      </w:tr>
    </w:tbl>
    <w:p w14:paraId="3D79A944" w14:textId="61508060" w:rsidR="00D33288" w:rsidRDefault="00076E94" w:rsidP="00556DF3">
      <w:pPr>
        <w:pStyle w:val="BodyText"/>
        <w:rPr>
          <w:sz w:val="18"/>
        </w:rPr>
      </w:pPr>
      <w:r>
        <w:rPr>
          <w:sz w:val="18"/>
        </w:rPr>
        <w:t xml:space="preserve"> </w:t>
      </w: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0"/>
        <w:gridCol w:w="7226"/>
      </w:tblGrid>
      <w:tr w:rsidR="00210184" w:rsidRPr="007A0CC1" w14:paraId="4CB0E017" w14:textId="77777777" w:rsidTr="00BB2CD3">
        <w:tc>
          <w:tcPr>
            <w:tcW w:w="2020" w:type="dxa"/>
          </w:tcPr>
          <w:p w14:paraId="076EDFCB" w14:textId="37EF1125" w:rsidR="00210184" w:rsidRPr="007A0CC1" w:rsidRDefault="00E33531" w:rsidP="00E33531">
            <w:pPr>
              <w:pStyle w:val="BodyText"/>
              <w:rPr>
                <w:b/>
              </w:rPr>
            </w:pPr>
            <w:r>
              <w:rPr>
                <w:b/>
              </w:rPr>
              <w:t xml:space="preserve">After hitting a low in April </w:t>
            </w:r>
            <w:r w:rsidR="00B41703">
              <w:rPr>
                <w:b/>
              </w:rPr>
              <w:t xml:space="preserve">2017 </w:t>
            </w:r>
            <w:r>
              <w:rPr>
                <w:b/>
              </w:rPr>
              <w:t xml:space="preserve">due to </w:t>
            </w:r>
            <w:r w:rsidR="00B3135D">
              <w:rPr>
                <w:b/>
              </w:rPr>
              <w:t>adverse external developments</w:t>
            </w:r>
            <w:r>
              <w:rPr>
                <w:b/>
              </w:rPr>
              <w:t>, reserves recovered</w:t>
            </w:r>
            <w:r w:rsidR="00B3135D">
              <w:rPr>
                <w:b/>
              </w:rPr>
              <w:t>.</w:t>
            </w:r>
          </w:p>
        </w:tc>
        <w:tc>
          <w:tcPr>
            <w:tcW w:w="140" w:type="dxa"/>
          </w:tcPr>
          <w:p w14:paraId="438C14E2" w14:textId="77777777" w:rsidR="00210184" w:rsidRPr="007A0CC1" w:rsidRDefault="00210184" w:rsidP="00BB2CD3">
            <w:pPr>
              <w:pStyle w:val="BodyText"/>
            </w:pPr>
          </w:p>
        </w:tc>
        <w:tc>
          <w:tcPr>
            <w:tcW w:w="7226" w:type="dxa"/>
          </w:tcPr>
          <w:p w14:paraId="700A0D65" w14:textId="478C8197" w:rsidR="00960109" w:rsidRPr="006A2136" w:rsidRDefault="00241BFA" w:rsidP="0003074A">
            <w:pPr>
              <w:jc w:val="both"/>
              <w:rPr>
                <w:rFonts w:eastAsia="Times New Roman" w:cs="Arial"/>
                <w:kern w:val="28"/>
                <w:sz w:val="22"/>
                <w:szCs w:val="20"/>
              </w:rPr>
            </w:pPr>
            <w:r>
              <w:rPr>
                <w:rFonts w:eastAsia="Times New Roman" w:cs="Arial"/>
                <w:kern w:val="28"/>
                <w:sz w:val="22"/>
                <w:szCs w:val="20"/>
              </w:rPr>
              <w:t>Swap</w:t>
            </w:r>
            <w:r w:rsidR="00FB64F1">
              <w:rPr>
                <w:rFonts w:eastAsia="Times New Roman" w:cs="Arial"/>
                <w:kern w:val="28"/>
                <w:sz w:val="22"/>
                <w:szCs w:val="20"/>
              </w:rPr>
              <w:t xml:space="preserve"> repayments</w:t>
            </w:r>
            <w:r>
              <w:rPr>
                <w:rStyle w:val="FootnoteReference"/>
                <w:rFonts w:eastAsia="Times New Roman" w:cs="Arial"/>
                <w:kern w:val="28"/>
                <w:sz w:val="22"/>
                <w:szCs w:val="20"/>
              </w:rPr>
              <w:footnoteReference w:id="17"/>
            </w:r>
            <w:r w:rsidR="00FB64F1">
              <w:rPr>
                <w:rFonts w:eastAsia="Times New Roman" w:cs="Arial"/>
                <w:kern w:val="28"/>
                <w:sz w:val="22"/>
                <w:szCs w:val="20"/>
              </w:rPr>
              <w:t xml:space="preserve"> </w:t>
            </w:r>
            <w:r>
              <w:rPr>
                <w:rFonts w:eastAsia="Times New Roman" w:cs="Arial"/>
                <w:kern w:val="28"/>
                <w:sz w:val="22"/>
                <w:szCs w:val="20"/>
              </w:rPr>
              <w:t xml:space="preserve">and </w:t>
            </w:r>
            <w:r w:rsidR="00BB2CD3">
              <w:rPr>
                <w:rFonts w:eastAsia="Times New Roman" w:cs="Arial"/>
                <w:kern w:val="28"/>
                <w:sz w:val="22"/>
                <w:szCs w:val="20"/>
              </w:rPr>
              <w:t xml:space="preserve">the </w:t>
            </w:r>
            <w:r>
              <w:rPr>
                <w:rFonts w:eastAsia="Times New Roman" w:cs="Arial"/>
                <w:kern w:val="28"/>
                <w:sz w:val="22"/>
                <w:szCs w:val="20"/>
              </w:rPr>
              <w:t>c</w:t>
            </w:r>
            <w:r w:rsidR="00210184" w:rsidRPr="008B40DE">
              <w:rPr>
                <w:rFonts w:eastAsia="Times New Roman" w:cs="Arial"/>
                <w:kern w:val="28"/>
                <w:sz w:val="22"/>
                <w:szCs w:val="20"/>
              </w:rPr>
              <w:t>entral bank’s market intervention</w:t>
            </w:r>
            <w:r w:rsidR="00B3135D">
              <w:rPr>
                <w:rFonts w:eastAsia="Times New Roman" w:cs="Arial"/>
                <w:kern w:val="28"/>
                <w:sz w:val="22"/>
                <w:szCs w:val="20"/>
              </w:rPr>
              <w:t xml:space="preserve"> </w:t>
            </w:r>
            <w:r w:rsidR="00EA0E56">
              <w:rPr>
                <w:rFonts w:eastAsia="Times New Roman" w:cs="Arial"/>
                <w:kern w:val="28"/>
                <w:sz w:val="22"/>
                <w:szCs w:val="20"/>
              </w:rPr>
              <w:t xml:space="preserve">to stabilize the currency </w:t>
            </w:r>
            <w:r>
              <w:rPr>
                <w:rFonts w:eastAsia="Times New Roman" w:cs="Arial"/>
                <w:kern w:val="28"/>
                <w:sz w:val="22"/>
                <w:szCs w:val="20"/>
              </w:rPr>
              <w:t xml:space="preserve">albeit in a limited scale led to loss of reserves. </w:t>
            </w:r>
            <w:r w:rsidR="00377BB7">
              <w:rPr>
                <w:rFonts w:eastAsia="Times New Roman" w:cs="Arial"/>
                <w:kern w:val="28"/>
                <w:sz w:val="22"/>
                <w:szCs w:val="20"/>
              </w:rPr>
              <w:t>D</w:t>
            </w:r>
            <w:r w:rsidR="00210184" w:rsidRPr="008B40DE">
              <w:rPr>
                <w:rFonts w:eastAsia="Times New Roman" w:cs="Arial"/>
                <w:kern w:val="28"/>
                <w:sz w:val="22"/>
                <w:szCs w:val="20"/>
              </w:rPr>
              <w:t xml:space="preserve">espite </w:t>
            </w:r>
            <w:r>
              <w:rPr>
                <w:rFonts w:eastAsia="Times New Roman" w:cs="Arial"/>
                <w:kern w:val="28"/>
                <w:sz w:val="22"/>
                <w:szCs w:val="20"/>
              </w:rPr>
              <w:t xml:space="preserve">substantially large </w:t>
            </w:r>
            <w:r w:rsidR="00377BB7">
              <w:rPr>
                <w:rFonts w:eastAsia="Times New Roman" w:cs="Arial"/>
                <w:kern w:val="28"/>
                <w:sz w:val="22"/>
                <w:szCs w:val="20"/>
              </w:rPr>
              <w:t>debt-</w:t>
            </w:r>
            <w:r>
              <w:rPr>
                <w:rFonts w:eastAsia="Times New Roman" w:cs="Arial"/>
                <w:kern w:val="28"/>
                <w:sz w:val="22"/>
                <w:szCs w:val="20"/>
              </w:rPr>
              <w:t xml:space="preserve">related </w:t>
            </w:r>
            <w:r w:rsidR="003A3328">
              <w:rPr>
                <w:rFonts w:eastAsia="Times New Roman" w:cs="Arial"/>
                <w:kern w:val="28"/>
                <w:sz w:val="22"/>
                <w:szCs w:val="20"/>
              </w:rPr>
              <w:t>in</w:t>
            </w:r>
            <w:r>
              <w:rPr>
                <w:rFonts w:eastAsia="Times New Roman" w:cs="Arial"/>
                <w:kern w:val="28"/>
                <w:sz w:val="22"/>
                <w:szCs w:val="20"/>
              </w:rPr>
              <w:t>flows, gross official reserves declined to USD 6.0 billion by end-2016</w:t>
            </w:r>
            <w:r>
              <w:rPr>
                <w:rStyle w:val="FootnoteReference"/>
                <w:rFonts w:eastAsia="Times New Roman" w:cs="Arial"/>
                <w:kern w:val="28"/>
                <w:sz w:val="22"/>
                <w:szCs w:val="20"/>
              </w:rPr>
              <w:footnoteReference w:id="18"/>
            </w:r>
            <w:r>
              <w:rPr>
                <w:rFonts w:eastAsia="Times New Roman" w:cs="Arial"/>
                <w:kern w:val="28"/>
                <w:sz w:val="22"/>
                <w:szCs w:val="20"/>
              </w:rPr>
              <w:t xml:space="preserve"> from USD 7.3 billion in 2015</w:t>
            </w:r>
            <w:r w:rsidR="003A3328">
              <w:rPr>
                <w:rFonts w:eastAsia="Times New Roman" w:cs="Arial"/>
                <w:kern w:val="28"/>
                <w:sz w:val="22"/>
                <w:szCs w:val="20"/>
              </w:rPr>
              <w:t>.</w:t>
            </w:r>
            <w:r w:rsidR="00960109">
              <w:rPr>
                <w:rStyle w:val="FootnoteReference"/>
                <w:rFonts w:eastAsia="Times New Roman" w:cs="Arial"/>
                <w:kern w:val="28"/>
                <w:sz w:val="22"/>
                <w:szCs w:val="20"/>
              </w:rPr>
              <w:footnoteReference w:id="19"/>
            </w:r>
            <w:r>
              <w:rPr>
                <w:rFonts w:eastAsia="Times New Roman" w:cs="Arial"/>
                <w:kern w:val="28"/>
                <w:sz w:val="22"/>
                <w:szCs w:val="20"/>
              </w:rPr>
              <w:t xml:space="preserve"> </w:t>
            </w:r>
            <w:r w:rsidR="003A3328">
              <w:rPr>
                <w:rFonts w:eastAsia="Times New Roman" w:cs="Arial"/>
                <w:kern w:val="28"/>
                <w:sz w:val="22"/>
                <w:szCs w:val="20"/>
              </w:rPr>
              <w:t xml:space="preserve">They </w:t>
            </w:r>
            <w:r w:rsidR="00E33531">
              <w:rPr>
                <w:rFonts w:eastAsia="Times New Roman" w:cs="Arial"/>
                <w:kern w:val="28"/>
                <w:sz w:val="22"/>
                <w:szCs w:val="20"/>
              </w:rPr>
              <w:t xml:space="preserve">recovered to </w:t>
            </w:r>
            <w:r w:rsidR="003C37F7">
              <w:rPr>
                <w:rFonts w:eastAsia="Times New Roman" w:cs="Arial"/>
                <w:kern w:val="28"/>
                <w:sz w:val="22"/>
                <w:szCs w:val="20"/>
              </w:rPr>
              <w:t xml:space="preserve">USD </w:t>
            </w:r>
            <w:r w:rsidR="00E33531">
              <w:rPr>
                <w:rFonts w:eastAsia="Times New Roman" w:cs="Arial"/>
                <w:kern w:val="28"/>
                <w:sz w:val="22"/>
                <w:szCs w:val="20"/>
              </w:rPr>
              <w:t xml:space="preserve">6.7 </w:t>
            </w:r>
            <w:r w:rsidR="00960109">
              <w:rPr>
                <w:rFonts w:eastAsia="Times New Roman" w:cs="Arial"/>
                <w:kern w:val="28"/>
                <w:sz w:val="22"/>
                <w:szCs w:val="20"/>
              </w:rPr>
              <w:t xml:space="preserve">billion by </w:t>
            </w:r>
            <w:r w:rsidR="00E33531">
              <w:rPr>
                <w:rFonts w:eastAsia="Times New Roman" w:cs="Arial"/>
                <w:kern w:val="28"/>
                <w:sz w:val="22"/>
                <w:szCs w:val="20"/>
              </w:rPr>
              <w:t xml:space="preserve">end-May </w:t>
            </w:r>
            <w:r w:rsidR="00960109">
              <w:rPr>
                <w:rFonts w:eastAsia="Times New Roman" w:cs="Arial"/>
                <w:kern w:val="28"/>
                <w:sz w:val="22"/>
                <w:szCs w:val="20"/>
              </w:rPr>
              <w:t>2017</w:t>
            </w:r>
            <w:r w:rsidR="00E33531">
              <w:rPr>
                <w:rFonts w:eastAsia="Times New Roman" w:cs="Arial"/>
                <w:kern w:val="28"/>
                <w:sz w:val="22"/>
                <w:szCs w:val="20"/>
              </w:rPr>
              <w:t xml:space="preserve"> </w:t>
            </w:r>
            <w:r w:rsidR="00E33531" w:rsidRPr="00E33531">
              <w:rPr>
                <w:rFonts w:eastAsia="Times New Roman" w:cs="Arial"/>
                <w:kern w:val="28"/>
                <w:sz w:val="22"/>
                <w:szCs w:val="20"/>
              </w:rPr>
              <w:t>on the back of a sovereign bond issue and purchases of foreign exchange since April.</w:t>
            </w:r>
            <w:r w:rsidR="00960109">
              <w:rPr>
                <w:rFonts w:eastAsia="Times New Roman" w:cs="Arial"/>
                <w:kern w:val="28"/>
                <w:sz w:val="22"/>
                <w:szCs w:val="20"/>
              </w:rPr>
              <w:t xml:space="preserve"> </w:t>
            </w:r>
            <w:r w:rsidR="00960109" w:rsidRPr="00960109">
              <w:rPr>
                <w:rFonts w:eastAsia="Times New Roman" w:cs="Arial"/>
                <w:kern w:val="28"/>
                <w:sz w:val="22"/>
                <w:szCs w:val="20"/>
              </w:rPr>
              <w:t xml:space="preserve">Foreign exchange obligations for the 12 months starting from </w:t>
            </w:r>
            <w:r w:rsidR="005441B0">
              <w:rPr>
                <w:rFonts w:eastAsia="Times New Roman" w:cs="Arial"/>
                <w:kern w:val="28"/>
                <w:sz w:val="22"/>
                <w:szCs w:val="20"/>
              </w:rPr>
              <w:t>March</w:t>
            </w:r>
            <w:r w:rsidR="00960109" w:rsidRPr="00960109">
              <w:rPr>
                <w:rFonts w:eastAsia="Times New Roman" w:cs="Arial"/>
                <w:kern w:val="28"/>
                <w:sz w:val="22"/>
                <w:szCs w:val="20"/>
              </w:rPr>
              <w:t xml:space="preserve"> 2017 are estimated at USD </w:t>
            </w:r>
            <w:r w:rsidR="005441B0">
              <w:rPr>
                <w:rFonts w:eastAsia="Times New Roman" w:cs="Arial"/>
                <w:kern w:val="28"/>
                <w:sz w:val="22"/>
                <w:szCs w:val="20"/>
              </w:rPr>
              <w:t>7.0</w:t>
            </w:r>
            <w:r w:rsidR="00960109" w:rsidRPr="00960109">
              <w:rPr>
                <w:rFonts w:eastAsia="Times New Roman" w:cs="Arial"/>
                <w:kern w:val="28"/>
                <w:sz w:val="22"/>
                <w:szCs w:val="20"/>
              </w:rPr>
              <w:t xml:space="preserve"> billion, implying that official reserves net of short-term liabilities are negat</w:t>
            </w:r>
            <w:r w:rsidR="0059727F">
              <w:rPr>
                <w:rFonts w:eastAsia="Times New Roman" w:cs="Arial"/>
                <w:kern w:val="28"/>
                <w:sz w:val="22"/>
                <w:szCs w:val="20"/>
              </w:rPr>
              <w:t>ive; nevertheless, about USD 2.3</w:t>
            </w:r>
            <w:r w:rsidR="00960109" w:rsidRPr="00960109">
              <w:rPr>
                <w:rFonts w:eastAsia="Times New Roman" w:cs="Arial"/>
                <w:kern w:val="28"/>
                <w:sz w:val="22"/>
                <w:szCs w:val="20"/>
              </w:rPr>
              <w:t xml:space="preserve"> billion or one third of these liabilities represent swap arrangements with domestic banks (which</w:t>
            </w:r>
            <w:r w:rsidR="0059727F">
              <w:rPr>
                <w:rFonts w:eastAsia="Times New Roman" w:cs="Arial"/>
                <w:kern w:val="28"/>
                <w:sz w:val="22"/>
                <w:szCs w:val="20"/>
              </w:rPr>
              <w:t xml:space="preserve"> have</w:t>
            </w:r>
            <w:r w:rsidR="00960109" w:rsidRPr="00960109">
              <w:rPr>
                <w:rFonts w:eastAsia="Times New Roman" w:cs="Arial"/>
                <w:kern w:val="28"/>
                <w:sz w:val="22"/>
                <w:szCs w:val="20"/>
              </w:rPr>
              <w:t xml:space="preserve"> issued medium-term international bonds) </w:t>
            </w:r>
            <w:r w:rsidR="0059727F" w:rsidRPr="00B270AA">
              <w:rPr>
                <w:rFonts w:eastAsia="Times New Roman" w:cs="Arial"/>
                <w:kern w:val="28"/>
                <w:sz w:val="22"/>
                <w:szCs w:val="20"/>
              </w:rPr>
              <w:t xml:space="preserve">that </w:t>
            </w:r>
            <w:r w:rsidR="0059727F">
              <w:rPr>
                <w:rFonts w:eastAsia="Times New Roman" w:cs="Arial"/>
                <w:kern w:val="28"/>
                <w:sz w:val="22"/>
                <w:szCs w:val="20"/>
              </w:rPr>
              <w:t>may be</w:t>
            </w:r>
            <w:r w:rsidR="0059727F" w:rsidRPr="00B270AA">
              <w:rPr>
                <w:rFonts w:eastAsia="Times New Roman" w:cs="Arial"/>
                <w:kern w:val="28"/>
                <w:sz w:val="22"/>
                <w:szCs w:val="20"/>
              </w:rPr>
              <w:t xml:space="preserve"> roll</w:t>
            </w:r>
            <w:r w:rsidR="0059727F">
              <w:rPr>
                <w:rFonts w:eastAsia="Times New Roman" w:cs="Arial"/>
                <w:kern w:val="28"/>
                <w:sz w:val="22"/>
                <w:szCs w:val="20"/>
              </w:rPr>
              <w:t>ed over</w:t>
            </w:r>
            <w:r w:rsidR="00960109" w:rsidRPr="00960109">
              <w:rPr>
                <w:rFonts w:eastAsia="Times New Roman" w:cs="Arial"/>
                <w:kern w:val="28"/>
                <w:sz w:val="22"/>
                <w:szCs w:val="20"/>
              </w:rPr>
              <w:t>.</w:t>
            </w:r>
            <w:r w:rsidR="00E65536">
              <w:rPr>
                <w:rStyle w:val="FootnoteReference"/>
                <w:rFonts w:eastAsia="Times New Roman" w:cs="Arial"/>
                <w:kern w:val="28"/>
                <w:sz w:val="22"/>
                <w:szCs w:val="20"/>
              </w:rPr>
              <w:footnoteReference w:id="20"/>
            </w:r>
            <w:r w:rsidR="00377BB7">
              <w:rPr>
                <w:rFonts w:eastAsia="Times New Roman" w:cs="Arial"/>
                <w:kern w:val="28"/>
                <w:sz w:val="22"/>
                <w:szCs w:val="20"/>
              </w:rPr>
              <w:t xml:space="preserve"> The </w:t>
            </w:r>
            <w:r w:rsidR="003A3328">
              <w:rPr>
                <w:rFonts w:eastAsia="Times New Roman" w:cs="Arial"/>
                <w:kern w:val="28"/>
                <w:sz w:val="22"/>
                <w:szCs w:val="20"/>
              </w:rPr>
              <w:t xml:space="preserve">central bank </w:t>
            </w:r>
            <w:r w:rsidR="00546C1A">
              <w:rPr>
                <w:rFonts w:eastAsia="Times New Roman" w:cs="Arial"/>
                <w:kern w:val="28"/>
                <w:sz w:val="22"/>
                <w:szCs w:val="20"/>
              </w:rPr>
              <w:t xml:space="preserve">expects that the </w:t>
            </w:r>
            <w:r w:rsidR="00377BB7">
              <w:rPr>
                <w:rFonts w:eastAsia="Times New Roman" w:cs="Arial"/>
                <w:kern w:val="28"/>
                <w:sz w:val="22"/>
                <w:szCs w:val="20"/>
              </w:rPr>
              <w:t>foreign inflows related to the setting up of Hambantota PPP</w:t>
            </w:r>
            <w:r w:rsidR="003A3328">
              <w:rPr>
                <w:rFonts w:eastAsia="Times New Roman" w:cs="Arial"/>
                <w:kern w:val="28"/>
                <w:sz w:val="22"/>
                <w:szCs w:val="20"/>
              </w:rPr>
              <w:t xml:space="preserve">, </w:t>
            </w:r>
            <w:r w:rsidR="00377BB7">
              <w:rPr>
                <w:rFonts w:eastAsia="Times New Roman" w:cs="Arial"/>
                <w:kern w:val="28"/>
                <w:sz w:val="22"/>
                <w:szCs w:val="20"/>
              </w:rPr>
              <w:t xml:space="preserve">the </w:t>
            </w:r>
            <w:r w:rsidR="00546C1A">
              <w:rPr>
                <w:rFonts w:eastAsia="Times New Roman" w:cs="Arial"/>
                <w:kern w:val="28"/>
                <w:sz w:val="22"/>
                <w:szCs w:val="20"/>
              </w:rPr>
              <w:t>issuance of sovereign bonds</w:t>
            </w:r>
            <w:r w:rsidR="005069A1">
              <w:rPr>
                <w:rStyle w:val="FootnoteReference"/>
                <w:rFonts w:eastAsia="Times New Roman" w:cs="Arial"/>
                <w:kern w:val="28"/>
                <w:sz w:val="22"/>
                <w:szCs w:val="20"/>
              </w:rPr>
              <w:footnoteReference w:id="21"/>
            </w:r>
            <w:r w:rsidR="00546C1A">
              <w:rPr>
                <w:rFonts w:eastAsia="Times New Roman" w:cs="Arial"/>
                <w:kern w:val="28"/>
                <w:sz w:val="22"/>
                <w:szCs w:val="20"/>
              </w:rPr>
              <w:t xml:space="preserve"> </w:t>
            </w:r>
            <w:r w:rsidR="003A3328">
              <w:rPr>
                <w:rFonts w:eastAsia="Times New Roman" w:cs="Arial"/>
                <w:kern w:val="28"/>
                <w:sz w:val="22"/>
                <w:szCs w:val="20"/>
              </w:rPr>
              <w:t xml:space="preserve">and purchases of foreign exchange </w:t>
            </w:r>
            <w:r w:rsidR="00546C1A">
              <w:rPr>
                <w:rFonts w:eastAsia="Times New Roman" w:cs="Arial"/>
                <w:kern w:val="28"/>
                <w:sz w:val="22"/>
                <w:szCs w:val="20"/>
              </w:rPr>
              <w:t>would shore up reserves in the coming months.</w:t>
            </w:r>
            <w:r w:rsidR="005F4516">
              <w:rPr>
                <w:rFonts w:eastAsia="Times New Roman" w:cs="Arial"/>
                <w:kern w:val="28"/>
                <w:sz w:val="22"/>
                <w:szCs w:val="20"/>
              </w:rPr>
              <w:t xml:space="preserve"> </w:t>
            </w:r>
          </w:p>
        </w:tc>
      </w:tr>
    </w:tbl>
    <w:p w14:paraId="0D0F7484" w14:textId="15B25768" w:rsidR="002C1D11" w:rsidRDefault="002C1D11" w:rsidP="001511CC">
      <w:pPr>
        <w:pStyle w:val="BodyText"/>
        <w:rPr>
          <w:sz w:val="16"/>
          <w:szCs w:val="16"/>
        </w:rPr>
      </w:pPr>
    </w:p>
    <w:p w14:paraId="75CFFEEE" w14:textId="633B9C4E" w:rsidR="002C1D11" w:rsidRDefault="002C1D11" w:rsidP="001511CC">
      <w:pPr>
        <w:pStyle w:val="BodyText"/>
        <w:rPr>
          <w:sz w:val="16"/>
          <w:szCs w:val="16"/>
        </w:rPr>
      </w:pPr>
    </w:p>
    <w:p w14:paraId="00E83E0C" w14:textId="11108C47" w:rsidR="002C1D11" w:rsidRDefault="002C1D11" w:rsidP="001511CC">
      <w:pPr>
        <w:pStyle w:val="BodyText"/>
        <w:rPr>
          <w:sz w:val="16"/>
          <w:szCs w:val="16"/>
        </w:rPr>
      </w:pPr>
    </w:p>
    <w:p w14:paraId="42E23E6F" w14:textId="16E80DE2" w:rsidR="002C1D11" w:rsidRDefault="002C1D11" w:rsidP="001511CC">
      <w:pPr>
        <w:pStyle w:val="BodyText"/>
        <w:rPr>
          <w:sz w:val="16"/>
          <w:szCs w:val="16"/>
        </w:rPr>
      </w:pPr>
    </w:p>
    <w:p w14:paraId="5F696327" w14:textId="51610D9A" w:rsidR="002C1D11" w:rsidRDefault="002C1D11" w:rsidP="001511CC">
      <w:pPr>
        <w:pStyle w:val="BodyText"/>
        <w:rPr>
          <w:sz w:val="16"/>
          <w:szCs w:val="16"/>
        </w:rPr>
      </w:pPr>
    </w:p>
    <w:p w14:paraId="1353AB0F" w14:textId="11BC9240" w:rsidR="002C1D11" w:rsidRDefault="002C1D11" w:rsidP="001511CC">
      <w:pPr>
        <w:pStyle w:val="BodyText"/>
        <w:rPr>
          <w:sz w:val="16"/>
          <w:szCs w:val="16"/>
        </w:rPr>
      </w:pPr>
    </w:p>
    <w:p w14:paraId="0A4353D5" w14:textId="2BA5B1FE" w:rsidR="002C1D11" w:rsidRDefault="002C1D11" w:rsidP="001511CC">
      <w:pPr>
        <w:pStyle w:val="BodyText"/>
        <w:rPr>
          <w:sz w:val="16"/>
          <w:szCs w:val="16"/>
        </w:rPr>
      </w:pPr>
    </w:p>
    <w:p w14:paraId="0EAA1493" w14:textId="41080854" w:rsidR="002C1D11" w:rsidRDefault="002C1D11" w:rsidP="001511CC">
      <w:pPr>
        <w:pStyle w:val="BodyText"/>
        <w:rPr>
          <w:sz w:val="16"/>
          <w:szCs w:val="16"/>
        </w:rPr>
      </w:pPr>
    </w:p>
    <w:p w14:paraId="6C3447A5" w14:textId="6C00979B" w:rsidR="002C1D11" w:rsidRDefault="002C1D11" w:rsidP="001511CC">
      <w:pPr>
        <w:pStyle w:val="BodyText"/>
        <w:rPr>
          <w:sz w:val="16"/>
          <w:szCs w:val="16"/>
        </w:rPr>
      </w:pPr>
    </w:p>
    <w:p w14:paraId="6DC503E6" w14:textId="4A40E421" w:rsidR="002C1D11" w:rsidRDefault="002C1D11" w:rsidP="001511CC">
      <w:pPr>
        <w:pStyle w:val="BodyText"/>
        <w:rPr>
          <w:sz w:val="16"/>
          <w:szCs w:val="16"/>
        </w:rPr>
      </w:pPr>
    </w:p>
    <w:p w14:paraId="367CA17A" w14:textId="474FA4E1" w:rsidR="002C1D11" w:rsidRDefault="002C1D11" w:rsidP="001511CC">
      <w:pPr>
        <w:pStyle w:val="BodyText"/>
        <w:rPr>
          <w:sz w:val="16"/>
          <w:szCs w:val="16"/>
        </w:rPr>
      </w:pPr>
    </w:p>
    <w:p w14:paraId="55752607" w14:textId="77777777" w:rsidR="002C1D11" w:rsidRPr="004246DE" w:rsidRDefault="002C1D11" w:rsidP="001511CC">
      <w:pPr>
        <w:pStyle w:val="BodyText"/>
        <w:rPr>
          <w:sz w:val="16"/>
          <w:szCs w:val="16"/>
        </w:rPr>
      </w:pPr>
    </w:p>
    <w:p w14:paraId="29C8C907" w14:textId="342933D1" w:rsidR="00E65536" w:rsidRDefault="00E65536" w:rsidP="00055D64">
      <w:pPr>
        <w:pStyle w:val="BodyText"/>
        <w:ind w:left="-2160"/>
      </w:pPr>
    </w:p>
    <w:p w14:paraId="353E4779" w14:textId="66699FB9" w:rsidR="00BE30B9" w:rsidRDefault="00BE30B9" w:rsidP="00BE30B9">
      <w:pPr>
        <w:pStyle w:val="Caption"/>
      </w:pPr>
      <w:bookmarkStart w:id="98" w:name="_Toc485822691"/>
      <w:r>
        <w:lastRenderedPageBreak/>
        <w:t xml:space="preserve">Table </w:t>
      </w:r>
      <w:fldSimple w:instr=" SEQ Table \* ARABIC ">
        <w:r w:rsidR="00A12655">
          <w:rPr>
            <w:noProof/>
          </w:rPr>
          <w:t>2</w:t>
        </w:r>
      </w:fldSimple>
      <w:r>
        <w:t xml:space="preserve">: </w:t>
      </w:r>
      <w:r w:rsidR="000C233B">
        <w:t xml:space="preserve">Balance of </w:t>
      </w:r>
      <w:r w:rsidR="005F4516">
        <w:t>P</w:t>
      </w:r>
      <w:r w:rsidR="000C233B">
        <w:t>ayments</w:t>
      </w:r>
      <w:bookmarkEnd w:id="98"/>
      <w:r w:rsidR="00F24459">
        <w:t xml:space="preserve"> </w:t>
      </w:r>
    </w:p>
    <w:p w14:paraId="4D310BAA" w14:textId="4FFA81E3" w:rsidR="005F4516" w:rsidRDefault="005F4516" w:rsidP="003C40AE">
      <w:pPr>
        <w:pStyle w:val="BodyText"/>
        <w:rPr>
          <w:i/>
          <w:sz w:val="20"/>
        </w:rPr>
      </w:pPr>
      <w:r w:rsidRPr="003C40AE">
        <w:rPr>
          <w:i/>
          <w:sz w:val="20"/>
        </w:rPr>
        <w:t>(</w:t>
      </w:r>
      <w:r>
        <w:rPr>
          <w:i/>
          <w:sz w:val="20"/>
        </w:rPr>
        <w:t>Percent of GDP</w:t>
      </w:r>
      <w:r w:rsidRPr="003C40AE">
        <w:rPr>
          <w:i/>
          <w:sz w:val="20"/>
        </w:rPr>
        <w:t>)</w:t>
      </w:r>
    </w:p>
    <w:tbl>
      <w:tblPr>
        <w:tblW w:w="7386" w:type="dxa"/>
        <w:tblInd w:w="-1260" w:type="dxa"/>
        <w:tblLook w:val="04A0" w:firstRow="1" w:lastRow="0" w:firstColumn="1" w:lastColumn="0" w:noHBand="0" w:noVBand="1"/>
      </w:tblPr>
      <w:tblGrid>
        <w:gridCol w:w="3834"/>
        <w:gridCol w:w="1100"/>
        <w:gridCol w:w="1190"/>
        <w:gridCol w:w="1262"/>
      </w:tblGrid>
      <w:tr w:rsidR="005F4516" w:rsidRPr="000C233B" w14:paraId="2FCADF61" w14:textId="77777777" w:rsidTr="004246DE">
        <w:trPr>
          <w:trHeight w:val="288"/>
        </w:trPr>
        <w:tc>
          <w:tcPr>
            <w:tcW w:w="3834" w:type="dxa"/>
            <w:tcBorders>
              <w:top w:val="nil"/>
              <w:left w:val="nil"/>
              <w:bottom w:val="single" w:sz="8" w:space="0" w:color="7F7F7F"/>
              <w:right w:val="nil"/>
            </w:tcBorders>
            <w:shd w:val="clear" w:color="000000" w:fill="0C4DA2"/>
            <w:noWrap/>
            <w:vAlign w:val="center"/>
            <w:hideMark/>
          </w:tcPr>
          <w:p w14:paraId="3DBA5221" w14:textId="77777777" w:rsidR="005F4516" w:rsidRPr="004246DE" w:rsidRDefault="005F4516" w:rsidP="005F4516">
            <w:pPr>
              <w:rPr>
                <w:rFonts w:ascii="Arial" w:eastAsia="Times New Roman" w:hAnsi="Arial" w:cs="Arial"/>
                <w:color w:val="FFFFFF"/>
                <w:sz w:val="16"/>
                <w:szCs w:val="16"/>
              </w:rPr>
            </w:pPr>
            <w:r w:rsidRPr="004246DE">
              <w:rPr>
                <w:rFonts w:ascii="Arial" w:eastAsia="Times New Roman" w:hAnsi="Arial" w:cs="Arial"/>
                <w:color w:val="FFFFFF"/>
                <w:sz w:val="16"/>
                <w:szCs w:val="16"/>
              </w:rPr>
              <w:t> </w:t>
            </w:r>
          </w:p>
        </w:tc>
        <w:tc>
          <w:tcPr>
            <w:tcW w:w="1100" w:type="dxa"/>
            <w:tcBorders>
              <w:top w:val="nil"/>
              <w:left w:val="nil"/>
              <w:bottom w:val="single" w:sz="8" w:space="0" w:color="7F7F7F"/>
              <w:right w:val="nil"/>
            </w:tcBorders>
            <w:shd w:val="clear" w:color="000000" w:fill="0C4DA2"/>
            <w:noWrap/>
            <w:vAlign w:val="center"/>
            <w:hideMark/>
          </w:tcPr>
          <w:p w14:paraId="2FED868B" w14:textId="77777777" w:rsidR="005F4516" w:rsidRPr="004246DE" w:rsidRDefault="005F4516" w:rsidP="005F4516">
            <w:pPr>
              <w:jc w:val="right"/>
              <w:rPr>
                <w:rFonts w:ascii="Arial" w:eastAsia="Times New Roman" w:hAnsi="Arial" w:cs="Arial"/>
                <w:b/>
                <w:bCs/>
                <w:color w:val="FFFFFF"/>
                <w:sz w:val="16"/>
                <w:szCs w:val="16"/>
              </w:rPr>
            </w:pPr>
            <w:r w:rsidRPr="004246DE">
              <w:rPr>
                <w:rFonts w:ascii="Arial" w:eastAsia="Times New Roman" w:hAnsi="Arial" w:cs="Arial"/>
                <w:b/>
                <w:bCs/>
                <w:color w:val="FFFFFF"/>
                <w:sz w:val="16"/>
                <w:szCs w:val="16"/>
              </w:rPr>
              <w:t>2014</w:t>
            </w:r>
          </w:p>
        </w:tc>
        <w:tc>
          <w:tcPr>
            <w:tcW w:w="1190" w:type="dxa"/>
            <w:tcBorders>
              <w:top w:val="nil"/>
              <w:left w:val="nil"/>
              <w:bottom w:val="single" w:sz="8" w:space="0" w:color="7F7F7F"/>
              <w:right w:val="nil"/>
            </w:tcBorders>
            <w:shd w:val="clear" w:color="000000" w:fill="0C4DA2"/>
            <w:noWrap/>
            <w:vAlign w:val="center"/>
            <w:hideMark/>
          </w:tcPr>
          <w:p w14:paraId="464F5212" w14:textId="77777777" w:rsidR="005F4516" w:rsidRPr="004246DE" w:rsidRDefault="005F4516" w:rsidP="005F4516">
            <w:pPr>
              <w:jc w:val="right"/>
              <w:rPr>
                <w:rFonts w:ascii="Arial" w:eastAsia="Times New Roman" w:hAnsi="Arial" w:cs="Arial"/>
                <w:b/>
                <w:bCs/>
                <w:color w:val="FFFFFF"/>
                <w:sz w:val="16"/>
                <w:szCs w:val="16"/>
              </w:rPr>
            </w:pPr>
            <w:r w:rsidRPr="004246DE">
              <w:rPr>
                <w:rFonts w:ascii="Arial" w:eastAsia="Times New Roman" w:hAnsi="Arial" w:cs="Arial"/>
                <w:b/>
                <w:bCs/>
                <w:color w:val="FFFFFF"/>
                <w:sz w:val="16"/>
                <w:szCs w:val="16"/>
              </w:rPr>
              <w:t>2015</w:t>
            </w:r>
          </w:p>
        </w:tc>
        <w:tc>
          <w:tcPr>
            <w:tcW w:w="1262" w:type="dxa"/>
            <w:tcBorders>
              <w:top w:val="nil"/>
              <w:left w:val="nil"/>
              <w:bottom w:val="single" w:sz="8" w:space="0" w:color="7F7F7F"/>
              <w:right w:val="nil"/>
            </w:tcBorders>
            <w:shd w:val="clear" w:color="000000" w:fill="0C4DA2"/>
            <w:noWrap/>
            <w:vAlign w:val="center"/>
            <w:hideMark/>
          </w:tcPr>
          <w:p w14:paraId="6C0C52A1" w14:textId="77777777" w:rsidR="005F4516" w:rsidRPr="004246DE" w:rsidRDefault="005F4516" w:rsidP="005F4516">
            <w:pPr>
              <w:jc w:val="right"/>
              <w:rPr>
                <w:rFonts w:ascii="Arial" w:eastAsia="Times New Roman" w:hAnsi="Arial" w:cs="Arial"/>
                <w:b/>
                <w:bCs/>
                <w:color w:val="FFFFFF"/>
                <w:sz w:val="16"/>
                <w:szCs w:val="16"/>
              </w:rPr>
            </w:pPr>
            <w:r w:rsidRPr="004246DE">
              <w:rPr>
                <w:rFonts w:ascii="Arial" w:eastAsia="Times New Roman" w:hAnsi="Arial" w:cs="Arial"/>
                <w:b/>
                <w:bCs/>
                <w:color w:val="FFFFFF"/>
                <w:sz w:val="16"/>
                <w:szCs w:val="16"/>
              </w:rPr>
              <w:t>2016</w:t>
            </w:r>
          </w:p>
        </w:tc>
      </w:tr>
      <w:tr w:rsidR="005F4516" w:rsidRPr="000C233B" w14:paraId="618DBFFE" w14:textId="77777777" w:rsidTr="004246DE">
        <w:trPr>
          <w:trHeight w:val="187"/>
        </w:trPr>
        <w:tc>
          <w:tcPr>
            <w:tcW w:w="3834" w:type="dxa"/>
            <w:tcBorders>
              <w:top w:val="nil"/>
              <w:left w:val="nil"/>
              <w:bottom w:val="nil"/>
              <w:right w:val="nil"/>
            </w:tcBorders>
            <w:shd w:val="clear" w:color="000000" w:fill="DBE5F1"/>
            <w:noWrap/>
            <w:vAlign w:val="center"/>
            <w:hideMark/>
          </w:tcPr>
          <w:p w14:paraId="14E84D81" w14:textId="77777777" w:rsidR="005F4516" w:rsidRPr="004246DE" w:rsidRDefault="005F4516" w:rsidP="005F4516">
            <w:pPr>
              <w:rPr>
                <w:rFonts w:ascii="Arial" w:eastAsia="Times New Roman" w:hAnsi="Arial" w:cs="Arial"/>
                <w:b/>
                <w:color w:val="000000"/>
                <w:sz w:val="16"/>
                <w:szCs w:val="16"/>
              </w:rPr>
            </w:pPr>
            <w:r w:rsidRPr="004246DE">
              <w:rPr>
                <w:rFonts w:ascii="Arial" w:eastAsia="Times New Roman" w:hAnsi="Arial" w:cs="Arial"/>
                <w:b/>
                <w:color w:val="000000"/>
                <w:sz w:val="16"/>
                <w:szCs w:val="16"/>
              </w:rPr>
              <w:t xml:space="preserve">Current Account  </w:t>
            </w:r>
          </w:p>
        </w:tc>
        <w:tc>
          <w:tcPr>
            <w:tcW w:w="1100" w:type="dxa"/>
            <w:tcBorders>
              <w:top w:val="nil"/>
              <w:left w:val="nil"/>
              <w:bottom w:val="nil"/>
              <w:right w:val="nil"/>
            </w:tcBorders>
            <w:shd w:val="clear" w:color="000000" w:fill="DBE5F1"/>
            <w:noWrap/>
            <w:vAlign w:val="center"/>
            <w:hideMark/>
          </w:tcPr>
          <w:p w14:paraId="2EF2095C"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-2.5</w:t>
            </w:r>
          </w:p>
        </w:tc>
        <w:tc>
          <w:tcPr>
            <w:tcW w:w="1190" w:type="dxa"/>
            <w:tcBorders>
              <w:top w:val="nil"/>
              <w:left w:val="nil"/>
              <w:bottom w:val="nil"/>
              <w:right w:val="nil"/>
            </w:tcBorders>
            <w:shd w:val="clear" w:color="000000" w:fill="DBE5F1"/>
            <w:noWrap/>
            <w:vAlign w:val="center"/>
            <w:hideMark/>
          </w:tcPr>
          <w:p w14:paraId="165DCA71"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-2.3</w:t>
            </w:r>
          </w:p>
        </w:tc>
        <w:tc>
          <w:tcPr>
            <w:tcW w:w="1262" w:type="dxa"/>
            <w:tcBorders>
              <w:top w:val="nil"/>
              <w:left w:val="nil"/>
              <w:bottom w:val="nil"/>
              <w:right w:val="nil"/>
            </w:tcBorders>
            <w:shd w:val="clear" w:color="000000" w:fill="DBE5F1"/>
            <w:noWrap/>
            <w:vAlign w:val="center"/>
            <w:hideMark/>
          </w:tcPr>
          <w:p w14:paraId="272C177C"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-2.4</w:t>
            </w:r>
          </w:p>
        </w:tc>
      </w:tr>
      <w:tr w:rsidR="005F4516" w:rsidRPr="000C233B" w14:paraId="54721082" w14:textId="77777777" w:rsidTr="004246DE">
        <w:trPr>
          <w:trHeight w:val="216"/>
        </w:trPr>
        <w:tc>
          <w:tcPr>
            <w:tcW w:w="3834" w:type="dxa"/>
            <w:tcBorders>
              <w:top w:val="nil"/>
              <w:left w:val="nil"/>
              <w:bottom w:val="nil"/>
              <w:right w:val="nil"/>
            </w:tcBorders>
            <w:shd w:val="clear" w:color="auto" w:fill="auto"/>
            <w:noWrap/>
            <w:vAlign w:val="center"/>
            <w:hideMark/>
          </w:tcPr>
          <w:p w14:paraId="160B6C36"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Trade Balance  </w:t>
            </w:r>
          </w:p>
        </w:tc>
        <w:tc>
          <w:tcPr>
            <w:tcW w:w="1100" w:type="dxa"/>
            <w:tcBorders>
              <w:top w:val="nil"/>
              <w:left w:val="nil"/>
              <w:bottom w:val="nil"/>
              <w:right w:val="nil"/>
            </w:tcBorders>
            <w:shd w:val="clear" w:color="auto" w:fill="auto"/>
            <w:noWrap/>
            <w:vAlign w:val="center"/>
            <w:hideMark/>
          </w:tcPr>
          <w:p w14:paraId="4F430D89"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-10.4</w:t>
            </w:r>
          </w:p>
        </w:tc>
        <w:tc>
          <w:tcPr>
            <w:tcW w:w="1190" w:type="dxa"/>
            <w:tcBorders>
              <w:top w:val="nil"/>
              <w:left w:val="nil"/>
              <w:bottom w:val="nil"/>
              <w:right w:val="nil"/>
            </w:tcBorders>
            <w:shd w:val="clear" w:color="auto" w:fill="auto"/>
            <w:noWrap/>
            <w:vAlign w:val="center"/>
            <w:hideMark/>
          </w:tcPr>
          <w:p w14:paraId="5A6B2A44"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-10.4</w:t>
            </w:r>
          </w:p>
        </w:tc>
        <w:tc>
          <w:tcPr>
            <w:tcW w:w="1262" w:type="dxa"/>
            <w:tcBorders>
              <w:top w:val="nil"/>
              <w:left w:val="nil"/>
              <w:bottom w:val="nil"/>
              <w:right w:val="nil"/>
            </w:tcBorders>
            <w:shd w:val="clear" w:color="auto" w:fill="auto"/>
            <w:noWrap/>
            <w:vAlign w:val="center"/>
            <w:hideMark/>
          </w:tcPr>
          <w:p w14:paraId="5C416950"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-11.2</w:t>
            </w:r>
          </w:p>
        </w:tc>
      </w:tr>
      <w:tr w:rsidR="005F4516" w:rsidRPr="000C233B" w14:paraId="63BBAD21" w14:textId="77777777" w:rsidTr="004246DE">
        <w:trPr>
          <w:trHeight w:val="276"/>
        </w:trPr>
        <w:tc>
          <w:tcPr>
            <w:tcW w:w="3834" w:type="dxa"/>
            <w:tcBorders>
              <w:top w:val="nil"/>
              <w:left w:val="nil"/>
              <w:bottom w:val="nil"/>
              <w:right w:val="nil"/>
            </w:tcBorders>
            <w:shd w:val="clear" w:color="000000" w:fill="DBE5F1"/>
            <w:noWrap/>
            <w:vAlign w:val="center"/>
            <w:hideMark/>
          </w:tcPr>
          <w:p w14:paraId="36F01B07"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Exports   </w:t>
            </w:r>
          </w:p>
        </w:tc>
        <w:tc>
          <w:tcPr>
            <w:tcW w:w="1100" w:type="dxa"/>
            <w:tcBorders>
              <w:top w:val="nil"/>
              <w:left w:val="nil"/>
              <w:bottom w:val="nil"/>
              <w:right w:val="nil"/>
            </w:tcBorders>
            <w:shd w:val="clear" w:color="000000" w:fill="DBE5F1"/>
            <w:noWrap/>
            <w:vAlign w:val="center"/>
            <w:hideMark/>
          </w:tcPr>
          <w:p w14:paraId="3449A02E"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14</w:t>
            </w:r>
          </w:p>
        </w:tc>
        <w:tc>
          <w:tcPr>
            <w:tcW w:w="1190" w:type="dxa"/>
            <w:tcBorders>
              <w:top w:val="nil"/>
              <w:left w:val="nil"/>
              <w:bottom w:val="nil"/>
              <w:right w:val="nil"/>
            </w:tcBorders>
            <w:shd w:val="clear" w:color="000000" w:fill="DBE5F1"/>
            <w:noWrap/>
            <w:vAlign w:val="center"/>
            <w:hideMark/>
          </w:tcPr>
          <w:p w14:paraId="0792C6E0"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13.1</w:t>
            </w:r>
          </w:p>
        </w:tc>
        <w:tc>
          <w:tcPr>
            <w:tcW w:w="1262" w:type="dxa"/>
            <w:tcBorders>
              <w:top w:val="nil"/>
              <w:left w:val="nil"/>
              <w:bottom w:val="nil"/>
              <w:right w:val="nil"/>
            </w:tcBorders>
            <w:shd w:val="clear" w:color="000000" w:fill="DBE5F1"/>
            <w:noWrap/>
            <w:vAlign w:val="center"/>
            <w:hideMark/>
          </w:tcPr>
          <w:p w14:paraId="24E441C3"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12.7</w:t>
            </w:r>
          </w:p>
        </w:tc>
      </w:tr>
      <w:tr w:rsidR="005F4516" w:rsidRPr="000C233B" w14:paraId="7FD07E58" w14:textId="77777777" w:rsidTr="004246DE">
        <w:trPr>
          <w:trHeight w:val="276"/>
        </w:trPr>
        <w:tc>
          <w:tcPr>
            <w:tcW w:w="3834" w:type="dxa"/>
            <w:tcBorders>
              <w:top w:val="nil"/>
              <w:left w:val="nil"/>
              <w:bottom w:val="nil"/>
              <w:right w:val="nil"/>
            </w:tcBorders>
            <w:shd w:val="clear" w:color="auto" w:fill="auto"/>
            <w:noWrap/>
            <w:vAlign w:val="center"/>
            <w:hideMark/>
          </w:tcPr>
          <w:p w14:paraId="31EDBC48"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Imports   </w:t>
            </w:r>
          </w:p>
        </w:tc>
        <w:tc>
          <w:tcPr>
            <w:tcW w:w="1100" w:type="dxa"/>
            <w:tcBorders>
              <w:top w:val="nil"/>
              <w:left w:val="nil"/>
              <w:bottom w:val="nil"/>
              <w:right w:val="nil"/>
            </w:tcBorders>
            <w:shd w:val="clear" w:color="auto" w:fill="auto"/>
            <w:noWrap/>
            <w:vAlign w:val="center"/>
            <w:hideMark/>
          </w:tcPr>
          <w:p w14:paraId="085CE236"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24.5</w:t>
            </w:r>
          </w:p>
        </w:tc>
        <w:tc>
          <w:tcPr>
            <w:tcW w:w="1190" w:type="dxa"/>
            <w:tcBorders>
              <w:top w:val="nil"/>
              <w:left w:val="nil"/>
              <w:bottom w:val="nil"/>
              <w:right w:val="nil"/>
            </w:tcBorders>
            <w:shd w:val="clear" w:color="auto" w:fill="auto"/>
            <w:noWrap/>
            <w:vAlign w:val="center"/>
            <w:hideMark/>
          </w:tcPr>
          <w:p w14:paraId="6E5EF31A"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23.5</w:t>
            </w:r>
          </w:p>
        </w:tc>
        <w:tc>
          <w:tcPr>
            <w:tcW w:w="1262" w:type="dxa"/>
            <w:tcBorders>
              <w:top w:val="nil"/>
              <w:left w:val="nil"/>
              <w:bottom w:val="nil"/>
              <w:right w:val="nil"/>
            </w:tcBorders>
            <w:shd w:val="clear" w:color="auto" w:fill="auto"/>
            <w:noWrap/>
            <w:vAlign w:val="center"/>
            <w:hideMark/>
          </w:tcPr>
          <w:p w14:paraId="4BA1233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23.9</w:t>
            </w:r>
          </w:p>
        </w:tc>
      </w:tr>
      <w:tr w:rsidR="005F4516" w:rsidRPr="000C233B" w14:paraId="1F8B5DF2" w14:textId="77777777" w:rsidTr="004246DE">
        <w:trPr>
          <w:trHeight w:val="276"/>
        </w:trPr>
        <w:tc>
          <w:tcPr>
            <w:tcW w:w="3834" w:type="dxa"/>
            <w:tcBorders>
              <w:top w:val="nil"/>
              <w:left w:val="nil"/>
              <w:bottom w:val="nil"/>
              <w:right w:val="nil"/>
            </w:tcBorders>
            <w:shd w:val="clear" w:color="000000" w:fill="DBE5F1"/>
            <w:noWrap/>
            <w:vAlign w:val="center"/>
            <w:hideMark/>
          </w:tcPr>
          <w:p w14:paraId="7C8BEADA"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Services (Net)  </w:t>
            </w:r>
          </w:p>
        </w:tc>
        <w:tc>
          <w:tcPr>
            <w:tcW w:w="1100" w:type="dxa"/>
            <w:tcBorders>
              <w:top w:val="nil"/>
              <w:left w:val="nil"/>
              <w:bottom w:val="nil"/>
              <w:right w:val="nil"/>
            </w:tcBorders>
            <w:shd w:val="clear" w:color="000000" w:fill="DBE5F1"/>
            <w:noWrap/>
            <w:vAlign w:val="center"/>
            <w:hideMark/>
          </w:tcPr>
          <w:p w14:paraId="1EBDBB30"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2.4</w:t>
            </w:r>
          </w:p>
        </w:tc>
        <w:tc>
          <w:tcPr>
            <w:tcW w:w="1190" w:type="dxa"/>
            <w:tcBorders>
              <w:top w:val="nil"/>
              <w:left w:val="nil"/>
              <w:bottom w:val="nil"/>
              <w:right w:val="nil"/>
            </w:tcBorders>
            <w:shd w:val="clear" w:color="000000" w:fill="DBE5F1"/>
            <w:noWrap/>
            <w:vAlign w:val="center"/>
            <w:hideMark/>
          </w:tcPr>
          <w:p w14:paraId="6FC2DC01"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2.9</w:t>
            </w:r>
          </w:p>
        </w:tc>
        <w:tc>
          <w:tcPr>
            <w:tcW w:w="1262" w:type="dxa"/>
            <w:tcBorders>
              <w:top w:val="nil"/>
              <w:left w:val="nil"/>
              <w:bottom w:val="nil"/>
              <w:right w:val="nil"/>
            </w:tcBorders>
            <w:shd w:val="clear" w:color="000000" w:fill="DBE5F1"/>
            <w:noWrap/>
            <w:vAlign w:val="center"/>
            <w:hideMark/>
          </w:tcPr>
          <w:p w14:paraId="217EFBB7"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3.5</w:t>
            </w:r>
          </w:p>
        </w:tc>
      </w:tr>
      <w:tr w:rsidR="005F4516" w:rsidRPr="000C233B" w14:paraId="4EBA3F2F" w14:textId="77777777" w:rsidTr="004246DE">
        <w:trPr>
          <w:trHeight w:val="276"/>
        </w:trPr>
        <w:tc>
          <w:tcPr>
            <w:tcW w:w="3834" w:type="dxa"/>
            <w:tcBorders>
              <w:top w:val="nil"/>
              <w:left w:val="nil"/>
              <w:bottom w:val="nil"/>
              <w:right w:val="nil"/>
            </w:tcBorders>
            <w:shd w:val="clear" w:color="auto" w:fill="auto"/>
            <w:noWrap/>
            <w:vAlign w:val="center"/>
            <w:hideMark/>
          </w:tcPr>
          <w:p w14:paraId="409FC4D0"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Of which: Tourism</w:t>
            </w:r>
          </w:p>
        </w:tc>
        <w:tc>
          <w:tcPr>
            <w:tcW w:w="1100" w:type="dxa"/>
            <w:tcBorders>
              <w:top w:val="nil"/>
              <w:left w:val="nil"/>
              <w:bottom w:val="nil"/>
              <w:right w:val="nil"/>
            </w:tcBorders>
            <w:shd w:val="clear" w:color="auto" w:fill="auto"/>
            <w:noWrap/>
            <w:vAlign w:val="center"/>
            <w:hideMark/>
          </w:tcPr>
          <w:p w14:paraId="4C4E265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3.1</w:t>
            </w:r>
          </w:p>
        </w:tc>
        <w:tc>
          <w:tcPr>
            <w:tcW w:w="1190" w:type="dxa"/>
            <w:tcBorders>
              <w:top w:val="nil"/>
              <w:left w:val="nil"/>
              <w:bottom w:val="nil"/>
              <w:right w:val="nil"/>
            </w:tcBorders>
            <w:shd w:val="clear" w:color="auto" w:fill="auto"/>
            <w:noWrap/>
            <w:vAlign w:val="center"/>
            <w:hideMark/>
          </w:tcPr>
          <w:p w14:paraId="6D22D6F0"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3.7</w:t>
            </w:r>
          </w:p>
        </w:tc>
        <w:tc>
          <w:tcPr>
            <w:tcW w:w="1262" w:type="dxa"/>
            <w:tcBorders>
              <w:top w:val="nil"/>
              <w:left w:val="nil"/>
              <w:bottom w:val="nil"/>
              <w:right w:val="nil"/>
            </w:tcBorders>
            <w:shd w:val="clear" w:color="auto" w:fill="auto"/>
            <w:noWrap/>
            <w:vAlign w:val="center"/>
            <w:hideMark/>
          </w:tcPr>
          <w:p w14:paraId="6C9C9984"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4.3</w:t>
            </w:r>
          </w:p>
        </w:tc>
      </w:tr>
      <w:tr w:rsidR="005F4516" w:rsidRPr="000C233B" w14:paraId="7C55DFD3" w14:textId="77777777" w:rsidTr="004246DE">
        <w:trPr>
          <w:trHeight w:val="276"/>
        </w:trPr>
        <w:tc>
          <w:tcPr>
            <w:tcW w:w="3834" w:type="dxa"/>
            <w:tcBorders>
              <w:top w:val="nil"/>
              <w:left w:val="nil"/>
              <w:bottom w:val="nil"/>
              <w:right w:val="nil"/>
            </w:tcBorders>
            <w:shd w:val="clear" w:color="000000" w:fill="DBE5F1"/>
            <w:noWrap/>
            <w:vAlign w:val="center"/>
            <w:hideMark/>
          </w:tcPr>
          <w:p w14:paraId="5A16CD02"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Payments   </w:t>
            </w:r>
          </w:p>
        </w:tc>
        <w:tc>
          <w:tcPr>
            <w:tcW w:w="1100" w:type="dxa"/>
            <w:tcBorders>
              <w:top w:val="nil"/>
              <w:left w:val="nil"/>
              <w:bottom w:val="nil"/>
              <w:right w:val="nil"/>
            </w:tcBorders>
            <w:shd w:val="clear" w:color="000000" w:fill="DBE5F1"/>
            <w:noWrap/>
            <w:vAlign w:val="center"/>
            <w:hideMark/>
          </w:tcPr>
          <w:p w14:paraId="37C3A4E3"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4.7</w:t>
            </w:r>
          </w:p>
        </w:tc>
        <w:tc>
          <w:tcPr>
            <w:tcW w:w="1190" w:type="dxa"/>
            <w:tcBorders>
              <w:top w:val="nil"/>
              <w:left w:val="nil"/>
              <w:bottom w:val="nil"/>
              <w:right w:val="nil"/>
            </w:tcBorders>
            <w:shd w:val="clear" w:color="000000" w:fill="DBE5F1"/>
            <w:noWrap/>
            <w:vAlign w:val="center"/>
            <w:hideMark/>
          </w:tcPr>
          <w:p w14:paraId="6799662A"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5.1</w:t>
            </w:r>
          </w:p>
        </w:tc>
        <w:tc>
          <w:tcPr>
            <w:tcW w:w="1262" w:type="dxa"/>
            <w:tcBorders>
              <w:top w:val="nil"/>
              <w:left w:val="nil"/>
              <w:bottom w:val="nil"/>
              <w:right w:val="nil"/>
            </w:tcBorders>
            <w:shd w:val="clear" w:color="000000" w:fill="DBE5F1"/>
            <w:noWrap/>
            <w:vAlign w:val="center"/>
            <w:hideMark/>
          </w:tcPr>
          <w:p w14:paraId="02F140F6"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5.2</w:t>
            </w:r>
          </w:p>
        </w:tc>
      </w:tr>
      <w:tr w:rsidR="005F4516" w:rsidRPr="000C233B" w14:paraId="50B1BC37" w14:textId="77777777" w:rsidTr="004246DE">
        <w:trPr>
          <w:trHeight w:val="276"/>
        </w:trPr>
        <w:tc>
          <w:tcPr>
            <w:tcW w:w="3834" w:type="dxa"/>
            <w:tcBorders>
              <w:top w:val="nil"/>
              <w:left w:val="nil"/>
              <w:bottom w:val="nil"/>
              <w:right w:val="nil"/>
            </w:tcBorders>
            <w:shd w:val="clear" w:color="auto" w:fill="auto"/>
            <w:noWrap/>
            <w:vAlign w:val="center"/>
            <w:hideMark/>
          </w:tcPr>
          <w:p w14:paraId="0578A648"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Primary Income (Net)  </w:t>
            </w:r>
          </w:p>
        </w:tc>
        <w:tc>
          <w:tcPr>
            <w:tcW w:w="1100" w:type="dxa"/>
            <w:tcBorders>
              <w:top w:val="nil"/>
              <w:left w:val="nil"/>
              <w:bottom w:val="nil"/>
              <w:right w:val="nil"/>
            </w:tcBorders>
            <w:shd w:val="clear" w:color="auto" w:fill="auto"/>
            <w:noWrap/>
            <w:vAlign w:val="center"/>
            <w:hideMark/>
          </w:tcPr>
          <w:p w14:paraId="008FCFA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-2.3</w:t>
            </w:r>
          </w:p>
        </w:tc>
        <w:tc>
          <w:tcPr>
            <w:tcW w:w="1190" w:type="dxa"/>
            <w:tcBorders>
              <w:top w:val="nil"/>
              <w:left w:val="nil"/>
              <w:bottom w:val="nil"/>
              <w:right w:val="nil"/>
            </w:tcBorders>
            <w:shd w:val="clear" w:color="auto" w:fill="auto"/>
            <w:noWrap/>
            <w:vAlign w:val="center"/>
            <w:hideMark/>
          </w:tcPr>
          <w:p w14:paraId="281F108B"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-2.5</w:t>
            </w:r>
          </w:p>
        </w:tc>
        <w:tc>
          <w:tcPr>
            <w:tcW w:w="1262" w:type="dxa"/>
            <w:tcBorders>
              <w:top w:val="nil"/>
              <w:left w:val="nil"/>
              <w:bottom w:val="nil"/>
              <w:right w:val="nil"/>
            </w:tcBorders>
            <w:shd w:val="clear" w:color="auto" w:fill="auto"/>
            <w:noWrap/>
            <w:vAlign w:val="center"/>
            <w:hideMark/>
          </w:tcPr>
          <w:p w14:paraId="4ACA5F2A"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-2.7</w:t>
            </w:r>
          </w:p>
        </w:tc>
      </w:tr>
      <w:tr w:rsidR="005F4516" w:rsidRPr="000C233B" w14:paraId="0F3B70AA" w14:textId="77777777" w:rsidTr="004246DE">
        <w:trPr>
          <w:trHeight w:val="276"/>
        </w:trPr>
        <w:tc>
          <w:tcPr>
            <w:tcW w:w="3834" w:type="dxa"/>
            <w:tcBorders>
              <w:top w:val="nil"/>
              <w:left w:val="nil"/>
              <w:bottom w:val="nil"/>
              <w:right w:val="nil"/>
            </w:tcBorders>
            <w:shd w:val="clear" w:color="000000" w:fill="DBE5F1"/>
            <w:noWrap/>
            <w:vAlign w:val="center"/>
            <w:hideMark/>
          </w:tcPr>
          <w:p w14:paraId="4D8E65FE"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Secondary Income (Net)  </w:t>
            </w:r>
          </w:p>
        </w:tc>
        <w:tc>
          <w:tcPr>
            <w:tcW w:w="1100" w:type="dxa"/>
            <w:tcBorders>
              <w:top w:val="nil"/>
              <w:left w:val="nil"/>
              <w:bottom w:val="nil"/>
              <w:right w:val="nil"/>
            </w:tcBorders>
            <w:shd w:val="clear" w:color="000000" w:fill="DBE5F1"/>
            <w:noWrap/>
            <w:vAlign w:val="center"/>
            <w:hideMark/>
          </w:tcPr>
          <w:p w14:paraId="6AEB9D3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7.8</w:t>
            </w:r>
          </w:p>
        </w:tc>
        <w:tc>
          <w:tcPr>
            <w:tcW w:w="1190" w:type="dxa"/>
            <w:tcBorders>
              <w:top w:val="nil"/>
              <w:left w:val="nil"/>
              <w:bottom w:val="nil"/>
              <w:right w:val="nil"/>
            </w:tcBorders>
            <w:shd w:val="clear" w:color="000000" w:fill="DBE5F1"/>
            <w:noWrap/>
            <w:vAlign w:val="center"/>
            <w:hideMark/>
          </w:tcPr>
          <w:p w14:paraId="6BFAF59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7.7</w:t>
            </w:r>
          </w:p>
        </w:tc>
        <w:tc>
          <w:tcPr>
            <w:tcW w:w="1262" w:type="dxa"/>
            <w:tcBorders>
              <w:top w:val="nil"/>
              <w:left w:val="nil"/>
              <w:bottom w:val="nil"/>
              <w:right w:val="nil"/>
            </w:tcBorders>
            <w:shd w:val="clear" w:color="000000" w:fill="DBE5F1"/>
            <w:noWrap/>
            <w:vAlign w:val="center"/>
            <w:hideMark/>
          </w:tcPr>
          <w:p w14:paraId="15AC54BC"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7.9</w:t>
            </w:r>
          </w:p>
        </w:tc>
      </w:tr>
      <w:tr w:rsidR="005F4516" w:rsidRPr="000C233B" w14:paraId="3E2C191C" w14:textId="77777777" w:rsidTr="004246DE">
        <w:trPr>
          <w:trHeight w:val="276"/>
        </w:trPr>
        <w:tc>
          <w:tcPr>
            <w:tcW w:w="3834" w:type="dxa"/>
            <w:tcBorders>
              <w:top w:val="nil"/>
              <w:left w:val="nil"/>
              <w:bottom w:val="nil"/>
              <w:right w:val="nil"/>
            </w:tcBorders>
            <w:shd w:val="clear" w:color="auto" w:fill="auto"/>
            <w:noWrap/>
            <w:vAlign w:val="center"/>
            <w:hideMark/>
          </w:tcPr>
          <w:p w14:paraId="765DDE5B"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 xml:space="preserve">Of which: Workers’ Remittances  </w:t>
            </w:r>
          </w:p>
        </w:tc>
        <w:tc>
          <w:tcPr>
            <w:tcW w:w="1100" w:type="dxa"/>
            <w:tcBorders>
              <w:top w:val="nil"/>
              <w:left w:val="nil"/>
              <w:bottom w:val="nil"/>
              <w:right w:val="nil"/>
            </w:tcBorders>
            <w:shd w:val="clear" w:color="auto" w:fill="auto"/>
            <w:noWrap/>
            <w:vAlign w:val="center"/>
            <w:hideMark/>
          </w:tcPr>
          <w:p w14:paraId="0A283688"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8.8</w:t>
            </w:r>
          </w:p>
        </w:tc>
        <w:tc>
          <w:tcPr>
            <w:tcW w:w="1190" w:type="dxa"/>
            <w:tcBorders>
              <w:top w:val="nil"/>
              <w:left w:val="nil"/>
              <w:bottom w:val="nil"/>
              <w:right w:val="nil"/>
            </w:tcBorders>
            <w:shd w:val="clear" w:color="auto" w:fill="auto"/>
            <w:noWrap/>
            <w:vAlign w:val="center"/>
            <w:hideMark/>
          </w:tcPr>
          <w:p w14:paraId="43C0C16B"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8.7</w:t>
            </w:r>
          </w:p>
        </w:tc>
        <w:tc>
          <w:tcPr>
            <w:tcW w:w="1262" w:type="dxa"/>
            <w:tcBorders>
              <w:top w:val="nil"/>
              <w:left w:val="nil"/>
              <w:bottom w:val="nil"/>
              <w:right w:val="nil"/>
            </w:tcBorders>
            <w:shd w:val="clear" w:color="auto" w:fill="auto"/>
            <w:noWrap/>
            <w:vAlign w:val="center"/>
            <w:hideMark/>
          </w:tcPr>
          <w:p w14:paraId="54C900A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8.9</w:t>
            </w:r>
          </w:p>
        </w:tc>
      </w:tr>
      <w:tr w:rsidR="005F4516" w:rsidRPr="000C233B" w14:paraId="64D3A31A" w14:textId="77777777" w:rsidTr="004246DE">
        <w:trPr>
          <w:trHeight w:val="252"/>
        </w:trPr>
        <w:tc>
          <w:tcPr>
            <w:tcW w:w="3834" w:type="dxa"/>
            <w:tcBorders>
              <w:top w:val="nil"/>
              <w:left w:val="nil"/>
              <w:bottom w:val="nil"/>
              <w:right w:val="nil"/>
            </w:tcBorders>
            <w:shd w:val="clear" w:color="000000" w:fill="DBE5F1"/>
            <w:noWrap/>
            <w:vAlign w:val="center"/>
            <w:hideMark/>
          </w:tcPr>
          <w:p w14:paraId="3CCC115A" w14:textId="77777777" w:rsidR="005F4516" w:rsidRPr="004246DE" w:rsidRDefault="005F4516" w:rsidP="005F4516">
            <w:pPr>
              <w:rPr>
                <w:rFonts w:ascii="Arial" w:eastAsia="Times New Roman" w:hAnsi="Arial" w:cs="Arial"/>
                <w:b/>
                <w:color w:val="000000"/>
                <w:sz w:val="16"/>
                <w:szCs w:val="16"/>
              </w:rPr>
            </w:pPr>
            <w:r w:rsidRPr="004246DE">
              <w:rPr>
                <w:rFonts w:ascii="Arial" w:eastAsia="Times New Roman" w:hAnsi="Arial" w:cs="Arial"/>
                <w:b/>
                <w:color w:val="000000"/>
                <w:sz w:val="16"/>
                <w:szCs w:val="16"/>
              </w:rPr>
              <w:t>Capital and Financial Account</w:t>
            </w:r>
          </w:p>
        </w:tc>
        <w:tc>
          <w:tcPr>
            <w:tcW w:w="1100" w:type="dxa"/>
            <w:tcBorders>
              <w:top w:val="nil"/>
              <w:left w:val="nil"/>
              <w:bottom w:val="nil"/>
              <w:right w:val="nil"/>
            </w:tcBorders>
            <w:shd w:val="clear" w:color="000000" w:fill="DBE5F1"/>
            <w:noWrap/>
            <w:vAlign w:val="center"/>
            <w:hideMark/>
          </w:tcPr>
          <w:p w14:paraId="7BC27CCA"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1.9</w:t>
            </w:r>
          </w:p>
        </w:tc>
        <w:tc>
          <w:tcPr>
            <w:tcW w:w="1190" w:type="dxa"/>
            <w:tcBorders>
              <w:top w:val="nil"/>
              <w:left w:val="nil"/>
              <w:bottom w:val="nil"/>
              <w:right w:val="nil"/>
            </w:tcBorders>
            <w:shd w:val="clear" w:color="000000" w:fill="DBE5F1"/>
            <w:noWrap/>
            <w:vAlign w:val="center"/>
            <w:hideMark/>
          </w:tcPr>
          <w:p w14:paraId="6F3A3C14"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2.9</w:t>
            </w:r>
          </w:p>
        </w:tc>
        <w:tc>
          <w:tcPr>
            <w:tcW w:w="1262" w:type="dxa"/>
            <w:tcBorders>
              <w:top w:val="nil"/>
              <w:left w:val="nil"/>
              <w:bottom w:val="nil"/>
              <w:right w:val="nil"/>
            </w:tcBorders>
            <w:shd w:val="clear" w:color="000000" w:fill="DBE5F1"/>
            <w:noWrap/>
            <w:vAlign w:val="center"/>
            <w:hideMark/>
          </w:tcPr>
          <w:p w14:paraId="281FBE48" w14:textId="77777777" w:rsidR="005F4516" w:rsidRPr="004246DE" w:rsidRDefault="005F4516" w:rsidP="005F4516">
            <w:pPr>
              <w:jc w:val="right"/>
              <w:rPr>
                <w:rFonts w:ascii="Arial" w:eastAsia="Times New Roman" w:hAnsi="Arial" w:cs="Arial"/>
                <w:b/>
                <w:color w:val="000000"/>
                <w:sz w:val="16"/>
                <w:szCs w:val="16"/>
              </w:rPr>
            </w:pPr>
            <w:r w:rsidRPr="004246DE">
              <w:rPr>
                <w:rFonts w:ascii="Arial" w:eastAsia="Times New Roman" w:hAnsi="Arial" w:cs="Arial"/>
                <w:b/>
                <w:color w:val="000000"/>
                <w:sz w:val="16"/>
                <w:szCs w:val="16"/>
              </w:rPr>
              <w:t>2.4</w:t>
            </w:r>
          </w:p>
        </w:tc>
      </w:tr>
      <w:tr w:rsidR="005F4516" w:rsidRPr="000C233B" w14:paraId="6BB98EAF" w14:textId="77777777" w:rsidTr="004246DE">
        <w:trPr>
          <w:trHeight w:val="276"/>
        </w:trPr>
        <w:tc>
          <w:tcPr>
            <w:tcW w:w="3834" w:type="dxa"/>
            <w:tcBorders>
              <w:top w:val="nil"/>
              <w:left w:val="nil"/>
              <w:bottom w:val="nil"/>
              <w:right w:val="nil"/>
            </w:tcBorders>
            <w:shd w:val="clear" w:color="auto" w:fill="auto"/>
            <w:noWrap/>
            <w:vAlign w:val="center"/>
            <w:hideMark/>
          </w:tcPr>
          <w:p w14:paraId="2624F935"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Direct Investment</w:t>
            </w:r>
          </w:p>
        </w:tc>
        <w:tc>
          <w:tcPr>
            <w:tcW w:w="1100" w:type="dxa"/>
            <w:tcBorders>
              <w:top w:val="nil"/>
              <w:left w:val="nil"/>
              <w:bottom w:val="nil"/>
              <w:right w:val="nil"/>
            </w:tcBorders>
            <w:shd w:val="clear" w:color="auto" w:fill="auto"/>
            <w:noWrap/>
            <w:vAlign w:val="center"/>
            <w:hideMark/>
          </w:tcPr>
          <w:p w14:paraId="73793B2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1.0</w:t>
            </w:r>
          </w:p>
        </w:tc>
        <w:tc>
          <w:tcPr>
            <w:tcW w:w="1190" w:type="dxa"/>
            <w:tcBorders>
              <w:top w:val="nil"/>
              <w:left w:val="nil"/>
              <w:bottom w:val="nil"/>
              <w:right w:val="nil"/>
            </w:tcBorders>
            <w:shd w:val="clear" w:color="auto" w:fill="auto"/>
            <w:noWrap/>
            <w:vAlign w:val="center"/>
            <w:hideMark/>
          </w:tcPr>
          <w:p w14:paraId="0CDEF2EE"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0.8</w:t>
            </w:r>
          </w:p>
        </w:tc>
        <w:tc>
          <w:tcPr>
            <w:tcW w:w="1262" w:type="dxa"/>
            <w:tcBorders>
              <w:top w:val="nil"/>
              <w:left w:val="nil"/>
              <w:bottom w:val="nil"/>
              <w:right w:val="nil"/>
            </w:tcBorders>
            <w:shd w:val="clear" w:color="auto" w:fill="auto"/>
            <w:noWrap/>
            <w:vAlign w:val="center"/>
            <w:hideMark/>
          </w:tcPr>
          <w:p w14:paraId="601A4AE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0.8</w:t>
            </w:r>
          </w:p>
        </w:tc>
      </w:tr>
      <w:tr w:rsidR="005F4516" w:rsidRPr="000C233B" w14:paraId="47116510" w14:textId="77777777" w:rsidTr="004246DE">
        <w:trPr>
          <w:trHeight w:val="276"/>
        </w:trPr>
        <w:tc>
          <w:tcPr>
            <w:tcW w:w="3834" w:type="dxa"/>
            <w:tcBorders>
              <w:top w:val="nil"/>
              <w:left w:val="nil"/>
              <w:bottom w:val="nil"/>
              <w:right w:val="nil"/>
            </w:tcBorders>
            <w:shd w:val="clear" w:color="000000" w:fill="DBE5F1"/>
            <w:noWrap/>
            <w:vAlign w:val="center"/>
            <w:hideMark/>
          </w:tcPr>
          <w:p w14:paraId="48A3C3F0"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Portfolio Investment</w:t>
            </w:r>
          </w:p>
        </w:tc>
        <w:tc>
          <w:tcPr>
            <w:tcW w:w="1100" w:type="dxa"/>
            <w:tcBorders>
              <w:top w:val="nil"/>
              <w:left w:val="nil"/>
              <w:bottom w:val="nil"/>
              <w:right w:val="nil"/>
            </w:tcBorders>
            <w:shd w:val="clear" w:color="000000" w:fill="DBE5F1"/>
            <w:noWrap/>
            <w:vAlign w:val="center"/>
            <w:hideMark/>
          </w:tcPr>
          <w:p w14:paraId="4DA0AB79"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2.6</w:t>
            </w:r>
          </w:p>
        </w:tc>
        <w:tc>
          <w:tcPr>
            <w:tcW w:w="1190" w:type="dxa"/>
            <w:tcBorders>
              <w:top w:val="nil"/>
              <w:left w:val="nil"/>
              <w:bottom w:val="nil"/>
              <w:right w:val="nil"/>
            </w:tcBorders>
            <w:shd w:val="clear" w:color="000000" w:fill="DBE5F1"/>
            <w:noWrap/>
            <w:vAlign w:val="center"/>
            <w:hideMark/>
          </w:tcPr>
          <w:p w14:paraId="27DF204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0.9</w:t>
            </w:r>
          </w:p>
        </w:tc>
        <w:tc>
          <w:tcPr>
            <w:tcW w:w="1262" w:type="dxa"/>
            <w:tcBorders>
              <w:top w:val="nil"/>
              <w:left w:val="nil"/>
              <w:bottom w:val="nil"/>
              <w:right w:val="nil"/>
            </w:tcBorders>
            <w:shd w:val="clear" w:color="000000" w:fill="DBE5F1"/>
            <w:noWrap/>
            <w:vAlign w:val="center"/>
            <w:hideMark/>
          </w:tcPr>
          <w:p w14:paraId="35E5AC57"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1.2</w:t>
            </w:r>
          </w:p>
        </w:tc>
      </w:tr>
      <w:tr w:rsidR="005F4516" w:rsidRPr="000C233B" w14:paraId="73B3DFA3" w14:textId="77777777" w:rsidTr="004246DE">
        <w:trPr>
          <w:trHeight w:val="276"/>
        </w:trPr>
        <w:tc>
          <w:tcPr>
            <w:tcW w:w="3834" w:type="dxa"/>
            <w:tcBorders>
              <w:top w:val="nil"/>
              <w:left w:val="nil"/>
              <w:bottom w:val="nil"/>
              <w:right w:val="nil"/>
            </w:tcBorders>
            <w:shd w:val="clear" w:color="auto" w:fill="auto"/>
            <w:noWrap/>
            <w:vAlign w:val="center"/>
            <w:hideMark/>
          </w:tcPr>
          <w:p w14:paraId="015F0064" w14:textId="77777777" w:rsidR="005F4516" w:rsidRPr="004246DE" w:rsidRDefault="005F4516" w:rsidP="005F4516">
            <w:pPr>
              <w:ind w:firstLineChars="300" w:firstLine="480"/>
              <w:rPr>
                <w:rFonts w:ascii="Arial" w:eastAsia="Times New Roman" w:hAnsi="Arial" w:cs="Arial"/>
                <w:color w:val="000000"/>
                <w:sz w:val="16"/>
                <w:szCs w:val="16"/>
              </w:rPr>
            </w:pPr>
            <w:r w:rsidRPr="004246DE">
              <w:rPr>
                <w:rFonts w:ascii="Arial" w:eastAsia="Times New Roman" w:hAnsi="Arial" w:cs="Arial"/>
                <w:color w:val="000000"/>
                <w:sz w:val="16"/>
                <w:szCs w:val="16"/>
              </w:rPr>
              <w:t>General Government</w:t>
            </w:r>
          </w:p>
        </w:tc>
        <w:tc>
          <w:tcPr>
            <w:tcW w:w="1100" w:type="dxa"/>
            <w:tcBorders>
              <w:top w:val="nil"/>
              <w:left w:val="nil"/>
              <w:bottom w:val="nil"/>
              <w:right w:val="nil"/>
            </w:tcBorders>
            <w:shd w:val="clear" w:color="auto" w:fill="auto"/>
            <w:noWrap/>
            <w:vAlign w:val="center"/>
            <w:hideMark/>
          </w:tcPr>
          <w:p w14:paraId="349EAD2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1.8</w:t>
            </w:r>
          </w:p>
        </w:tc>
        <w:tc>
          <w:tcPr>
            <w:tcW w:w="1190" w:type="dxa"/>
            <w:tcBorders>
              <w:top w:val="nil"/>
              <w:left w:val="nil"/>
              <w:bottom w:val="nil"/>
              <w:right w:val="nil"/>
            </w:tcBorders>
            <w:shd w:val="clear" w:color="auto" w:fill="auto"/>
            <w:noWrap/>
            <w:vAlign w:val="center"/>
            <w:hideMark/>
          </w:tcPr>
          <w:p w14:paraId="4666A809"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0.9</w:t>
            </w:r>
          </w:p>
        </w:tc>
        <w:tc>
          <w:tcPr>
            <w:tcW w:w="1262" w:type="dxa"/>
            <w:tcBorders>
              <w:top w:val="nil"/>
              <w:left w:val="nil"/>
              <w:bottom w:val="nil"/>
              <w:right w:val="nil"/>
            </w:tcBorders>
            <w:shd w:val="clear" w:color="auto" w:fill="auto"/>
            <w:noWrap/>
            <w:vAlign w:val="center"/>
            <w:hideMark/>
          </w:tcPr>
          <w:p w14:paraId="6B493CF1"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1.2</w:t>
            </w:r>
          </w:p>
        </w:tc>
      </w:tr>
      <w:tr w:rsidR="005F4516" w:rsidRPr="000C233B" w14:paraId="52222083" w14:textId="77777777" w:rsidTr="004246DE">
        <w:trPr>
          <w:trHeight w:val="276"/>
        </w:trPr>
        <w:tc>
          <w:tcPr>
            <w:tcW w:w="3834" w:type="dxa"/>
            <w:tcBorders>
              <w:top w:val="nil"/>
              <w:left w:val="nil"/>
              <w:bottom w:val="nil"/>
              <w:right w:val="nil"/>
            </w:tcBorders>
            <w:shd w:val="clear" w:color="000000" w:fill="DBE5F1"/>
            <w:noWrap/>
            <w:vAlign w:val="center"/>
            <w:hideMark/>
          </w:tcPr>
          <w:p w14:paraId="5697543E" w14:textId="77777777" w:rsidR="005F4516" w:rsidRPr="004246DE" w:rsidRDefault="005F4516" w:rsidP="005F4516">
            <w:pPr>
              <w:ind w:firstLineChars="100" w:firstLine="160"/>
              <w:rPr>
                <w:rFonts w:ascii="Arial" w:eastAsia="Times New Roman" w:hAnsi="Arial" w:cs="Arial"/>
                <w:color w:val="000000"/>
                <w:sz w:val="16"/>
                <w:szCs w:val="16"/>
              </w:rPr>
            </w:pPr>
            <w:r w:rsidRPr="004246DE">
              <w:rPr>
                <w:rFonts w:ascii="Arial" w:eastAsia="Times New Roman" w:hAnsi="Arial" w:cs="Arial"/>
                <w:color w:val="000000"/>
                <w:sz w:val="16"/>
                <w:szCs w:val="16"/>
              </w:rPr>
              <w:t>Other Investment</w:t>
            </w:r>
          </w:p>
        </w:tc>
        <w:tc>
          <w:tcPr>
            <w:tcW w:w="1100" w:type="dxa"/>
            <w:tcBorders>
              <w:top w:val="nil"/>
              <w:left w:val="nil"/>
              <w:bottom w:val="nil"/>
              <w:right w:val="nil"/>
            </w:tcBorders>
            <w:shd w:val="clear" w:color="000000" w:fill="DBE5F1"/>
            <w:noWrap/>
            <w:vAlign w:val="center"/>
            <w:hideMark/>
          </w:tcPr>
          <w:p w14:paraId="0687BB40"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0.2</w:t>
            </w:r>
          </w:p>
        </w:tc>
        <w:tc>
          <w:tcPr>
            <w:tcW w:w="1190" w:type="dxa"/>
            <w:tcBorders>
              <w:top w:val="nil"/>
              <w:left w:val="nil"/>
              <w:bottom w:val="nil"/>
              <w:right w:val="nil"/>
            </w:tcBorders>
            <w:shd w:val="clear" w:color="000000" w:fill="DBE5F1"/>
            <w:noWrap/>
            <w:vAlign w:val="center"/>
            <w:hideMark/>
          </w:tcPr>
          <w:p w14:paraId="202728DF"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1.7</w:t>
            </w:r>
          </w:p>
        </w:tc>
        <w:tc>
          <w:tcPr>
            <w:tcW w:w="1262" w:type="dxa"/>
            <w:tcBorders>
              <w:top w:val="nil"/>
              <w:left w:val="nil"/>
              <w:bottom w:val="nil"/>
              <w:right w:val="nil"/>
            </w:tcBorders>
            <w:shd w:val="clear" w:color="000000" w:fill="DBE5F1"/>
            <w:noWrap/>
            <w:vAlign w:val="center"/>
            <w:hideMark/>
          </w:tcPr>
          <w:p w14:paraId="1957A358"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w:t>
            </w:r>
          </w:p>
        </w:tc>
      </w:tr>
      <w:tr w:rsidR="005F4516" w:rsidRPr="000C233B" w14:paraId="49A3CC43" w14:textId="77777777" w:rsidTr="004246DE">
        <w:trPr>
          <w:trHeight w:val="276"/>
        </w:trPr>
        <w:tc>
          <w:tcPr>
            <w:tcW w:w="3834" w:type="dxa"/>
            <w:tcBorders>
              <w:top w:val="nil"/>
              <w:left w:val="nil"/>
              <w:bottom w:val="nil"/>
              <w:right w:val="nil"/>
            </w:tcBorders>
            <w:shd w:val="clear" w:color="auto" w:fill="auto"/>
            <w:noWrap/>
            <w:vAlign w:val="center"/>
            <w:hideMark/>
          </w:tcPr>
          <w:p w14:paraId="02462E9D" w14:textId="77777777" w:rsidR="005F4516" w:rsidRPr="004246DE" w:rsidRDefault="005F4516" w:rsidP="005F4516">
            <w:pPr>
              <w:ind w:firstLineChars="200" w:firstLine="320"/>
              <w:rPr>
                <w:rFonts w:ascii="Arial" w:eastAsia="Times New Roman" w:hAnsi="Arial" w:cs="Arial"/>
                <w:color w:val="000000"/>
                <w:sz w:val="16"/>
                <w:szCs w:val="16"/>
              </w:rPr>
            </w:pPr>
            <w:r w:rsidRPr="004246DE">
              <w:rPr>
                <w:rFonts w:ascii="Arial" w:eastAsia="Times New Roman" w:hAnsi="Arial" w:cs="Arial"/>
                <w:color w:val="000000"/>
                <w:sz w:val="16"/>
                <w:szCs w:val="16"/>
              </w:rPr>
              <w:t>Loans</w:t>
            </w:r>
          </w:p>
        </w:tc>
        <w:tc>
          <w:tcPr>
            <w:tcW w:w="1100" w:type="dxa"/>
            <w:tcBorders>
              <w:top w:val="nil"/>
              <w:left w:val="nil"/>
              <w:bottom w:val="nil"/>
              <w:right w:val="nil"/>
            </w:tcBorders>
            <w:shd w:val="clear" w:color="auto" w:fill="auto"/>
            <w:noWrap/>
            <w:vAlign w:val="center"/>
            <w:hideMark/>
          </w:tcPr>
          <w:p w14:paraId="5976FB86"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2.2</w:t>
            </w:r>
          </w:p>
        </w:tc>
        <w:tc>
          <w:tcPr>
            <w:tcW w:w="1190" w:type="dxa"/>
            <w:tcBorders>
              <w:top w:val="nil"/>
              <w:left w:val="nil"/>
              <w:bottom w:val="nil"/>
              <w:right w:val="nil"/>
            </w:tcBorders>
            <w:shd w:val="clear" w:color="auto" w:fill="auto"/>
            <w:noWrap/>
            <w:vAlign w:val="center"/>
            <w:hideMark/>
          </w:tcPr>
          <w:p w14:paraId="449C3041"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0.9</w:t>
            </w:r>
          </w:p>
        </w:tc>
        <w:tc>
          <w:tcPr>
            <w:tcW w:w="1262" w:type="dxa"/>
            <w:tcBorders>
              <w:top w:val="nil"/>
              <w:left w:val="nil"/>
              <w:bottom w:val="nil"/>
              <w:right w:val="nil"/>
            </w:tcBorders>
            <w:shd w:val="clear" w:color="auto" w:fill="auto"/>
            <w:noWrap/>
            <w:vAlign w:val="center"/>
            <w:hideMark/>
          </w:tcPr>
          <w:p w14:paraId="36F3FFA9"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0.9</w:t>
            </w:r>
          </w:p>
        </w:tc>
      </w:tr>
      <w:tr w:rsidR="005F4516" w:rsidRPr="000C233B" w14:paraId="1E8BF283" w14:textId="77777777" w:rsidTr="004246DE">
        <w:trPr>
          <w:trHeight w:val="276"/>
        </w:trPr>
        <w:tc>
          <w:tcPr>
            <w:tcW w:w="3834" w:type="dxa"/>
            <w:tcBorders>
              <w:top w:val="nil"/>
              <w:left w:val="nil"/>
              <w:bottom w:val="nil"/>
              <w:right w:val="nil"/>
            </w:tcBorders>
            <w:shd w:val="clear" w:color="000000" w:fill="DBE5F1"/>
            <w:noWrap/>
            <w:vAlign w:val="center"/>
            <w:hideMark/>
          </w:tcPr>
          <w:p w14:paraId="2BE00653" w14:textId="77777777" w:rsidR="005F4516" w:rsidRPr="004246DE" w:rsidRDefault="005F4516" w:rsidP="005F4516">
            <w:pPr>
              <w:ind w:firstLineChars="300" w:firstLine="480"/>
              <w:rPr>
                <w:rFonts w:ascii="Arial" w:eastAsia="Times New Roman" w:hAnsi="Arial" w:cs="Arial"/>
                <w:color w:val="000000"/>
                <w:sz w:val="16"/>
                <w:szCs w:val="16"/>
              </w:rPr>
            </w:pPr>
            <w:r w:rsidRPr="004246DE">
              <w:rPr>
                <w:rFonts w:ascii="Arial" w:eastAsia="Times New Roman" w:hAnsi="Arial" w:cs="Arial"/>
                <w:color w:val="000000"/>
                <w:sz w:val="16"/>
                <w:szCs w:val="16"/>
              </w:rPr>
              <w:t>General Government</w:t>
            </w:r>
          </w:p>
        </w:tc>
        <w:tc>
          <w:tcPr>
            <w:tcW w:w="1100" w:type="dxa"/>
            <w:tcBorders>
              <w:top w:val="nil"/>
              <w:left w:val="nil"/>
              <w:bottom w:val="nil"/>
              <w:right w:val="nil"/>
            </w:tcBorders>
            <w:shd w:val="clear" w:color="000000" w:fill="DBE5F1"/>
            <w:noWrap/>
            <w:vAlign w:val="center"/>
            <w:hideMark/>
          </w:tcPr>
          <w:p w14:paraId="4C5F6BC7"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0.8</w:t>
            </w:r>
          </w:p>
        </w:tc>
        <w:tc>
          <w:tcPr>
            <w:tcW w:w="1190" w:type="dxa"/>
            <w:tcBorders>
              <w:top w:val="nil"/>
              <w:left w:val="nil"/>
              <w:bottom w:val="nil"/>
              <w:right w:val="nil"/>
            </w:tcBorders>
            <w:shd w:val="clear" w:color="000000" w:fill="DBE5F1"/>
            <w:noWrap/>
            <w:vAlign w:val="center"/>
            <w:hideMark/>
          </w:tcPr>
          <w:p w14:paraId="03B69208"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0.6</w:t>
            </w:r>
          </w:p>
        </w:tc>
        <w:tc>
          <w:tcPr>
            <w:tcW w:w="1262" w:type="dxa"/>
            <w:tcBorders>
              <w:top w:val="nil"/>
              <w:left w:val="nil"/>
              <w:bottom w:val="nil"/>
              <w:right w:val="nil"/>
            </w:tcBorders>
            <w:shd w:val="clear" w:color="000000" w:fill="DBE5F1"/>
            <w:noWrap/>
            <w:vAlign w:val="center"/>
            <w:hideMark/>
          </w:tcPr>
          <w:p w14:paraId="0E0CDD21"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1.6</w:t>
            </w:r>
          </w:p>
        </w:tc>
      </w:tr>
      <w:tr w:rsidR="005F4516" w:rsidRPr="000C233B" w14:paraId="67C1A402" w14:textId="77777777" w:rsidTr="004246DE">
        <w:trPr>
          <w:trHeight w:val="276"/>
        </w:trPr>
        <w:tc>
          <w:tcPr>
            <w:tcW w:w="3834" w:type="dxa"/>
            <w:tcBorders>
              <w:top w:val="nil"/>
              <w:left w:val="nil"/>
              <w:bottom w:val="nil"/>
              <w:right w:val="nil"/>
            </w:tcBorders>
            <w:shd w:val="clear" w:color="auto" w:fill="auto"/>
            <w:noWrap/>
            <w:vAlign w:val="center"/>
            <w:hideMark/>
          </w:tcPr>
          <w:p w14:paraId="79E355EA" w14:textId="77777777" w:rsidR="005F4516" w:rsidRPr="004246DE" w:rsidRDefault="005F4516" w:rsidP="005F4516">
            <w:pPr>
              <w:rPr>
                <w:rFonts w:ascii="Arial" w:eastAsia="Times New Roman" w:hAnsi="Arial" w:cs="Arial"/>
                <w:color w:val="000000"/>
                <w:sz w:val="16"/>
                <w:szCs w:val="16"/>
              </w:rPr>
            </w:pPr>
            <w:r w:rsidRPr="004246DE">
              <w:rPr>
                <w:rFonts w:ascii="Arial" w:eastAsia="Times New Roman" w:hAnsi="Arial" w:cs="Arial"/>
                <w:color w:val="000000"/>
                <w:sz w:val="16"/>
                <w:szCs w:val="16"/>
              </w:rPr>
              <w:t>Change in Reserves</w:t>
            </w:r>
          </w:p>
        </w:tc>
        <w:tc>
          <w:tcPr>
            <w:tcW w:w="1100" w:type="dxa"/>
            <w:tcBorders>
              <w:top w:val="nil"/>
              <w:left w:val="nil"/>
              <w:bottom w:val="nil"/>
              <w:right w:val="nil"/>
            </w:tcBorders>
            <w:shd w:val="clear" w:color="auto" w:fill="auto"/>
            <w:noWrap/>
            <w:vAlign w:val="center"/>
            <w:hideMark/>
          </w:tcPr>
          <w:p w14:paraId="2163F968"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1.7</w:t>
            </w:r>
          </w:p>
        </w:tc>
        <w:tc>
          <w:tcPr>
            <w:tcW w:w="1190" w:type="dxa"/>
            <w:tcBorders>
              <w:top w:val="nil"/>
              <w:left w:val="nil"/>
              <w:bottom w:val="nil"/>
              <w:right w:val="nil"/>
            </w:tcBorders>
            <w:shd w:val="clear" w:color="auto" w:fill="auto"/>
            <w:noWrap/>
            <w:vAlign w:val="center"/>
            <w:hideMark/>
          </w:tcPr>
          <w:p w14:paraId="1363C6F4"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-0.6</w:t>
            </w:r>
          </w:p>
        </w:tc>
        <w:tc>
          <w:tcPr>
            <w:tcW w:w="1262" w:type="dxa"/>
            <w:tcBorders>
              <w:top w:val="nil"/>
              <w:left w:val="nil"/>
              <w:bottom w:val="nil"/>
              <w:right w:val="nil"/>
            </w:tcBorders>
            <w:shd w:val="clear" w:color="auto" w:fill="auto"/>
            <w:noWrap/>
            <w:vAlign w:val="center"/>
            <w:hideMark/>
          </w:tcPr>
          <w:p w14:paraId="75D42CA5" w14:textId="77777777" w:rsidR="005F4516" w:rsidRPr="004246DE" w:rsidRDefault="005F4516" w:rsidP="005F4516">
            <w:pPr>
              <w:jc w:val="right"/>
              <w:rPr>
                <w:rFonts w:ascii="Arial" w:eastAsia="Times New Roman" w:hAnsi="Arial" w:cs="Arial"/>
                <w:color w:val="000000"/>
                <w:sz w:val="16"/>
                <w:szCs w:val="16"/>
              </w:rPr>
            </w:pPr>
            <w:r w:rsidRPr="004246DE">
              <w:rPr>
                <w:rFonts w:ascii="Arial" w:eastAsia="Times New Roman" w:hAnsi="Arial" w:cs="Arial"/>
                <w:color w:val="000000"/>
                <w:sz w:val="16"/>
                <w:szCs w:val="16"/>
              </w:rPr>
              <w:t>-0.7</w:t>
            </w:r>
          </w:p>
        </w:tc>
      </w:tr>
      <w:tr w:rsidR="005F4516" w:rsidRPr="000C233B" w14:paraId="75905944" w14:textId="77777777" w:rsidTr="004246DE">
        <w:trPr>
          <w:trHeight w:val="171"/>
        </w:trPr>
        <w:tc>
          <w:tcPr>
            <w:tcW w:w="3834" w:type="dxa"/>
            <w:tcBorders>
              <w:top w:val="nil"/>
              <w:left w:val="nil"/>
              <w:bottom w:val="nil"/>
              <w:right w:val="nil"/>
            </w:tcBorders>
            <w:shd w:val="clear" w:color="000000" w:fill="DBE5F1"/>
            <w:noWrap/>
            <w:vAlign w:val="center"/>
            <w:hideMark/>
          </w:tcPr>
          <w:p w14:paraId="0ABDDA7D" w14:textId="77777777" w:rsidR="005F4516" w:rsidRPr="004246DE" w:rsidRDefault="005F4516" w:rsidP="005F4516">
            <w:pPr>
              <w:rPr>
                <w:rFonts w:ascii="Arial" w:eastAsia="Times New Roman" w:hAnsi="Arial" w:cs="Arial"/>
                <w:color w:val="000000"/>
                <w:sz w:val="16"/>
                <w:szCs w:val="16"/>
              </w:rPr>
            </w:pPr>
            <w:r w:rsidRPr="004246DE">
              <w:rPr>
                <w:rFonts w:ascii="Arial" w:eastAsia="Times New Roman" w:hAnsi="Arial" w:cs="Arial"/>
                <w:color w:val="000000"/>
                <w:sz w:val="16"/>
                <w:szCs w:val="16"/>
              </w:rPr>
              <w:t> </w:t>
            </w:r>
          </w:p>
        </w:tc>
        <w:tc>
          <w:tcPr>
            <w:tcW w:w="1100" w:type="dxa"/>
            <w:tcBorders>
              <w:top w:val="nil"/>
              <w:left w:val="nil"/>
              <w:bottom w:val="nil"/>
              <w:right w:val="nil"/>
            </w:tcBorders>
            <w:shd w:val="clear" w:color="000000" w:fill="DBE5F1"/>
            <w:noWrap/>
            <w:vAlign w:val="center"/>
            <w:hideMark/>
          </w:tcPr>
          <w:p w14:paraId="3073A742"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 </w:t>
            </w:r>
          </w:p>
        </w:tc>
        <w:tc>
          <w:tcPr>
            <w:tcW w:w="1190" w:type="dxa"/>
            <w:tcBorders>
              <w:top w:val="nil"/>
              <w:left w:val="nil"/>
              <w:bottom w:val="nil"/>
              <w:right w:val="nil"/>
            </w:tcBorders>
            <w:shd w:val="clear" w:color="000000" w:fill="DBE5F1"/>
            <w:noWrap/>
            <w:vAlign w:val="center"/>
            <w:hideMark/>
          </w:tcPr>
          <w:p w14:paraId="5FE44B24"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 </w:t>
            </w:r>
          </w:p>
        </w:tc>
        <w:tc>
          <w:tcPr>
            <w:tcW w:w="1262" w:type="dxa"/>
            <w:tcBorders>
              <w:top w:val="nil"/>
              <w:left w:val="nil"/>
              <w:bottom w:val="nil"/>
              <w:right w:val="nil"/>
            </w:tcBorders>
            <w:shd w:val="clear" w:color="000000" w:fill="DBE5F1"/>
            <w:noWrap/>
            <w:vAlign w:val="center"/>
            <w:hideMark/>
          </w:tcPr>
          <w:p w14:paraId="54239ECF"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 </w:t>
            </w:r>
          </w:p>
        </w:tc>
      </w:tr>
      <w:tr w:rsidR="005F4516" w:rsidRPr="000C233B" w14:paraId="7945C800" w14:textId="77777777" w:rsidTr="004246DE">
        <w:trPr>
          <w:trHeight w:val="198"/>
        </w:trPr>
        <w:tc>
          <w:tcPr>
            <w:tcW w:w="3834" w:type="dxa"/>
            <w:tcBorders>
              <w:top w:val="nil"/>
              <w:left w:val="nil"/>
              <w:bottom w:val="nil"/>
              <w:right w:val="nil"/>
            </w:tcBorders>
            <w:shd w:val="clear" w:color="auto" w:fill="auto"/>
            <w:noWrap/>
            <w:vAlign w:val="center"/>
            <w:hideMark/>
          </w:tcPr>
          <w:p w14:paraId="3DBD7F63" w14:textId="77777777" w:rsidR="005F4516" w:rsidRPr="004246DE" w:rsidRDefault="005F4516" w:rsidP="005F4516">
            <w:pPr>
              <w:rPr>
                <w:rFonts w:ascii="Arial" w:eastAsia="Times New Roman" w:hAnsi="Arial" w:cs="Arial"/>
                <w:color w:val="000000"/>
                <w:sz w:val="16"/>
                <w:szCs w:val="16"/>
              </w:rPr>
            </w:pPr>
            <w:r w:rsidRPr="004246DE">
              <w:rPr>
                <w:rFonts w:ascii="Arial" w:eastAsia="Times New Roman" w:hAnsi="Arial" w:cs="Arial"/>
                <w:color w:val="000000"/>
                <w:sz w:val="16"/>
                <w:szCs w:val="16"/>
              </w:rPr>
              <w:t>Memo:</w:t>
            </w:r>
          </w:p>
        </w:tc>
        <w:tc>
          <w:tcPr>
            <w:tcW w:w="1100" w:type="dxa"/>
            <w:tcBorders>
              <w:top w:val="nil"/>
              <w:left w:val="nil"/>
              <w:bottom w:val="nil"/>
              <w:right w:val="nil"/>
            </w:tcBorders>
            <w:shd w:val="clear" w:color="auto" w:fill="auto"/>
            <w:noWrap/>
            <w:vAlign w:val="center"/>
            <w:hideMark/>
          </w:tcPr>
          <w:p w14:paraId="29CCD235" w14:textId="77777777" w:rsidR="005F4516" w:rsidRPr="004246DE" w:rsidRDefault="005F4516" w:rsidP="005F4516">
            <w:pPr>
              <w:rPr>
                <w:rFonts w:ascii="Arial" w:eastAsia="Times New Roman" w:hAnsi="Arial" w:cs="Arial"/>
                <w:color w:val="000000"/>
                <w:sz w:val="16"/>
                <w:szCs w:val="16"/>
              </w:rPr>
            </w:pPr>
          </w:p>
        </w:tc>
        <w:tc>
          <w:tcPr>
            <w:tcW w:w="1190" w:type="dxa"/>
            <w:tcBorders>
              <w:top w:val="nil"/>
              <w:left w:val="nil"/>
              <w:bottom w:val="nil"/>
              <w:right w:val="nil"/>
            </w:tcBorders>
            <w:shd w:val="clear" w:color="auto" w:fill="auto"/>
            <w:noWrap/>
            <w:vAlign w:val="center"/>
            <w:hideMark/>
          </w:tcPr>
          <w:p w14:paraId="31A8FB8B" w14:textId="77777777" w:rsidR="005F4516" w:rsidRPr="004246DE" w:rsidRDefault="005F4516" w:rsidP="005F4516">
            <w:pPr>
              <w:jc w:val="right"/>
              <w:rPr>
                <w:rFonts w:ascii="Arial" w:eastAsia="Times New Roman" w:hAnsi="Arial" w:cs="Arial"/>
                <w:sz w:val="16"/>
                <w:szCs w:val="16"/>
              </w:rPr>
            </w:pPr>
          </w:p>
        </w:tc>
        <w:tc>
          <w:tcPr>
            <w:tcW w:w="1262" w:type="dxa"/>
            <w:tcBorders>
              <w:top w:val="nil"/>
              <w:left w:val="nil"/>
              <w:bottom w:val="nil"/>
              <w:right w:val="nil"/>
            </w:tcBorders>
            <w:shd w:val="clear" w:color="auto" w:fill="auto"/>
            <w:noWrap/>
            <w:vAlign w:val="center"/>
            <w:hideMark/>
          </w:tcPr>
          <w:p w14:paraId="3AC6D77E" w14:textId="77777777" w:rsidR="005F4516" w:rsidRPr="004246DE" w:rsidRDefault="005F4516" w:rsidP="005F4516">
            <w:pPr>
              <w:jc w:val="right"/>
              <w:rPr>
                <w:rFonts w:ascii="Arial" w:eastAsia="Times New Roman" w:hAnsi="Arial" w:cs="Arial"/>
                <w:sz w:val="16"/>
                <w:szCs w:val="16"/>
              </w:rPr>
            </w:pPr>
          </w:p>
        </w:tc>
      </w:tr>
      <w:tr w:rsidR="005F4516" w:rsidRPr="000C233B" w14:paraId="05BC49CE" w14:textId="77777777" w:rsidTr="004246DE">
        <w:trPr>
          <w:trHeight w:val="216"/>
        </w:trPr>
        <w:tc>
          <w:tcPr>
            <w:tcW w:w="3834" w:type="dxa"/>
            <w:tcBorders>
              <w:top w:val="nil"/>
              <w:left w:val="nil"/>
              <w:bottom w:val="nil"/>
              <w:right w:val="nil"/>
            </w:tcBorders>
            <w:shd w:val="clear" w:color="000000" w:fill="DBE5F1"/>
            <w:noWrap/>
            <w:vAlign w:val="center"/>
            <w:hideMark/>
          </w:tcPr>
          <w:p w14:paraId="05168FEE" w14:textId="77777777" w:rsidR="005F4516" w:rsidRPr="004246DE" w:rsidRDefault="005F4516" w:rsidP="005F4516">
            <w:pPr>
              <w:rPr>
                <w:rFonts w:ascii="Arial" w:eastAsia="Times New Roman" w:hAnsi="Arial" w:cs="Arial"/>
                <w:color w:val="000000"/>
                <w:sz w:val="16"/>
                <w:szCs w:val="16"/>
              </w:rPr>
            </w:pPr>
            <w:r w:rsidRPr="004246DE">
              <w:rPr>
                <w:rFonts w:ascii="Arial" w:eastAsia="Times New Roman" w:hAnsi="Arial" w:cs="Arial"/>
                <w:color w:val="000000"/>
                <w:sz w:val="16"/>
                <w:szCs w:val="16"/>
              </w:rPr>
              <w:t>Official Reserves (Imports of Goods and Services)</w:t>
            </w:r>
          </w:p>
        </w:tc>
        <w:tc>
          <w:tcPr>
            <w:tcW w:w="1100" w:type="dxa"/>
            <w:tcBorders>
              <w:top w:val="nil"/>
              <w:left w:val="nil"/>
              <w:bottom w:val="nil"/>
              <w:right w:val="nil"/>
            </w:tcBorders>
            <w:shd w:val="clear" w:color="000000" w:fill="DBE5F1"/>
            <w:noWrap/>
            <w:vAlign w:val="center"/>
            <w:hideMark/>
          </w:tcPr>
          <w:p w14:paraId="4D9C4E8A"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4.3</w:t>
            </w:r>
          </w:p>
        </w:tc>
        <w:tc>
          <w:tcPr>
            <w:tcW w:w="1190" w:type="dxa"/>
            <w:tcBorders>
              <w:top w:val="nil"/>
              <w:left w:val="nil"/>
              <w:bottom w:val="nil"/>
              <w:right w:val="nil"/>
            </w:tcBorders>
            <w:shd w:val="clear" w:color="000000" w:fill="DBE5F1"/>
            <w:noWrap/>
            <w:vAlign w:val="center"/>
            <w:hideMark/>
          </w:tcPr>
          <w:p w14:paraId="007DDD01"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3.8</w:t>
            </w:r>
          </w:p>
        </w:tc>
        <w:tc>
          <w:tcPr>
            <w:tcW w:w="1262" w:type="dxa"/>
            <w:tcBorders>
              <w:top w:val="nil"/>
              <w:left w:val="nil"/>
              <w:bottom w:val="nil"/>
              <w:right w:val="nil"/>
            </w:tcBorders>
            <w:shd w:val="clear" w:color="000000" w:fill="DBE5F1"/>
            <w:noWrap/>
            <w:vAlign w:val="center"/>
            <w:hideMark/>
          </w:tcPr>
          <w:p w14:paraId="77940CCF" w14:textId="77777777" w:rsidR="005F4516" w:rsidRPr="004246DE" w:rsidRDefault="005F4516" w:rsidP="005F4516">
            <w:pPr>
              <w:jc w:val="right"/>
              <w:rPr>
                <w:rFonts w:ascii="Arial" w:eastAsia="Times New Roman" w:hAnsi="Arial" w:cs="Arial"/>
                <w:b/>
                <w:bCs/>
                <w:color w:val="000000"/>
                <w:sz w:val="16"/>
                <w:szCs w:val="16"/>
              </w:rPr>
            </w:pPr>
            <w:r w:rsidRPr="004246DE">
              <w:rPr>
                <w:rFonts w:ascii="Arial" w:eastAsia="Times New Roman" w:hAnsi="Arial" w:cs="Arial"/>
                <w:b/>
                <w:bCs/>
                <w:color w:val="000000"/>
                <w:sz w:val="16"/>
                <w:szCs w:val="16"/>
              </w:rPr>
              <w:t>3.1</w:t>
            </w:r>
          </w:p>
        </w:tc>
      </w:tr>
    </w:tbl>
    <w:p w14:paraId="3CD30FE0" w14:textId="6FDF00D1" w:rsidR="003C40AE" w:rsidRDefault="003C40AE" w:rsidP="003C40AE">
      <w:pPr>
        <w:pStyle w:val="BodyText"/>
        <w:rPr>
          <w:b/>
          <w:color w:val="808080"/>
          <w:sz w:val="16"/>
        </w:rPr>
      </w:pPr>
      <w:r w:rsidRPr="003C40AE">
        <w:rPr>
          <w:b/>
          <w:color w:val="808080"/>
          <w:sz w:val="16"/>
        </w:rPr>
        <w:t>Source: Central Bank of Sri Lanka, staff calculations</w:t>
      </w:r>
    </w:p>
    <w:p w14:paraId="592F5712" w14:textId="6BF27AD5" w:rsidR="002C1D11" w:rsidRDefault="002C1D11" w:rsidP="003C40AE">
      <w:pPr>
        <w:pStyle w:val="BodyText"/>
        <w:rPr>
          <w:b/>
          <w:color w:val="808080"/>
          <w:sz w:val="16"/>
        </w:rPr>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210184" w:rsidRPr="000A41D0" w14:paraId="6F124BE9" w14:textId="77777777" w:rsidTr="00BB2CD3">
        <w:tc>
          <w:tcPr>
            <w:tcW w:w="9360" w:type="dxa"/>
          </w:tcPr>
          <w:p w14:paraId="2FCD390C" w14:textId="055C2770" w:rsidR="00210184" w:rsidRPr="00F91BDE" w:rsidRDefault="00210184" w:rsidP="00BB2CD3">
            <w:pPr>
              <w:pStyle w:val="BodyText"/>
              <w:ind w:left="-18"/>
              <w:jc w:val="both"/>
              <w:rPr>
                <w:i/>
                <w:color w:val="0336A9"/>
                <w:sz w:val="24"/>
                <w:szCs w:val="24"/>
              </w:rPr>
            </w:pPr>
            <w:r>
              <w:rPr>
                <w:b/>
                <w:i/>
                <w:szCs w:val="22"/>
              </w:rPr>
              <w:t>The monetary policy was tightened belatedly to curb rapid credit growth and rising core inflation.</w:t>
            </w:r>
          </w:p>
        </w:tc>
      </w:tr>
    </w:tbl>
    <w:p w14:paraId="2BF71F95" w14:textId="77777777" w:rsidR="00210184" w:rsidRPr="000A41D0" w:rsidRDefault="00210184" w:rsidP="00210184">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10184" w:rsidRPr="000A41D0" w14:paraId="711926B5" w14:textId="77777777" w:rsidTr="00BB2CD3">
        <w:tc>
          <w:tcPr>
            <w:tcW w:w="2020" w:type="dxa"/>
          </w:tcPr>
          <w:p w14:paraId="42836D5F" w14:textId="30231014" w:rsidR="00210184" w:rsidRPr="00BA50DD" w:rsidRDefault="0024619D" w:rsidP="00830382">
            <w:pPr>
              <w:pStyle w:val="BodyText"/>
              <w:rPr>
                <w:b/>
              </w:rPr>
            </w:pPr>
            <w:r w:rsidRPr="0024619D">
              <w:rPr>
                <w:b/>
              </w:rPr>
              <w:t>Amid high monetary growth, the central bank tightened policy in 2016</w:t>
            </w:r>
            <w:r w:rsidR="00E33531">
              <w:rPr>
                <w:b/>
              </w:rPr>
              <w:t xml:space="preserve"> and 2017</w:t>
            </w:r>
            <w:r w:rsidRPr="0024619D">
              <w:rPr>
                <w:b/>
              </w:rPr>
              <w:t>.</w:t>
            </w:r>
          </w:p>
        </w:tc>
        <w:tc>
          <w:tcPr>
            <w:tcW w:w="145" w:type="dxa"/>
          </w:tcPr>
          <w:p w14:paraId="4707B1F9" w14:textId="77777777" w:rsidR="00210184" w:rsidRPr="000A41D0" w:rsidRDefault="00210184" w:rsidP="00BB2CD3">
            <w:pPr>
              <w:pStyle w:val="BodyText"/>
            </w:pPr>
          </w:p>
        </w:tc>
        <w:tc>
          <w:tcPr>
            <w:tcW w:w="7221" w:type="dxa"/>
          </w:tcPr>
          <w:p w14:paraId="0D437CD8" w14:textId="40D9AA6A" w:rsidR="00210184" w:rsidRPr="000A41D0" w:rsidRDefault="00195AE6" w:rsidP="008B65D8">
            <w:pPr>
              <w:jc w:val="both"/>
            </w:pPr>
            <w:r>
              <w:rPr>
                <w:rFonts w:eastAsia="Times New Roman" w:cs="Arial"/>
                <w:kern w:val="28"/>
                <w:sz w:val="22"/>
                <w:szCs w:val="20"/>
              </w:rPr>
              <w:t>The central bank increased the Statutory Reserve Ratio (SRR) in January and followed it up with two policy rate hikes of 50 basis points each in 2016 in order to curb high private credit growth</w:t>
            </w:r>
            <w:r w:rsidR="00574025">
              <w:rPr>
                <w:rFonts w:eastAsia="Times New Roman" w:cs="Arial"/>
                <w:kern w:val="28"/>
                <w:sz w:val="22"/>
                <w:szCs w:val="20"/>
              </w:rPr>
              <w:t xml:space="preserve"> and rising inflation</w:t>
            </w:r>
            <w:r>
              <w:rPr>
                <w:rFonts w:eastAsia="Times New Roman" w:cs="Arial"/>
                <w:kern w:val="28"/>
                <w:sz w:val="22"/>
                <w:szCs w:val="20"/>
              </w:rPr>
              <w:t xml:space="preserve">. </w:t>
            </w:r>
            <w:r w:rsidR="0024619D">
              <w:rPr>
                <w:rFonts w:eastAsia="Times New Roman" w:cs="Arial"/>
                <w:kern w:val="28"/>
                <w:sz w:val="22"/>
                <w:szCs w:val="20"/>
              </w:rPr>
              <w:t xml:space="preserve">Notwithstanding </w:t>
            </w:r>
            <w:r>
              <w:rPr>
                <w:rFonts w:eastAsia="Times New Roman" w:cs="Arial"/>
                <w:kern w:val="28"/>
                <w:sz w:val="22"/>
                <w:szCs w:val="20"/>
              </w:rPr>
              <w:t>the resultant overall increase in market interest rates</w:t>
            </w:r>
            <w:r w:rsidR="0024619D">
              <w:rPr>
                <w:rFonts w:eastAsia="Times New Roman" w:cs="Arial"/>
                <w:kern w:val="28"/>
                <w:sz w:val="22"/>
                <w:szCs w:val="20"/>
              </w:rPr>
              <w:t>,</w:t>
            </w:r>
            <w:r>
              <w:rPr>
                <w:rStyle w:val="FootnoteReference"/>
                <w:rFonts w:eastAsia="Times New Roman" w:cs="Arial"/>
                <w:kern w:val="28"/>
                <w:sz w:val="22"/>
                <w:szCs w:val="20"/>
              </w:rPr>
              <w:footnoteReference w:id="22"/>
            </w:r>
            <w:r w:rsidR="000A5B10">
              <w:rPr>
                <w:rFonts w:eastAsia="Times New Roman" w:cs="Arial"/>
                <w:kern w:val="28"/>
                <w:sz w:val="22"/>
                <w:szCs w:val="20"/>
              </w:rPr>
              <w:t xml:space="preserve"> </w:t>
            </w:r>
            <w:r w:rsidR="0024619D">
              <w:rPr>
                <w:rFonts w:eastAsia="Times New Roman" w:cs="Arial"/>
                <w:kern w:val="28"/>
                <w:sz w:val="22"/>
                <w:szCs w:val="20"/>
              </w:rPr>
              <w:t xml:space="preserve">private credit granted by the banking sector recorded </w:t>
            </w:r>
            <w:r w:rsidR="00E53937">
              <w:rPr>
                <w:rFonts w:eastAsia="Times New Roman" w:cs="Arial"/>
                <w:kern w:val="28"/>
                <w:sz w:val="22"/>
                <w:szCs w:val="20"/>
              </w:rPr>
              <w:t>a 21.9 percent year-on-year growth</w:t>
            </w:r>
            <w:r w:rsidR="0024619D">
              <w:rPr>
                <w:rFonts w:eastAsia="Times New Roman" w:cs="Arial"/>
                <w:kern w:val="28"/>
                <w:sz w:val="22"/>
                <w:szCs w:val="20"/>
              </w:rPr>
              <w:t xml:space="preserve"> on account of the expansion of loan book in the trade, financial and other personal service categories</w:t>
            </w:r>
            <w:r w:rsidR="00E53937">
              <w:rPr>
                <w:rFonts w:eastAsia="Times New Roman" w:cs="Arial"/>
                <w:kern w:val="28"/>
                <w:sz w:val="22"/>
                <w:szCs w:val="20"/>
              </w:rPr>
              <w:t xml:space="preserve"> and construction, consistent with the large contribution to gross fixed capital formation to GDP growth in 2016.</w:t>
            </w:r>
            <w:r>
              <w:rPr>
                <w:rStyle w:val="FootnoteReference"/>
                <w:rFonts w:eastAsia="Times New Roman" w:cs="Arial"/>
                <w:kern w:val="28"/>
                <w:sz w:val="22"/>
                <w:szCs w:val="20"/>
              </w:rPr>
              <w:footnoteReference w:id="23"/>
            </w:r>
            <w:r w:rsidR="000A5B10">
              <w:rPr>
                <w:rFonts w:eastAsia="Times New Roman" w:cs="Arial"/>
                <w:kern w:val="28"/>
                <w:sz w:val="22"/>
                <w:szCs w:val="20"/>
              </w:rPr>
              <w:t xml:space="preserve"> </w:t>
            </w:r>
            <w:r w:rsidR="00E53937">
              <w:rPr>
                <w:rFonts w:eastAsia="Times New Roman" w:cs="Arial"/>
                <w:kern w:val="28"/>
                <w:sz w:val="22"/>
                <w:szCs w:val="20"/>
              </w:rPr>
              <w:t>T</w:t>
            </w:r>
            <w:r w:rsidR="004B16ED">
              <w:rPr>
                <w:rFonts w:eastAsia="Times New Roman" w:cs="Arial"/>
                <w:kern w:val="28"/>
                <w:sz w:val="22"/>
                <w:szCs w:val="20"/>
              </w:rPr>
              <w:t>he central bank increased the policy rates by 25 basis points in March 2017</w:t>
            </w:r>
            <w:r>
              <w:rPr>
                <w:rFonts w:eastAsia="Times New Roman" w:cs="Arial"/>
                <w:kern w:val="28"/>
                <w:sz w:val="22"/>
                <w:szCs w:val="20"/>
              </w:rPr>
              <w:t xml:space="preserve"> as a precautionary measure to check inflationary pressures</w:t>
            </w:r>
            <w:r w:rsidR="004B16ED">
              <w:rPr>
                <w:rFonts w:eastAsia="Times New Roman" w:cs="Arial"/>
                <w:kern w:val="28"/>
                <w:sz w:val="22"/>
                <w:szCs w:val="20"/>
              </w:rPr>
              <w:t xml:space="preserve">. </w:t>
            </w:r>
            <w:r w:rsidR="00E53937">
              <w:rPr>
                <w:rFonts w:eastAsia="Times New Roman" w:cs="Arial"/>
                <w:kern w:val="28"/>
                <w:sz w:val="22"/>
                <w:szCs w:val="20"/>
              </w:rPr>
              <w:t>Mirroring the high credit growth</w:t>
            </w:r>
            <w:r w:rsidR="004B16ED">
              <w:rPr>
                <w:rFonts w:eastAsia="Times New Roman" w:cs="Arial"/>
                <w:kern w:val="28"/>
                <w:sz w:val="22"/>
                <w:szCs w:val="20"/>
              </w:rPr>
              <w:t>,</w:t>
            </w:r>
            <w:r w:rsidR="00FE48E4">
              <w:rPr>
                <w:rFonts w:eastAsia="Times New Roman" w:cs="Arial"/>
                <w:kern w:val="28"/>
                <w:sz w:val="22"/>
                <w:szCs w:val="20"/>
              </w:rPr>
              <w:t xml:space="preserve"> </w:t>
            </w:r>
            <w:r w:rsidR="004B16ED">
              <w:rPr>
                <w:rFonts w:eastAsia="Times New Roman" w:cs="Arial"/>
                <w:kern w:val="28"/>
                <w:sz w:val="22"/>
                <w:szCs w:val="20"/>
              </w:rPr>
              <w:t xml:space="preserve">reserve money </w:t>
            </w:r>
            <w:r w:rsidR="00E53937">
              <w:rPr>
                <w:rFonts w:eastAsia="Times New Roman" w:cs="Arial"/>
                <w:kern w:val="28"/>
                <w:sz w:val="22"/>
                <w:szCs w:val="20"/>
              </w:rPr>
              <w:t xml:space="preserve">also </w:t>
            </w:r>
            <w:r w:rsidR="004B16ED">
              <w:rPr>
                <w:rFonts w:eastAsia="Times New Roman" w:cs="Arial"/>
                <w:kern w:val="28"/>
                <w:sz w:val="22"/>
                <w:szCs w:val="20"/>
              </w:rPr>
              <w:t>grew rapidly with increased central bank financing to the government to reach a record high annual average growth rate of 25 percent for the year</w:t>
            </w:r>
            <w:r w:rsidR="00FE48E4">
              <w:rPr>
                <w:rFonts w:eastAsia="Times New Roman" w:cs="Arial"/>
                <w:kern w:val="28"/>
                <w:sz w:val="22"/>
                <w:szCs w:val="20"/>
              </w:rPr>
              <w:t xml:space="preserve"> 2016</w:t>
            </w:r>
            <w:r w:rsidR="00267D7E">
              <w:rPr>
                <w:rFonts w:eastAsia="Times New Roman" w:cs="Arial"/>
                <w:kern w:val="28"/>
                <w:sz w:val="22"/>
                <w:szCs w:val="20"/>
              </w:rPr>
              <w:t xml:space="preserve"> while broad money (M2b) posted a growth of 18 percent</w:t>
            </w:r>
            <w:r w:rsidR="008B65D8">
              <w:rPr>
                <w:rFonts w:eastAsia="Times New Roman" w:cs="Arial"/>
                <w:kern w:val="28"/>
                <w:sz w:val="22"/>
                <w:szCs w:val="20"/>
              </w:rPr>
              <w:t xml:space="preserve"> (Figure 14)</w:t>
            </w:r>
            <w:r w:rsidR="004B16ED">
              <w:rPr>
                <w:rFonts w:eastAsia="Times New Roman" w:cs="Arial"/>
                <w:kern w:val="28"/>
                <w:sz w:val="22"/>
                <w:szCs w:val="20"/>
              </w:rPr>
              <w:t>.</w:t>
            </w:r>
            <w:r w:rsidR="008B65D8">
              <w:rPr>
                <w:rFonts w:eastAsia="Times New Roman" w:cs="Arial"/>
                <w:kern w:val="28"/>
                <w:sz w:val="22"/>
                <w:szCs w:val="20"/>
              </w:rPr>
              <w:t xml:space="preserve"> </w:t>
            </w:r>
            <w:r w:rsidR="00267D7E">
              <w:rPr>
                <w:rFonts w:eastAsia="Times New Roman" w:cs="Arial"/>
                <w:kern w:val="28"/>
                <w:sz w:val="22"/>
                <w:szCs w:val="20"/>
              </w:rPr>
              <w:t>Despite high growth in monetary aggregates, market experienced occasional liquidity short</w:t>
            </w:r>
            <w:r w:rsidR="004C6A94">
              <w:rPr>
                <w:rFonts w:eastAsia="Times New Roman" w:cs="Arial"/>
                <w:kern w:val="28"/>
                <w:sz w:val="22"/>
                <w:szCs w:val="20"/>
              </w:rPr>
              <w:t>ages, pushing up interest rates.</w:t>
            </w:r>
          </w:p>
        </w:tc>
      </w:tr>
    </w:tbl>
    <w:p w14:paraId="2212A519" w14:textId="21B02ED5" w:rsidR="00210184" w:rsidRDefault="00210184" w:rsidP="00210184">
      <w:pPr>
        <w:pStyle w:val="BodyText"/>
      </w:pPr>
    </w:p>
    <w:p w14:paraId="7F0156CD" w14:textId="30A03145" w:rsidR="0076310E" w:rsidRDefault="0076310E" w:rsidP="00210184">
      <w:pPr>
        <w:pStyle w:val="BodyText"/>
      </w:pPr>
    </w:p>
    <w:p w14:paraId="0C8EFE82" w14:textId="7568CDBC" w:rsidR="0076310E" w:rsidRDefault="0076310E" w:rsidP="00210184">
      <w:pPr>
        <w:pStyle w:val="BodyText"/>
      </w:pPr>
    </w:p>
    <w:p w14:paraId="50A998D6" w14:textId="77777777" w:rsidR="0076310E" w:rsidRDefault="0076310E" w:rsidP="00210184">
      <w:pPr>
        <w:pStyle w:val="BodyText"/>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210184" w:rsidRPr="000A41D0" w14:paraId="022B633A" w14:textId="77777777" w:rsidTr="00BB2CD3">
        <w:tc>
          <w:tcPr>
            <w:tcW w:w="9360" w:type="dxa"/>
          </w:tcPr>
          <w:p w14:paraId="40546ECC" w14:textId="77777777" w:rsidR="00210184" w:rsidRPr="00F91BDE" w:rsidRDefault="00210184" w:rsidP="00BB2CD3">
            <w:pPr>
              <w:pStyle w:val="BodyText"/>
              <w:ind w:left="-18"/>
              <w:jc w:val="both"/>
              <w:rPr>
                <w:i/>
                <w:color w:val="0336A9"/>
                <w:sz w:val="24"/>
                <w:szCs w:val="24"/>
              </w:rPr>
            </w:pPr>
            <w:r w:rsidRPr="00940387">
              <w:rPr>
                <w:b/>
                <w:i/>
                <w:szCs w:val="22"/>
              </w:rPr>
              <w:lastRenderedPageBreak/>
              <w:t>Listed equity returns were subdued due to political uncertainty and decelerating net foreign inflows; banking sector remained broadly stable</w:t>
            </w:r>
          </w:p>
        </w:tc>
      </w:tr>
    </w:tbl>
    <w:p w14:paraId="558A56C0" w14:textId="77777777" w:rsidR="00210184" w:rsidRDefault="00210184" w:rsidP="00210184">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10184" w:rsidRPr="007A0CC1" w14:paraId="0ED984D1" w14:textId="77777777" w:rsidTr="00BB2CD3">
        <w:tc>
          <w:tcPr>
            <w:tcW w:w="2020" w:type="dxa"/>
          </w:tcPr>
          <w:p w14:paraId="372EE3D0" w14:textId="0AF64CE7" w:rsidR="00210184" w:rsidRPr="007A0CC1" w:rsidRDefault="00210184" w:rsidP="00DB0ED2">
            <w:pPr>
              <w:pStyle w:val="BodyText"/>
              <w:rPr>
                <w:b/>
              </w:rPr>
            </w:pPr>
            <w:r>
              <w:rPr>
                <w:b/>
              </w:rPr>
              <w:t xml:space="preserve">Listed equity market </w:t>
            </w:r>
            <w:r w:rsidR="00DB0ED2">
              <w:rPr>
                <w:b/>
              </w:rPr>
              <w:t>saw lackluster performance.</w:t>
            </w:r>
          </w:p>
        </w:tc>
        <w:tc>
          <w:tcPr>
            <w:tcW w:w="145" w:type="dxa"/>
          </w:tcPr>
          <w:p w14:paraId="1CE667CC" w14:textId="77777777" w:rsidR="00210184" w:rsidRPr="007A0CC1" w:rsidRDefault="00210184" w:rsidP="00BB2CD3">
            <w:pPr>
              <w:pStyle w:val="BodyText"/>
            </w:pPr>
          </w:p>
        </w:tc>
        <w:tc>
          <w:tcPr>
            <w:tcW w:w="7221" w:type="dxa"/>
          </w:tcPr>
          <w:p w14:paraId="4E28D0A7" w14:textId="7EA733ED" w:rsidR="00210184" w:rsidRPr="007A0CC1" w:rsidRDefault="00382AB9" w:rsidP="00672F1C">
            <w:pPr>
              <w:pStyle w:val="BodyText"/>
              <w:jc w:val="both"/>
            </w:pPr>
            <w:r>
              <w:t xml:space="preserve">Rising domestic interest rates shifting capital to fixed income securities weighed on the results of Colombo Stock Exchange (CSE). </w:t>
            </w:r>
            <w:r w:rsidR="00E53937">
              <w:t>T</w:t>
            </w:r>
            <w:r>
              <w:t xml:space="preserve">he benchmark All Share Price Index (ASPI) declined </w:t>
            </w:r>
            <w:r w:rsidR="00672F1C">
              <w:t xml:space="preserve">for a second consecutive year </w:t>
            </w:r>
            <w:r>
              <w:t xml:space="preserve">by 9.7 percent in 2016 following </w:t>
            </w:r>
            <w:r w:rsidR="00672F1C">
              <w:t>a</w:t>
            </w:r>
            <w:r>
              <w:t xml:space="preserve"> 5.5 percent </w:t>
            </w:r>
            <w:r w:rsidR="00672F1C">
              <w:t xml:space="preserve">decline </w:t>
            </w:r>
            <w:r>
              <w:t xml:space="preserve">in 2015. Market capitalization also </w:t>
            </w:r>
            <w:r w:rsidR="00672F1C">
              <w:t>declined</w:t>
            </w:r>
            <w:r>
              <w:t xml:space="preserve"> as a share of GDP reflecting the trend of overall index performance.</w:t>
            </w:r>
            <w:r>
              <w:rPr>
                <w:rStyle w:val="FootnoteReference"/>
              </w:rPr>
              <w:footnoteReference w:id="24"/>
            </w:r>
            <w:r>
              <w:t xml:space="preserve"> Although dividend yield increased thanks </w:t>
            </w:r>
            <w:r w:rsidR="005B77EA">
              <w:t xml:space="preserve">to the decrease in </w:t>
            </w:r>
            <w:r w:rsidR="00672F1C">
              <w:t xml:space="preserve">stock </w:t>
            </w:r>
            <w:r w:rsidR="005B77EA">
              <w:t>price</w:t>
            </w:r>
            <w:r w:rsidR="00672F1C">
              <w:t>s</w:t>
            </w:r>
            <w:r w:rsidR="005B77EA">
              <w:t xml:space="preserve">, </w:t>
            </w:r>
            <w:r w:rsidR="005B77EA" w:rsidRPr="004E3A54">
              <w:t>Price-Earni</w:t>
            </w:r>
            <w:r w:rsidR="005B77EA">
              <w:t>ngs ratio (PER) decreased by about 30 percent during the year 2016. However, some limited upward momentum of the indices was observed in the first quarter of 2017.</w:t>
            </w:r>
          </w:p>
        </w:tc>
      </w:tr>
    </w:tbl>
    <w:p w14:paraId="49C8F9DA" w14:textId="77777777" w:rsidR="00210184" w:rsidRDefault="00210184" w:rsidP="00210184">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210184" w:rsidRPr="007A0CC1" w14:paraId="69E56900" w14:textId="77777777" w:rsidTr="00BB2CD3">
        <w:tc>
          <w:tcPr>
            <w:tcW w:w="2020" w:type="dxa"/>
          </w:tcPr>
          <w:p w14:paraId="3E25F550" w14:textId="29F29898" w:rsidR="00210184" w:rsidRPr="007A0CC1" w:rsidRDefault="00210184" w:rsidP="005B77EA">
            <w:pPr>
              <w:pStyle w:val="BodyText"/>
              <w:rPr>
                <w:b/>
              </w:rPr>
            </w:pPr>
            <w:r w:rsidRPr="004E3A54">
              <w:rPr>
                <w:b/>
              </w:rPr>
              <w:t xml:space="preserve">The banking sector </w:t>
            </w:r>
            <w:r>
              <w:rPr>
                <w:b/>
              </w:rPr>
              <w:t xml:space="preserve">continued to </w:t>
            </w:r>
            <w:r w:rsidR="005B77EA">
              <w:rPr>
                <w:b/>
              </w:rPr>
              <w:t>remain</w:t>
            </w:r>
            <w:r w:rsidRPr="004E3A54">
              <w:rPr>
                <w:b/>
              </w:rPr>
              <w:t xml:space="preserve"> stable.</w:t>
            </w:r>
          </w:p>
        </w:tc>
        <w:tc>
          <w:tcPr>
            <w:tcW w:w="145" w:type="dxa"/>
          </w:tcPr>
          <w:p w14:paraId="5140E517" w14:textId="77777777" w:rsidR="00210184" w:rsidRPr="007A0CC1" w:rsidRDefault="00210184" w:rsidP="00BB2CD3">
            <w:pPr>
              <w:pStyle w:val="BodyText"/>
            </w:pPr>
          </w:p>
        </w:tc>
        <w:tc>
          <w:tcPr>
            <w:tcW w:w="7221" w:type="dxa"/>
          </w:tcPr>
          <w:p w14:paraId="41A173D4" w14:textId="165A8B52" w:rsidR="00210184" w:rsidRPr="007A0CC1" w:rsidRDefault="00210184" w:rsidP="008B65D8">
            <w:pPr>
              <w:jc w:val="both"/>
            </w:pPr>
            <w:r w:rsidRPr="004E3A54">
              <w:rPr>
                <w:rFonts w:eastAsia="Times New Roman" w:cs="Arial"/>
                <w:kern w:val="28"/>
                <w:sz w:val="22"/>
                <w:szCs w:val="20"/>
              </w:rPr>
              <w:t xml:space="preserve">The </w:t>
            </w:r>
            <w:r>
              <w:rPr>
                <w:rFonts w:eastAsia="Times New Roman" w:cs="Arial"/>
                <w:kern w:val="28"/>
                <w:sz w:val="22"/>
                <w:szCs w:val="20"/>
              </w:rPr>
              <w:t xml:space="preserve">banking </w:t>
            </w:r>
            <w:r w:rsidRPr="004E3A54">
              <w:rPr>
                <w:rFonts w:eastAsia="Times New Roman" w:cs="Arial"/>
                <w:kern w:val="28"/>
                <w:sz w:val="22"/>
                <w:szCs w:val="20"/>
              </w:rPr>
              <w:t xml:space="preserve">sector remained well capitalized and adequately liquid. The regulatory Capital Adequacy Ratio (CAR) requirement under Basel II was maintained well above the required level of 10 percent and the Statutory Liquid Asset Ratio was also maintained well above the minimum statutory requirement of 20 percent during the </w:t>
            </w:r>
            <w:r>
              <w:rPr>
                <w:rFonts w:eastAsia="Times New Roman" w:cs="Arial"/>
                <w:kern w:val="28"/>
                <w:sz w:val="22"/>
                <w:szCs w:val="20"/>
              </w:rPr>
              <w:t>year</w:t>
            </w:r>
            <w:r w:rsidRPr="004E3A54">
              <w:rPr>
                <w:rFonts w:eastAsia="Times New Roman" w:cs="Arial"/>
                <w:kern w:val="28"/>
                <w:sz w:val="22"/>
                <w:szCs w:val="20"/>
              </w:rPr>
              <w:t xml:space="preserve"> 201</w:t>
            </w:r>
            <w:r w:rsidR="009F4790">
              <w:rPr>
                <w:rFonts w:eastAsia="Times New Roman" w:cs="Arial"/>
                <w:kern w:val="28"/>
                <w:sz w:val="22"/>
                <w:szCs w:val="20"/>
              </w:rPr>
              <w:t>6</w:t>
            </w:r>
            <w:r w:rsidRPr="004E3A54">
              <w:rPr>
                <w:rFonts w:eastAsia="Times New Roman" w:cs="Arial"/>
                <w:kern w:val="28"/>
                <w:sz w:val="22"/>
                <w:szCs w:val="20"/>
              </w:rPr>
              <w:t xml:space="preserve">. </w:t>
            </w:r>
            <w:r w:rsidR="009F4790">
              <w:rPr>
                <w:rFonts w:eastAsia="Times New Roman" w:cs="Arial"/>
                <w:kern w:val="28"/>
                <w:sz w:val="22"/>
                <w:szCs w:val="20"/>
              </w:rPr>
              <w:t>T</w:t>
            </w:r>
            <w:r w:rsidR="009F4790" w:rsidRPr="009F4790">
              <w:rPr>
                <w:rFonts w:eastAsia="Times New Roman" w:cs="Arial"/>
                <w:kern w:val="28"/>
                <w:sz w:val="22"/>
                <w:szCs w:val="20"/>
              </w:rPr>
              <w:t xml:space="preserve">he expansion </w:t>
            </w:r>
            <w:r w:rsidR="009F4790">
              <w:rPr>
                <w:rFonts w:eastAsia="Times New Roman" w:cs="Arial"/>
                <w:kern w:val="28"/>
                <w:sz w:val="22"/>
                <w:szCs w:val="20"/>
              </w:rPr>
              <w:t xml:space="preserve">of the loan book was supported by the growth in deposits in a high interest environment. Faster growth in lending rates compared to deposit rates led to increased net </w:t>
            </w:r>
            <w:r w:rsidR="009F4790" w:rsidRPr="009F4790">
              <w:rPr>
                <w:rFonts w:eastAsia="Times New Roman" w:cs="Arial"/>
                <w:kern w:val="28"/>
                <w:sz w:val="22"/>
                <w:szCs w:val="20"/>
              </w:rPr>
              <w:t xml:space="preserve">interest income </w:t>
            </w:r>
            <w:r w:rsidR="009F4790">
              <w:rPr>
                <w:rFonts w:eastAsia="Times New Roman" w:cs="Arial"/>
                <w:kern w:val="28"/>
                <w:sz w:val="22"/>
                <w:szCs w:val="20"/>
              </w:rPr>
              <w:t xml:space="preserve">resulting improved </w:t>
            </w:r>
            <w:r w:rsidR="009F4790" w:rsidRPr="009F4790">
              <w:rPr>
                <w:rFonts w:eastAsia="Times New Roman" w:cs="Arial"/>
                <w:kern w:val="28"/>
                <w:sz w:val="22"/>
                <w:szCs w:val="20"/>
              </w:rPr>
              <w:t>Return on Assets (ROA) and Return on Equity</w:t>
            </w:r>
            <w:r w:rsidR="009F4790">
              <w:rPr>
                <w:rFonts w:eastAsia="Times New Roman" w:cs="Arial"/>
                <w:kern w:val="28"/>
                <w:sz w:val="22"/>
                <w:szCs w:val="20"/>
              </w:rPr>
              <w:t xml:space="preserve"> (ROE) for the banking sector. </w:t>
            </w:r>
            <w:r w:rsidR="009F4790" w:rsidRPr="009F4790">
              <w:rPr>
                <w:rFonts w:eastAsia="Times New Roman" w:cs="Arial"/>
                <w:kern w:val="28"/>
                <w:sz w:val="22"/>
                <w:szCs w:val="20"/>
              </w:rPr>
              <w:t>Non-Performing Loan (NPL) ratio recorded its</w:t>
            </w:r>
            <w:r w:rsidR="009F4790">
              <w:rPr>
                <w:rFonts w:eastAsia="Times New Roman" w:cs="Arial"/>
                <w:kern w:val="28"/>
                <w:sz w:val="22"/>
                <w:szCs w:val="20"/>
              </w:rPr>
              <w:t xml:space="preserve"> </w:t>
            </w:r>
            <w:r w:rsidR="009F4790" w:rsidRPr="009F4790">
              <w:rPr>
                <w:rFonts w:eastAsia="Times New Roman" w:cs="Arial"/>
                <w:kern w:val="28"/>
                <w:sz w:val="22"/>
                <w:szCs w:val="20"/>
              </w:rPr>
              <w:t>lowest level for the last two decades</w:t>
            </w:r>
            <w:r w:rsidR="0024257F">
              <w:rPr>
                <w:rFonts w:eastAsia="Times New Roman" w:cs="Arial"/>
                <w:kern w:val="28"/>
                <w:sz w:val="22"/>
                <w:szCs w:val="20"/>
              </w:rPr>
              <w:t xml:space="preserve"> thanks to fast credit growth and aggressive credit recovery</w:t>
            </w:r>
            <w:r w:rsidR="005A584D">
              <w:rPr>
                <w:rFonts w:eastAsia="Times New Roman" w:cs="Arial"/>
                <w:kern w:val="28"/>
                <w:sz w:val="22"/>
                <w:szCs w:val="20"/>
              </w:rPr>
              <w:t xml:space="preserve">. However, </w:t>
            </w:r>
            <w:r w:rsidR="00D36171">
              <w:rPr>
                <w:rFonts w:eastAsia="Times New Roman" w:cs="Arial"/>
                <w:kern w:val="28"/>
                <w:sz w:val="22"/>
                <w:szCs w:val="20"/>
              </w:rPr>
              <w:t xml:space="preserve">NPL ratio could be elevated in 2017 when the pace of credit growth decelerates following two years of rapid credit growth. Moreover, </w:t>
            </w:r>
            <w:r w:rsidR="009F4790">
              <w:rPr>
                <w:rFonts w:eastAsia="Times New Roman" w:cs="Arial"/>
                <w:kern w:val="28"/>
                <w:sz w:val="22"/>
                <w:szCs w:val="20"/>
              </w:rPr>
              <w:t>increasing leverage</w:t>
            </w:r>
            <w:r w:rsidR="005A584D">
              <w:rPr>
                <w:rFonts w:eastAsia="Times New Roman" w:cs="Arial"/>
                <w:kern w:val="28"/>
                <w:sz w:val="22"/>
                <w:szCs w:val="20"/>
              </w:rPr>
              <w:t xml:space="preserve">, shown </w:t>
            </w:r>
            <w:r w:rsidR="00486F5F">
              <w:rPr>
                <w:rFonts w:eastAsia="Times New Roman" w:cs="Arial"/>
                <w:kern w:val="28"/>
                <w:sz w:val="22"/>
                <w:szCs w:val="20"/>
              </w:rPr>
              <w:t xml:space="preserve">by </w:t>
            </w:r>
            <w:r w:rsidR="005A584D">
              <w:rPr>
                <w:rFonts w:eastAsia="Times New Roman" w:cs="Arial"/>
                <w:kern w:val="28"/>
                <w:sz w:val="22"/>
                <w:szCs w:val="20"/>
              </w:rPr>
              <w:t xml:space="preserve">the strong </w:t>
            </w:r>
            <w:r w:rsidR="00486F5F">
              <w:rPr>
                <w:rFonts w:eastAsia="Times New Roman" w:cs="Arial"/>
                <w:kern w:val="28"/>
                <w:sz w:val="22"/>
                <w:szCs w:val="20"/>
              </w:rPr>
              <w:t xml:space="preserve">increase </w:t>
            </w:r>
            <w:r w:rsidR="005A584D">
              <w:rPr>
                <w:rFonts w:eastAsia="Times New Roman" w:cs="Arial"/>
                <w:kern w:val="28"/>
                <w:sz w:val="22"/>
                <w:szCs w:val="20"/>
              </w:rPr>
              <w:t xml:space="preserve">in credit relative to the size of the sector, </w:t>
            </w:r>
            <w:r w:rsidR="00672F1C">
              <w:rPr>
                <w:rFonts w:eastAsia="Times New Roman" w:cs="Arial"/>
                <w:kern w:val="28"/>
                <w:sz w:val="22"/>
                <w:szCs w:val="20"/>
              </w:rPr>
              <w:t>such as construction</w:t>
            </w:r>
            <w:r w:rsidR="005A584D">
              <w:rPr>
                <w:rFonts w:eastAsia="Times New Roman" w:cs="Arial"/>
                <w:kern w:val="28"/>
                <w:sz w:val="22"/>
                <w:szCs w:val="20"/>
              </w:rPr>
              <w:t>,</w:t>
            </w:r>
            <w:r w:rsidR="0024257F">
              <w:rPr>
                <w:rFonts w:eastAsia="Times New Roman" w:cs="Arial"/>
                <w:kern w:val="28"/>
                <w:sz w:val="22"/>
                <w:szCs w:val="20"/>
              </w:rPr>
              <w:t xml:space="preserve"> </w:t>
            </w:r>
            <w:r w:rsidR="00D36171">
              <w:rPr>
                <w:rFonts w:eastAsia="Times New Roman" w:cs="Arial"/>
                <w:kern w:val="28"/>
                <w:sz w:val="22"/>
                <w:szCs w:val="20"/>
              </w:rPr>
              <w:t xml:space="preserve">tourism and financial business, </w:t>
            </w:r>
            <w:r w:rsidR="0024257F">
              <w:rPr>
                <w:rFonts w:eastAsia="Times New Roman" w:cs="Arial"/>
                <w:kern w:val="28"/>
                <w:sz w:val="22"/>
                <w:szCs w:val="20"/>
              </w:rPr>
              <w:t>warrants attention</w:t>
            </w:r>
            <w:r w:rsidR="00E33531">
              <w:rPr>
                <w:rFonts w:eastAsia="Times New Roman" w:cs="Arial"/>
                <w:kern w:val="28"/>
                <w:sz w:val="22"/>
                <w:szCs w:val="20"/>
              </w:rPr>
              <w:t xml:space="preserve"> (</w:t>
            </w:r>
            <w:r w:rsidR="00486F5F">
              <w:rPr>
                <w:rFonts w:eastAsia="Times New Roman" w:cs="Arial"/>
                <w:kern w:val="28"/>
                <w:sz w:val="22"/>
                <w:szCs w:val="20"/>
              </w:rPr>
              <w:t>Figure</w:t>
            </w:r>
            <w:r w:rsidR="00E33531">
              <w:rPr>
                <w:rFonts w:eastAsia="Times New Roman" w:cs="Arial"/>
                <w:kern w:val="28"/>
                <w:sz w:val="22"/>
                <w:szCs w:val="20"/>
              </w:rPr>
              <w:t xml:space="preserve"> 1</w:t>
            </w:r>
            <w:r w:rsidR="008B65D8">
              <w:rPr>
                <w:rFonts w:eastAsia="Times New Roman" w:cs="Arial"/>
                <w:kern w:val="28"/>
                <w:sz w:val="22"/>
                <w:szCs w:val="20"/>
              </w:rPr>
              <w:t>3</w:t>
            </w:r>
            <w:r w:rsidR="00E33531">
              <w:rPr>
                <w:rFonts w:eastAsia="Times New Roman" w:cs="Arial"/>
                <w:kern w:val="28"/>
                <w:sz w:val="22"/>
                <w:szCs w:val="20"/>
              </w:rPr>
              <w:t>)</w:t>
            </w:r>
            <w:r w:rsidR="005A584D">
              <w:rPr>
                <w:rFonts w:eastAsia="Times New Roman" w:cs="Arial"/>
                <w:kern w:val="28"/>
                <w:sz w:val="22"/>
                <w:szCs w:val="20"/>
              </w:rPr>
              <w:t>.</w:t>
            </w:r>
            <w:r w:rsidR="00D36171">
              <w:rPr>
                <w:rFonts w:eastAsia="Times New Roman" w:cs="Arial"/>
                <w:kern w:val="28"/>
                <w:sz w:val="22"/>
                <w:szCs w:val="20"/>
              </w:rPr>
              <w:t xml:space="preserve"> Although the sector remains well-capitalized, implementation of Basel III will require the banks to strive hard to increase the capital base.  </w:t>
            </w:r>
          </w:p>
        </w:tc>
      </w:tr>
    </w:tbl>
    <w:p w14:paraId="68C26F3E" w14:textId="77777777" w:rsidR="001511CC" w:rsidRDefault="001511CC" w:rsidP="001511CC">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4770"/>
      </w:tblGrid>
      <w:tr w:rsidR="001511CC" w:rsidRPr="00525702" w14:paraId="60C30D08" w14:textId="77777777" w:rsidTr="004246DE">
        <w:trPr>
          <w:trHeight w:val="218"/>
        </w:trPr>
        <w:tc>
          <w:tcPr>
            <w:tcW w:w="4680" w:type="dxa"/>
            <w:tcBorders>
              <w:top w:val="nil"/>
              <w:left w:val="nil"/>
              <w:bottom w:val="dotted" w:sz="4" w:space="0" w:color="0C4DA2"/>
              <w:right w:val="nil"/>
            </w:tcBorders>
            <w:hideMark/>
          </w:tcPr>
          <w:p w14:paraId="0632877A" w14:textId="1030D893" w:rsidR="001511CC" w:rsidRPr="006229D9" w:rsidRDefault="001511CC" w:rsidP="00FF3EAF">
            <w:pPr>
              <w:pStyle w:val="Caption"/>
            </w:pPr>
            <w:bookmarkStart w:id="99" w:name="_Toc485822660"/>
            <w:r w:rsidRPr="006229D9">
              <w:t xml:space="preserve">Figure </w:t>
            </w:r>
            <w:fldSimple w:instr=" SEQ Figure \* ARABIC ">
              <w:r w:rsidR="00A12655">
                <w:rPr>
                  <w:noProof/>
                </w:rPr>
                <w:t>13</w:t>
              </w:r>
            </w:fldSimple>
            <w:r>
              <w:t>: Credit Leverage</w:t>
            </w:r>
            <w:bookmarkEnd w:id="99"/>
          </w:p>
          <w:p w14:paraId="5B8400A7" w14:textId="231EEE7F" w:rsidR="001511CC" w:rsidRPr="00CE0CC3" w:rsidRDefault="005F4516" w:rsidP="00FF3EAF">
            <w:pPr>
              <w:pStyle w:val="IEQ-chart-subcaption"/>
              <w:ind w:left="0"/>
            </w:pPr>
            <w:r w:rsidRPr="005F4516">
              <w:t>(Sector Credit as a share of Sector Value Addition - Percent)</w:t>
            </w:r>
          </w:p>
        </w:tc>
        <w:tc>
          <w:tcPr>
            <w:tcW w:w="4770" w:type="dxa"/>
            <w:tcBorders>
              <w:top w:val="nil"/>
              <w:left w:val="nil"/>
              <w:bottom w:val="dotted" w:sz="4" w:space="0" w:color="0C4DA2"/>
              <w:right w:val="nil"/>
            </w:tcBorders>
            <w:hideMark/>
          </w:tcPr>
          <w:p w14:paraId="7219DC62" w14:textId="6D4E9AA8" w:rsidR="001511CC" w:rsidRDefault="001511CC" w:rsidP="00FF3EAF">
            <w:pPr>
              <w:pStyle w:val="Caption"/>
            </w:pPr>
            <w:bookmarkStart w:id="100" w:name="_Toc485822661"/>
            <w:r w:rsidRPr="00E93C4E">
              <w:t xml:space="preserve">Figure </w:t>
            </w:r>
            <w:fldSimple w:instr=" SEQ Figure \* ARABIC ">
              <w:r w:rsidR="00A12655">
                <w:rPr>
                  <w:noProof/>
                </w:rPr>
                <w:t>14</w:t>
              </w:r>
            </w:fldSimple>
            <w:r>
              <w:t>:  Drivers of Domestic Credit</w:t>
            </w:r>
            <w:bookmarkEnd w:id="100"/>
          </w:p>
          <w:p w14:paraId="65289402" w14:textId="62829E25" w:rsidR="001511CC" w:rsidRPr="00525702" w:rsidRDefault="005F4516" w:rsidP="003C40AE">
            <w:pPr>
              <w:pStyle w:val="IEQ-chart-subcaption"/>
              <w:ind w:left="0"/>
            </w:pPr>
            <w:r w:rsidRPr="00525702">
              <w:t>(</w:t>
            </w:r>
            <w:r>
              <w:t xml:space="preserve">Contribution </w:t>
            </w:r>
            <w:r w:rsidRPr="00B225B0">
              <w:t>Percent</w:t>
            </w:r>
            <w:r>
              <w:t>age Points</w:t>
            </w:r>
            <w:r w:rsidRPr="00525702">
              <w:t>)</w:t>
            </w:r>
            <w:r>
              <w:t xml:space="preserve">                  </w:t>
            </w:r>
            <w:r w:rsidRPr="00B30AA7">
              <w:t>(</w:t>
            </w:r>
            <w:r>
              <w:t>Y-o</w:t>
            </w:r>
            <w:r w:rsidR="00F3055A">
              <w:t>-</w:t>
            </w:r>
            <w:r>
              <w:t xml:space="preserve">Y Growth </w:t>
            </w:r>
            <w:r w:rsidRPr="00B30AA7">
              <w:t>Percent)</w:t>
            </w:r>
          </w:p>
        </w:tc>
      </w:tr>
      <w:tr w:rsidR="001511CC" w14:paraId="0FE035B5" w14:textId="77777777" w:rsidTr="004246DE">
        <w:tblPrEx>
          <w:tblCellMar>
            <w:left w:w="108" w:type="dxa"/>
            <w:right w:w="108" w:type="dxa"/>
          </w:tblCellMar>
        </w:tblPrEx>
        <w:trPr>
          <w:trHeight w:val="3518"/>
        </w:trPr>
        <w:tc>
          <w:tcPr>
            <w:tcW w:w="4680" w:type="dxa"/>
            <w:tcBorders>
              <w:top w:val="dotted" w:sz="4" w:space="0" w:color="0C4DA2"/>
              <w:left w:val="nil"/>
              <w:bottom w:val="dotted" w:sz="4" w:space="0" w:color="0C4DA2"/>
              <w:right w:val="nil"/>
            </w:tcBorders>
            <w:hideMark/>
          </w:tcPr>
          <w:p w14:paraId="35D7D2DC" w14:textId="39AB20F0" w:rsidR="001511CC" w:rsidRPr="00ED6AB4" w:rsidRDefault="00F3055A" w:rsidP="00FF3EAF">
            <w:pPr>
              <w:rPr>
                <w:rFonts w:ascii="Arial" w:hAnsi="Arial" w:cs="Arial"/>
                <w:i/>
                <w:sz w:val="16"/>
                <w:szCs w:val="16"/>
              </w:rPr>
            </w:pPr>
            <w:r w:rsidRPr="00F3055A">
              <w:rPr>
                <w:rFonts w:ascii="Arial" w:hAnsi="Arial" w:cs="Arial"/>
                <w:i/>
                <w:noProof/>
                <w:sz w:val="16"/>
                <w:szCs w:val="16"/>
              </w:rPr>
              <w:drawing>
                <wp:inline distT="0" distB="0" distL="0" distR="0" wp14:anchorId="22CFBC81" wp14:editId="1267F83E">
                  <wp:extent cx="2843530" cy="2035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3530" cy="2035175"/>
                          </a:xfrm>
                          <a:prstGeom prst="rect">
                            <a:avLst/>
                          </a:prstGeom>
                          <a:noFill/>
                          <a:ln>
                            <a:noFill/>
                          </a:ln>
                        </pic:spPr>
                      </pic:pic>
                    </a:graphicData>
                  </a:graphic>
                </wp:inline>
              </w:drawing>
            </w:r>
          </w:p>
        </w:tc>
        <w:tc>
          <w:tcPr>
            <w:tcW w:w="4770" w:type="dxa"/>
            <w:tcBorders>
              <w:top w:val="dotted" w:sz="4" w:space="0" w:color="0C4DA2"/>
              <w:left w:val="nil"/>
              <w:bottom w:val="dotted" w:sz="4" w:space="0" w:color="0C4DA2"/>
              <w:right w:val="nil"/>
            </w:tcBorders>
            <w:hideMark/>
          </w:tcPr>
          <w:p w14:paraId="33C10B6D" w14:textId="2B41F09A" w:rsidR="001511CC" w:rsidRPr="00ED6AB4" w:rsidRDefault="00FF3EAF" w:rsidP="00FF3EAF">
            <w:pPr>
              <w:ind w:hanging="92"/>
              <w:jc w:val="right"/>
              <w:rPr>
                <w:rFonts w:ascii="Arial" w:hAnsi="Arial" w:cs="Arial"/>
                <w:sz w:val="16"/>
                <w:szCs w:val="16"/>
              </w:rPr>
            </w:pPr>
            <w:r w:rsidRPr="00FF3EAF">
              <w:rPr>
                <w:rFonts w:ascii="Arial" w:hAnsi="Arial" w:cs="Arial"/>
                <w:noProof/>
                <w:sz w:val="16"/>
                <w:szCs w:val="16"/>
              </w:rPr>
              <w:drawing>
                <wp:inline distT="0" distB="0" distL="0" distR="0" wp14:anchorId="16F26AE8" wp14:editId="10ABD61E">
                  <wp:extent cx="2880360" cy="2247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360" cy="2247900"/>
                          </a:xfrm>
                          <a:prstGeom prst="rect">
                            <a:avLst/>
                          </a:prstGeom>
                          <a:noFill/>
                          <a:ln>
                            <a:noFill/>
                          </a:ln>
                        </pic:spPr>
                      </pic:pic>
                    </a:graphicData>
                  </a:graphic>
                </wp:inline>
              </w:drawing>
            </w:r>
          </w:p>
        </w:tc>
      </w:tr>
      <w:tr w:rsidR="002C1D11" w14:paraId="6D5FD234" w14:textId="77777777" w:rsidTr="004246DE">
        <w:trPr>
          <w:trHeight w:val="98"/>
        </w:trPr>
        <w:tc>
          <w:tcPr>
            <w:tcW w:w="4680" w:type="dxa"/>
            <w:tcBorders>
              <w:top w:val="dotted" w:sz="4" w:space="0" w:color="0C4DA2"/>
              <w:left w:val="nil"/>
              <w:bottom w:val="nil"/>
              <w:right w:val="nil"/>
            </w:tcBorders>
            <w:hideMark/>
          </w:tcPr>
          <w:p w14:paraId="38183793" w14:textId="77777777" w:rsidR="002C1D11" w:rsidRDefault="002C1D11" w:rsidP="003C40AE">
            <w:pPr>
              <w:pStyle w:val="BodyText"/>
            </w:pPr>
            <w:r w:rsidRPr="003C40AE">
              <w:rPr>
                <w:b/>
                <w:color w:val="808080"/>
                <w:sz w:val="16"/>
              </w:rPr>
              <w:t>Source: Central Bank of Sri Lanka, staff calculations</w:t>
            </w:r>
          </w:p>
        </w:tc>
        <w:tc>
          <w:tcPr>
            <w:tcW w:w="4770" w:type="dxa"/>
            <w:tcBorders>
              <w:top w:val="dotted" w:sz="4" w:space="0" w:color="0C4DA2"/>
              <w:left w:val="nil"/>
              <w:bottom w:val="nil"/>
              <w:right w:val="nil"/>
            </w:tcBorders>
          </w:tcPr>
          <w:p w14:paraId="277923D1" w14:textId="3C2F8B4B" w:rsidR="002C1D11" w:rsidRDefault="002C1D11" w:rsidP="003C40AE">
            <w:pPr>
              <w:pStyle w:val="BodyText"/>
            </w:pPr>
            <w:r w:rsidRPr="003C40AE">
              <w:rPr>
                <w:b/>
                <w:color w:val="808080"/>
                <w:sz w:val="16"/>
              </w:rPr>
              <w:t>Source: Central Bank of Sri Lanka, staff calculations</w:t>
            </w:r>
          </w:p>
        </w:tc>
      </w:tr>
    </w:tbl>
    <w:p w14:paraId="10100776" w14:textId="36706890" w:rsidR="001511CC" w:rsidRDefault="001511CC" w:rsidP="001511CC">
      <w:pPr>
        <w:pStyle w:val="BodyText"/>
      </w:pPr>
    </w:p>
    <w:p w14:paraId="11683AE0" w14:textId="4679674B" w:rsidR="0076310E" w:rsidRDefault="0076310E" w:rsidP="001511CC">
      <w:pPr>
        <w:pStyle w:val="BodyText"/>
      </w:pPr>
    </w:p>
    <w:p w14:paraId="3A7C83A9" w14:textId="3853D127" w:rsidR="0076310E" w:rsidRDefault="0076310E" w:rsidP="001511CC">
      <w:pPr>
        <w:pStyle w:val="BodyText"/>
      </w:pPr>
    </w:p>
    <w:p w14:paraId="028B9319" w14:textId="77777777" w:rsidR="0076310E" w:rsidRDefault="0076310E" w:rsidP="001511CC">
      <w:pPr>
        <w:pStyle w:val="BodyText"/>
      </w:pPr>
    </w:p>
    <w:tbl>
      <w:tblPr>
        <w:tblStyle w:val="TableGrid"/>
        <w:tblW w:w="9360" w:type="dxa"/>
        <w:tblInd w:w="-2160" w:type="dxa"/>
        <w:tblBorders>
          <w:top w:val="dotted" w:sz="4" w:space="0" w:color="0C4DA2"/>
          <w:left w:val="none" w:sz="0" w:space="0" w:color="auto"/>
          <w:bottom w:val="dotted" w:sz="4" w:space="0" w:color="0C4DA2"/>
          <w:right w:val="none" w:sz="0" w:space="0" w:color="auto"/>
          <w:insideH w:val="none" w:sz="0" w:space="0" w:color="auto"/>
          <w:insideV w:val="none" w:sz="0" w:space="0" w:color="auto"/>
        </w:tblBorders>
        <w:tblLook w:val="04A0" w:firstRow="1" w:lastRow="0" w:firstColumn="1" w:lastColumn="0" w:noHBand="0" w:noVBand="1"/>
      </w:tblPr>
      <w:tblGrid>
        <w:gridCol w:w="9360"/>
      </w:tblGrid>
      <w:tr w:rsidR="00210184" w:rsidRPr="000A41D0" w14:paraId="61417964" w14:textId="77777777" w:rsidTr="00BB2CD3">
        <w:tc>
          <w:tcPr>
            <w:tcW w:w="9360" w:type="dxa"/>
          </w:tcPr>
          <w:p w14:paraId="3416943B" w14:textId="20053728" w:rsidR="00210184" w:rsidRPr="00F91BDE" w:rsidRDefault="006F0139" w:rsidP="00BB2CD3">
            <w:pPr>
              <w:pStyle w:val="BodyText"/>
              <w:ind w:left="-18"/>
              <w:jc w:val="both"/>
              <w:rPr>
                <w:i/>
                <w:color w:val="0336A9"/>
                <w:sz w:val="24"/>
                <w:szCs w:val="24"/>
              </w:rPr>
            </w:pPr>
            <w:r w:rsidRPr="00940387">
              <w:rPr>
                <w:b/>
                <w:i/>
                <w:szCs w:val="22"/>
              </w:rPr>
              <w:lastRenderedPageBreak/>
              <w:t>Despite the fast poverty reduction, there remain areas with significant poverty; a large share of the population subsists on little more than the extreme poverty line.</w:t>
            </w:r>
          </w:p>
        </w:tc>
      </w:tr>
    </w:tbl>
    <w:p w14:paraId="63A12C99" w14:textId="77777777" w:rsidR="006F0139" w:rsidRDefault="006F0139" w:rsidP="006F0139">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F0139" w:rsidRPr="007A0CC1" w14:paraId="37E7E928" w14:textId="77777777" w:rsidTr="00CD3BC0">
        <w:tc>
          <w:tcPr>
            <w:tcW w:w="2020" w:type="dxa"/>
          </w:tcPr>
          <w:p w14:paraId="3938D421" w14:textId="77777777" w:rsidR="006F0139" w:rsidRPr="007A0CC1" w:rsidRDefault="006F0139" w:rsidP="00CD3BC0">
            <w:pPr>
              <w:pStyle w:val="BodyText"/>
              <w:rPr>
                <w:b/>
              </w:rPr>
            </w:pPr>
            <w:r>
              <w:rPr>
                <w:b/>
              </w:rPr>
              <w:t>E</w:t>
            </w:r>
            <w:r w:rsidRPr="006D0DBA">
              <w:rPr>
                <w:b/>
              </w:rPr>
              <w:t>xtreme poverty is low in Sri Lanka and fell slightly further between 2009/10 and 2012/13.</w:t>
            </w:r>
          </w:p>
        </w:tc>
        <w:tc>
          <w:tcPr>
            <w:tcW w:w="145" w:type="dxa"/>
          </w:tcPr>
          <w:p w14:paraId="542EDB11" w14:textId="77777777" w:rsidR="006F0139" w:rsidRPr="007A0CC1" w:rsidRDefault="006F0139" w:rsidP="00CD3BC0">
            <w:pPr>
              <w:pStyle w:val="BodyText"/>
            </w:pPr>
          </w:p>
        </w:tc>
        <w:tc>
          <w:tcPr>
            <w:tcW w:w="7221" w:type="dxa"/>
          </w:tcPr>
          <w:p w14:paraId="4E7349ED" w14:textId="4ACC4207" w:rsidR="006F0139" w:rsidRPr="007A0CC1" w:rsidRDefault="006F0139" w:rsidP="00486F5F">
            <w:pPr>
              <w:pStyle w:val="BodyText"/>
              <w:jc w:val="both"/>
            </w:pPr>
            <w:r w:rsidRPr="00860731">
              <w:t>Despite the recent macroeconomic challenges, extreme poverty remains low, as the $1.90 (PPP 2011) poverty rate fell half a percentage point, from 2.4 to 1.9 percent between 2009/10 and 2012/13. The real per capita consumption of the bottom 40 percent increased 2.2 percent annually between 2006/07 and 2012/13, and improved living standards is reflected in rising asset ownership, declining shares of food consumption, and a rise in reported household per capita income among the poor.</w:t>
            </w:r>
            <w:r>
              <w:t xml:space="preserve"> A new poverty estimates for Q1 2016 is expected to be released in May, 2017. </w:t>
            </w:r>
          </w:p>
        </w:tc>
      </w:tr>
    </w:tbl>
    <w:p w14:paraId="56E87820" w14:textId="77777777" w:rsidR="006F0139" w:rsidRDefault="006F0139" w:rsidP="006F0139">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F0139" w:rsidRPr="007A0CC1" w14:paraId="11F8FE94" w14:textId="77777777" w:rsidTr="00CD3BC0">
        <w:tc>
          <w:tcPr>
            <w:tcW w:w="2020" w:type="dxa"/>
          </w:tcPr>
          <w:p w14:paraId="2F55403D" w14:textId="77777777" w:rsidR="006F0139" w:rsidRPr="007A0CC1" w:rsidRDefault="006F0139" w:rsidP="00CD3BC0">
            <w:pPr>
              <w:pStyle w:val="BodyText"/>
              <w:rPr>
                <w:b/>
              </w:rPr>
            </w:pPr>
            <w:r w:rsidRPr="00860731">
              <w:rPr>
                <w:b/>
              </w:rPr>
              <w:t>During the past year, labor market trends have been mixed.</w:t>
            </w:r>
          </w:p>
        </w:tc>
        <w:tc>
          <w:tcPr>
            <w:tcW w:w="145" w:type="dxa"/>
          </w:tcPr>
          <w:p w14:paraId="748E2B1D" w14:textId="77777777" w:rsidR="006F0139" w:rsidRPr="007A0CC1" w:rsidRDefault="006F0139" w:rsidP="00CD3BC0">
            <w:pPr>
              <w:pStyle w:val="BodyText"/>
            </w:pPr>
          </w:p>
        </w:tc>
        <w:tc>
          <w:tcPr>
            <w:tcW w:w="7221" w:type="dxa"/>
          </w:tcPr>
          <w:p w14:paraId="0D18F844" w14:textId="77777777" w:rsidR="006F0139" w:rsidRPr="007A0CC1" w:rsidRDefault="006F0139" w:rsidP="00CD3BC0">
            <w:pPr>
              <w:pStyle w:val="BodyText"/>
              <w:jc w:val="both"/>
            </w:pPr>
            <w:r w:rsidRPr="00860731">
              <w:t xml:space="preserve">Employment in agriculture continues to fall, boosting productivity and contributing to continued declines in poverty. Between </w:t>
            </w:r>
            <w:r>
              <w:t>2013 and 2016</w:t>
            </w:r>
            <w:r w:rsidRPr="00860731">
              <w:t xml:space="preserve">, the share of employment in </w:t>
            </w:r>
            <w:r>
              <w:t xml:space="preserve">agriculture fell from 30.2 to 27.1 percent. Unemployment remained constant during that period, at a manageable 4.4 percent. </w:t>
            </w:r>
            <w:r w:rsidRPr="00860731">
              <w:t xml:space="preserve">Furthermore, perhaps due to the shift out of agriculture, the share </w:t>
            </w:r>
            <w:r>
              <w:t xml:space="preserve">of workers 40 hours or more increased from 65.5 </w:t>
            </w:r>
            <w:r w:rsidRPr="00860731">
              <w:t>to 67</w:t>
            </w:r>
            <w:r>
              <w:t>.9</w:t>
            </w:r>
            <w:r w:rsidRPr="00860731">
              <w:t xml:space="preserve"> percent of the workforce. Female labor force participation remains low and lags male rates by nearly 40 percentage points.</w:t>
            </w:r>
          </w:p>
        </w:tc>
      </w:tr>
    </w:tbl>
    <w:p w14:paraId="184B3E3F" w14:textId="77777777" w:rsidR="006F0139" w:rsidRDefault="006F0139" w:rsidP="006F0139">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F0139" w:rsidRPr="007A0CC1" w14:paraId="7C1B9098" w14:textId="77777777" w:rsidTr="00CD3BC0">
        <w:tc>
          <w:tcPr>
            <w:tcW w:w="2020" w:type="dxa"/>
          </w:tcPr>
          <w:p w14:paraId="199FBF7F" w14:textId="77777777" w:rsidR="006F0139" w:rsidRPr="007A0CC1" w:rsidRDefault="006F0139" w:rsidP="00CD3BC0">
            <w:pPr>
              <w:pStyle w:val="BodyText"/>
              <w:rPr>
                <w:b/>
              </w:rPr>
            </w:pPr>
            <w:r>
              <w:rPr>
                <w:b/>
              </w:rPr>
              <w:t>A</w:t>
            </w:r>
            <w:r w:rsidRPr="006D0DBA">
              <w:rPr>
                <w:b/>
              </w:rPr>
              <w:t xml:space="preserve"> large share of the population subsists on little more than the extreme poverty line.</w:t>
            </w:r>
          </w:p>
        </w:tc>
        <w:tc>
          <w:tcPr>
            <w:tcW w:w="145" w:type="dxa"/>
          </w:tcPr>
          <w:p w14:paraId="20821EFD" w14:textId="77777777" w:rsidR="006F0139" w:rsidRPr="007A0CC1" w:rsidRDefault="006F0139" w:rsidP="00CD3BC0">
            <w:pPr>
              <w:pStyle w:val="BodyText"/>
            </w:pPr>
          </w:p>
        </w:tc>
        <w:tc>
          <w:tcPr>
            <w:tcW w:w="7221" w:type="dxa"/>
          </w:tcPr>
          <w:p w14:paraId="3AEB9E10" w14:textId="56534192" w:rsidR="006F0139" w:rsidRPr="007A0CC1" w:rsidRDefault="006F0139" w:rsidP="000A06F1">
            <w:pPr>
              <w:pStyle w:val="BodyText"/>
              <w:jc w:val="both"/>
            </w:pPr>
            <w:r>
              <w:t>M</w:t>
            </w:r>
            <w:r w:rsidRPr="00860731">
              <w:t xml:space="preserve">oderate poverty remains high. In 2012/13, nearly 15 percent of the population, and a quarter of the Estate sector, lived on less than $3.10 per day. Furthermore, pockets of poverty persist in the North, East, Estate Sector and Moneragala district where equality of opportunities in terms of access to services and linkages to the labor market are weaker. Spending on social assistance declined in </w:t>
            </w:r>
            <w:r w:rsidR="000A06F1">
              <w:t xml:space="preserve">real terms between 2004 and 2014, </w:t>
            </w:r>
            <w:r w:rsidRPr="00860731">
              <w:t>and suffers from inefficient targeting. The decline in social assistance comes as consumption growth became markedly less pro-poor between 2009/10 and 2012/13, causing the Gini coefficient of inequality to rise sharply from 0.363 in 2009/10 to 0.389 in 2012/13. Other challenges also remain, including high rates of malnutrition, low rates of female labor force participation, and a rapidly aging population.</w:t>
            </w:r>
            <w:r w:rsidR="000A13BE">
              <w:rPr>
                <w:rStyle w:val="FootnoteReference"/>
              </w:rPr>
              <w:footnoteReference w:id="25"/>
            </w:r>
            <w:r w:rsidR="000A5B10">
              <w:t xml:space="preserve"> </w:t>
            </w:r>
          </w:p>
        </w:tc>
      </w:tr>
    </w:tbl>
    <w:p w14:paraId="4B17895B" w14:textId="77777777" w:rsidR="006F0139" w:rsidRDefault="006F0139" w:rsidP="00210184">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486F5F" w:rsidRPr="007A0CC1" w14:paraId="29544EC5" w14:textId="77777777" w:rsidTr="003C68AF">
        <w:tc>
          <w:tcPr>
            <w:tcW w:w="2020" w:type="dxa"/>
          </w:tcPr>
          <w:p w14:paraId="5DE3B359" w14:textId="265C2125" w:rsidR="00486F5F" w:rsidRPr="007A0CC1" w:rsidRDefault="0046277A" w:rsidP="0046277A">
            <w:pPr>
              <w:pStyle w:val="BodyText"/>
              <w:rPr>
                <w:b/>
              </w:rPr>
            </w:pPr>
            <w:r>
              <w:rPr>
                <w:b/>
              </w:rPr>
              <w:t xml:space="preserve">Drought and floods in 2016 affected poor and </w:t>
            </w:r>
            <w:r w:rsidR="00F4184C">
              <w:rPr>
                <w:b/>
              </w:rPr>
              <w:t>led to wide-spread food insecurity.</w:t>
            </w:r>
          </w:p>
        </w:tc>
        <w:tc>
          <w:tcPr>
            <w:tcW w:w="145" w:type="dxa"/>
          </w:tcPr>
          <w:p w14:paraId="03643C6C" w14:textId="77777777" w:rsidR="00486F5F" w:rsidRPr="007A0CC1" w:rsidRDefault="00486F5F" w:rsidP="003C68AF">
            <w:pPr>
              <w:pStyle w:val="BodyText"/>
            </w:pPr>
          </w:p>
        </w:tc>
        <w:tc>
          <w:tcPr>
            <w:tcW w:w="7221" w:type="dxa"/>
          </w:tcPr>
          <w:p w14:paraId="376E9B9B" w14:textId="7EABE4FB" w:rsidR="00F4184C" w:rsidRPr="007A0CC1" w:rsidRDefault="007E4DD8" w:rsidP="007E4DD8">
            <w:pPr>
              <w:pStyle w:val="BodyText"/>
              <w:jc w:val="both"/>
            </w:pPr>
            <w:r w:rsidRPr="007E4DD8">
              <w:t xml:space="preserve">Sri Lanka underwent two severe weather events in </w:t>
            </w:r>
            <w:r>
              <w:t>2016</w:t>
            </w:r>
            <w:r w:rsidRPr="007E4DD8">
              <w:t xml:space="preserve">: </w:t>
            </w:r>
            <w:r>
              <w:t>f</w:t>
            </w:r>
            <w:r w:rsidRPr="007E4DD8">
              <w:t>loods and landslides in the spring of 2016 and a severe drought in the fall of 2016</w:t>
            </w:r>
            <w:r>
              <w:t xml:space="preserve"> (see also Box 2)</w:t>
            </w:r>
            <w:r w:rsidRPr="007E4DD8">
              <w:t>. The floods and landslides largely effected more urban areas</w:t>
            </w:r>
            <w:r>
              <w:t>.</w:t>
            </w:r>
            <w:r w:rsidRPr="007E4DD8">
              <w:t xml:space="preserve"> The </w:t>
            </w:r>
            <w:r>
              <w:t xml:space="preserve">most </w:t>
            </w:r>
            <w:r w:rsidRPr="007E4DD8">
              <w:t xml:space="preserve">severely affected </w:t>
            </w:r>
            <w:r>
              <w:t xml:space="preserve">were </w:t>
            </w:r>
            <w:r w:rsidRPr="007E4DD8">
              <w:t xml:space="preserve">Colombo and Gampaha districts, </w:t>
            </w:r>
            <w:r>
              <w:t xml:space="preserve">which </w:t>
            </w:r>
            <w:r w:rsidRPr="007E4DD8">
              <w:t>are less poor (poverty headcount of 6.1 percent) than the national average (6.7 percent). However, their high population density makes these districts home to majority of the poor as well as the bottom 40 percent. The population affected in these two districts was 302,874, which is more than 50 percent of the total population affected by the floods.</w:t>
            </w:r>
            <w:r>
              <w:rPr>
                <w:rStyle w:val="FootnoteReference"/>
              </w:rPr>
              <w:footnoteReference w:id="26"/>
            </w:r>
            <w:r w:rsidRPr="007E4DD8">
              <w:t xml:space="preserve"> The 2016/17 drought, which followed the floods, was one of the worst in Sri Lanka, and caused around 227,000 households to become food insecure in the affected areas.</w:t>
            </w:r>
            <w:r>
              <w:rPr>
                <w:rStyle w:val="FootnoteReference"/>
              </w:rPr>
              <w:footnoteReference w:id="27"/>
            </w:r>
            <w:r w:rsidRPr="007E4DD8">
              <w:t xml:space="preserve"> It is expected that the deterioration of the food security status will continue until the next harvest in March 2018. The areas affected were poorer on average (11.7 percent) than the national average.</w:t>
            </w:r>
          </w:p>
        </w:tc>
      </w:tr>
    </w:tbl>
    <w:tbl>
      <w:tblPr>
        <w:tblStyle w:val="TableGrid"/>
        <w:tblW w:w="0" w:type="auto"/>
        <w:tblInd w:w="-2165" w:type="dxa"/>
        <w:tblBorders>
          <w:top w:val="dotted" w:sz="4" w:space="0" w:color="0C4DA2"/>
          <w:left w:val="none" w:sz="0" w:space="0" w:color="auto"/>
          <w:bottom w:val="dotted" w:sz="4" w:space="0" w:color="0C4DA2"/>
          <w:right w:val="none" w:sz="0" w:space="0" w:color="auto"/>
          <w:insideH w:val="dotted" w:sz="4" w:space="0" w:color="0C4DA2"/>
          <w:insideV w:val="dotted" w:sz="4" w:space="0" w:color="0C4DA2"/>
        </w:tblBorders>
        <w:tblLook w:val="04A0" w:firstRow="1" w:lastRow="0" w:firstColumn="1" w:lastColumn="0" w:noHBand="0" w:noVBand="1"/>
      </w:tblPr>
      <w:tblGrid>
        <w:gridCol w:w="9355"/>
      </w:tblGrid>
      <w:tr w:rsidR="00882CFB" w14:paraId="7FD17E9B" w14:textId="77777777" w:rsidTr="00882CFB">
        <w:tc>
          <w:tcPr>
            <w:tcW w:w="9355" w:type="dxa"/>
          </w:tcPr>
          <w:p w14:paraId="65621BCD" w14:textId="0E489E41" w:rsidR="00882CFB" w:rsidRPr="005975FE" w:rsidRDefault="009D4D04" w:rsidP="0076310E">
            <w:pPr>
              <w:pStyle w:val="IEQ-Chapterheading"/>
              <w:ind w:left="77"/>
              <w:rPr>
                <w:color w:val="95B3D7"/>
              </w:rPr>
            </w:pPr>
            <w:bookmarkStart w:id="101" w:name="_Toc485822606"/>
            <w:r>
              <w:rPr>
                <w:b w:val="0"/>
                <w:color w:val="95B3D7"/>
              </w:rPr>
              <w:lastRenderedPageBreak/>
              <w:t>B</w:t>
            </w:r>
            <w:r w:rsidR="00882CFB" w:rsidRPr="005975FE">
              <w:rPr>
                <w:color w:val="95B3D7"/>
              </w:rPr>
              <w:t>.</w:t>
            </w:r>
            <w:r w:rsidR="000A5B10">
              <w:rPr>
                <w:color w:val="95B3D7"/>
              </w:rPr>
              <w:t xml:space="preserve"> </w:t>
            </w:r>
            <w:r w:rsidR="00772CA9">
              <w:rPr>
                <w:color w:val="95B3D7"/>
              </w:rPr>
              <w:t>Outlook</w:t>
            </w:r>
            <w:r w:rsidR="002A0A47">
              <w:rPr>
                <w:color w:val="95B3D7"/>
              </w:rPr>
              <w:t xml:space="preserve">, </w:t>
            </w:r>
            <w:r w:rsidR="00772CA9">
              <w:rPr>
                <w:color w:val="95B3D7"/>
              </w:rPr>
              <w:t>Risks</w:t>
            </w:r>
            <w:r w:rsidR="002A0A47">
              <w:rPr>
                <w:color w:val="95B3D7"/>
              </w:rPr>
              <w:t xml:space="preserve"> and Policy </w:t>
            </w:r>
            <w:bookmarkEnd w:id="101"/>
            <w:r w:rsidR="0076310E">
              <w:rPr>
                <w:color w:val="95B3D7"/>
              </w:rPr>
              <w:t>Priorities</w:t>
            </w:r>
          </w:p>
        </w:tc>
      </w:tr>
    </w:tbl>
    <w:p w14:paraId="22F2F92C" w14:textId="77777777" w:rsidR="00AA374D" w:rsidRDefault="00AA374D" w:rsidP="00AA374D">
      <w:pPr>
        <w:rPr>
          <w:rFonts w:cs="Arial"/>
        </w:rPr>
      </w:pPr>
    </w:p>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tblGrid>
      <w:tr w:rsidR="00AA374D" w14:paraId="67CC0150" w14:textId="77777777" w:rsidTr="00D070D3">
        <w:trPr>
          <w:trHeight w:val="4320"/>
        </w:trPr>
        <w:tc>
          <w:tcPr>
            <w:tcW w:w="7200" w:type="dxa"/>
          </w:tcPr>
          <w:p w14:paraId="5E4DC002" w14:textId="4ADAFF4C" w:rsidR="00AA374D" w:rsidRDefault="00B412A1" w:rsidP="00517B63">
            <w:pPr>
              <w:ind w:left="-108"/>
              <w:rPr>
                <w:rFonts w:cs="Arial"/>
              </w:rPr>
            </w:pPr>
            <w:r>
              <w:rPr>
                <w:rFonts w:cs="Arial"/>
                <w:noProof/>
              </w:rPr>
              <w:drawing>
                <wp:inline distT="0" distB="0" distL="0" distR="0" wp14:anchorId="4E80F31B" wp14:editId="3AEE69DF">
                  <wp:extent cx="4572000" cy="2735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ucation64 B Outlook Janaka Thilakaratne.png"/>
                          <pic:cNvPicPr/>
                        </pic:nvPicPr>
                        <pic:blipFill>
                          <a:blip r:embed="rId46"/>
                          <a:stretch>
                            <a:fillRect/>
                          </a:stretch>
                        </pic:blipFill>
                        <pic:spPr>
                          <a:xfrm>
                            <a:off x="0" y="0"/>
                            <a:ext cx="4572000" cy="2735580"/>
                          </a:xfrm>
                          <a:prstGeom prst="rect">
                            <a:avLst/>
                          </a:prstGeom>
                        </pic:spPr>
                      </pic:pic>
                    </a:graphicData>
                  </a:graphic>
                </wp:inline>
              </w:drawing>
            </w:r>
          </w:p>
        </w:tc>
      </w:tr>
    </w:tbl>
    <w:p w14:paraId="185B4C2E" w14:textId="77777777" w:rsidR="00AA374D" w:rsidRDefault="00AA374D" w:rsidP="00AA374D">
      <w:pPr>
        <w:pStyle w:val="BodyText"/>
      </w:pPr>
    </w:p>
    <w:p w14:paraId="01864CB1" w14:textId="2416345F" w:rsidR="00AA374D" w:rsidRDefault="00AA374D" w:rsidP="00AA374D">
      <w:pPr>
        <w:pStyle w:val="Heading1"/>
        <w:numPr>
          <w:ilvl w:val="0"/>
          <w:numId w:val="3"/>
        </w:numPr>
        <w:ind w:left="-360"/>
      </w:pPr>
      <w:bookmarkStart w:id="102" w:name="_Toc485822607"/>
      <w:r>
        <w:t>Outlook</w:t>
      </w:r>
      <w:r w:rsidR="0041598E">
        <w:rPr>
          <w:rStyle w:val="FootnoteReference"/>
        </w:rPr>
        <w:footnoteReference w:id="28"/>
      </w:r>
      <w:bookmarkEnd w:id="102"/>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952815" w:rsidRPr="000A41D0" w14:paraId="75108FBB" w14:textId="77777777" w:rsidTr="00D070D3">
        <w:tc>
          <w:tcPr>
            <w:tcW w:w="2020" w:type="dxa"/>
          </w:tcPr>
          <w:p w14:paraId="1838DCD3" w14:textId="30790B38" w:rsidR="00952815" w:rsidRPr="00BA50DD" w:rsidRDefault="00952815" w:rsidP="00952815">
            <w:pPr>
              <w:pStyle w:val="BodyText"/>
              <w:rPr>
                <w:b/>
              </w:rPr>
            </w:pPr>
            <w:r>
              <w:rPr>
                <w:b/>
              </w:rPr>
              <w:t>A relatively favorable outlook is projected in the backdrop of policy reforms.</w:t>
            </w:r>
          </w:p>
        </w:tc>
        <w:tc>
          <w:tcPr>
            <w:tcW w:w="145" w:type="dxa"/>
          </w:tcPr>
          <w:p w14:paraId="587C38CF" w14:textId="77777777" w:rsidR="00952815" w:rsidRPr="000A41D0" w:rsidRDefault="00952815" w:rsidP="00952815">
            <w:pPr>
              <w:pStyle w:val="BodyText"/>
            </w:pPr>
          </w:p>
        </w:tc>
        <w:tc>
          <w:tcPr>
            <w:tcW w:w="7221" w:type="dxa"/>
          </w:tcPr>
          <w:p w14:paraId="309C3E58" w14:textId="77998113" w:rsidR="00952815" w:rsidRPr="009754FC" w:rsidRDefault="005A0368" w:rsidP="00C14911">
            <w:pPr>
              <w:pStyle w:val="BodyText"/>
              <w:jc w:val="both"/>
            </w:pPr>
            <w:r>
              <w:t>The c</w:t>
            </w:r>
            <w:r w:rsidR="00952815">
              <w:t xml:space="preserve">ontinuation of </w:t>
            </w:r>
            <w:r>
              <w:t xml:space="preserve">the </w:t>
            </w:r>
            <w:r w:rsidR="00952815" w:rsidRPr="000A5E97">
              <w:t xml:space="preserve">IMF program </w:t>
            </w:r>
            <w:r w:rsidR="00952815">
              <w:t>will add to the confidence while helping reform the tax system to pursue revenue led fiscal consolidation. The government has already undertaken to implement an ambitious medium-term reform agenda aimed at improving competitiveness, governance and public financial management that would bring in long-term benefits.</w:t>
            </w:r>
            <w:r w:rsidR="000A5B10">
              <w:t xml:space="preserve"> </w:t>
            </w:r>
            <w:r w:rsidR="00952815">
              <w:t xml:space="preserve">Monetary policy has shown that it stands ready to take appropriate action in the direction of stability. </w:t>
            </w:r>
            <w:r w:rsidR="0063133E">
              <w:t>This is supported by a</w:t>
            </w:r>
            <w:r w:rsidR="003A4EF8">
              <w:t xml:space="preserve"> strengthening global growth outlook, including in some countries important to Sri Lanka </w:t>
            </w:r>
            <w:r w:rsidR="0063133E">
              <w:t xml:space="preserve">(Box </w:t>
            </w:r>
            <w:r w:rsidR="00C14911">
              <w:t>3</w:t>
            </w:r>
            <w:r w:rsidR="0063133E">
              <w:t xml:space="preserve">). </w:t>
            </w:r>
            <w:r w:rsidR="00952815">
              <w:t>These developments have contributed to an improved outlook.</w:t>
            </w:r>
          </w:p>
        </w:tc>
      </w:tr>
    </w:tbl>
    <w:p w14:paraId="1766EA01" w14:textId="77777777" w:rsidR="00AA374D" w:rsidRPr="000A41D0" w:rsidRDefault="00AA374D" w:rsidP="00AA374D">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AA374D" w:rsidRPr="000A41D0" w14:paraId="6FE528EF" w14:textId="77777777" w:rsidTr="00D070D3">
        <w:tc>
          <w:tcPr>
            <w:tcW w:w="2020" w:type="dxa"/>
          </w:tcPr>
          <w:p w14:paraId="622BDF95" w14:textId="407D1AA7" w:rsidR="00AA374D" w:rsidRPr="00BA50DD" w:rsidRDefault="00AA374D" w:rsidP="002635CA">
            <w:pPr>
              <w:pStyle w:val="BodyText"/>
              <w:rPr>
                <w:b/>
              </w:rPr>
            </w:pPr>
            <w:r w:rsidRPr="00441E24">
              <w:rPr>
                <w:b/>
              </w:rPr>
              <w:t xml:space="preserve">Growth is expected to </w:t>
            </w:r>
            <w:r w:rsidR="002635CA">
              <w:rPr>
                <w:b/>
              </w:rPr>
              <w:t>pick up</w:t>
            </w:r>
            <w:r w:rsidRPr="00441E24">
              <w:rPr>
                <w:b/>
              </w:rPr>
              <w:t xml:space="preserve"> with manageable inflation.</w:t>
            </w:r>
          </w:p>
        </w:tc>
        <w:tc>
          <w:tcPr>
            <w:tcW w:w="145" w:type="dxa"/>
          </w:tcPr>
          <w:p w14:paraId="482D5250" w14:textId="77777777" w:rsidR="00AA374D" w:rsidRPr="000A41D0" w:rsidRDefault="00AA374D" w:rsidP="00D070D3">
            <w:pPr>
              <w:pStyle w:val="BodyText"/>
            </w:pPr>
          </w:p>
        </w:tc>
        <w:tc>
          <w:tcPr>
            <w:tcW w:w="7221" w:type="dxa"/>
          </w:tcPr>
          <w:p w14:paraId="0DBB9238" w14:textId="566E7F62" w:rsidR="009754FC" w:rsidRPr="000A41D0" w:rsidRDefault="00672F1C" w:rsidP="003A3328">
            <w:pPr>
              <w:pStyle w:val="BodyText"/>
              <w:jc w:val="both"/>
            </w:pPr>
            <w:r>
              <w:t>G</w:t>
            </w:r>
            <w:r w:rsidR="00952815" w:rsidRPr="00A50DBF">
              <w:t xml:space="preserve">rowth is expected to </w:t>
            </w:r>
            <w:r w:rsidR="00952815">
              <w:t>reach 4.7 percent</w:t>
            </w:r>
            <w:r w:rsidR="00952815" w:rsidRPr="00A50DBF">
              <w:t xml:space="preserve"> in 201</w:t>
            </w:r>
            <w:r w:rsidR="00952815">
              <w:t>7</w:t>
            </w:r>
            <w:r w:rsidR="00322B4C">
              <w:rPr>
                <w:rStyle w:val="FootnoteReference"/>
              </w:rPr>
              <w:footnoteReference w:id="29"/>
            </w:r>
            <w:r w:rsidR="00952815" w:rsidRPr="00A50DBF">
              <w:t xml:space="preserve"> and grow marginally over 5.0 percent beyond, driven by private consumption and </w:t>
            </w:r>
            <w:r w:rsidR="00952815">
              <w:t>investment growth</w:t>
            </w:r>
            <w:r w:rsidR="00952815" w:rsidRPr="00A50DBF">
              <w:t xml:space="preserve">. </w:t>
            </w:r>
            <w:r w:rsidR="00952815">
              <w:t>Although the short to medium term growth will continue to be driven by non-tradable sectors, successful implementation of reforms shou</w:t>
            </w:r>
            <w:r w:rsidR="002635CA">
              <w:t>ld help the country to rely on</w:t>
            </w:r>
            <w:r w:rsidR="00952815">
              <w:t xml:space="preserve"> productive tradable sectors </w:t>
            </w:r>
            <w:r w:rsidR="002635CA">
              <w:t>in the long</w:t>
            </w:r>
            <w:r w:rsidR="003A3328">
              <w:t xml:space="preserve"> </w:t>
            </w:r>
            <w:r w:rsidR="002635CA">
              <w:t xml:space="preserve">run. Inflation will pick up towards upper single digit level in the first half of 2017 </w:t>
            </w:r>
            <w:r w:rsidR="003A3328">
              <w:t>because</w:t>
            </w:r>
            <w:r w:rsidR="002635CA">
              <w:t xml:space="preserve"> of </w:t>
            </w:r>
            <w:r w:rsidR="00952815" w:rsidRPr="00487DF3">
              <w:t xml:space="preserve">past </w:t>
            </w:r>
            <w:r w:rsidR="00952815">
              <w:t>high monetary growth</w:t>
            </w:r>
            <w:r w:rsidR="00952815" w:rsidRPr="00487DF3">
              <w:t xml:space="preserve"> along with the increase of VAT </w:t>
            </w:r>
            <w:r w:rsidR="00952815">
              <w:t>collection</w:t>
            </w:r>
            <w:r w:rsidR="002635CA">
              <w:t>. However,</w:t>
            </w:r>
            <w:r w:rsidR="00D9609F">
              <w:t xml:space="preserve"> the base-effect will see inflation</w:t>
            </w:r>
            <w:r w:rsidR="002635CA">
              <w:t xml:space="preserve"> stabiliz</w:t>
            </w:r>
            <w:r w:rsidR="00D9609F">
              <w:t>ing around mid-single digit level towards the end of 2017. L</w:t>
            </w:r>
            <w:r w:rsidR="00952815" w:rsidRPr="00403906">
              <w:t>ow international commodity</w:t>
            </w:r>
            <w:r w:rsidR="00D9609F" w:rsidRPr="00403906">
              <w:t xml:space="preserve"> prices</w:t>
            </w:r>
            <w:r w:rsidR="00D9609F">
              <w:t>, though gradually increasing,</w:t>
            </w:r>
            <w:r w:rsidR="00952815" w:rsidRPr="00403906">
              <w:t xml:space="preserve"> will </w:t>
            </w:r>
            <w:r w:rsidR="00D9609F">
              <w:t xml:space="preserve">help </w:t>
            </w:r>
            <w:r w:rsidR="00952815" w:rsidRPr="00403906">
              <w:t xml:space="preserve">maintain </w:t>
            </w:r>
            <w:r w:rsidR="00952815">
              <w:t xml:space="preserve">the </w:t>
            </w:r>
            <w:r w:rsidR="00952815" w:rsidRPr="00403906">
              <w:t>downward pressure.</w:t>
            </w:r>
            <w:r w:rsidR="00952815">
              <w:t xml:space="preserve"> </w:t>
            </w:r>
            <w:r w:rsidR="00E00F47">
              <w:t xml:space="preserve">In the medium term, the announced shift by the central bank to </w:t>
            </w:r>
            <w:r w:rsidR="00970DDB">
              <w:t xml:space="preserve">flexible </w:t>
            </w:r>
            <w:r w:rsidR="00E00F47">
              <w:t xml:space="preserve">inflation targeting will keep inflation in the single digits, while the exchange rate is left to adjust to market forces. </w:t>
            </w:r>
          </w:p>
        </w:tc>
      </w:tr>
    </w:tbl>
    <w:p w14:paraId="45605AAD" w14:textId="77777777" w:rsidR="00AA374D" w:rsidRDefault="00AA374D" w:rsidP="00AA374D">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8E1EC5" w:rsidRPr="007A0CC1" w14:paraId="25622510" w14:textId="77777777" w:rsidTr="003C68AF">
        <w:tc>
          <w:tcPr>
            <w:tcW w:w="2020" w:type="dxa"/>
          </w:tcPr>
          <w:p w14:paraId="2A14B969" w14:textId="77777777" w:rsidR="008E1EC5" w:rsidRPr="007A0CC1" w:rsidRDefault="008E1EC5" w:rsidP="003C68AF">
            <w:pPr>
              <w:pStyle w:val="BodyText"/>
              <w:rPr>
                <w:b/>
              </w:rPr>
            </w:pPr>
            <w:r w:rsidRPr="00EB4F86">
              <w:rPr>
                <w:b/>
              </w:rPr>
              <w:lastRenderedPageBreak/>
              <w:t>Fiscal consolidation will put the debt back on a declining path.</w:t>
            </w:r>
          </w:p>
        </w:tc>
        <w:tc>
          <w:tcPr>
            <w:tcW w:w="145" w:type="dxa"/>
          </w:tcPr>
          <w:p w14:paraId="7819A9DD" w14:textId="77777777" w:rsidR="008E1EC5" w:rsidRPr="007A0CC1" w:rsidRDefault="008E1EC5" w:rsidP="003C68AF">
            <w:pPr>
              <w:pStyle w:val="BodyText"/>
            </w:pPr>
          </w:p>
        </w:tc>
        <w:tc>
          <w:tcPr>
            <w:tcW w:w="7221" w:type="dxa"/>
          </w:tcPr>
          <w:p w14:paraId="0B967062" w14:textId="087525E4" w:rsidR="008E1EC5" w:rsidRPr="00425482" w:rsidRDefault="008E1EC5" w:rsidP="00E00F47">
            <w:pPr>
              <w:jc w:val="both"/>
              <w:rPr>
                <w:rFonts w:eastAsia="Times New Roman" w:cs="Arial"/>
                <w:kern w:val="28"/>
                <w:sz w:val="22"/>
                <w:szCs w:val="20"/>
              </w:rPr>
            </w:pPr>
            <w:r w:rsidRPr="00672F1C">
              <w:rPr>
                <w:rFonts w:eastAsia="Times New Roman" w:cs="Arial"/>
                <w:kern w:val="28"/>
                <w:sz w:val="22"/>
                <w:szCs w:val="20"/>
              </w:rPr>
              <w:t>The fiscal deficit is projected to fall to 5.2 percent of GDP for 2017</w:t>
            </w:r>
            <w:r>
              <w:rPr>
                <w:rFonts w:eastAsia="Times New Roman" w:cs="Arial"/>
                <w:kern w:val="28"/>
                <w:sz w:val="22"/>
                <w:szCs w:val="20"/>
              </w:rPr>
              <w:t xml:space="preserve">. This is </w:t>
            </w:r>
            <w:r w:rsidRPr="00672F1C">
              <w:rPr>
                <w:rFonts w:eastAsia="Times New Roman" w:cs="Arial"/>
                <w:kern w:val="28"/>
                <w:sz w:val="22"/>
                <w:szCs w:val="20"/>
              </w:rPr>
              <w:t xml:space="preserve">thanks to the impact of VAT changes in its first full year. </w:t>
            </w:r>
            <w:r>
              <w:rPr>
                <w:rFonts w:eastAsia="Times New Roman" w:cs="Arial"/>
                <w:kern w:val="28"/>
                <w:sz w:val="22"/>
                <w:szCs w:val="20"/>
              </w:rPr>
              <w:t xml:space="preserve">In outer years, the new Inland Revenue Act is expected to expand the tax base for corporate and personal income tax while shifting from tax holidays to a performance-based incentive regime, where the incentives depend on actual rather than promised investment. </w:t>
            </w:r>
            <w:r w:rsidRPr="00672F1C">
              <w:rPr>
                <w:rFonts w:eastAsia="Times New Roman" w:cs="Arial"/>
                <w:kern w:val="28"/>
                <w:sz w:val="22"/>
                <w:szCs w:val="20"/>
              </w:rPr>
              <w:t>Further revenue increasing policy measures, especially on corporate and personal income tax, along with improved tax administration will help increase revenues</w:t>
            </w:r>
            <w:r w:rsidR="000205D7">
              <w:rPr>
                <w:rFonts w:eastAsia="Times New Roman" w:cs="Arial"/>
                <w:kern w:val="28"/>
                <w:sz w:val="22"/>
                <w:szCs w:val="20"/>
              </w:rPr>
              <w:t xml:space="preserve">. On the expenditure side, </w:t>
            </w:r>
            <w:r w:rsidR="00E00F47">
              <w:rPr>
                <w:rFonts w:eastAsia="Times New Roman" w:cs="Arial"/>
                <w:kern w:val="28"/>
                <w:sz w:val="22"/>
                <w:szCs w:val="20"/>
              </w:rPr>
              <w:t>staff projects the increased fiscal space will benefit primarily public investment</w:t>
            </w:r>
            <w:r w:rsidR="000205D7">
              <w:rPr>
                <w:rFonts w:eastAsia="Times New Roman" w:cs="Arial"/>
                <w:kern w:val="28"/>
                <w:sz w:val="22"/>
                <w:szCs w:val="20"/>
              </w:rPr>
              <w:t xml:space="preserve">, assuming </w:t>
            </w:r>
            <w:r w:rsidR="000205D7" w:rsidRPr="00672F1C">
              <w:rPr>
                <w:rFonts w:eastAsia="Times New Roman" w:cs="Arial"/>
                <w:kern w:val="28"/>
                <w:sz w:val="22"/>
                <w:szCs w:val="20"/>
              </w:rPr>
              <w:t xml:space="preserve">no major </w:t>
            </w:r>
            <w:r w:rsidR="000205D7">
              <w:rPr>
                <w:rFonts w:eastAsia="Times New Roman" w:cs="Arial"/>
                <w:kern w:val="28"/>
                <w:sz w:val="22"/>
                <w:szCs w:val="20"/>
              </w:rPr>
              <w:t>additional re</w:t>
            </w:r>
            <w:r w:rsidR="000205D7" w:rsidRPr="00672F1C">
              <w:rPr>
                <w:rFonts w:eastAsia="Times New Roman" w:cs="Arial"/>
                <w:kern w:val="28"/>
                <w:sz w:val="22"/>
                <w:szCs w:val="20"/>
              </w:rPr>
              <w:t xml:space="preserve">current expenditure </w:t>
            </w:r>
            <w:r w:rsidR="000205D7">
              <w:rPr>
                <w:rFonts w:eastAsia="Times New Roman" w:cs="Arial"/>
                <w:kern w:val="28"/>
                <w:sz w:val="22"/>
                <w:szCs w:val="20"/>
              </w:rPr>
              <w:t xml:space="preserve">commitments. Under this baseline, the fiscal deficit to </w:t>
            </w:r>
            <w:r w:rsidR="00E00F47">
              <w:rPr>
                <w:rFonts w:eastAsia="Times New Roman" w:cs="Arial"/>
                <w:kern w:val="28"/>
                <w:sz w:val="22"/>
                <w:szCs w:val="20"/>
              </w:rPr>
              <w:t xml:space="preserve">narrow </w:t>
            </w:r>
            <w:r w:rsidRPr="00672F1C">
              <w:rPr>
                <w:rFonts w:eastAsia="Times New Roman" w:cs="Arial"/>
                <w:kern w:val="28"/>
                <w:sz w:val="22"/>
                <w:szCs w:val="20"/>
              </w:rPr>
              <w:t xml:space="preserve">the deficit to 3.5 of GDP by 2020. </w:t>
            </w:r>
            <w:r w:rsidR="00E00F47">
              <w:rPr>
                <w:rFonts w:eastAsia="Times New Roman" w:cs="Arial"/>
                <w:kern w:val="28"/>
                <w:sz w:val="22"/>
                <w:szCs w:val="20"/>
              </w:rPr>
              <w:t>The primary fiscal balance is projected to become marginally positive in 2017.</w:t>
            </w:r>
          </w:p>
        </w:tc>
      </w:tr>
    </w:tbl>
    <w:p w14:paraId="413498E6" w14:textId="77777777" w:rsidR="008E1EC5" w:rsidRDefault="008E1EC5" w:rsidP="008E1EC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8E1EC5" w:rsidRPr="007A0CC1" w14:paraId="6AA10824" w14:textId="77777777" w:rsidTr="003C68AF">
        <w:tc>
          <w:tcPr>
            <w:tcW w:w="2020" w:type="dxa"/>
          </w:tcPr>
          <w:p w14:paraId="19DA9157" w14:textId="1F0F6250" w:rsidR="008E1EC5" w:rsidRPr="007A0CC1" w:rsidRDefault="000205D7" w:rsidP="003C68AF">
            <w:pPr>
              <w:pStyle w:val="BodyText"/>
              <w:rPr>
                <w:b/>
              </w:rPr>
            </w:pPr>
            <w:r>
              <w:rPr>
                <w:b/>
              </w:rPr>
              <w:t xml:space="preserve">Public debt levels are projected to fall, provided fiscal consolidation remains on track. </w:t>
            </w:r>
          </w:p>
        </w:tc>
        <w:tc>
          <w:tcPr>
            <w:tcW w:w="145" w:type="dxa"/>
          </w:tcPr>
          <w:p w14:paraId="71066BA7" w14:textId="77777777" w:rsidR="008E1EC5" w:rsidRPr="007A0CC1" w:rsidRDefault="008E1EC5" w:rsidP="003C68AF">
            <w:pPr>
              <w:pStyle w:val="BodyText"/>
            </w:pPr>
          </w:p>
        </w:tc>
        <w:tc>
          <w:tcPr>
            <w:tcW w:w="7221" w:type="dxa"/>
          </w:tcPr>
          <w:p w14:paraId="1E5CD696" w14:textId="788D971F" w:rsidR="008E1EC5" w:rsidRPr="00425482" w:rsidRDefault="00E00F47" w:rsidP="008B65D8">
            <w:pPr>
              <w:jc w:val="both"/>
              <w:rPr>
                <w:rFonts w:eastAsia="Times New Roman" w:cs="Arial"/>
                <w:kern w:val="28"/>
                <w:sz w:val="22"/>
                <w:szCs w:val="20"/>
              </w:rPr>
            </w:pPr>
            <w:r>
              <w:rPr>
                <w:rFonts w:eastAsia="Times New Roman" w:cs="Arial"/>
                <w:kern w:val="28"/>
                <w:sz w:val="22"/>
                <w:szCs w:val="20"/>
              </w:rPr>
              <w:t xml:space="preserve">This </w:t>
            </w:r>
            <w:r w:rsidR="008E1EC5" w:rsidRPr="00672F1C">
              <w:rPr>
                <w:rFonts w:eastAsia="Times New Roman" w:cs="Arial"/>
                <w:kern w:val="28"/>
                <w:sz w:val="22"/>
                <w:szCs w:val="20"/>
              </w:rPr>
              <w:t xml:space="preserve">continued fiscal consolidation </w:t>
            </w:r>
            <w:r>
              <w:rPr>
                <w:rFonts w:eastAsia="Times New Roman" w:cs="Arial"/>
                <w:kern w:val="28"/>
                <w:sz w:val="22"/>
                <w:szCs w:val="20"/>
              </w:rPr>
              <w:t xml:space="preserve">is projected </w:t>
            </w:r>
            <w:r w:rsidR="008E1EC5" w:rsidRPr="00672F1C">
              <w:rPr>
                <w:rFonts w:eastAsia="Times New Roman" w:cs="Arial"/>
                <w:kern w:val="28"/>
                <w:sz w:val="22"/>
                <w:szCs w:val="20"/>
              </w:rPr>
              <w:t xml:space="preserve">to bring the </w:t>
            </w:r>
            <w:r w:rsidR="008E1EC5">
              <w:rPr>
                <w:rFonts w:eastAsia="Times New Roman" w:cs="Arial"/>
                <w:kern w:val="28"/>
                <w:sz w:val="22"/>
                <w:szCs w:val="20"/>
              </w:rPr>
              <w:t xml:space="preserve">public </w:t>
            </w:r>
            <w:r w:rsidR="008E1EC5" w:rsidRPr="00672F1C">
              <w:rPr>
                <w:rFonts w:eastAsia="Times New Roman" w:cs="Arial"/>
                <w:kern w:val="28"/>
                <w:sz w:val="22"/>
                <w:szCs w:val="20"/>
              </w:rPr>
              <w:t>debt burden on a downward path again. Fiscal discipline is even more important in an environment of</w:t>
            </w:r>
            <w:r w:rsidR="008E1EC5">
              <w:rPr>
                <w:rFonts w:eastAsia="Times New Roman" w:cs="Arial"/>
                <w:kern w:val="28"/>
                <w:sz w:val="22"/>
                <w:szCs w:val="20"/>
              </w:rPr>
              <w:t xml:space="preserve"> rising domestic interest rates</w:t>
            </w:r>
            <w:r>
              <w:rPr>
                <w:rFonts w:eastAsia="Times New Roman" w:cs="Arial"/>
                <w:kern w:val="28"/>
                <w:sz w:val="22"/>
                <w:szCs w:val="20"/>
              </w:rPr>
              <w:t xml:space="preserve">, </w:t>
            </w:r>
            <w:r w:rsidR="000205D7">
              <w:rPr>
                <w:rFonts w:eastAsia="Times New Roman" w:cs="Arial"/>
                <w:kern w:val="28"/>
                <w:sz w:val="22"/>
                <w:szCs w:val="20"/>
              </w:rPr>
              <w:t xml:space="preserve">an expected gradual </w:t>
            </w:r>
            <w:r w:rsidR="008E1EC5" w:rsidRPr="00672F1C">
              <w:rPr>
                <w:rFonts w:eastAsia="Times New Roman" w:cs="Arial"/>
                <w:kern w:val="28"/>
                <w:sz w:val="22"/>
                <w:szCs w:val="20"/>
              </w:rPr>
              <w:t xml:space="preserve">tightening </w:t>
            </w:r>
            <w:r w:rsidR="000205D7">
              <w:rPr>
                <w:rFonts w:eastAsia="Times New Roman" w:cs="Arial"/>
                <w:kern w:val="28"/>
                <w:sz w:val="22"/>
                <w:szCs w:val="20"/>
              </w:rPr>
              <w:t xml:space="preserve">of </w:t>
            </w:r>
            <w:r w:rsidR="008E1EC5" w:rsidRPr="00672F1C">
              <w:rPr>
                <w:rFonts w:eastAsia="Times New Roman" w:cs="Arial"/>
                <w:kern w:val="28"/>
                <w:sz w:val="22"/>
                <w:szCs w:val="20"/>
              </w:rPr>
              <w:t>global financial conditions</w:t>
            </w:r>
            <w:r>
              <w:rPr>
                <w:rFonts w:eastAsia="Times New Roman" w:cs="Arial"/>
                <w:kern w:val="28"/>
                <w:sz w:val="22"/>
                <w:szCs w:val="20"/>
              </w:rPr>
              <w:t xml:space="preserve"> and an expected gradual deprec</w:t>
            </w:r>
            <w:r w:rsidR="007525AF">
              <w:rPr>
                <w:rFonts w:eastAsia="Times New Roman" w:cs="Arial"/>
                <w:kern w:val="28"/>
                <w:sz w:val="22"/>
                <w:szCs w:val="20"/>
              </w:rPr>
              <w:t>i</w:t>
            </w:r>
            <w:r>
              <w:rPr>
                <w:rFonts w:eastAsia="Times New Roman" w:cs="Arial"/>
                <w:kern w:val="28"/>
                <w:sz w:val="22"/>
                <w:szCs w:val="20"/>
              </w:rPr>
              <w:t>ation of the exchange rate, as the central bank moves to inflation targeting</w:t>
            </w:r>
            <w:r w:rsidR="008E1EC5" w:rsidRPr="00672F1C">
              <w:rPr>
                <w:rFonts w:eastAsia="Times New Roman" w:cs="Arial"/>
                <w:kern w:val="28"/>
                <w:sz w:val="22"/>
                <w:szCs w:val="20"/>
              </w:rPr>
              <w:t xml:space="preserve">. </w:t>
            </w:r>
            <w:r>
              <w:rPr>
                <w:rFonts w:eastAsia="Times New Roman" w:cs="Arial"/>
                <w:kern w:val="28"/>
                <w:sz w:val="22"/>
                <w:szCs w:val="20"/>
              </w:rPr>
              <w:t>Under the baseline scenario</w:t>
            </w:r>
            <w:r w:rsidR="003A3328">
              <w:rPr>
                <w:rFonts w:eastAsia="Times New Roman" w:cs="Arial"/>
                <w:kern w:val="28"/>
                <w:sz w:val="22"/>
                <w:szCs w:val="20"/>
              </w:rPr>
              <w:t>,</w:t>
            </w:r>
            <w:r>
              <w:rPr>
                <w:rFonts w:eastAsia="Times New Roman" w:cs="Arial"/>
                <w:kern w:val="28"/>
                <w:sz w:val="22"/>
                <w:szCs w:val="20"/>
              </w:rPr>
              <w:t xml:space="preserve"> this would return the debt-to-GDP ratio to 72 percent of GDP by 2020. </w:t>
            </w:r>
            <w:r w:rsidR="003A3328">
              <w:rPr>
                <w:rFonts w:eastAsia="Times New Roman" w:cs="Arial"/>
                <w:kern w:val="28"/>
                <w:sz w:val="22"/>
                <w:szCs w:val="20"/>
              </w:rPr>
              <w:t xml:space="preserve">However, this is subject to shocks. </w:t>
            </w:r>
            <w:r>
              <w:rPr>
                <w:rFonts w:eastAsia="Times New Roman" w:cs="Arial"/>
                <w:kern w:val="28"/>
                <w:sz w:val="22"/>
                <w:szCs w:val="20"/>
              </w:rPr>
              <w:t xml:space="preserve">A </w:t>
            </w:r>
            <w:r w:rsidR="003A3328">
              <w:rPr>
                <w:rFonts w:eastAsia="Times New Roman" w:cs="Arial"/>
                <w:kern w:val="28"/>
                <w:sz w:val="22"/>
                <w:szCs w:val="20"/>
              </w:rPr>
              <w:t xml:space="preserve">shock to the </w:t>
            </w:r>
            <w:r>
              <w:rPr>
                <w:rFonts w:eastAsia="Times New Roman" w:cs="Arial"/>
                <w:kern w:val="28"/>
                <w:sz w:val="22"/>
                <w:szCs w:val="20"/>
              </w:rPr>
              <w:t>growth</w:t>
            </w:r>
            <w:r w:rsidR="003A3328">
              <w:rPr>
                <w:rFonts w:eastAsia="Times New Roman" w:cs="Arial"/>
                <w:kern w:val="28"/>
                <w:sz w:val="22"/>
                <w:szCs w:val="20"/>
              </w:rPr>
              <w:t xml:space="preserve"> rate</w:t>
            </w:r>
            <w:r w:rsidR="00C14911">
              <w:rPr>
                <w:rFonts w:eastAsia="Times New Roman" w:cs="Arial"/>
                <w:kern w:val="28"/>
                <w:sz w:val="22"/>
                <w:szCs w:val="20"/>
              </w:rPr>
              <w:t xml:space="preserve"> or </w:t>
            </w:r>
            <w:r>
              <w:rPr>
                <w:rFonts w:eastAsia="Times New Roman" w:cs="Arial"/>
                <w:kern w:val="28"/>
                <w:sz w:val="22"/>
                <w:szCs w:val="20"/>
              </w:rPr>
              <w:t xml:space="preserve">exchange rate would </w:t>
            </w:r>
            <w:r w:rsidR="00C14911">
              <w:rPr>
                <w:rFonts w:eastAsia="Times New Roman" w:cs="Arial"/>
                <w:kern w:val="28"/>
                <w:sz w:val="22"/>
                <w:szCs w:val="20"/>
              </w:rPr>
              <w:t>widen the fiscal deficit (Figure 1</w:t>
            </w:r>
            <w:r w:rsidR="008B65D8">
              <w:rPr>
                <w:rFonts w:eastAsia="Times New Roman" w:cs="Arial"/>
                <w:kern w:val="28"/>
                <w:sz w:val="22"/>
                <w:szCs w:val="20"/>
              </w:rPr>
              <w:t>5</w:t>
            </w:r>
            <w:r w:rsidR="00C14911">
              <w:rPr>
                <w:rFonts w:eastAsia="Times New Roman" w:cs="Arial"/>
                <w:kern w:val="28"/>
                <w:sz w:val="22"/>
                <w:szCs w:val="20"/>
              </w:rPr>
              <w:t>) and would mainly affect the path of public debt (Figure 1</w:t>
            </w:r>
            <w:r w:rsidR="008B65D8">
              <w:rPr>
                <w:rFonts w:eastAsia="Times New Roman" w:cs="Arial"/>
                <w:kern w:val="28"/>
                <w:sz w:val="22"/>
                <w:szCs w:val="20"/>
              </w:rPr>
              <w:t>6</w:t>
            </w:r>
            <w:r w:rsidR="00C14911">
              <w:rPr>
                <w:rFonts w:eastAsia="Times New Roman" w:cs="Arial"/>
                <w:kern w:val="28"/>
                <w:sz w:val="22"/>
                <w:szCs w:val="20"/>
              </w:rPr>
              <w:t>)</w:t>
            </w:r>
            <w:r w:rsidR="00FD6667">
              <w:rPr>
                <w:rFonts w:eastAsia="Times New Roman" w:cs="Arial"/>
                <w:kern w:val="28"/>
                <w:sz w:val="22"/>
                <w:szCs w:val="20"/>
              </w:rPr>
              <w:t>.</w:t>
            </w:r>
            <w:r w:rsidR="00017F86">
              <w:rPr>
                <w:rStyle w:val="FootnoteReference"/>
                <w:rFonts w:eastAsia="Times New Roman" w:cs="Arial"/>
                <w:kern w:val="28"/>
                <w:sz w:val="22"/>
                <w:szCs w:val="20"/>
              </w:rPr>
              <w:footnoteReference w:id="30"/>
            </w:r>
            <w:r w:rsidR="00FD6667">
              <w:rPr>
                <w:rFonts w:eastAsia="Times New Roman" w:cs="Arial"/>
                <w:kern w:val="28"/>
                <w:sz w:val="22"/>
                <w:szCs w:val="20"/>
              </w:rPr>
              <w:t xml:space="preserve"> In addition, </w:t>
            </w:r>
            <w:r w:rsidR="00322B4C">
              <w:rPr>
                <w:rFonts w:eastAsia="Times New Roman" w:cs="Arial"/>
                <w:kern w:val="28"/>
                <w:sz w:val="22"/>
                <w:szCs w:val="20"/>
              </w:rPr>
              <w:t xml:space="preserve">there is a risk that guarantees and other contingent liabilities are called. </w:t>
            </w:r>
          </w:p>
        </w:tc>
      </w:tr>
    </w:tbl>
    <w:p w14:paraId="35056811" w14:textId="77777777" w:rsidR="00727AC0" w:rsidRDefault="00727AC0" w:rsidP="00727AC0">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gridCol w:w="14"/>
        <w:gridCol w:w="4756"/>
      </w:tblGrid>
      <w:tr w:rsidR="00727AC0" w:rsidRPr="00525702" w14:paraId="0239F129" w14:textId="77777777" w:rsidTr="00E039D2">
        <w:trPr>
          <w:trHeight w:val="218"/>
        </w:trPr>
        <w:tc>
          <w:tcPr>
            <w:tcW w:w="4694" w:type="dxa"/>
            <w:gridSpan w:val="2"/>
            <w:tcBorders>
              <w:top w:val="nil"/>
              <w:left w:val="nil"/>
              <w:bottom w:val="dotted" w:sz="4" w:space="0" w:color="0C4DA2"/>
              <w:right w:val="nil"/>
            </w:tcBorders>
            <w:hideMark/>
          </w:tcPr>
          <w:p w14:paraId="2B761A63" w14:textId="68D04839" w:rsidR="00727AC0" w:rsidRPr="006229D9" w:rsidRDefault="00523CE8" w:rsidP="00E039D2">
            <w:pPr>
              <w:pStyle w:val="Caption"/>
            </w:pPr>
            <w:bookmarkStart w:id="103" w:name="_Toc485822662"/>
            <w:r w:rsidRPr="006229D9">
              <w:t xml:space="preserve">Figure </w:t>
            </w:r>
            <w:fldSimple w:instr=" SEQ Figure \* ARABIC ">
              <w:r w:rsidR="00A12655">
                <w:rPr>
                  <w:noProof/>
                </w:rPr>
                <w:t>15</w:t>
              </w:r>
            </w:fldSimple>
            <w:r>
              <w:t xml:space="preserve">: </w:t>
            </w:r>
            <w:r w:rsidR="00C14911">
              <w:t>Fiscal balance</w:t>
            </w:r>
            <w:bookmarkEnd w:id="103"/>
          </w:p>
          <w:p w14:paraId="6CDF0302" w14:textId="37CDD2A3" w:rsidR="00727AC0" w:rsidRPr="00CE0CC3" w:rsidRDefault="00727AC0" w:rsidP="00E039D2">
            <w:pPr>
              <w:pStyle w:val="IEQ-chart-subcaption"/>
              <w:ind w:left="0"/>
            </w:pPr>
            <w:r w:rsidRPr="00CE0CC3">
              <w:t>(</w:t>
            </w:r>
            <w:r w:rsidRPr="00B225B0">
              <w:t>Percent</w:t>
            </w:r>
            <w:r w:rsidR="007574DA">
              <w:t xml:space="preserve"> of GDP</w:t>
            </w:r>
            <w:r w:rsidRPr="00CE0CC3">
              <w:t>)</w:t>
            </w:r>
          </w:p>
        </w:tc>
        <w:tc>
          <w:tcPr>
            <w:tcW w:w="4756" w:type="dxa"/>
            <w:tcBorders>
              <w:top w:val="nil"/>
              <w:left w:val="nil"/>
              <w:bottom w:val="dotted" w:sz="4" w:space="0" w:color="0C4DA2"/>
              <w:right w:val="nil"/>
            </w:tcBorders>
            <w:hideMark/>
          </w:tcPr>
          <w:p w14:paraId="428342A9" w14:textId="0358B72C" w:rsidR="00727AC0" w:rsidRDefault="00523CE8" w:rsidP="00E039D2">
            <w:pPr>
              <w:pStyle w:val="Caption"/>
            </w:pPr>
            <w:bookmarkStart w:id="104" w:name="_Toc485822663"/>
            <w:r w:rsidRPr="006229D9">
              <w:t xml:space="preserve">Figure </w:t>
            </w:r>
            <w:fldSimple w:instr=" SEQ Figure \* ARABIC ">
              <w:r w:rsidR="00A12655">
                <w:rPr>
                  <w:noProof/>
                </w:rPr>
                <w:t>16</w:t>
              </w:r>
            </w:fldSimple>
            <w:r>
              <w:t xml:space="preserve">: </w:t>
            </w:r>
            <w:r w:rsidR="00C14911">
              <w:t>Public Debt</w:t>
            </w:r>
            <w:bookmarkEnd w:id="104"/>
          </w:p>
          <w:p w14:paraId="40A12CA1" w14:textId="49EFEED2" w:rsidR="00727AC0" w:rsidRPr="00525702" w:rsidRDefault="00727AC0" w:rsidP="00E039D2">
            <w:pPr>
              <w:pStyle w:val="IEQ-chart-subcaption"/>
              <w:ind w:left="0"/>
            </w:pPr>
            <w:r w:rsidRPr="00525702">
              <w:t>(</w:t>
            </w:r>
            <w:r w:rsidRPr="00B225B0">
              <w:t>Percent</w:t>
            </w:r>
            <w:r w:rsidR="007574DA">
              <w:t xml:space="preserve"> of GDP</w:t>
            </w:r>
            <w:r w:rsidRPr="00525702">
              <w:t>)</w:t>
            </w:r>
          </w:p>
        </w:tc>
      </w:tr>
      <w:tr w:rsidR="00727AC0" w14:paraId="3D6B243E" w14:textId="77777777" w:rsidTr="00E039D2">
        <w:tblPrEx>
          <w:tblCellMar>
            <w:left w:w="108" w:type="dxa"/>
            <w:right w:w="108" w:type="dxa"/>
          </w:tblCellMar>
        </w:tblPrEx>
        <w:trPr>
          <w:trHeight w:val="3518"/>
        </w:trPr>
        <w:tc>
          <w:tcPr>
            <w:tcW w:w="4694" w:type="dxa"/>
            <w:gridSpan w:val="2"/>
            <w:tcBorders>
              <w:top w:val="dotted" w:sz="4" w:space="0" w:color="0C4DA2"/>
              <w:left w:val="nil"/>
              <w:bottom w:val="dotted" w:sz="4" w:space="0" w:color="0C4DA2"/>
              <w:right w:val="nil"/>
            </w:tcBorders>
            <w:hideMark/>
          </w:tcPr>
          <w:p w14:paraId="03E56F1D" w14:textId="62ACDA76" w:rsidR="00727AC0" w:rsidRPr="00ED6AB4" w:rsidRDefault="001E01CA" w:rsidP="00E039D2">
            <w:pPr>
              <w:rPr>
                <w:rFonts w:ascii="Arial" w:hAnsi="Arial" w:cs="Arial"/>
                <w:i/>
                <w:sz w:val="16"/>
                <w:szCs w:val="16"/>
              </w:rPr>
            </w:pPr>
            <w:r w:rsidRPr="001E01CA">
              <w:rPr>
                <w:rFonts w:ascii="Arial" w:hAnsi="Arial" w:cs="Arial"/>
                <w:i/>
                <w:noProof/>
                <w:sz w:val="16"/>
                <w:szCs w:val="16"/>
              </w:rPr>
              <w:drawing>
                <wp:inline distT="0" distB="0" distL="0" distR="0" wp14:anchorId="37E18813" wp14:editId="53258D5C">
                  <wp:extent cx="2843530" cy="2082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3530" cy="2082800"/>
                          </a:xfrm>
                          <a:prstGeom prst="rect">
                            <a:avLst/>
                          </a:prstGeom>
                          <a:noFill/>
                          <a:ln>
                            <a:noFill/>
                          </a:ln>
                        </pic:spPr>
                      </pic:pic>
                    </a:graphicData>
                  </a:graphic>
                </wp:inline>
              </w:drawing>
            </w:r>
          </w:p>
        </w:tc>
        <w:tc>
          <w:tcPr>
            <w:tcW w:w="4756" w:type="dxa"/>
            <w:tcBorders>
              <w:top w:val="dotted" w:sz="4" w:space="0" w:color="0C4DA2"/>
              <w:left w:val="nil"/>
              <w:bottom w:val="dotted" w:sz="4" w:space="0" w:color="0C4DA2"/>
              <w:right w:val="nil"/>
            </w:tcBorders>
            <w:hideMark/>
          </w:tcPr>
          <w:p w14:paraId="13E46E60" w14:textId="6398F80E" w:rsidR="00727AC0" w:rsidRPr="00ED6AB4" w:rsidRDefault="00361955" w:rsidP="00E039D2">
            <w:pPr>
              <w:ind w:hanging="92"/>
              <w:jc w:val="right"/>
              <w:rPr>
                <w:rFonts w:ascii="Arial" w:hAnsi="Arial" w:cs="Arial"/>
                <w:sz w:val="16"/>
                <w:szCs w:val="16"/>
              </w:rPr>
            </w:pPr>
            <w:r w:rsidRPr="00361955">
              <w:rPr>
                <w:rFonts w:ascii="Arial" w:hAnsi="Arial" w:cs="Arial"/>
                <w:noProof/>
                <w:sz w:val="16"/>
                <w:szCs w:val="16"/>
              </w:rPr>
              <w:drawing>
                <wp:inline distT="0" distB="0" distL="0" distR="0" wp14:anchorId="7717EF47" wp14:editId="7B0AACED">
                  <wp:extent cx="2880360" cy="20929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360" cy="2092960"/>
                          </a:xfrm>
                          <a:prstGeom prst="rect">
                            <a:avLst/>
                          </a:prstGeom>
                          <a:noFill/>
                          <a:ln>
                            <a:noFill/>
                          </a:ln>
                        </pic:spPr>
                      </pic:pic>
                    </a:graphicData>
                  </a:graphic>
                </wp:inline>
              </w:drawing>
            </w:r>
          </w:p>
        </w:tc>
      </w:tr>
      <w:tr w:rsidR="004268E9" w14:paraId="6C1B335E" w14:textId="77777777" w:rsidTr="004246DE">
        <w:trPr>
          <w:trHeight w:val="98"/>
        </w:trPr>
        <w:tc>
          <w:tcPr>
            <w:tcW w:w="4680" w:type="dxa"/>
            <w:tcBorders>
              <w:top w:val="dotted" w:sz="4" w:space="0" w:color="0C4DA2"/>
              <w:left w:val="nil"/>
              <w:bottom w:val="nil"/>
              <w:right w:val="nil"/>
            </w:tcBorders>
            <w:hideMark/>
          </w:tcPr>
          <w:p w14:paraId="7F28EDC2" w14:textId="77777777" w:rsidR="004268E9" w:rsidRDefault="004268E9" w:rsidP="003C40AE">
            <w:pPr>
              <w:pStyle w:val="IEQSources-notes"/>
            </w:pPr>
            <w:r w:rsidRPr="00CE0CC3">
              <w:t xml:space="preserve">Source: </w:t>
            </w:r>
            <w:r>
              <w:t>Staff projections</w:t>
            </w:r>
          </w:p>
        </w:tc>
        <w:tc>
          <w:tcPr>
            <w:tcW w:w="4770" w:type="dxa"/>
            <w:gridSpan w:val="2"/>
            <w:tcBorders>
              <w:top w:val="dotted" w:sz="4" w:space="0" w:color="0C4DA2"/>
              <w:left w:val="nil"/>
              <w:bottom w:val="nil"/>
              <w:right w:val="nil"/>
            </w:tcBorders>
          </w:tcPr>
          <w:p w14:paraId="525A4523" w14:textId="5A26C24B" w:rsidR="004268E9" w:rsidRDefault="004268E9" w:rsidP="003C40AE">
            <w:pPr>
              <w:pStyle w:val="IEQSources-notes"/>
            </w:pPr>
            <w:r w:rsidRPr="004268E9">
              <w:t>Source: Staff projections</w:t>
            </w:r>
          </w:p>
        </w:tc>
      </w:tr>
    </w:tbl>
    <w:p w14:paraId="45713558" w14:textId="2FB5AFA2" w:rsidR="003A3328" w:rsidRPr="000A41D0" w:rsidRDefault="003A3328" w:rsidP="00AA374D">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AA374D" w:rsidRPr="000A41D0" w14:paraId="621EFBAA" w14:textId="77777777" w:rsidTr="00D070D3">
        <w:tc>
          <w:tcPr>
            <w:tcW w:w="2020" w:type="dxa"/>
          </w:tcPr>
          <w:p w14:paraId="797D97D5" w14:textId="67CE813E" w:rsidR="00AA374D" w:rsidRPr="00BA50DD" w:rsidRDefault="00672F1C" w:rsidP="00D070D3">
            <w:pPr>
              <w:pStyle w:val="BodyText"/>
              <w:rPr>
                <w:b/>
              </w:rPr>
            </w:pPr>
            <w:r w:rsidRPr="00672F1C">
              <w:rPr>
                <w:b/>
              </w:rPr>
              <w:t>The external current account deficit will remain unchanged for 2017 and widen marginally in the outer years.</w:t>
            </w:r>
          </w:p>
        </w:tc>
        <w:tc>
          <w:tcPr>
            <w:tcW w:w="145" w:type="dxa"/>
          </w:tcPr>
          <w:p w14:paraId="6236BF16" w14:textId="77777777" w:rsidR="00AA374D" w:rsidRPr="000A41D0" w:rsidRDefault="00AA374D" w:rsidP="00D070D3">
            <w:pPr>
              <w:pStyle w:val="BodyText"/>
            </w:pPr>
          </w:p>
        </w:tc>
        <w:tc>
          <w:tcPr>
            <w:tcW w:w="7221" w:type="dxa"/>
          </w:tcPr>
          <w:p w14:paraId="694DA0CE" w14:textId="06004F90" w:rsidR="00AA374D" w:rsidRPr="000A41D0" w:rsidRDefault="00672F1C" w:rsidP="000E2CE3">
            <w:pPr>
              <w:pStyle w:val="BodyText"/>
              <w:jc w:val="both"/>
            </w:pPr>
            <w:r w:rsidRPr="00672F1C">
              <w:t xml:space="preserve">With an improving external environment, with accelerating growth in the US and EU and a recovery in the Middle Eastern countries (see </w:t>
            </w:r>
            <w:r w:rsidR="000E2CE3">
              <w:t>Box 3</w:t>
            </w:r>
            <w:r w:rsidRPr="00672F1C">
              <w:t>), the external environmental for Sri Lanka has improved, which would be favorable for exports, further tourism growth and for the stability of remittances.</w:t>
            </w:r>
            <w:r w:rsidR="000A5B10">
              <w:t xml:space="preserve"> </w:t>
            </w:r>
            <w:r w:rsidRPr="00672F1C">
              <w:t xml:space="preserve">This may compensate the lingering impact of the 2016 drought manifested through a decline in exports and increase in petroleum imports. In outer years, while Sri Lanka will continue to benefit from continued tourism growth and the benefits of </w:t>
            </w:r>
            <w:r w:rsidR="003A4EF8">
              <w:t xml:space="preserve">the EU’s </w:t>
            </w:r>
            <w:r w:rsidRPr="00672F1C">
              <w:t>GSP+, recovering global commodity prices and external interest payments will lead to a</w:t>
            </w:r>
            <w:r w:rsidR="000A5B10">
              <w:t xml:space="preserve"> </w:t>
            </w:r>
            <w:r w:rsidRPr="00672F1C">
              <w:t xml:space="preserve">widening deficit. These projections do not yet take into account the impact of intended structural reforms </w:t>
            </w:r>
            <w:r w:rsidRPr="00672F1C">
              <w:lastRenderedPageBreak/>
              <w:t>and the expected signing of trade agreements, which would be an upside risk to exports.</w:t>
            </w:r>
          </w:p>
        </w:tc>
      </w:tr>
    </w:tbl>
    <w:p w14:paraId="59A99A20" w14:textId="3FE8D1B7" w:rsidR="00AA374D" w:rsidRPr="000A41D0" w:rsidRDefault="00AA374D" w:rsidP="00AA374D">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AA374D" w:rsidRPr="000A41D0" w14:paraId="459E4946" w14:textId="77777777" w:rsidTr="00D070D3">
        <w:tc>
          <w:tcPr>
            <w:tcW w:w="2020" w:type="dxa"/>
          </w:tcPr>
          <w:p w14:paraId="5A8A90A5" w14:textId="1410BCFC" w:rsidR="00AA374D" w:rsidRDefault="00AA374D" w:rsidP="00D070D3">
            <w:pPr>
              <w:pStyle w:val="BodyText"/>
              <w:rPr>
                <w:b/>
              </w:rPr>
            </w:pPr>
            <w:r>
              <w:rPr>
                <w:b/>
              </w:rPr>
              <w:t xml:space="preserve">With </w:t>
            </w:r>
            <w:r w:rsidR="000129FF">
              <w:rPr>
                <w:b/>
              </w:rPr>
              <w:t>e</w:t>
            </w:r>
            <w:r w:rsidR="00425482">
              <w:rPr>
                <w:b/>
              </w:rPr>
              <w:t>mphasis on market forex purchases</w:t>
            </w:r>
            <w:r>
              <w:rPr>
                <w:b/>
              </w:rPr>
              <w:t>, external buffers are to improve</w:t>
            </w:r>
            <w:r w:rsidR="000129FF">
              <w:rPr>
                <w:b/>
              </w:rPr>
              <w:t xml:space="preserve"> in 2017</w:t>
            </w:r>
            <w:r w:rsidRPr="00774384">
              <w:rPr>
                <w:b/>
              </w:rPr>
              <w:t>.</w:t>
            </w:r>
          </w:p>
          <w:p w14:paraId="10DBEDAD" w14:textId="77777777" w:rsidR="00AA374D" w:rsidRPr="00BA50DD" w:rsidRDefault="00AA374D" w:rsidP="00D070D3">
            <w:pPr>
              <w:pStyle w:val="BodyText"/>
              <w:rPr>
                <w:b/>
              </w:rPr>
            </w:pPr>
          </w:p>
        </w:tc>
        <w:tc>
          <w:tcPr>
            <w:tcW w:w="145" w:type="dxa"/>
          </w:tcPr>
          <w:p w14:paraId="6039B041" w14:textId="77777777" w:rsidR="00AA374D" w:rsidRPr="000A41D0" w:rsidRDefault="00AA374D" w:rsidP="00D070D3">
            <w:pPr>
              <w:pStyle w:val="BodyText"/>
            </w:pPr>
          </w:p>
        </w:tc>
        <w:tc>
          <w:tcPr>
            <w:tcW w:w="7221" w:type="dxa"/>
          </w:tcPr>
          <w:p w14:paraId="202BA67A" w14:textId="756CF337" w:rsidR="00AA374D" w:rsidRPr="000A41D0" w:rsidRDefault="000129FF" w:rsidP="00486F5F">
            <w:pPr>
              <w:pStyle w:val="BodyText"/>
              <w:jc w:val="both"/>
            </w:pPr>
            <w:r>
              <w:t>Inflows to the government and</w:t>
            </w:r>
            <w:r w:rsidRPr="00487DF3">
              <w:t xml:space="preserve"> FDI inflows will help closing the external financing needs with no Eurobond falling due in 201</w:t>
            </w:r>
            <w:r>
              <w:t>7</w:t>
            </w:r>
            <w:r w:rsidRPr="00487DF3">
              <w:t xml:space="preserve">. </w:t>
            </w:r>
            <w:r w:rsidR="00425482" w:rsidRPr="004313C5">
              <w:t xml:space="preserve">A pick up in FDI is projected with </w:t>
            </w:r>
            <w:r w:rsidR="00425482">
              <w:t xml:space="preserve">a boost received from the Colombo </w:t>
            </w:r>
            <w:r w:rsidR="00672F1C">
              <w:t>International Financial Centre project</w:t>
            </w:r>
            <w:r w:rsidR="00425482">
              <w:t xml:space="preserve"> and earmarked large investment projects</w:t>
            </w:r>
            <w:r w:rsidR="00425482" w:rsidRPr="004313C5">
              <w:t xml:space="preserve">. </w:t>
            </w:r>
            <w:r w:rsidR="00425482">
              <w:t xml:space="preserve">External buffers are projected to improve, with emphasis placed on purchasing foreign exchange, maintaining a more market-determined exchange rate, using monetary policy and the sale of selected government assets. Supported by forex </w:t>
            </w:r>
            <w:r w:rsidR="00672F1C">
              <w:t>disbursements under the</w:t>
            </w:r>
            <w:r w:rsidR="00425482">
              <w:t xml:space="preserve"> IMF E</w:t>
            </w:r>
            <w:r w:rsidR="00672F1C">
              <w:t>F</w:t>
            </w:r>
            <w:r w:rsidR="00425482">
              <w:t xml:space="preserve">F, project loans, other multilateral borrowings and planned sovereign bonds, the official reserve cover to imports of goods and services is projected to increase above 3.7 months by 2018. </w:t>
            </w:r>
            <w:r w:rsidR="00AA374D" w:rsidRPr="004313C5">
              <w:t xml:space="preserve">In the outer years, </w:t>
            </w:r>
            <w:r w:rsidR="00672F1C" w:rsidRPr="0046277A">
              <w:t>unless export</w:t>
            </w:r>
            <w:r w:rsidR="00486F5F">
              <w:t xml:space="preserve"> and FDI growth accelerates</w:t>
            </w:r>
            <w:r w:rsidR="00AA374D" w:rsidRPr="0046277A">
              <w:t xml:space="preserve">, </w:t>
            </w:r>
            <w:r w:rsidR="00AA374D" w:rsidRPr="004313C5">
              <w:t>more external borrowing will be neede</w:t>
            </w:r>
            <w:r w:rsidR="00AA374D">
              <w:t>d when large repayments are due in Eurobonds issued by the government and the state banks. Emphasis, therefore, is needed on improving non-debt creating forex flows in the financial account.</w:t>
            </w:r>
          </w:p>
        </w:tc>
      </w:tr>
    </w:tbl>
    <w:p w14:paraId="55E977E9" w14:textId="77777777" w:rsidR="008E1EC5" w:rsidRDefault="008E1EC5" w:rsidP="00AA374D">
      <w:pPr>
        <w:pStyle w:val="BodyText"/>
      </w:pPr>
    </w:p>
    <w:tbl>
      <w:tblPr>
        <w:tblStyle w:val="TableGrid"/>
        <w:tblW w:w="9360" w:type="dxa"/>
        <w:tblInd w:w="-215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43" w:type="dxa"/>
          <w:right w:w="43" w:type="dxa"/>
        </w:tblCellMar>
        <w:tblLook w:val="01E0" w:firstRow="1" w:lastRow="1" w:firstColumn="1" w:lastColumn="1" w:noHBand="0" w:noVBand="0"/>
      </w:tblPr>
      <w:tblGrid>
        <w:gridCol w:w="9360"/>
      </w:tblGrid>
      <w:tr w:rsidR="0063133E" w:rsidRPr="000A41D0" w14:paraId="2D5CEB20" w14:textId="77777777" w:rsidTr="003C68AF">
        <w:trPr>
          <w:trHeight w:val="216"/>
        </w:trPr>
        <w:tc>
          <w:tcPr>
            <w:tcW w:w="9360" w:type="dxa"/>
            <w:tcBorders>
              <w:top w:val="nil"/>
              <w:left w:val="nil"/>
              <w:bottom w:val="nil"/>
              <w:right w:val="nil"/>
            </w:tcBorders>
            <w:shd w:val="clear" w:color="auto" w:fill="0C4DA2"/>
          </w:tcPr>
          <w:p w14:paraId="24F6DBD9" w14:textId="63F621F4" w:rsidR="0063133E" w:rsidRPr="004D523C" w:rsidRDefault="0063133E" w:rsidP="003C40AE">
            <w:pPr>
              <w:pStyle w:val="Boxcaption-Dev-Update"/>
              <w:ind w:left="0"/>
            </w:pPr>
            <w:r w:rsidRPr="000A41D0">
              <w:br w:type="page"/>
            </w:r>
            <w:bookmarkStart w:id="105" w:name="_Toc485824097"/>
            <w:r w:rsidRPr="003C40AE">
              <w:rPr>
                <w:sz w:val="22"/>
              </w:rPr>
              <w:t>Box 3</w:t>
            </w:r>
            <w:r w:rsidR="005B5671">
              <w:rPr>
                <w:sz w:val="22"/>
              </w:rPr>
              <w:t>:</w:t>
            </w:r>
            <w:r w:rsidRPr="003C40AE">
              <w:rPr>
                <w:sz w:val="22"/>
              </w:rPr>
              <w:t xml:space="preserve"> Global economic context</w:t>
            </w:r>
            <w:bookmarkEnd w:id="105"/>
            <w:r w:rsidRPr="003C40AE">
              <w:rPr>
                <w:sz w:val="22"/>
              </w:rPr>
              <w:t xml:space="preserve"> </w:t>
            </w:r>
          </w:p>
        </w:tc>
      </w:tr>
      <w:tr w:rsidR="0063133E" w:rsidRPr="000A41D0" w14:paraId="654B4C25" w14:textId="77777777" w:rsidTr="003C68AF">
        <w:tblPrEx>
          <w:tblCellMar>
            <w:left w:w="108" w:type="dxa"/>
            <w:right w:w="108" w:type="dxa"/>
          </w:tblCellMar>
        </w:tblPrEx>
        <w:trPr>
          <w:trHeight w:val="369"/>
        </w:trPr>
        <w:tc>
          <w:tcPr>
            <w:tcW w:w="9360" w:type="dxa"/>
            <w:tcBorders>
              <w:top w:val="nil"/>
              <w:left w:val="nil"/>
              <w:bottom w:val="nil"/>
              <w:right w:val="nil"/>
            </w:tcBorders>
            <w:shd w:val="clear" w:color="auto" w:fill="DBE5F1" w:themeFill="accent1" w:themeFillTint="33"/>
          </w:tcPr>
          <w:p w14:paraId="476FB2A9" w14:textId="77777777" w:rsidR="00523CE8" w:rsidRPr="004246DE" w:rsidRDefault="00523CE8" w:rsidP="004246DE">
            <w:pPr>
              <w:ind w:left="0"/>
              <w:jc w:val="both"/>
              <w:rPr>
                <w:rFonts w:cs="Arial"/>
                <w:b/>
                <w:sz w:val="16"/>
                <w:szCs w:val="16"/>
              </w:rPr>
            </w:pPr>
          </w:p>
          <w:p w14:paraId="60B4F58D" w14:textId="4EA913F6" w:rsidR="0063133E" w:rsidRDefault="0063133E" w:rsidP="003C68AF">
            <w:pPr>
              <w:spacing w:after="120"/>
              <w:ind w:left="0"/>
              <w:jc w:val="both"/>
              <w:rPr>
                <w:rFonts w:cs="Arial"/>
                <w:sz w:val="22"/>
                <w:szCs w:val="22"/>
              </w:rPr>
            </w:pPr>
            <w:r w:rsidRPr="00C11406">
              <w:rPr>
                <w:rFonts w:cs="Arial"/>
                <w:b/>
                <w:sz w:val="22"/>
                <w:szCs w:val="22"/>
              </w:rPr>
              <w:t>Growth and prices:</w:t>
            </w:r>
            <w:r>
              <w:rPr>
                <w:rFonts w:cs="Arial"/>
                <w:sz w:val="22"/>
                <w:szCs w:val="22"/>
              </w:rPr>
              <w:t xml:space="preserve"> </w:t>
            </w:r>
            <w:r w:rsidRPr="0046277A">
              <w:rPr>
                <w:rFonts w:cs="Arial"/>
                <w:b/>
                <w:sz w:val="22"/>
              </w:rPr>
              <w:t>Global growth</w:t>
            </w:r>
            <w:r w:rsidRPr="00960645">
              <w:rPr>
                <w:rFonts w:cs="Arial"/>
                <w:sz w:val="22"/>
                <w:szCs w:val="22"/>
              </w:rPr>
              <w:t xml:space="preserve"> is firming, contributing to an</w:t>
            </w:r>
            <w:r>
              <w:rPr>
                <w:rFonts w:cs="Arial"/>
                <w:sz w:val="22"/>
                <w:szCs w:val="22"/>
              </w:rPr>
              <w:t xml:space="preserve"> </w:t>
            </w:r>
            <w:r w:rsidRPr="00960645">
              <w:rPr>
                <w:rFonts w:cs="Arial"/>
                <w:sz w:val="22"/>
                <w:szCs w:val="22"/>
              </w:rPr>
              <w:t>improvement in confidence. A recovery in</w:t>
            </w:r>
            <w:r>
              <w:rPr>
                <w:rFonts w:cs="Arial"/>
                <w:sz w:val="22"/>
                <w:szCs w:val="22"/>
              </w:rPr>
              <w:t xml:space="preserve"> </w:t>
            </w:r>
            <w:r w:rsidRPr="00960645">
              <w:rPr>
                <w:rFonts w:cs="Arial"/>
                <w:sz w:val="22"/>
                <w:szCs w:val="22"/>
              </w:rPr>
              <w:t>industrial activity has coincided with a pick-up in</w:t>
            </w:r>
            <w:r>
              <w:rPr>
                <w:rFonts w:cs="Arial"/>
                <w:sz w:val="22"/>
                <w:szCs w:val="22"/>
              </w:rPr>
              <w:t xml:space="preserve"> </w:t>
            </w:r>
            <w:r w:rsidRPr="00960645">
              <w:rPr>
                <w:rFonts w:cs="Arial"/>
                <w:sz w:val="22"/>
                <w:szCs w:val="22"/>
              </w:rPr>
              <w:t>global trade, after two years of marked weakness. In emerging market and developing</w:t>
            </w:r>
            <w:r>
              <w:rPr>
                <w:rFonts w:cs="Arial"/>
                <w:sz w:val="22"/>
                <w:szCs w:val="22"/>
              </w:rPr>
              <w:t xml:space="preserve"> </w:t>
            </w:r>
            <w:r w:rsidRPr="00960645">
              <w:rPr>
                <w:rFonts w:cs="Arial"/>
                <w:sz w:val="22"/>
                <w:szCs w:val="22"/>
              </w:rPr>
              <w:t>economies (EMDEs), obstacles to growth among</w:t>
            </w:r>
            <w:r>
              <w:rPr>
                <w:rFonts w:cs="Arial"/>
                <w:sz w:val="22"/>
                <w:szCs w:val="22"/>
              </w:rPr>
              <w:t xml:space="preserve"> </w:t>
            </w:r>
            <w:r w:rsidRPr="00960645">
              <w:rPr>
                <w:rFonts w:cs="Arial"/>
                <w:sz w:val="22"/>
                <w:szCs w:val="22"/>
              </w:rPr>
              <w:t>commodity exporters are gradually diminishing,</w:t>
            </w:r>
            <w:r>
              <w:rPr>
                <w:rFonts w:cs="Arial"/>
                <w:sz w:val="22"/>
                <w:szCs w:val="22"/>
              </w:rPr>
              <w:t xml:space="preserve"> </w:t>
            </w:r>
            <w:r w:rsidRPr="00960645">
              <w:rPr>
                <w:rFonts w:cs="Arial"/>
                <w:sz w:val="22"/>
                <w:szCs w:val="22"/>
              </w:rPr>
              <w:t>while activity in commodity importers remains</w:t>
            </w:r>
            <w:r>
              <w:rPr>
                <w:rFonts w:cs="Arial"/>
                <w:sz w:val="22"/>
                <w:szCs w:val="22"/>
              </w:rPr>
              <w:t xml:space="preserve"> </w:t>
            </w:r>
            <w:r w:rsidRPr="00960645">
              <w:rPr>
                <w:rFonts w:cs="Arial"/>
                <w:sz w:val="22"/>
                <w:szCs w:val="22"/>
              </w:rPr>
              <w:t>generally robust. As a result, and despite</w:t>
            </w:r>
            <w:r>
              <w:rPr>
                <w:rFonts w:cs="Arial"/>
                <w:sz w:val="22"/>
                <w:szCs w:val="22"/>
              </w:rPr>
              <w:t xml:space="preserve"> </w:t>
            </w:r>
            <w:r w:rsidRPr="00960645">
              <w:rPr>
                <w:rFonts w:cs="Arial"/>
                <w:sz w:val="22"/>
                <w:szCs w:val="22"/>
              </w:rPr>
              <w:t>substantial policy uncertainty, global growth is</w:t>
            </w:r>
            <w:r>
              <w:rPr>
                <w:rFonts w:cs="Arial"/>
                <w:sz w:val="22"/>
                <w:szCs w:val="22"/>
              </w:rPr>
              <w:t xml:space="preserve"> </w:t>
            </w:r>
            <w:r w:rsidRPr="00960645">
              <w:rPr>
                <w:rFonts w:cs="Arial"/>
                <w:sz w:val="22"/>
                <w:szCs w:val="22"/>
              </w:rPr>
              <w:t>projected to accelerate to 2.7 percent in 2017, up</w:t>
            </w:r>
            <w:r>
              <w:rPr>
                <w:rFonts w:cs="Arial"/>
                <w:sz w:val="22"/>
                <w:szCs w:val="22"/>
              </w:rPr>
              <w:t xml:space="preserve"> </w:t>
            </w:r>
            <w:r w:rsidRPr="00960645">
              <w:rPr>
                <w:rFonts w:cs="Arial"/>
                <w:sz w:val="22"/>
                <w:szCs w:val="22"/>
              </w:rPr>
              <w:t>from a post-crisis low of 2.4 percent in 2016,</w:t>
            </w:r>
            <w:r>
              <w:rPr>
                <w:rFonts w:cs="Arial"/>
                <w:sz w:val="22"/>
                <w:szCs w:val="22"/>
              </w:rPr>
              <w:t xml:space="preserve"> </w:t>
            </w:r>
            <w:r w:rsidRPr="00960645">
              <w:rPr>
                <w:rFonts w:cs="Arial"/>
                <w:sz w:val="22"/>
                <w:szCs w:val="22"/>
              </w:rPr>
              <w:t>before strengthening further to 2.9 percent in</w:t>
            </w:r>
            <w:r>
              <w:rPr>
                <w:rFonts w:cs="Arial"/>
                <w:sz w:val="22"/>
                <w:szCs w:val="22"/>
              </w:rPr>
              <w:t xml:space="preserve"> </w:t>
            </w:r>
            <w:r w:rsidRPr="00960645">
              <w:rPr>
                <w:rFonts w:cs="Arial"/>
                <w:sz w:val="22"/>
                <w:szCs w:val="22"/>
              </w:rPr>
              <w:t>2018-19</w:t>
            </w:r>
            <w:r w:rsidR="00C14911">
              <w:rPr>
                <w:rFonts w:cs="Arial"/>
                <w:sz w:val="22"/>
                <w:szCs w:val="22"/>
              </w:rPr>
              <w:t xml:space="preserve"> (Table 3.1)</w:t>
            </w:r>
            <w:r>
              <w:rPr>
                <w:rFonts w:cs="Arial"/>
                <w:sz w:val="22"/>
                <w:szCs w:val="22"/>
              </w:rPr>
              <w:t xml:space="preserve">. </w:t>
            </w:r>
            <w:r w:rsidRPr="00975FAB">
              <w:rPr>
                <w:rFonts w:cs="Arial"/>
                <w:b/>
                <w:sz w:val="22"/>
              </w:rPr>
              <w:t>Commodity prices</w:t>
            </w:r>
            <w:r w:rsidRPr="00C11406">
              <w:rPr>
                <w:rFonts w:cs="Arial"/>
                <w:sz w:val="22"/>
                <w:szCs w:val="22"/>
              </w:rPr>
              <w:t xml:space="preserve"> have</w:t>
            </w:r>
            <w:r>
              <w:rPr>
                <w:rFonts w:cs="Arial"/>
                <w:sz w:val="22"/>
                <w:szCs w:val="22"/>
              </w:rPr>
              <w:t xml:space="preserve"> </w:t>
            </w:r>
            <w:r w:rsidRPr="00C11406">
              <w:rPr>
                <w:rFonts w:cs="Arial"/>
                <w:sz w:val="22"/>
                <w:szCs w:val="22"/>
              </w:rPr>
              <w:t>continued to rise moderately, although prospects</w:t>
            </w:r>
            <w:r>
              <w:rPr>
                <w:rFonts w:cs="Arial"/>
                <w:sz w:val="22"/>
                <w:szCs w:val="22"/>
              </w:rPr>
              <w:t xml:space="preserve"> </w:t>
            </w:r>
            <w:r w:rsidRPr="00C11406">
              <w:rPr>
                <w:rFonts w:cs="Arial"/>
                <w:sz w:val="22"/>
                <w:szCs w:val="22"/>
              </w:rPr>
              <w:t>for increased U.S. shale oil production are</w:t>
            </w:r>
            <w:r>
              <w:rPr>
                <w:rFonts w:cs="Arial"/>
                <w:sz w:val="22"/>
                <w:szCs w:val="22"/>
              </w:rPr>
              <w:t xml:space="preserve"> </w:t>
            </w:r>
            <w:r w:rsidRPr="00C11406">
              <w:rPr>
                <w:rFonts w:cs="Arial"/>
                <w:sz w:val="22"/>
                <w:szCs w:val="22"/>
              </w:rPr>
              <w:t>weighing on the outlook for oil prices.</w:t>
            </w:r>
          </w:p>
          <w:p w14:paraId="03AAF60A" w14:textId="77777777" w:rsidR="003A4EF8" w:rsidRDefault="0063133E" w:rsidP="00975FAB">
            <w:pPr>
              <w:spacing w:after="120"/>
              <w:ind w:left="0"/>
              <w:jc w:val="both"/>
              <w:rPr>
                <w:rFonts w:cs="Arial"/>
                <w:sz w:val="22"/>
                <w:szCs w:val="22"/>
              </w:rPr>
            </w:pPr>
            <w:r w:rsidRPr="00C11406">
              <w:rPr>
                <w:rFonts w:cs="Arial"/>
                <w:b/>
                <w:sz w:val="22"/>
                <w:szCs w:val="22"/>
              </w:rPr>
              <w:t>Financial markets:</w:t>
            </w:r>
            <w:r>
              <w:rPr>
                <w:rFonts w:cs="Arial"/>
                <w:sz w:val="22"/>
                <w:szCs w:val="22"/>
              </w:rPr>
              <w:t xml:space="preserve"> </w:t>
            </w:r>
            <w:r w:rsidRPr="00C11406">
              <w:rPr>
                <w:rFonts w:cs="Arial"/>
                <w:sz w:val="22"/>
                <w:szCs w:val="22"/>
              </w:rPr>
              <w:t>Global financing conditions have been benign and</w:t>
            </w:r>
            <w:r>
              <w:rPr>
                <w:rFonts w:cs="Arial"/>
                <w:sz w:val="22"/>
                <w:szCs w:val="22"/>
              </w:rPr>
              <w:t xml:space="preserve"> </w:t>
            </w:r>
            <w:r w:rsidRPr="00C11406">
              <w:rPr>
                <w:rFonts w:cs="Arial"/>
                <w:sz w:val="22"/>
                <w:szCs w:val="22"/>
              </w:rPr>
              <w:t>benefited from improving market expectations</w:t>
            </w:r>
            <w:r>
              <w:rPr>
                <w:rFonts w:cs="Arial"/>
                <w:sz w:val="22"/>
                <w:szCs w:val="22"/>
              </w:rPr>
              <w:t xml:space="preserve"> </w:t>
            </w:r>
            <w:r w:rsidRPr="00C11406">
              <w:rPr>
                <w:rFonts w:cs="Arial"/>
                <w:sz w:val="22"/>
                <w:szCs w:val="22"/>
              </w:rPr>
              <w:t>about growth prospects. Financial market</w:t>
            </w:r>
            <w:r>
              <w:rPr>
                <w:rFonts w:cs="Arial"/>
                <w:sz w:val="22"/>
                <w:szCs w:val="22"/>
              </w:rPr>
              <w:t xml:space="preserve"> </w:t>
            </w:r>
            <w:r w:rsidRPr="00C11406">
              <w:rPr>
                <w:rFonts w:cs="Arial"/>
                <w:sz w:val="22"/>
                <w:szCs w:val="22"/>
              </w:rPr>
              <w:t>volatility has been low despite elevated policy</w:t>
            </w:r>
            <w:r>
              <w:rPr>
                <w:rFonts w:cs="Arial"/>
                <w:sz w:val="22"/>
                <w:szCs w:val="22"/>
              </w:rPr>
              <w:t xml:space="preserve"> </w:t>
            </w:r>
            <w:r w:rsidRPr="00C11406">
              <w:rPr>
                <w:rFonts w:cs="Arial"/>
                <w:sz w:val="22"/>
                <w:szCs w:val="22"/>
              </w:rPr>
              <w:t>uncertainty, reflecting investor risk appetite and,</w:t>
            </w:r>
            <w:r>
              <w:rPr>
                <w:rFonts w:cs="Arial"/>
                <w:sz w:val="22"/>
                <w:szCs w:val="22"/>
              </w:rPr>
              <w:t xml:space="preserve"> </w:t>
            </w:r>
            <w:r w:rsidRPr="00C11406">
              <w:rPr>
                <w:rFonts w:cs="Arial"/>
                <w:sz w:val="22"/>
                <w:szCs w:val="22"/>
              </w:rPr>
              <w:t>perhaps, some level of market complacency.</w:t>
            </w:r>
            <w:r>
              <w:rPr>
                <w:rFonts w:cs="Arial"/>
                <w:sz w:val="22"/>
                <w:szCs w:val="22"/>
              </w:rPr>
              <w:t xml:space="preserve"> </w:t>
            </w:r>
            <w:r w:rsidRPr="00C11406">
              <w:rPr>
                <w:rFonts w:cs="Arial"/>
                <w:sz w:val="22"/>
                <w:szCs w:val="22"/>
              </w:rPr>
              <w:t>Renewed risk appetite has supported EMDE</w:t>
            </w:r>
            <w:r>
              <w:rPr>
                <w:rFonts w:cs="Arial"/>
                <w:sz w:val="22"/>
                <w:szCs w:val="22"/>
              </w:rPr>
              <w:t xml:space="preserve"> </w:t>
            </w:r>
            <w:r w:rsidRPr="00C11406">
              <w:rPr>
                <w:rFonts w:cs="Arial"/>
                <w:sz w:val="22"/>
                <w:szCs w:val="22"/>
              </w:rPr>
              <w:t>financial markets and led to a narrowing of</w:t>
            </w:r>
            <w:r>
              <w:rPr>
                <w:rFonts w:cs="Arial"/>
                <w:sz w:val="22"/>
                <w:szCs w:val="22"/>
              </w:rPr>
              <w:t xml:space="preserve"> </w:t>
            </w:r>
            <w:r w:rsidRPr="00C11406">
              <w:rPr>
                <w:rFonts w:cs="Arial"/>
                <w:sz w:val="22"/>
                <w:szCs w:val="22"/>
              </w:rPr>
              <w:t>corporate bond spreads globally. Capital inflows to</w:t>
            </w:r>
            <w:r>
              <w:rPr>
                <w:rFonts w:cs="Arial"/>
                <w:sz w:val="22"/>
                <w:szCs w:val="22"/>
              </w:rPr>
              <w:t xml:space="preserve"> </w:t>
            </w:r>
            <w:r w:rsidRPr="00C11406">
              <w:rPr>
                <w:rFonts w:cs="Arial"/>
                <w:sz w:val="22"/>
                <w:szCs w:val="22"/>
              </w:rPr>
              <w:t>EMDEs were robust in the first half of 2017,</w:t>
            </w:r>
            <w:r>
              <w:rPr>
                <w:rFonts w:cs="Arial"/>
                <w:sz w:val="22"/>
                <w:szCs w:val="22"/>
              </w:rPr>
              <w:t xml:space="preserve"> </w:t>
            </w:r>
            <w:r w:rsidRPr="00C11406">
              <w:rPr>
                <w:rFonts w:cs="Arial"/>
                <w:sz w:val="22"/>
                <w:szCs w:val="22"/>
              </w:rPr>
              <w:t>partly in a rebound from late-2016 weakness.</w:t>
            </w:r>
            <w:r>
              <w:rPr>
                <w:rFonts w:cs="Arial"/>
                <w:sz w:val="22"/>
                <w:szCs w:val="22"/>
              </w:rPr>
              <w:t xml:space="preserve"> </w:t>
            </w:r>
            <w:r w:rsidRPr="00C11406">
              <w:rPr>
                <w:rFonts w:cs="Arial"/>
                <w:sz w:val="22"/>
                <w:szCs w:val="22"/>
              </w:rPr>
              <w:t>Over time, however, a gradual tightening of</w:t>
            </w:r>
            <w:r>
              <w:rPr>
                <w:rFonts w:cs="Arial"/>
                <w:sz w:val="22"/>
                <w:szCs w:val="22"/>
              </w:rPr>
              <w:t xml:space="preserve"> </w:t>
            </w:r>
            <w:r w:rsidRPr="00C11406">
              <w:rPr>
                <w:rFonts w:cs="Arial"/>
                <w:sz w:val="22"/>
                <w:szCs w:val="22"/>
              </w:rPr>
              <w:t>international financing conditions may weigh on</w:t>
            </w:r>
            <w:r>
              <w:rPr>
                <w:rFonts w:cs="Arial"/>
                <w:sz w:val="22"/>
                <w:szCs w:val="22"/>
              </w:rPr>
              <w:t xml:space="preserve"> </w:t>
            </w:r>
            <w:r w:rsidRPr="00C11406">
              <w:rPr>
                <w:rFonts w:cs="Arial"/>
                <w:sz w:val="22"/>
                <w:szCs w:val="22"/>
              </w:rPr>
              <w:t>capital flows to EMDEs.</w:t>
            </w:r>
          </w:p>
          <w:p w14:paraId="574D9910" w14:textId="77777777" w:rsidR="0063133E" w:rsidRDefault="0063133E" w:rsidP="003C68AF">
            <w:pPr>
              <w:spacing w:after="120"/>
              <w:ind w:left="0"/>
              <w:jc w:val="both"/>
              <w:rPr>
                <w:rFonts w:cs="Arial"/>
                <w:sz w:val="22"/>
                <w:szCs w:val="22"/>
              </w:rPr>
            </w:pPr>
            <w:r w:rsidRPr="00C11406">
              <w:rPr>
                <w:rFonts w:cs="Arial"/>
                <w:b/>
                <w:sz w:val="22"/>
                <w:szCs w:val="22"/>
              </w:rPr>
              <w:t>Risks:</w:t>
            </w:r>
            <w:r>
              <w:rPr>
                <w:rFonts w:cs="Arial"/>
                <w:sz w:val="22"/>
                <w:szCs w:val="22"/>
              </w:rPr>
              <w:t xml:space="preserve"> </w:t>
            </w:r>
            <w:r w:rsidRPr="00C11406">
              <w:rPr>
                <w:rFonts w:cs="Arial"/>
                <w:sz w:val="22"/>
                <w:szCs w:val="22"/>
              </w:rPr>
              <w:t>Substantial risks cloud this outlook, despite the</w:t>
            </w:r>
            <w:r>
              <w:rPr>
                <w:rFonts w:cs="Arial"/>
                <w:sz w:val="22"/>
                <w:szCs w:val="22"/>
              </w:rPr>
              <w:t xml:space="preserve"> </w:t>
            </w:r>
            <w:r w:rsidRPr="00C11406">
              <w:rPr>
                <w:rFonts w:cs="Arial"/>
                <w:sz w:val="22"/>
                <w:szCs w:val="22"/>
              </w:rPr>
              <w:t>possibility of fiscal stimulus in some major</w:t>
            </w:r>
            <w:r>
              <w:rPr>
                <w:rFonts w:cs="Arial"/>
                <w:sz w:val="22"/>
                <w:szCs w:val="22"/>
              </w:rPr>
              <w:t xml:space="preserve"> </w:t>
            </w:r>
            <w:r w:rsidRPr="00C11406">
              <w:rPr>
                <w:rFonts w:cs="Arial"/>
                <w:sz w:val="22"/>
                <w:szCs w:val="22"/>
              </w:rPr>
              <w:t>advanced economies, particularly the United</w:t>
            </w:r>
            <w:r>
              <w:rPr>
                <w:rFonts w:cs="Arial"/>
                <w:sz w:val="22"/>
                <w:szCs w:val="22"/>
              </w:rPr>
              <w:t xml:space="preserve"> </w:t>
            </w:r>
            <w:r w:rsidRPr="00C11406">
              <w:rPr>
                <w:rFonts w:cs="Arial"/>
                <w:sz w:val="22"/>
                <w:szCs w:val="22"/>
              </w:rPr>
              <w:t>States. Escalating trade restrictions</w:t>
            </w:r>
            <w:r>
              <w:rPr>
                <w:rFonts w:cs="Arial"/>
                <w:sz w:val="22"/>
                <w:szCs w:val="22"/>
              </w:rPr>
              <w:t xml:space="preserve"> </w:t>
            </w:r>
            <w:r w:rsidRPr="00C11406">
              <w:rPr>
                <w:rFonts w:cs="Arial"/>
                <w:sz w:val="22"/>
                <w:szCs w:val="22"/>
              </w:rPr>
              <w:t>could derail a fragile recovery in trade and undo</w:t>
            </w:r>
            <w:r>
              <w:rPr>
                <w:rFonts w:cs="Arial"/>
                <w:sz w:val="22"/>
                <w:szCs w:val="22"/>
              </w:rPr>
              <w:t xml:space="preserve"> </w:t>
            </w:r>
            <w:r w:rsidRPr="00C11406">
              <w:rPr>
                <w:rFonts w:cs="Arial"/>
                <w:sz w:val="22"/>
                <w:szCs w:val="22"/>
              </w:rPr>
              <w:t>gains from past liberalization efforts. A further</w:t>
            </w:r>
            <w:r>
              <w:rPr>
                <w:rFonts w:cs="Arial"/>
                <w:sz w:val="22"/>
                <w:szCs w:val="22"/>
              </w:rPr>
              <w:t xml:space="preserve"> </w:t>
            </w:r>
            <w:r w:rsidRPr="00C11406">
              <w:rPr>
                <w:rFonts w:cs="Arial"/>
                <w:sz w:val="22"/>
                <w:szCs w:val="22"/>
              </w:rPr>
              <w:t>increase in policy uncertainty from already high</w:t>
            </w:r>
            <w:r>
              <w:rPr>
                <w:rFonts w:cs="Arial"/>
                <w:sz w:val="22"/>
                <w:szCs w:val="22"/>
              </w:rPr>
              <w:t xml:space="preserve"> </w:t>
            </w:r>
            <w:r w:rsidRPr="00C11406">
              <w:rPr>
                <w:rFonts w:cs="Arial"/>
                <w:sz w:val="22"/>
                <w:szCs w:val="22"/>
              </w:rPr>
              <w:t>levels could dampen confidence and investment</w:t>
            </w:r>
            <w:r>
              <w:rPr>
                <w:rFonts w:cs="Arial"/>
                <w:sz w:val="22"/>
                <w:szCs w:val="22"/>
              </w:rPr>
              <w:t xml:space="preserve"> </w:t>
            </w:r>
            <w:r w:rsidRPr="00C11406">
              <w:rPr>
                <w:rFonts w:cs="Arial"/>
                <w:sz w:val="22"/>
                <w:szCs w:val="22"/>
              </w:rPr>
              <w:t>and trigger financial market stress, after a period of</w:t>
            </w:r>
            <w:r>
              <w:rPr>
                <w:rFonts w:cs="Arial"/>
                <w:sz w:val="22"/>
                <w:szCs w:val="22"/>
              </w:rPr>
              <w:t xml:space="preserve"> </w:t>
            </w:r>
            <w:r w:rsidRPr="00C11406">
              <w:rPr>
                <w:rFonts w:cs="Arial"/>
                <w:sz w:val="22"/>
                <w:szCs w:val="22"/>
              </w:rPr>
              <w:t>unusually low financial market volatility. Market</w:t>
            </w:r>
            <w:r>
              <w:rPr>
                <w:rFonts w:cs="Arial"/>
                <w:sz w:val="22"/>
                <w:szCs w:val="22"/>
              </w:rPr>
              <w:t xml:space="preserve"> </w:t>
            </w:r>
            <w:r w:rsidRPr="00C11406">
              <w:rPr>
                <w:rFonts w:cs="Arial"/>
                <w:sz w:val="22"/>
                <w:szCs w:val="22"/>
              </w:rPr>
              <w:t>reassessment of advanced-economy monetary</w:t>
            </w:r>
            <w:r>
              <w:rPr>
                <w:rFonts w:cs="Arial"/>
                <w:sz w:val="22"/>
                <w:szCs w:val="22"/>
              </w:rPr>
              <w:t xml:space="preserve"> </w:t>
            </w:r>
            <w:r w:rsidRPr="00C11406">
              <w:rPr>
                <w:rFonts w:cs="Arial"/>
                <w:sz w:val="22"/>
                <w:szCs w:val="22"/>
              </w:rPr>
              <w:t>policy, or disorderly exchange rate developments,</w:t>
            </w:r>
            <w:r>
              <w:rPr>
                <w:rFonts w:cs="Arial"/>
                <w:sz w:val="22"/>
                <w:szCs w:val="22"/>
              </w:rPr>
              <w:t xml:space="preserve"> </w:t>
            </w:r>
            <w:r w:rsidRPr="00C11406">
              <w:rPr>
                <w:rFonts w:cs="Arial"/>
                <w:sz w:val="22"/>
                <w:szCs w:val="22"/>
              </w:rPr>
              <w:t>could contribute to swings in EMDE asset prices</w:t>
            </w:r>
            <w:r>
              <w:rPr>
                <w:rFonts w:cs="Arial"/>
                <w:sz w:val="22"/>
                <w:szCs w:val="22"/>
              </w:rPr>
              <w:t xml:space="preserve"> </w:t>
            </w:r>
            <w:r w:rsidRPr="00C11406">
              <w:rPr>
                <w:rFonts w:cs="Arial"/>
                <w:sz w:val="22"/>
                <w:szCs w:val="22"/>
              </w:rPr>
              <w:t>and capital flows, potentially amplified by</w:t>
            </w:r>
            <w:r>
              <w:rPr>
                <w:rFonts w:cs="Arial"/>
                <w:sz w:val="22"/>
                <w:szCs w:val="22"/>
              </w:rPr>
              <w:t xml:space="preserve"> </w:t>
            </w:r>
            <w:r w:rsidRPr="00C11406">
              <w:rPr>
                <w:rFonts w:cs="Arial"/>
                <w:sz w:val="22"/>
                <w:szCs w:val="22"/>
              </w:rPr>
              <w:t>vulnerabilities in some countries. Over the longer</w:t>
            </w:r>
            <w:r>
              <w:rPr>
                <w:rFonts w:cs="Arial"/>
                <w:sz w:val="22"/>
                <w:szCs w:val="22"/>
              </w:rPr>
              <w:t xml:space="preserve"> </w:t>
            </w:r>
            <w:r w:rsidRPr="00C11406">
              <w:rPr>
                <w:rFonts w:cs="Arial"/>
                <w:sz w:val="22"/>
                <w:szCs w:val="22"/>
              </w:rPr>
              <w:t>term, persistent weakness in productivity and</w:t>
            </w:r>
            <w:r>
              <w:rPr>
                <w:rFonts w:cs="Arial"/>
                <w:sz w:val="22"/>
                <w:szCs w:val="22"/>
              </w:rPr>
              <w:t xml:space="preserve"> </w:t>
            </w:r>
            <w:r w:rsidRPr="00C11406">
              <w:rPr>
                <w:rFonts w:cs="Arial"/>
                <w:sz w:val="22"/>
                <w:szCs w:val="22"/>
              </w:rPr>
              <w:t>investment growth would erode potential growth.</w:t>
            </w:r>
          </w:p>
          <w:p w14:paraId="56F5F193" w14:textId="77777777" w:rsidR="0063133E" w:rsidRDefault="0063133E" w:rsidP="003C68AF">
            <w:pPr>
              <w:spacing w:after="120"/>
              <w:ind w:left="0"/>
              <w:jc w:val="both"/>
              <w:rPr>
                <w:rFonts w:cs="Arial"/>
                <w:sz w:val="22"/>
                <w:szCs w:val="22"/>
              </w:rPr>
            </w:pPr>
            <w:r w:rsidRPr="00C11406">
              <w:rPr>
                <w:rFonts w:cs="Arial"/>
                <w:b/>
                <w:sz w:val="22"/>
                <w:szCs w:val="22"/>
              </w:rPr>
              <w:t>Factors affecting EMDE growth prospects</w:t>
            </w:r>
            <w:r>
              <w:rPr>
                <w:rFonts w:cs="Arial"/>
                <w:sz w:val="22"/>
                <w:szCs w:val="22"/>
              </w:rPr>
              <w:t xml:space="preserve">: </w:t>
            </w:r>
            <w:r w:rsidRPr="00C11406">
              <w:rPr>
                <w:rFonts w:cs="Arial"/>
                <w:sz w:val="22"/>
                <w:szCs w:val="22"/>
              </w:rPr>
              <w:t>Even if the expected</w:t>
            </w:r>
            <w:r>
              <w:rPr>
                <w:rFonts w:cs="Arial"/>
                <w:sz w:val="22"/>
                <w:szCs w:val="22"/>
              </w:rPr>
              <w:t xml:space="preserve"> </w:t>
            </w:r>
            <w:r w:rsidRPr="00C11406">
              <w:rPr>
                <w:rFonts w:cs="Arial"/>
                <w:sz w:val="22"/>
                <w:szCs w:val="22"/>
              </w:rPr>
              <w:t>modest rebound in investment across EMDEs</w:t>
            </w:r>
            <w:r>
              <w:rPr>
                <w:rFonts w:cs="Arial"/>
                <w:sz w:val="22"/>
                <w:szCs w:val="22"/>
              </w:rPr>
              <w:t xml:space="preserve"> </w:t>
            </w:r>
            <w:r w:rsidRPr="00C11406">
              <w:rPr>
                <w:rFonts w:cs="Arial"/>
                <w:sz w:val="22"/>
                <w:szCs w:val="22"/>
              </w:rPr>
              <w:t>materializes, slowing capital accumulation in</w:t>
            </w:r>
            <w:r>
              <w:rPr>
                <w:rFonts w:cs="Arial"/>
                <w:sz w:val="22"/>
                <w:szCs w:val="22"/>
              </w:rPr>
              <w:t xml:space="preserve"> </w:t>
            </w:r>
            <w:r w:rsidRPr="00C11406">
              <w:rPr>
                <w:rFonts w:cs="Arial"/>
                <w:sz w:val="22"/>
                <w:szCs w:val="22"/>
              </w:rPr>
              <w:t>recent years may already have reduced potential</w:t>
            </w:r>
            <w:r>
              <w:rPr>
                <w:rFonts w:cs="Arial"/>
                <w:sz w:val="22"/>
                <w:szCs w:val="22"/>
              </w:rPr>
              <w:t xml:space="preserve"> </w:t>
            </w:r>
            <w:r w:rsidRPr="00C11406">
              <w:rPr>
                <w:rFonts w:cs="Arial"/>
                <w:sz w:val="22"/>
                <w:szCs w:val="22"/>
              </w:rPr>
              <w:t>growth.</w:t>
            </w:r>
            <w:r>
              <w:rPr>
                <w:rFonts w:cs="Arial"/>
                <w:sz w:val="22"/>
                <w:szCs w:val="22"/>
              </w:rPr>
              <w:t xml:space="preserve"> Moreover, </w:t>
            </w:r>
            <w:r w:rsidRPr="00C11406">
              <w:rPr>
                <w:rFonts w:cs="Arial"/>
                <w:sz w:val="22"/>
                <w:szCs w:val="22"/>
              </w:rPr>
              <w:t>structural headwinds</w:t>
            </w:r>
            <w:r>
              <w:rPr>
                <w:rFonts w:cs="Arial"/>
                <w:sz w:val="22"/>
                <w:szCs w:val="22"/>
              </w:rPr>
              <w:t xml:space="preserve"> </w:t>
            </w:r>
            <w:r w:rsidRPr="00C11406">
              <w:rPr>
                <w:rFonts w:cs="Arial"/>
                <w:sz w:val="22"/>
                <w:szCs w:val="22"/>
              </w:rPr>
              <w:t>to global trade, worsening demographics, slowing</w:t>
            </w:r>
            <w:r>
              <w:rPr>
                <w:rFonts w:cs="Arial"/>
                <w:sz w:val="22"/>
                <w:szCs w:val="22"/>
              </w:rPr>
              <w:t xml:space="preserve"> </w:t>
            </w:r>
            <w:r w:rsidRPr="00C11406">
              <w:rPr>
                <w:rFonts w:cs="Arial"/>
                <w:sz w:val="22"/>
                <w:szCs w:val="22"/>
              </w:rPr>
              <w:t>productivity growth, and governance and</w:t>
            </w:r>
            <w:r>
              <w:rPr>
                <w:rFonts w:cs="Arial"/>
                <w:sz w:val="22"/>
                <w:szCs w:val="22"/>
              </w:rPr>
              <w:t xml:space="preserve"> institutional challenges could adversely affect EMDE growth.</w:t>
            </w:r>
          </w:p>
          <w:p w14:paraId="3266C4FA" w14:textId="77777777" w:rsidR="00A96F2B" w:rsidRDefault="0063133E" w:rsidP="003C68AF">
            <w:pPr>
              <w:spacing w:after="120"/>
              <w:ind w:left="0"/>
              <w:jc w:val="both"/>
              <w:rPr>
                <w:rFonts w:cs="Arial"/>
                <w:sz w:val="22"/>
                <w:szCs w:val="22"/>
              </w:rPr>
            </w:pPr>
            <w:r w:rsidRPr="00975FAB">
              <w:rPr>
                <w:rFonts w:cs="Arial"/>
                <w:b/>
                <w:sz w:val="22"/>
              </w:rPr>
              <w:t>South Asia:</w:t>
            </w:r>
            <w:r w:rsidRPr="0063133E">
              <w:rPr>
                <w:rFonts w:cs="Arial"/>
                <w:sz w:val="22"/>
                <w:szCs w:val="22"/>
              </w:rPr>
              <w:t xml:space="preserve"> Growth in the region is forecast to pick up to 6.8 percent in 2017 and accelerate to 7.1 percent in 2018, reflecting a solid expansion of domestic demand and exports. Excluding India, regional growth is anticipated to hold steady at 5.7 percent, rising to 5.8 percent, with growth accelerating in Bhutan, Pakistan, and Sri Lanka but easing in Bangladesh and Nepal. India is expected to accelerate to 7.2 percent in fiscal </w:t>
            </w:r>
            <w:r w:rsidRPr="0063133E">
              <w:rPr>
                <w:rFonts w:cs="Arial"/>
                <w:sz w:val="22"/>
                <w:szCs w:val="22"/>
              </w:rPr>
              <w:lastRenderedPageBreak/>
              <w:t>2017 and 7.5 percent in next fiscal year. Pakistan is expected to pick up to a 5.2 percent rate in fiscal 2017</w:t>
            </w:r>
            <w:r w:rsidR="003C37F7">
              <w:rPr>
                <w:rFonts w:cs="Arial"/>
                <w:sz w:val="22"/>
                <w:szCs w:val="22"/>
              </w:rPr>
              <w:t xml:space="preserve"> </w:t>
            </w:r>
            <w:r w:rsidRPr="0063133E">
              <w:rPr>
                <w:rFonts w:cs="Arial"/>
                <w:sz w:val="22"/>
                <w:szCs w:val="22"/>
              </w:rPr>
              <w:t>and to 5.5 percent in the next fiscal year, reflecting an upturn in private investment, increased energy supply, and improved security.</w:t>
            </w:r>
          </w:p>
          <w:p w14:paraId="34416A6C" w14:textId="74B3CF25" w:rsidR="0063133E" w:rsidRPr="004246DE" w:rsidRDefault="00523CE8" w:rsidP="004246DE">
            <w:pPr>
              <w:spacing w:after="120"/>
              <w:ind w:left="0"/>
              <w:jc w:val="center"/>
              <w:rPr>
                <w:rFonts w:cs="Arial"/>
                <w:b/>
                <w:color w:val="0C4DA2"/>
              </w:rPr>
            </w:pPr>
            <w:bookmarkStart w:id="106" w:name="_Toc485822692"/>
            <w:r w:rsidRPr="004246DE">
              <w:rPr>
                <w:b/>
                <w:color w:val="0C4DA2"/>
                <w:szCs w:val="22"/>
              </w:rPr>
              <w:t xml:space="preserve">Table </w:t>
            </w:r>
            <w:r w:rsidRPr="004246DE">
              <w:rPr>
                <w:b/>
                <w:color w:val="0C4DA2"/>
              </w:rPr>
              <w:fldChar w:fldCharType="begin"/>
            </w:r>
            <w:r w:rsidRPr="004246DE">
              <w:rPr>
                <w:b/>
                <w:color w:val="0C4DA2"/>
                <w:szCs w:val="22"/>
              </w:rPr>
              <w:instrText xml:space="preserve"> SEQ Table \* ARABIC </w:instrText>
            </w:r>
            <w:r w:rsidRPr="004246DE">
              <w:rPr>
                <w:b/>
                <w:color w:val="0C4DA2"/>
              </w:rPr>
              <w:fldChar w:fldCharType="separate"/>
            </w:r>
            <w:r w:rsidR="00A12655">
              <w:rPr>
                <w:b/>
                <w:noProof/>
                <w:color w:val="0C4DA2"/>
                <w:szCs w:val="22"/>
              </w:rPr>
              <w:t>3</w:t>
            </w:r>
            <w:r w:rsidRPr="004246DE">
              <w:rPr>
                <w:b/>
                <w:color w:val="0C4DA2"/>
              </w:rPr>
              <w:fldChar w:fldCharType="end"/>
            </w:r>
            <w:r w:rsidRPr="004246DE">
              <w:rPr>
                <w:b/>
                <w:color w:val="0C4DA2"/>
                <w:szCs w:val="22"/>
              </w:rPr>
              <w:t xml:space="preserve">: </w:t>
            </w:r>
            <w:r w:rsidR="00A96F2B" w:rsidRPr="004246DE">
              <w:rPr>
                <w:b/>
                <w:color w:val="0C4DA2"/>
                <w:szCs w:val="22"/>
              </w:rPr>
              <w:t>Growth prospects for key partners of Sri Lanka</w:t>
            </w:r>
            <w:bookmarkEnd w:id="106"/>
          </w:p>
          <w:tbl>
            <w:tblPr>
              <w:tblStyle w:val="PlainTable3"/>
              <w:tblW w:w="8762" w:type="dxa"/>
              <w:tblLayout w:type="fixed"/>
              <w:tblLook w:val="04A0" w:firstRow="1" w:lastRow="0" w:firstColumn="1" w:lastColumn="0" w:noHBand="0" w:noVBand="1"/>
            </w:tblPr>
            <w:tblGrid>
              <w:gridCol w:w="1685"/>
              <w:gridCol w:w="720"/>
              <w:gridCol w:w="994"/>
              <w:gridCol w:w="773"/>
              <w:gridCol w:w="720"/>
              <w:gridCol w:w="810"/>
              <w:gridCol w:w="3060"/>
            </w:tblGrid>
            <w:tr w:rsidR="0063133E" w:rsidRPr="004F1F4D" w14:paraId="6419C582" w14:textId="77777777" w:rsidTr="00273757">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1685" w:type="dxa"/>
                  <w:noWrap/>
                  <w:hideMark/>
                </w:tcPr>
                <w:p w14:paraId="0AA9382E" w14:textId="77777777" w:rsidR="0063133E" w:rsidRPr="004F1F4D" w:rsidRDefault="0063133E" w:rsidP="003C68AF">
                  <w:pPr>
                    <w:rPr>
                      <w:rFonts w:eastAsia="Times New Roman" w:cs="Times New Roman"/>
                      <w:szCs w:val="20"/>
                    </w:rPr>
                  </w:pPr>
                </w:p>
              </w:tc>
              <w:tc>
                <w:tcPr>
                  <w:tcW w:w="720" w:type="dxa"/>
                  <w:noWrap/>
                  <w:hideMark/>
                </w:tcPr>
                <w:p w14:paraId="18DCE46E" w14:textId="6E004050" w:rsidR="0063133E" w:rsidRPr="004F1F4D" w:rsidRDefault="004F1F4D" w:rsidP="003C68A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2015</w:t>
                  </w:r>
                </w:p>
              </w:tc>
              <w:tc>
                <w:tcPr>
                  <w:tcW w:w="994" w:type="dxa"/>
                  <w:noWrap/>
                  <w:hideMark/>
                </w:tcPr>
                <w:p w14:paraId="6D33FE68" w14:textId="73BB6796" w:rsidR="0063133E" w:rsidRPr="004F1F4D" w:rsidRDefault="004F1F4D" w:rsidP="003C68A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2016</w:t>
                  </w:r>
                </w:p>
              </w:tc>
              <w:tc>
                <w:tcPr>
                  <w:tcW w:w="773" w:type="dxa"/>
                  <w:noWrap/>
                  <w:hideMark/>
                </w:tcPr>
                <w:p w14:paraId="7EB3BE0C" w14:textId="4B6465DC" w:rsidR="0063133E" w:rsidRPr="004F1F4D" w:rsidRDefault="004F1F4D" w:rsidP="003C68A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2017</w:t>
                  </w:r>
                </w:p>
              </w:tc>
              <w:tc>
                <w:tcPr>
                  <w:tcW w:w="720" w:type="dxa"/>
                  <w:noWrap/>
                  <w:hideMark/>
                </w:tcPr>
                <w:p w14:paraId="508EC7EC" w14:textId="72DD48A6" w:rsidR="0063133E" w:rsidRPr="004F1F4D" w:rsidRDefault="004F1F4D" w:rsidP="003C68A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2018</w:t>
                  </w:r>
                </w:p>
              </w:tc>
              <w:tc>
                <w:tcPr>
                  <w:tcW w:w="810" w:type="dxa"/>
                  <w:noWrap/>
                  <w:hideMark/>
                </w:tcPr>
                <w:p w14:paraId="1098826D" w14:textId="59BB1AFE" w:rsidR="0063133E" w:rsidRPr="004F1F4D" w:rsidRDefault="004F1F4D" w:rsidP="003C68A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2019</w:t>
                  </w:r>
                </w:p>
              </w:tc>
              <w:tc>
                <w:tcPr>
                  <w:tcW w:w="3060" w:type="dxa"/>
                </w:tcPr>
                <w:p w14:paraId="45D05355" w14:textId="7094731E" w:rsidR="0063133E" w:rsidRPr="004F1F4D" w:rsidRDefault="004F1F4D" w:rsidP="003C68A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4F1F4D">
                    <w:rPr>
                      <w:rFonts w:eastAsia="Times New Roman" w:cs="Times New Roman"/>
                      <w:caps w:val="0"/>
                      <w:color w:val="000000"/>
                      <w:sz w:val="18"/>
                      <w:szCs w:val="18"/>
                    </w:rPr>
                    <w:t>Key Financial Flows</w:t>
                  </w:r>
                </w:p>
              </w:tc>
            </w:tr>
            <w:tr w:rsidR="0063133E" w:rsidRPr="00273757" w14:paraId="0D821F48"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4BBB0011" w14:textId="77777777" w:rsidR="0063133E" w:rsidRPr="00273757" w:rsidRDefault="0063133E" w:rsidP="003C68AF">
                  <w:pPr>
                    <w:jc w:val="right"/>
                    <w:rPr>
                      <w:rFonts w:eastAsia="Times New Roman" w:cs="Times New Roman"/>
                      <w:b w:val="0"/>
                      <w:color w:val="000000"/>
                      <w:sz w:val="18"/>
                      <w:szCs w:val="18"/>
                    </w:rPr>
                  </w:pPr>
                </w:p>
              </w:tc>
              <w:tc>
                <w:tcPr>
                  <w:tcW w:w="720" w:type="dxa"/>
                  <w:noWrap/>
                  <w:hideMark/>
                </w:tcPr>
                <w:p w14:paraId="5FFE5EF8" w14:textId="03C67BE2" w:rsidR="0063133E" w:rsidRPr="00273757" w:rsidRDefault="009A3DF3" w:rsidP="008E786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0"/>
                    </w:rPr>
                  </w:pPr>
                  <w:r>
                    <w:rPr>
                      <w:rFonts w:eastAsia="Times New Roman" w:cs="Times New Roman"/>
                      <w:szCs w:val="20"/>
                    </w:rPr>
                    <w:t>Actual</w:t>
                  </w:r>
                </w:p>
              </w:tc>
              <w:tc>
                <w:tcPr>
                  <w:tcW w:w="994" w:type="dxa"/>
                  <w:noWrap/>
                  <w:hideMark/>
                </w:tcPr>
                <w:p w14:paraId="3C8E4548" w14:textId="77777777" w:rsidR="0063133E" w:rsidRPr="00273757" w:rsidRDefault="0063133E" w:rsidP="009A3DF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Estimates</w:t>
                  </w:r>
                </w:p>
              </w:tc>
              <w:tc>
                <w:tcPr>
                  <w:tcW w:w="2303" w:type="dxa"/>
                  <w:gridSpan w:val="3"/>
                  <w:noWrap/>
                  <w:hideMark/>
                </w:tcPr>
                <w:p w14:paraId="3904B84B" w14:textId="77777777" w:rsidR="0063133E" w:rsidRPr="00273757" w:rsidRDefault="0063133E" w:rsidP="003C68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Projections</w:t>
                  </w:r>
                </w:p>
              </w:tc>
              <w:tc>
                <w:tcPr>
                  <w:tcW w:w="3060" w:type="dxa"/>
                </w:tcPr>
                <w:p w14:paraId="051EE69F" w14:textId="77777777" w:rsidR="0063133E" w:rsidRPr="00273757" w:rsidRDefault="0063133E"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p>
              </w:tc>
            </w:tr>
            <w:tr w:rsidR="0063133E" w:rsidRPr="00273757" w14:paraId="349AE0B3" w14:textId="77777777" w:rsidTr="00273757">
              <w:trPr>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53F6C580" w14:textId="29B4DA73"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World</w:t>
                  </w:r>
                </w:p>
              </w:tc>
              <w:tc>
                <w:tcPr>
                  <w:tcW w:w="720" w:type="dxa"/>
                  <w:noWrap/>
                  <w:hideMark/>
                </w:tcPr>
                <w:p w14:paraId="3D03B01E" w14:textId="5501D700"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2.7</w:t>
                  </w:r>
                </w:p>
              </w:tc>
              <w:tc>
                <w:tcPr>
                  <w:tcW w:w="994" w:type="dxa"/>
                  <w:noWrap/>
                  <w:hideMark/>
                </w:tcPr>
                <w:p w14:paraId="518848F6" w14:textId="5E6DBD68"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2.4</w:t>
                  </w:r>
                </w:p>
              </w:tc>
              <w:tc>
                <w:tcPr>
                  <w:tcW w:w="773" w:type="dxa"/>
                  <w:noWrap/>
                  <w:hideMark/>
                </w:tcPr>
                <w:p w14:paraId="7463EBF1" w14:textId="5D5127A2"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2.7</w:t>
                  </w:r>
                </w:p>
              </w:tc>
              <w:tc>
                <w:tcPr>
                  <w:tcW w:w="720" w:type="dxa"/>
                  <w:noWrap/>
                  <w:hideMark/>
                </w:tcPr>
                <w:p w14:paraId="385F6FF1" w14:textId="43A1430E"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2.9</w:t>
                  </w:r>
                </w:p>
              </w:tc>
              <w:tc>
                <w:tcPr>
                  <w:tcW w:w="810" w:type="dxa"/>
                  <w:noWrap/>
                  <w:hideMark/>
                </w:tcPr>
                <w:p w14:paraId="40563FE6" w14:textId="4F2E3D48"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2.9</w:t>
                  </w:r>
                </w:p>
              </w:tc>
              <w:tc>
                <w:tcPr>
                  <w:tcW w:w="3060" w:type="dxa"/>
                </w:tcPr>
                <w:p w14:paraId="47DE421B" w14:textId="77777777" w:rsidR="0063133E" w:rsidRPr="00273757" w:rsidRDefault="0063133E" w:rsidP="003C68A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p>
              </w:tc>
            </w:tr>
            <w:tr w:rsidR="0063133E" w:rsidRPr="00273757" w14:paraId="5FF2ECDD"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34AAF32B" w14:textId="492C4376"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United States</w:t>
                  </w:r>
                </w:p>
              </w:tc>
              <w:tc>
                <w:tcPr>
                  <w:tcW w:w="720" w:type="dxa"/>
                  <w:noWrap/>
                  <w:hideMark/>
                </w:tcPr>
                <w:p w14:paraId="1D3F7EAE" w14:textId="19F20816"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2.1</w:t>
                  </w:r>
                </w:p>
              </w:tc>
              <w:tc>
                <w:tcPr>
                  <w:tcW w:w="994" w:type="dxa"/>
                  <w:noWrap/>
                  <w:hideMark/>
                </w:tcPr>
                <w:p w14:paraId="27EBACAF" w14:textId="588A6350"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1.7</w:t>
                  </w:r>
                </w:p>
              </w:tc>
              <w:tc>
                <w:tcPr>
                  <w:tcW w:w="773" w:type="dxa"/>
                  <w:noWrap/>
                  <w:hideMark/>
                </w:tcPr>
                <w:p w14:paraId="174C7664" w14:textId="331641CB"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1.9</w:t>
                  </w:r>
                </w:p>
              </w:tc>
              <w:tc>
                <w:tcPr>
                  <w:tcW w:w="720" w:type="dxa"/>
                  <w:noWrap/>
                  <w:hideMark/>
                </w:tcPr>
                <w:p w14:paraId="6B66925F" w14:textId="6E30B5F0"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1.8</w:t>
                  </w:r>
                </w:p>
              </w:tc>
              <w:tc>
                <w:tcPr>
                  <w:tcW w:w="810" w:type="dxa"/>
                  <w:noWrap/>
                  <w:hideMark/>
                </w:tcPr>
                <w:p w14:paraId="590A419E" w14:textId="45F89FDE"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1.7</w:t>
                  </w:r>
                </w:p>
              </w:tc>
              <w:tc>
                <w:tcPr>
                  <w:tcW w:w="3060" w:type="dxa"/>
                </w:tcPr>
                <w:p w14:paraId="79843505" w14:textId="7200692D" w:rsidR="0063133E" w:rsidRPr="00273757" w:rsidRDefault="004F1F4D"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Garment Exports, Portfolio Flows</w:t>
                  </w:r>
                </w:p>
              </w:tc>
            </w:tr>
            <w:tr w:rsidR="0063133E" w:rsidRPr="00273757" w14:paraId="40F982CD" w14:textId="77777777" w:rsidTr="00273757">
              <w:trPr>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0575B16E" w14:textId="01F85C69"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United Kingdom</w:t>
                  </w:r>
                </w:p>
              </w:tc>
              <w:tc>
                <w:tcPr>
                  <w:tcW w:w="720" w:type="dxa"/>
                  <w:noWrap/>
                  <w:hideMark/>
                </w:tcPr>
                <w:p w14:paraId="0F2485F5" w14:textId="393E102B"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2.2</w:t>
                  </w:r>
                </w:p>
              </w:tc>
              <w:tc>
                <w:tcPr>
                  <w:tcW w:w="994" w:type="dxa"/>
                  <w:noWrap/>
                  <w:hideMark/>
                </w:tcPr>
                <w:p w14:paraId="0733B5F0" w14:textId="020C8CB3"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1.8</w:t>
                  </w:r>
                </w:p>
              </w:tc>
              <w:tc>
                <w:tcPr>
                  <w:tcW w:w="773" w:type="dxa"/>
                  <w:noWrap/>
                  <w:hideMark/>
                </w:tcPr>
                <w:p w14:paraId="65D778EC" w14:textId="276DD95F"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1.7</w:t>
                  </w:r>
                </w:p>
              </w:tc>
              <w:tc>
                <w:tcPr>
                  <w:tcW w:w="720" w:type="dxa"/>
                  <w:noWrap/>
                  <w:hideMark/>
                </w:tcPr>
                <w:p w14:paraId="1646F38B" w14:textId="6A23417C"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1.5</w:t>
                  </w:r>
                </w:p>
              </w:tc>
              <w:tc>
                <w:tcPr>
                  <w:tcW w:w="810" w:type="dxa"/>
                  <w:noWrap/>
                  <w:hideMark/>
                </w:tcPr>
                <w:p w14:paraId="3AF9CE00" w14:textId="7D33E2A4"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1.5</w:t>
                  </w:r>
                </w:p>
              </w:tc>
              <w:tc>
                <w:tcPr>
                  <w:tcW w:w="3060" w:type="dxa"/>
                </w:tcPr>
                <w:p w14:paraId="1C6099D0" w14:textId="73C9A808" w:rsidR="0063133E" w:rsidRPr="00273757" w:rsidRDefault="004F1F4D" w:rsidP="003C68A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 xml:space="preserve">Garment Exports, Tourism, </w:t>
                  </w:r>
                  <w:r w:rsidR="009A3DF3">
                    <w:rPr>
                      <w:rFonts w:eastAsia="Times New Roman" w:cs="Times New Roman"/>
                      <w:color w:val="000000"/>
                      <w:sz w:val="18"/>
                      <w:szCs w:val="18"/>
                    </w:rPr>
                    <w:t>FDI</w:t>
                  </w:r>
                </w:p>
              </w:tc>
            </w:tr>
            <w:tr w:rsidR="0063133E" w:rsidRPr="00273757" w14:paraId="11CC04E4"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3F1BBBD4" w14:textId="488F09C7"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Euro Area</w:t>
                  </w:r>
                </w:p>
              </w:tc>
              <w:tc>
                <w:tcPr>
                  <w:tcW w:w="720" w:type="dxa"/>
                  <w:noWrap/>
                  <w:hideMark/>
                </w:tcPr>
                <w:p w14:paraId="26018730" w14:textId="1901CC09"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2.0</w:t>
                  </w:r>
                </w:p>
              </w:tc>
              <w:tc>
                <w:tcPr>
                  <w:tcW w:w="994" w:type="dxa"/>
                  <w:noWrap/>
                  <w:hideMark/>
                </w:tcPr>
                <w:p w14:paraId="23AC07BE" w14:textId="2E3F2280"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1.8</w:t>
                  </w:r>
                </w:p>
              </w:tc>
              <w:tc>
                <w:tcPr>
                  <w:tcW w:w="773" w:type="dxa"/>
                  <w:noWrap/>
                  <w:hideMark/>
                </w:tcPr>
                <w:p w14:paraId="19B1CC8F" w14:textId="7FA14065"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1.7</w:t>
                  </w:r>
                </w:p>
              </w:tc>
              <w:tc>
                <w:tcPr>
                  <w:tcW w:w="720" w:type="dxa"/>
                  <w:noWrap/>
                  <w:hideMark/>
                </w:tcPr>
                <w:p w14:paraId="550136D5" w14:textId="249C2DF0"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1.5</w:t>
                  </w:r>
                </w:p>
              </w:tc>
              <w:tc>
                <w:tcPr>
                  <w:tcW w:w="810" w:type="dxa"/>
                  <w:noWrap/>
                  <w:hideMark/>
                </w:tcPr>
                <w:p w14:paraId="2AA15BA7" w14:textId="57FBD37C"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1.5</w:t>
                  </w:r>
                </w:p>
              </w:tc>
              <w:tc>
                <w:tcPr>
                  <w:tcW w:w="3060" w:type="dxa"/>
                </w:tcPr>
                <w:p w14:paraId="0B45DA15" w14:textId="0C64D787" w:rsidR="0063133E" w:rsidRPr="00273757" w:rsidRDefault="004F1F4D"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Garment Exports, Tourism, Portfolio Flows</w:t>
                  </w:r>
                </w:p>
              </w:tc>
            </w:tr>
            <w:tr w:rsidR="0063133E" w:rsidRPr="00273757" w14:paraId="7BD185A2" w14:textId="77777777" w:rsidTr="00273757">
              <w:trPr>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5AE44737" w14:textId="721EF04B"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China</w:t>
                  </w:r>
                </w:p>
              </w:tc>
              <w:tc>
                <w:tcPr>
                  <w:tcW w:w="720" w:type="dxa"/>
                  <w:noWrap/>
                  <w:hideMark/>
                </w:tcPr>
                <w:p w14:paraId="028CDF27" w14:textId="0C4F73B8"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6.9</w:t>
                  </w:r>
                </w:p>
              </w:tc>
              <w:tc>
                <w:tcPr>
                  <w:tcW w:w="994" w:type="dxa"/>
                  <w:noWrap/>
                  <w:hideMark/>
                </w:tcPr>
                <w:p w14:paraId="71598A4C" w14:textId="1321AC0F"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6.7</w:t>
                  </w:r>
                </w:p>
              </w:tc>
              <w:tc>
                <w:tcPr>
                  <w:tcW w:w="773" w:type="dxa"/>
                  <w:noWrap/>
                  <w:hideMark/>
                </w:tcPr>
                <w:p w14:paraId="131B691F" w14:textId="5CFEEB61"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6.5</w:t>
                  </w:r>
                </w:p>
              </w:tc>
              <w:tc>
                <w:tcPr>
                  <w:tcW w:w="720" w:type="dxa"/>
                  <w:noWrap/>
                  <w:hideMark/>
                </w:tcPr>
                <w:p w14:paraId="1D9C76D9" w14:textId="152E7ED7"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6.3</w:t>
                  </w:r>
                </w:p>
              </w:tc>
              <w:tc>
                <w:tcPr>
                  <w:tcW w:w="810" w:type="dxa"/>
                  <w:noWrap/>
                  <w:hideMark/>
                </w:tcPr>
                <w:p w14:paraId="1688193C" w14:textId="1DEB7B23"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6.3</w:t>
                  </w:r>
                </w:p>
              </w:tc>
              <w:tc>
                <w:tcPr>
                  <w:tcW w:w="3060" w:type="dxa"/>
                </w:tcPr>
                <w:p w14:paraId="7E3CC153" w14:textId="35ECA9A5" w:rsidR="0063133E" w:rsidRPr="00273757" w:rsidRDefault="004F1F4D" w:rsidP="003C37F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 xml:space="preserve">Tourism, </w:t>
                  </w:r>
                  <w:r w:rsidR="009A3DF3">
                    <w:rPr>
                      <w:rFonts w:eastAsia="Times New Roman" w:cs="Times New Roman"/>
                      <w:color w:val="000000"/>
                      <w:sz w:val="18"/>
                      <w:szCs w:val="18"/>
                    </w:rPr>
                    <w:t>FDI</w:t>
                  </w:r>
                  <w:r w:rsidRPr="00273757">
                    <w:rPr>
                      <w:rFonts w:eastAsia="Times New Roman" w:cs="Times New Roman"/>
                      <w:color w:val="000000"/>
                      <w:sz w:val="18"/>
                      <w:szCs w:val="18"/>
                    </w:rPr>
                    <w:t>, Official Bilateral Financing</w:t>
                  </w:r>
                </w:p>
              </w:tc>
            </w:tr>
            <w:tr w:rsidR="0063133E" w:rsidRPr="00273757" w14:paraId="73739D93"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30009B0D" w14:textId="06407BB3"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India</w:t>
                  </w:r>
                </w:p>
              </w:tc>
              <w:tc>
                <w:tcPr>
                  <w:tcW w:w="720" w:type="dxa"/>
                  <w:noWrap/>
                  <w:hideMark/>
                </w:tcPr>
                <w:p w14:paraId="22491DA9" w14:textId="1EE0A6C3"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7.9</w:t>
                  </w:r>
                </w:p>
              </w:tc>
              <w:tc>
                <w:tcPr>
                  <w:tcW w:w="994" w:type="dxa"/>
                  <w:noWrap/>
                  <w:hideMark/>
                </w:tcPr>
                <w:p w14:paraId="6A03B15C" w14:textId="2745F057"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6.8</w:t>
                  </w:r>
                </w:p>
              </w:tc>
              <w:tc>
                <w:tcPr>
                  <w:tcW w:w="773" w:type="dxa"/>
                  <w:noWrap/>
                  <w:hideMark/>
                </w:tcPr>
                <w:p w14:paraId="2AB815E0" w14:textId="4E09CADE"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7.2</w:t>
                  </w:r>
                </w:p>
              </w:tc>
              <w:tc>
                <w:tcPr>
                  <w:tcW w:w="720" w:type="dxa"/>
                  <w:noWrap/>
                  <w:hideMark/>
                </w:tcPr>
                <w:p w14:paraId="732C0B16" w14:textId="0BE36D88"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7.5</w:t>
                  </w:r>
                </w:p>
              </w:tc>
              <w:tc>
                <w:tcPr>
                  <w:tcW w:w="810" w:type="dxa"/>
                  <w:noWrap/>
                  <w:hideMark/>
                </w:tcPr>
                <w:p w14:paraId="7BB24D97" w14:textId="6DECD784"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7.7</w:t>
                  </w:r>
                </w:p>
              </w:tc>
              <w:tc>
                <w:tcPr>
                  <w:tcW w:w="3060" w:type="dxa"/>
                </w:tcPr>
                <w:p w14:paraId="02578AC7" w14:textId="61F479F9" w:rsidR="0063133E" w:rsidRPr="00273757" w:rsidRDefault="004F1F4D"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Tourism, Remittances</w:t>
                  </w:r>
                </w:p>
              </w:tc>
            </w:tr>
            <w:tr w:rsidR="0063133E" w:rsidRPr="00273757" w14:paraId="716F9A62" w14:textId="77777777" w:rsidTr="00273757">
              <w:trPr>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357113D4" w14:textId="1D7085CA"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Saudi Arabia</w:t>
                  </w:r>
                </w:p>
              </w:tc>
              <w:tc>
                <w:tcPr>
                  <w:tcW w:w="720" w:type="dxa"/>
                  <w:noWrap/>
                  <w:hideMark/>
                </w:tcPr>
                <w:p w14:paraId="4E128D7F" w14:textId="48C0E4F3"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4.1</w:t>
                  </w:r>
                </w:p>
              </w:tc>
              <w:tc>
                <w:tcPr>
                  <w:tcW w:w="994" w:type="dxa"/>
                  <w:noWrap/>
                  <w:hideMark/>
                </w:tcPr>
                <w:p w14:paraId="38CB270A" w14:textId="722079A6"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1.4</w:t>
                  </w:r>
                </w:p>
              </w:tc>
              <w:tc>
                <w:tcPr>
                  <w:tcW w:w="773" w:type="dxa"/>
                  <w:noWrap/>
                  <w:hideMark/>
                </w:tcPr>
                <w:p w14:paraId="64A585AB" w14:textId="723056F8"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0.6</w:t>
                  </w:r>
                </w:p>
              </w:tc>
              <w:tc>
                <w:tcPr>
                  <w:tcW w:w="720" w:type="dxa"/>
                  <w:noWrap/>
                  <w:hideMark/>
                </w:tcPr>
                <w:p w14:paraId="3D05E58F" w14:textId="6EA32D14"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w:t>
                  </w:r>
                </w:p>
              </w:tc>
              <w:tc>
                <w:tcPr>
                  <w:tcW w:w="810" w:type="dxa"/>
                  <w:noWrap/>
                  <w:hideMark/>
                </w:tcPr>
                <w:p w14:paraId="26448321" w14:textId="3562907B"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2.1</w:t>
                  </w:r>
                </w:p>
              </w:tc>
              <w:tc>
                <w:tcPr>
                  <w:tcW w:w="3060" w:type="dxa"/>
                </w:tcPr>
                <w:p w14:paraId="2D675D36" w14:textId="39963634" w:rsidR="0063133E" w:rsidRPr="00273757" w:rsidRDefault="004F1F4D" w:rsidP="003C68A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Remittances</w:t>
                  </w:r>
                </w:p>
              </w:tc>
            </w:tr>
            <w:tr w:rsidR="0063133E" w:rsidRPr="00273757" w14:paraId="41FC77AD"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6182A387" w14:textId="6A13A2FD"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Russia</w:t>
                  </w:r>
                </w:p>
              </w:tc>
              <w:tc>
                <w:tcPr>
                  <w:tcW w:w="720" w:type="dxa"/>
                  <w:noWrap/>
                  <w:hideMark/>
                </w:tcPr>
                <w:p w14:paraId="6BC84AAE" w14:textId="3073082B"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-2.8</w:t>
                  </w:r>
                </w:p>
              </w:tc>
              <w:tc>
                <w:tcPr>
                  <w:tcW w:w="994" w:type="dxa"/>
                  <w:noWrap/>
                  <w:hideMark/>
                </w:tcPr>
                <w:p w14:paraId="7DE5F0D7" w14:textId="393A988E"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-0.2</w:t>
                  </w:r>
                </w:p>
              </w:tc>
              <w:tc>
                <w:tcPr>
                  <w:tcW w:w="773" w:type="dxa"/>
                  <w:noWrap/>
                  <w:hideMark/>
                </w:tcPr>
                <w:p w14:paraId="79555D37" w14:textId="1EEAB00F"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1.3</w:t>
                  </w:r>
                </w:p>
              </w:tc>
              <w:tc>
                <w:tcPr>
                  <w:tcW w:w="720" w:type="dxa"/>
                  <w:noWrap/>
                  <w:hideMark/>
                </w:tcPr>
                <w:p w14:paraId="5AE60396" w14:textId="042E33B6"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1.4</w:t>
                  </w:r>
                </w:p>
              </w:tc>
              <w:tc>
                <w:tcPr>
                  <w:tcW w:w="810" w:type="dxa"/>
                  <w:noWrap/>
                  <w:hideMark/>
                </w:tcPr>
                <w:p w14:paraId="45246E07" w14:textId="56B1CE3A"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1.4</w:t>
                  </w:r>
                </w:p>
              </w:tc>
              <w:tc>
                <w:tcPr>
                  <w:tcW w:w="3060" w:type="dxa"/>
                </w:tcPr>
                <w:p w14:paraId="219DE8E6" w14:textId="314BACFC" w:rsidR="0063133E" w:rsidRPr="00273757" w:rsidRDefault="004F1F4D"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Tea Exports</w:t>
                  </w:r>
                </w:p>
              </w:tc>
            </w:tr>
            <w:tr w:rsidR="0063133E" w:rsidRPr="00273757" w14:paraId="4B2583EC" w14:textId="77777777" w:rsidTr="00273757">
              <w:trPr>
                <w:trHeight w:val="240"/>
              </w:trPr>
              <w:tc>
                <w:tcPr>
                  <w:cnfStyle w:val="001000000000" w:firstRow="0" w:lastRow="0" w:firstColumn="1" w:lastColumn="0" w:oddVBand="0" w:evenVBand="0" w:oddHBand="0" w:evenHBand="0" w:firstRowFirstColumn="0" w:firstRowLastColumn="0" w:lastRowFirstColumn="0" w:lastRowLastColumn="0"/>
                  <w:tcW w:w="1685" w:type="dxa"/>
                  <w:noWrap/>
                  <w:hideMark/>
                </w:tcPr>
                <w:p w14:paraId="0D880390" w14:textId="644FD25D"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United Arab Emirates</w:t>
                  </w:r>
                </w:p>
              </w:tc>
              <w:tc>
                <w:tcPr>
                  <w:tcW w:w="720" w:type="dxa"/>
                  <w:noWrap/>
                  <w:hideMark/>
                </w:tcPr>
                <w:p w14:paraId="35FD6B61" w14:textId="4C9F7078"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3.8</w:t>
                  </w:r>
                </w:p>
              </w:tc>
              <w:tc>
                <w:tcPr>
                  <w:tcW w:w="994" w:type="dxa"/>
                  <w:noWrap/>
                  <w:hideMark/>
                </w:tcPr>
                <w:p w14:paraId="560D2754" w14:textId="781E415F"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2.3</w:t>
                  </w:r>
                </w:p>
              </w:tc>
              <w:tc>
                <w:tcPr>
                  <w:tcW w:w="773" w:type="dxa"/>
                  <w:noWrap/>
                  <w:hideMark/>
                </w:tcPr>
                <w:p w14:paraId="51AA991B" w14:textId="23965486"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w:t>
                  </w:r>
                </w:p>
              </w:tc>
              <w:tc>
                <w:tcPr>
                  <w:tcW w:w="720" w:type="dxa"/>
                  <w:noWrap/>
                  <w:hideMark/>
                </w:tcPr>
                <w:p w14:paraId="18C0879D" w14:textId="6E1EBC09"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2.5</w:t>
                  </w:r>
                </w:p>
              </w:tc>
              <w:tc>
                <w:tcPr>
                  <w:tcW w:w="810" w:type="dxa"/>
                  <w:noWrap/>
                  <w:hideMark/>
                </w:tcPr>
                <w:p w14:paraId="2D1F4D9B" w14:textId="78F221E0" w:rsidR="0063133E" w:rsidRPr="00273757" w:rsidRDefault="004F1F4D" w:rsidP="003C68AF">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3.2</w:t>
                  </w:r>
                </w:p>
              </w:tc>
              <w:tc>
                <w:tcPr>
                  <w:tcW w:w="3060" w:type="dxa"/>
                </w:tcPr>
                <w:p w14:paraId="24F0F64C" w14:textId="394C5546" w:rsidR="0063133E" w:rsidRPr="00273757" w:rsidRDefault="004F1F4D" w:rsidP="003C68A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Remittances</w:t>
                  </w:r>
                </w:p>
              </w:tc>
            </w:tr>
            <w:tr w:rsidR="0063133E" w:rsidRPr="00273757" w14:paraId="4A49F623" w14:textId="77777777" w:rsidTr="0027375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85" w:type="dxa"/>
                  <w:noWrap/>
                </w:tcPr>
                <w:p w14:paraId="7942C50E" w14:textId="2A489677" w:rsidR="0063133E" w:rsidRPr="00273757" w:rsidRDefault="004F1F4D" w:rsidP="003C68AF">
                  <w:pPr>
                    <w:rPr>
                      <w:rFonts w:eastAsia="Times New Roman" w:cs="Times New Roman"/>
                      <w:b w:val="0"/>
                      <w:color w:val="000000"/>
                      <w:sz w:val="18"/>
                      <w:szCs w:val="18"/>
                    </w:rPr>
                  </w:pPr>
                  <w:r w:rsidRPr="00273757">
                    <w:rPr>
                      <w:rFonts w:eastAsia="Times New Roman" w:cs="Times New Roman"/>
                      <w:b w:val="0"/>
                      <w:caps w:val="0"/>
                      <w:color w:val="000000"/>
                      <w:sz w:val="18"/>
                      <w:szCs w:val="18"/>
                    </w:rPr>
                    <w:t>Japan</w:t>
                  </w:r>
                </w:p>
              </w:tc>
              <w:tc>
                <w:tcPr>
                  <w:tcW w:w="720" w:type="dxa"/>
                  <w:noWrap/>
                </w:tcPr>
                <w:p w14:paraId="118E9F80" w14:textId="371E9AE2"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1.1</w:t>
                  </w:r>
                </w:p>
              </w:tc>
              <w:tc>
                <w:tcPr>
                  <w:tcW w:w="994" w:type="dxa"/>
                  <w:noWrap/>
                </w:tcPr>
                <w:p w14:paraId="2789BD41" w14:textId="2F5CD09A"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1.0</w:t>
                  </w:r>
                </w:p>
              </w:tc>
              <w:tc>
                <w:tcPr>
                  <w:tcW w:w="773" w:type="dxa"/>
                  <w:noWrap/>
                </w:tcPr>
                <w:p w14:paraId="6A2E3297" w14:textId="31B89AFC"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1.5</w:t>
                  </w:r>
                </w:p>
              </w:tc>
              <w:tc>
                <w:tcPr>
                  <w:tcW w:w="720" w:type="dxa"/>
                  <w:noWrap/>
                </w:tcPr>
                <w:p w14:paraId="0957ABBE" w14:textId="39CB9680"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1.0</w:t>
                  </w:r>
                </w:p>
              </w:tc>
              <w:tc>
                <w:tcPr>
                  <w:tcW w:w="810" w:type="dxa"/>
                  <w:noWrap/>
                </w:tcPr>
                <w:p w14:paraId="0364462F" w14:textId="4CEE6706" w:rsidR="0063133E" w:rsidRPr="00273757" w:rsidRDefault="004F1F4D" w:rsidP="003C68A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0.6</w:t>
                  </w:r>
                </w:p>
              </w:tc>
              <w:tc>
                <w:tcPr>
                  <w:tcW w:w="3060" w:type="dxa"/>
                </w:tcPr>
                <w:p w14:paraId="38E5285B" w14:textId="3A05C4AA" w:rsidR="0063133E" w:rsidRPr="00273757" w:rsidRDefault="004F1F4D" w:rsidP="003C68A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rPr>
                  </w:pPr>
                  <w:r w:rsidRPr="00273757">
                    <w:rPr>
                      <w:rFonts w:eastAsia="Times New Roman" w:cs="Times New Roman"/>
                      <w:color w:val="000000"/>
                      <w:sz w:val="18"/>
                      <w:szCs w:val="18"/>
                    </w:rPr>
                    <w:t>Official Bilateral Financing</w:t>
                  </w:r>
                </w:p>
              </w:tc>
            </w:tr>
          </w:tbl>
          <w:p w14:paraId="2B81AECE" w14:textId="43B2548A" w:rsidR="0063133E" w:rsidRPr="004246DE" w:rsidRDefault="0063133E" w:rsidP="004246DE">
            <w:pPr>
              <w:rPr>
                <w:rFonts w:cs="Arial"/>
                <w:sz w:val="18"/>
                <w:szCs w:val="18"/>
              </w:rPr>
            </w:pPr>
            <w:r w:rsidRPr="004246DE">
              <w:rPr>
                <w:rFonts w:cs="Arial"/>
                <w:sz w:val="18"/>
                <w:szCs w:val="18"/>
              </w:rPr>
              <w:t>Source: World Bank Global Economic Prospects, June 2017</w:t>
            </w:r>
          </w:p>
          <w:p w14:paraId="291BEAB5" w14:textId="77777777" w:rsidR="0063133E" w:rsidRPr="004246DE" w:rsidRDefault="0063133E" w:rsidP="004246DE">
            <w:pPr>
              <w:rPr>
                <w:rFonts w:cs="Arial"/>
                <w:sz w:val="18"/>
                <w:szCs w:val="18"/>
              </w:rPr>
            </w:pPr>
            <w:r w:rsidRPr="004246DE">
              <w:rPr>
                <w:rFonts w:cs="Arial"/>
                <w:sz w:val="18"/>
                <w:szCs w:val="18"/>
              </w:rPr>
              <w:t xml:space="preserve">The Global Economic Prospects report is published in January and June each year. The latest report and regional outlooks can be found at: </w:t>
            </w:r>
            <w:hyperlink r:id="rId49" w:history="1">
              <w:r w:rsidRPr="004246DE">
                <w:rPr>
                  <w:rStyle w:val="Hyperlink"/>
                  <w:rFonts w:cs="Arial"/>
                  <w:sz w:val="18"/>
                  <w:szCs w:val="18"/>
                </w:rPr>
                <w:t>http://www.worldbank.org/en/publication/global-economic-prospects</w:t>
              </w:r>
            </w:hyperlink>
          </w:p>
          <w:p w14:paraId="0BEBA299" w14:textId="58495CCC" w:rsidR="0063133E" w:rsidRDefault="0063133E" w:rsidP="004246DE">
            <w:pPr>
              <w:rPr>
                <w:rStyle w:val="Hyperlink"/>
                <w:rFonts w:eastAsiaTheme="minorHAnsi" w:cs="Arial"/>
                <w:sz w:val="18"/>
                <w:szCs w:val="18"/>
              </w:rPr>
            </w:pPr>
            <w:r w:rsidRPr="004246DE">
              <w:rPr>
                <w:rFonts w:cs="Arial"/>
                <w:sz w:val="18"/>
                <w:szCs w:val="18"/>
              </w:rPr>
              <w:t>Updates are posted to:</w:t>
            </w:r>
            <w:r w:rsidR="003A4EF8" w:rsidRPr="004246DE">
              <w:rPr>
                <w:rFonts w:cs="Arial"/>
                <w:sz w:val="18"/>
                <w:szCs w:val="18"/>
              </w:rPr>
              <w:t xml:space="preserve"> </w:t>
            </w:r>
            <w:r w:rsidRPr="004246DE">
              <w:rPr>
                <w:rFonts w:cs="Arial"/>
                <w:sz w:val="18"/>
                <w:szCs w:val="18"/>
              </w:rPr>
              <w:t xml:space="preserve">Twitter: </w:t>
            </w:r>
            <w:hyperlink r:id="rId50" w:history="1">
              <w:r w:rsidRPr="004246DE">
                <w:rPr>
                  <w:rStyle w:val="Hyperlink"/>
                  <w:rFonts w:cs="Arial"/>
                  <w:sz w:val="18"/>
                  <w:szCs w:val="18"/>
                </w:rPr>
                <w:t>@wb_research</w:t>
              </w:r>
            </w:hyperlink>
            <w:r w:rsidR="003A4EF8" w:rsidRPr="004246DE">
              <w:rPr>
                <w:rStyle w:val="Hyperlink"/>
                <w:rFonts w:cs="Arial"/>
                <w:sz w:val="18"/>
                <w:szCs w:val="18"/>
                <w:u w:val="none"/>
              </w:rPr>
              <w:t xml:space="preserve"> </w:t>
            </w:r>
            <w:r w:rsidR="003A4EF8" w:rsidRPr="004246DE">
              <w:rPr>
                <w:rStyle w:val="Hyperlink"/>
                <w:rFonts w:cs="Arial"/>
                <w:color w:val="auto"/>
                <w:sz w:val="18"/>
                <w:szCs w:val="18"/>
                <w:u w:val="none"/>
              </w:rPr>
              <w:t xml:space="preserve">and the </w:t>
            </w:r>
            <w:r w:rsidRPr="004246DE">
              <w:rPr>
                <w:rFonts w:cs="Arial"/>
                <w:sz w:val="18"/>
                <w:szCs w:val="18"/>
              </w:rPr>
              <w:t xml:space="preserve">Prospects blog: </w:t>
            </w:r>
            <w:hyperlink r:id="rId51" w:history="1">
              <w:r w:rsidR="003A4EF8" w:rsidRPr="004246DE">
                <w:rPr>
                  <w:rStyle w:val="Hyperlink"/>
                  <w:rFonts w:cs="Arial"/>
                  <w:sz w:val="18"/>
                  <w:szCs w:val="18"/>
                </w:rPr>
                <w:t>http://blogs.worldbank.org/prospects/</w:t>
              </w:r>
            </w:hyperlink>
          </w:p>
          <w:p w14:paraId="18FAB700" w14:textId="58FD63D4" w:rsidR="00D228C4" w:rsidRPr="004246DE" w:rsidRDefault="00D228C4" w:rsidP="004246DE">
            <w:pPr>
              <w:rPr>
                <w:rFonts w:cs="Arial"/>
                <w:sz w:val="16"/>
                <w:szCs w:val="16"/>
              </w:rPr>
            </w:pPr>
          </w:p>
        </w:tc>
      </w:tr>
      <w:tr w:rsidR="0063133E" w:rsidRPr="000A41D0" w14:paraId="031DE95F" w14:textId="77777777" w:rsidTr="003C68AF">
        <w:trPr>
          <w:trHeight w:val="216"/>
        </w:trPr>
        <w:tc>
          <w:tcPr>
            <w:tcW w:w="9360" w:type="dxa"/>
            <w:tcBorders>
              <w:top w:val="nil"/>
              <w:left w:val="nil"/>
              <w:bottom w:val="nil"/>
              <w:right w:val="nil"/>
            </w:tcBorders>
            <w:shd w:val="clear" w:color="auto" w:fill="0C4DA2"/>
          </w:tcPr>
          <w:p w14:paraId="14B51CC8" w14:textId="6E81C94C" w:rsidR="0063133E" w:rsidRPr="00C11406" w:rsidRDefault="0063133E" w:rsidP="003C68AF">
            <w:pPr>
              <w:pStyle w:val="BodyText"/>
              <w:keepNext/>
              <w:ind w:left="0"/>
              <w:rPr>
                <w:b/>
                <w:color w:val="FFFFFF" w:themeColor="background1"/>
                <w:szCs w:val="22"/>
              </w:rPr>
            </w:pPr>
          </w:p>
        </w:tc>
      </w:tr>
    </w:tbl>
    <w:p w14:paraId="37BB3BEE" w14:textId="77777777" w:rsidR="0063133E" w:rsidRDefault="0063133E" w:rsidP="00AA374D">
      <w:pPr>
        <w:pStyle w:val="BodyText"/>
      </w:pPr>
    </w:p>
    <w:p w14:paraId="6D4474AD" w14:textId="09EBA4A7" w:rsidR="00AA374D" w:rsidRDefault="00AA374D" w:rsidP="00AA374D">
      <w:pPr>
        <w:pStyle w:val="Heading1"/>
        <w:numPr>
          <w:ilvl w:val="0"/>
          <w:numId w:val="3"/>
        </w:numPr>
        <w:ind w:left="-360"/>
      </w:pPr>
      <w:bookmarkStart w:id="107" w:name="_Toc485822608"/>
      <w:r>
        <w:t>Risks</w:t>
      </w:r>
      <w:bookmarkEnd w:id="107"/>
      <w:r w:rsidR="00671CF3">
        <w:t xml:space="preserve"> </w:t>
      </w: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460D31" w:rsidRPr="000A41D0" w14:paraId="26CBF0D6" w14:textId="77777777" w:rsidTr="00460D31">
        <w:tc>
          <w:tcPr>
            <w:tcW w:w="2020" w:type="dxa"/>
          </w:tcPr>
          <w:p w14:paraId="1CD6AFBC" w14:textId="7C8B7E49" w:rsidR="00460D31" w:rsidRPr="0094618C" w:rsidRDefault="00A03B01" w:rsidP="00A03B01">
            <w:pPr>
              <w:pStyle w:val="BodyText"/>
              <w:rPr>
                <w:b/>
              </w:rPr>
            </w:pPr>
            <w:r>
              <w:rPr>
                <w:b/>
              </w:rPr>
              <w:t>The outlook is subject to a number of ri</w:t>
            </w:r>
            <w:r w:rsidR="00460D31" w:rsidRPr="0070342F">
              <w:rPr>
                <w:b/>
              </w:rPr>
              <w:t xml:space="preserve">sks </w:t>
            </w:r>
          </w:p>
        </w:tc>
        <w:tc>
          <w:tcPr>
            <w:tcW w:w="145" w:type="dxa"/>
          </w:tcPr>
          <w:p w14:paraId="73207697" w14:textId="77777777" w:rsidR="00460D31" w:rsidRPr="000A41D0" w:rsidRDefault="00460D31" w:rsidP="00AB16C9">
            <w:pPr>
              <w:pStyle w:val="BodyText"/>
            </w:pPr>
          </w:p>
        </w:tc>
        <w:tc>
          <w:tcPr>
            <w:tcW w:w="7221" w:type="dxa"/>
          </w:tcPr>
          <w:p w14:paraId="3F728102" w14:textId="19EDC951" w:rsidR="00A03B01" w:rsidRPr="000A41D0" w:rsidRDefault="00460D31" w:rsidP="000D0EBB">
            <w:pPr>
              <w:pStyle w:val="BodyText"/>
              <w:jc w:val="both"/>
            </w:pPr>
            <w:r>
              <w:t xml:space="preserve">External risks include </w:t>
            </w:r>
            <w:r w:rsidR="009E399A">
              <w:t xml:space="preserve">disappointing growth performance </w:t>
            </w:r>
            <w:r>
              <w:t>in key countries</w:t>
            </w:r>
            <w:r w:rsidR="009E399A">
              <w:t xml:space="preserve"> and regions, such as the US, European Union, China and the Gulf states</w:t>
            </w:r>
            <w:r>
              <w:t xml:space="preserve"> </w:t>
            </w:r>
            <w:r w:rsidR="00A668F3">
              <w:t xml:space="preserve">that provide foreign exchange inflows to </w:t>
            </w:r>
            <w:r>
              <w:t>Sri Lanka</w:t>
            </w:r>
            <w:r w:rsidR="00A668F3">
              <w:t>: exports, tourism, remittances, FDI, private portfolio and official financing</w:t>
            </w:r>
            <w:r w:rsidR="009E399A">
              <w:t xml:space="preserve"> (Table </w:t>
            </w:r>
            <w:r w:rsidR="00C14911">
              <w:t>3</w:t>
            </w:r>
            <w:r w:rsidR="009E399A">
              <w:t>)</w:t>
            </w:r>
            <w:r w:rsidR="00A668F3">
              <w:t xml:space="preserve">. Faster than expected rises in commodity prices would increase pressure on the balance of payments and make domestic </w:t>
            </w:r>
            <w:r w:rsidR="009E399A">
              <w:t xml:space="preserve">fuel and electricity </w:t>
            </w:r>
            <w:r w:rsidR="00A668F3">
              <w:t>price reforms more difficult. On the fiscal side, risks include the delay in passing structural revenue measures and slower than expected improvement in tax administration. Tightening global financial conditions would increase the cost of debt and would make rolling over the maturing Eurobonds from 2019 more difficult.</w:t>
            </w:r>
            <w:r w:rsidR="00A03B01">
              <w:t xml:space="preserve"> </w:t>
            </w:r>
            <w:r w:rsidR="009E399A">
              <w:t>Finally, t</w:t>
            </w:r>
            <w:r w:rsidR="00A03B01">
              <w:t xml:space="preserve">he increasing occurrence and impact of natural disasters could have an adverse </w:t>
            </w:r>
            <w:r w:rsidR="00CB437A">
              <w:t xml:space="preserve">impact on </w:t>
            </w:r>
            <w:r w:rsidR="00A03B01">
              <w:t xml:space="preserve">growth, the fiscal consolidation path, the trade balance </w:t>
            </w:r>
            <w:r w:rsidR="009E399A">
              <w:t xml:space="preserve">and poverty reduction. </w:t>
            </w:r>
          </w:p>
        </w:tc>
      </w:tr>
    </w:tbl>
    <w:p w14:paraId="6C5F856F" w14:textId="77777777" w:rsidR="001511CC" w:rsidRDefault="001511CC" w:rsidP="001511CC">
      <w:pPr>
        <w:pStyle w:val="BodyText"/>
      </w:pPr>
    </w:p>
    <w:p w14:paraId="6A8C1B87" w14:textId="5C197EDA" w:rsidR="00AA374D" w:rsidRDefault="00AA374D" w:rsidP="00AA374D">
      <w:pPr>
        <w:pStyle w:val="BodyText"/>
      </w:pPr>
    </w:p>
    <w:p w14:paraId="228AE4BA" w14:textId="186790B8" w:rsidR="001E2FED" w:rsidRDefault="001E2FED">
      <w:pPr>
        <w:rPr>
          <w:rFonts w:eastAsia="Times New Roman" w:cs="Arial"/>
          <w:kern w:val="28"/>
          <w:sz w:val="22"/>
          <w:szCs w:val="20"/>
        </w:rPr>
      </w:pPr>
      <w:r>
        <w:br w:type="page"/>
      </w:r>
    </w:p>
    <w:p w14:paraId="5827A6A7" w14:textId="539AAC75" w:rsidR="00AA374D" w:rsidRDefault="00AA374D" w:rsidP="00AA374D">
      <w:pPr>
        <w:pStyle w:val="BodyText"/>
      </w:pPr>
    </w:p>
    <w:p w14:paraId="4A61A7A5" w14:textId="44BB51A0" w:rsidR="00726231" w:rsidRDefault="00460D31" w:rsidP="00726231">
      <w:pPr>
        <w:pStyle w:val="Heading1"/>
        <w:numPr>
          <w:ilvl w:val="0"/>
          <w:numId w:val="3"/>
        </w:numPr>
        <w:ind w:left="-360"/>
      </w:pPr>
      <w:bookmarkStart w:id="108" w:name="_Toc485822609"/>
      <w:r>
        <w:t>Challenges and p</w:t>
      </w:r>
      <w:r w:rsidR="00726231">
        <w:t xml:space="preserve">olicy </w:t>
      </w:r>
      <w:r w:rsidR="00BE41C8">
        <w:t>priorities</w:t>
      </w:r>
      <w:bookmarkEnd w:id="108"/>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31D90" w:rsidRPr="000A41D0" w14:paraId="76EC69FC" w14:textId="77777777" w:rsidTr="00054111">
        <w:tc>
          <w:tcPr>
            <w:tcW w:w="2020" w:type="dxa"/>
          </w:tcPr>
          <w:p w14:paraId="21F03029" w14:textId="21100E04" w:rsidR="00631D90" w:rsidRPr="0094618C" w:rsidRDefault="007574DA" w:rsidP="007574DA">
            <w:pPr>
              <w:rPr>
                <w:b/>
              </w:rPr>
            </w:pPr>
            <w:r w:rsidRPr="007574DA">
              <w:rPr>
                <w:b/>
                <w:sz w:val="22"/>
              </w:rPr>
              <w:t>Tackling challenges through reforms is crucial for sustained and equitable growth</w:t>
            </w:r>
            <w:r w:rsidR="00631D90">
              <w:rPr>
                <w:b/>
                <w:sz w:val="22"/>
              </w:rPr>
              <w:t>.</w:t>
            </w:r>
          </w:p>
        </w:tc>
        <w:tc>
          <w:tcPr>
            <w:tcW w:w="145" w:type="dxa"/>
          </w:tcPr>
          <w:p w14:paraId="16745509" w14:textId="77777777" w:rsidR="00631D90" w:rsidRPr="000A41D0" w:rsidRDefault="00631D90" w:rsidP="00054111">
            <w:pPr>
              <w:pStyle w:val="BodyText"/>
            </w:pPr>
          </w:p>
        </w:tc>
        <w:tc>
          <w:tcPr>
            <w:tcW w:w="7221" w:type="dxa"/>
          </w:tcPr>
          <w:p w14:paraId="07EF0055" w14:textId="7845992D" w:rsidR="00631D90" w:rsidRPr="009B3B80" w:rsidRDefault="00631D90" w:rsidP="007574DA">
            <w:pPr>
              <w:pStyle w:val="BodyText"/>
              <w:jc w:val="both"/>
            </w:pPr>
            <w:r w:rsidRPr="004259FF">
              <w:t>Sri Lanka faces a number of challenges that increasingly put its future economic growth and stability at risk</w:t>
            </w:r>
            <w:r w:rsidR="006D4CFE">
              <w:t>,</w:t>
            </w:r>
            <w:r w:rsidRPr="004259FF">
              <w:t xml:space="preserve"> and thus must be addressed through determined reforms. These key challenges are inter-linked and require a comprehensive and coordinated approach.</w:t>
            </w:r>
            <w:r w:rsidR="000A5B10">
              <w:t xml:space="preserve"> </w:t>
            </w:r>
            <w:r w:rsidRPr="004259FF">
              <w:t>Adopting a piece</w:t>
            </w:r>
            <w:r w:rsidR="007574DA">
              <w:t>-</w:t>
            </w:r>
            <w:r w:rsidRPr="004259FF">
              <w:t>meal solution to address the challenges is unlikely to be successful.</w:t>
            </w:r>
            <w:r>
              <w:t xml:space="preserve"> </w:t>
            </w:r>
            <w:r w:rsidRPr="00524D50">
              <w:t>Although a turbulent external environment</w:t>
            </w:r>
            <w:r w:rsidR="007574DA">
              <w:t xml:space="preserve">, </w:t>
            </w:r>
            <w:r w:rsidRPr="00524D50">
              <w:t xml:space="preserve">domestic political considerations </w:t>
            </w:r>
            <w:r w:rsidR="007574DA">
              <w:t xml:space="preserve">and institutional constraints on policy implementation </w:t>
            </w:r>
            <w:r w:rsidRPr="00524D50">
              <w:t xml:space="preserve">make it challenging, a strong political will and the support of the bureaucracy </w:t>
            </w:r>
            <w:r>
              <w:t>could</w:t>
            </w:r>
            <w:r w:rsidRPr="00524D50">
              <w:t xml:space="preserve"> help advancing the reform agenda. Steps are needed to ensure the support of </w:t>
            </w:r>
            <w:r>
              <w:t xml:space="preserve">private sector, </w:t>
            </w:r>
            <w:r w:rsidRPr="00BE41C8">
              <w:t xml:space="preserve">civil society </w:t>
            </w:r>
            <w:r>
              <w:t xml:space="preserve">and other stakeholders through improved communications on costs and benefits of the reform </w:t>
            </w:r>
            <w:r w:rsidR="007574DA">
              <w:t>agenda</w:t>
            </w:r>
            <w:r>
              <w:t>.</w:t>
            </w:r>
          </w:p>
        </w:tc>
      </w:tr>
    </w:tbl>
    <w:p w14:paraId="5DCE4336" w14:textId="77777777" w:rsidR="00104383" w:rsidRDefault="00104383" w:rsidP="00104383">
      <w:pPr>
        <w:rPr>
          <w:rFonts w:eastAsia="Times New Roman" w:cs="Arial"/>
          <w:kern w:val="28"/>
          <w:sz w:val="22"/>
          <w:szCs w:val="20"/>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104383" w:rsidRPr="000A41D0" w14:paraId="7D7F39CB" w14:textId="77777777" w:rsidTr="00104383">
        <w:tc>
          <w:tcPr>
            <w:tcW w:w="2020" w:type="dxa"/>
          </w:tcPr>
          <w:p w14:paraId="4CF5647B" w14:textId="77777777" w:rsidR="00104383" w:rsidRPr="000D0EBB" w:rsidRDefault="00104383" w:rsidP="00104383">
            <w:pPr>
              <w:rPr>
                <w:b/>
                <w:sz w:val="22"/>
              </w:rPr>
            </w:pPr>
            <w:r w:rsidRPr="000D0EBB">
              <w:rPr>
                <w:b/>
                <w:sz w:val="22"/>
              </w:rPr>
              <w:t>The immediate challenge is to deal with the weak external liquidity position.</w:t>
            </w:r>
          </w:p>
        </w:tc>
        <w:tc>
          <w:tcPr>
            <w:tcW w:w="145" w:type="dxa"/>
          </w:tcPr>
          <w:p w14:paraId="7D1C91CE" w14:textId="77777777" w:rsidR="00104383" w:rsidRPr="000A41D0" w:rsidRDefault="00104383" w:rsidP="00104383">
            <w:pPr>
              <w:pStyle w:val="BodyText"/>
            </w:pPr>
          </w:p>
        </w:tc>
        <w:tc>
          <w:tcPr>
            <w:tcW w:w="7221" w:type="dxa"/>
          </w:tcPr>
          <w:p w14:paraId="4C1284D8" w14:textId="5519286C" w:rsidR="00104383" w:rsidRPr="009B3B80" w:rsidRDefault="00104383" w:rsidP="008B65D8">
            <w:pPr>
              <w:jc w:val="both"/>
              <w:rPr>
                <w:sz w:val="22"/>
              </w:rPr>
            </w:pPr>
            <w:r w:rsidRPr="00104383">
              <w:rPr>
                <w:sz w:val="22"/>
              </w:rPr>
              <w:t>The immediate challenge is to deal with the weak external liquidity position. This is mainly due to significantly large Eurobonds falling due starting 2019 (Figure 1</w:t>
            </w:r>
            <w:r w:rsidR="008B65D8">
              <w:rPr>
                <w:sz w:val="22"/>
              </w:rPr>
              <w:t>7</w:t>
            </w:r>
            <w:r w:rsidRPr="00104383">
              <w:rPr>
                <w:sz w:val="22"/>
              </w:rPr>
              <w:t>). Rather than waiting until then, the Government can start to actively manage these liabilities now, while financial conditions are still relatively benign. This can be done by buying them back ahead of their maturity, and switching them with longer maturity bonds, which will reduce the refinancing risk. This will require a change in the legal framework to allow for liability management operations.</w:t>
            </w:r>
          </w:p>
        </w:tc>
      </w:tr>
    </w:tbl>
    <w:p w14:paraId="062D605F" w14:textId="77777777" w:rsidR="005A1E75" w:rsidRDefault="005A1E75" w:rsidP="005A1E75">
      <w:pPr>
        <w:pStyle w:val="BodyText"/>
      </w:pPr>
    </w:p>
    <w:tbl>
      <w:tblPr>
        <w:tblW w:w="468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4680"/>
      </w:tblGrid>
      <w:tr w:rsidR="005A1E75" w:rsidRPr="00525702" w14:paraId="53B9AE2B" w14:textId="77777777" w:rsidTr="004246DE">
        <w:trPr>
          <w:trHeight w:val="218"/>
        </w:trPr>
        <w:tc>
          <w:tcPr>
            <w:tcW w:w="4680" w:type="dxa"/>
            <w:tcBorders>
              <w:top w:val="nil"/>
              <w:left w:val="nil"/>
              <w:bottom w:val="dotted" w:sz="4" w:space="0" w:color="0C4DA2"/>
              <w:right w:val="nil"/>
            </w:tcBorders>
            <w:hideMark/>
          </w:tcPr>
          <w:p w14:paraId="15D6CC52" w14:textId="4806E1BB" w:rsidR="005A1E75" w:rsidRPr="006229D9" w:rsidRDefault="005A1E75" w:rsidP="006543B8">
            <w:pPr>
              <w:pStyle w:val="Caption"/>
            </w:pPr>
            <w:bookmarkStart w:id="109" w:name="_Toc485822664"/>
            <w:r w:rsidRPr="006229D9">
              <w:t xml:space="preserve">Figure </w:t>
            </w:r>
            <w:fldSimple w:instr=" SEQ Figure \* ARABIC ">
              <w:r w:rsidR="00A12655">
                <w:rPr>
                  <w:noProof/>
                </w:rPr>
                <w:t>17</w:t>
              </w:r>
            </w:fldSimple>
            <w:r>
              <w:t xml:space="preserve">: </w:t>
            </w:r>
            <w:r w:rsidRPr="005A1E75">
              <w:t>Eurobond Repayments</w:t>
            </w:r>
            <w:bookmarkEnd w:id="109"/>
          </w:p>
          <w:p w14:paraId="6C6914EB" w14:textId="66EEACB9" w:rsidR="005A1E75" w:rsidRPr="00CE0CC3" w:rsidRDefault="005A1E75" w:rsidP="006543B8">
            <w:pPr>
              <w:pStyle w:val="IEQ-chart-subcaption"/>
              <w:ind w:left="0"/>
            </w:pPr>
            <w:r w:rsidRPr="005A1E75">
              <w:t>(USD Million)</w:t>
            </w:r>
          </w:p>
        </w:tc>
      </w:tr>
      <w:tr w:rsidR="005A1E75" w14:paraId="143E36EE" w14:textId="77777777" w:rsidTr="004246DE">
        <w:tblPrEx>
          <w:tblCellMar>
            <w:left w:w="108" w:type="dxa"/>
            <w:right w:w="108" w:type="dxa"/>
          </w:tblCellMar>
        </w:tblPrEx>
        <w:trPr>
          <w:trHeight w:val="3518"/>
        </w:trPr>
        <w:tc>
          <w:tcPr>
            <w:tcW w:w="4680" w:type="dxa"/>
            <w:tcBorders>
              <w:top w:val="dotted" w:sz="4" w:space="0" w:color="0C4DA2"/>
              <w:left w:val="nil"/>
              <w:bottom w:val="dotted" w:sz="4" w:space="0" w:color="0C4DA2"/>
              <w:right w:val="nil"/>
            </w:tcBorders>
            <w:hideMark/>
          </w:tcPr>
          <w:p w14:paraId="155B7FD1" w14:textId="2979EAFE" w:rsidR="005A1E75" w:rsidRPr="00ED6AB4" w:rsidRDefault="0090778B" w:rsidP="006543B8">
            <w:pPr>
              <w:rPr>
                <w:rFonts w:ascii="Arial" w:hAnsi="Arial" w:cs="Arial"/>
                <w:i/>
                <w:sz w:val="16"/>
                <w:szCs w:val="16"/>
              </w:rPr>
            </w:pPr>
            <w:r w:rsidRPr="0090778B">
              <w:rPr>
                <w:rFonts w:ascii="Arial" w:hAnsi="Arial" w:cs="Arial"/>
                <w:i/>
                <w:noProof/>
                <w:sz w:val="16"/>
                <w:szCs w:val="16"/>
              </w:rPr>
              <w:drawing>
                <wp:inline distT="0" distB="0" distL="0" distR="0" wp14:anchorId="6E0F03FA" wp14:editId="74F9AD4A">
                  <wp:extent cx="2827020" cy="2202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7020" cy="2202180"/>
                          </a:xfrm>
                          <a:prstGeom prst="rect">
                            <a:avLst/>
                          </a:prstGeom>
                          <a:noFill/>
                          <a:ln>
                            <a:noFill/>
                          </a:ln>
                        </pic:spPr>
                      </pic:pic>
                    </a:graphicData>
                  </a:graphic>
                </wp:inline>
              </w:drawing>
            </w:r>
          </w:p>
        </w:tc>
      </w:tr>
      <w:tr w:rsidR="00E249BC" w14:paraId="490FD7C9" w14:textId="77777777" w:rsidTr="004246DE">
        <w:trPr>
          <w:trHeight w:val="98"/>
        </w:trPr>
        <w:tc>
          <w:tcPr>
            <w:tcW w:w="4680" w:type="dxa"/>
            <w:tcBorders>
              <w:top w:val="dotted" w:sz="4" w:space="0" w:color="0C4DA2"/>
              <w:left w:val="nil"/>
              <w:bottom w:val="dotted" w:sz="4" w:space="0" w:color="0C4DA2"/>
              <w:right w:val="nil"/>
            </w:tcBorders>
            <w:hideMark/>
          </w:tcPr>
          <w:p w14:paraId="60D40420" w14:textId="087053EB" w:rsidR="00E249BC" w:rsidRDefault="00E249BC" w:rsidP="00E249BC">
            <w:pPr>
              <w:pStyle w:val="BodyText"/>
            </w:pPr>
            <w:r w:rsidRPr="0090778B">
              <w:rPr>
                <w:b/>
                <w:color w:val="808080"/>
                <w:sz w:val="16"/>
              </w:rPr>
              <w:t>Note: SLA – Sri Lankan Airlines</w:t>
            </w:r>
          </w:p>
        </w:tc>
      </w:tr>
      <w:tr w:rsidR="00E249BC" w14:paraId="752BBC51" w14:textId="77777777" w:rsidTr="004246DE">
        <w:trPr>
          <w:trHeight w:val="98"/>
        </w:trPr>
        <w:tc>
          <w:tcPr>
            <w:tcW w:w="4680" w:type="dxa"/>
            <w:tcBorders>
              <w:top w:val="dotted" w:sz="4" w:space="0" w:color="0C4DA2"/>
              <w:left w:val="nil"/>
              <w:bottom w:val="nil"/>
              <w:right w:val="nil"/>
            </w:tcBorders>
          </w:tcPr>
          <w:p w14:paraId="6FF3C078" w14:textId="58501418" w:rsidR="00E249BC" w:rsidRPr="003C40AE" w:rsidRDefault="00E249BC" w:rsidP="00E249BC">
            <w:pPr>
              <w:pStyle w:val="BodyText"/>
              <w:rPr>
                <w:b/>
                <w:color w:val="808080"/>
                <w:sz w:val="16"/>
              </w:rPr>
            </w:pPr>
            <w:r w:rsidRPr="00E249BC">
              <w:rPr>
                <w:b/>
                <w:color w:val="808080"/>
                <w:sz w:val="16"/>
              </w:rPr>
              <w:t>Source: Central Bank of Sri Lanka, Ministry of Finance, Sri Lankan Airlines, Staff calculations</w:t>
            </w:r>
          </w:p>
        </w:tc>
      </w:tr>
    </w:tbl>
    <w:p w14:paraId="6BFB8F81" w14:textId="77777777" w:rsidR="005A1E75" w:rsidRDefault="005A1E75" w:rsidP="005A1E75">
      <w:pPr>
        <w:rPr>
          <w:rFonts w:eastAsia="Times New Roman" w:cs="Arial"/>
          <w:kern w:val="28"/>
          <w:sz w:val="22"/>
          <w:szCs w:val="20"/>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A1E75" w:rsidRPr="000A41D0" w14:paraId="2945152A" w14:textId="77777777" w:rsidTr="006543B8">
        <w:tc>
          <w:tcPr>
            <w:tcW w:w="2020" w:type="dxa"/>
          </w:tcPr>
          <w:p w14:paraId="2CBD47C4" w14:textId="2CC00CB3" w:rsidR="005A1E75" w:rsidRPr="000D0EBB" w:rsidRDefault="0090778B" w:rsidP="006543B8">
            <w:pPr>
              <w:rPr>
                <w:b/>
                <w:sz w:val="22"/>
              </w:rPr>
            </w:pPr>
            <w:r w:rsidRPr="000D0EBB">
              <w:rPr>
                <w:b/>
                <w:sz w:val="22"/>
              </w:rPr>
              <w:t>There are structural debt management challenges.</w:t>
            </w:r>
          </w:p>
        </w:tc>
        <w:tc>
          <w:tcPr>
            <w:tcW w:w="145" w:type="dxa"/>
          </w:tcPr>
          <w:p w14:paraId="74770670" w14:textId="77777777" w:rsidR="005A1E75" w:rsidRPr="000A41D0" w:rsidRDefault="005A1E75" w:rsidP="006543B8">
            <w:pPr>
              <w:pStyle w:val="BodyText"/>
            </w:pPr>
          </w:p>
        </w:tc>
        <w:tc>
          <w:tcPr>
            <w:tcW w:w="7221" w:type="dxa"/>
          </w:tcPr>
          <w:p w14:paraId="153EE788" w14:textId="71B4FEB7" w:rsidR="005A1E75" w:rsidRPr="009B3B80" w:rsidRDefault="0090778B" w:rsidP="006543B8">
            <w:pPr>
              <w:jc w:val="both"/>
              <w:rPr>
                <w:sz w:val="22"/>
              </w:rPr>
            </w:pPr>
            <w:r w:rsidRPr="0090778B">
              <w:rPr>
                <w:sz w:val="22"/>
              </w:rPr>
              <w:t xml:space="preserve">The country’s transition towards Upper Middle-Income status is expected to lead to more commercial borrowing terms and increase the cost and risk. The fragmented legal and institutional framework of debt management and lack of a comprehensive debt management strategy leaves the public sector exposed to a debt portfolio with high cost and risk on the domestic market as well. The Private Public Partnership (PPP) agenda may move the direct fiscal cost of investment to the private sector, but may require the public sector to assume more fiscal risk. In this context, the Government has taken steps to set up a unified Debt Management Office (DMO), but progress has been slow since then. A proactive debt management strategy can provide guidance to the DMO to consider trade-off between the costs and risks of </w:t>
            </w:r>
            <w:r w:rsidRPr="0090778B">
              <w:rPr>
                <w:sz w:val="22"/>
              </w:rPr>
              <w:lastRenderedPageBreak/>
              <w:t>available domestic and external borrowing options, while enhancing transparency and predictability in the domestic financial market that will contribute to capital market development. Proactive liability management will reduce medium-term external refinancing risks.</w:t>
            </w:r>
          </w:p>
        </w:tc>
      </w:tr>
    </w:tbl>
    <w:p w14:paraId="022D4E35" w14:textId="77777777" w:rsidR="00631D90" w:rsidRDefault="00631D90" w:rsidP="00917995">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917995" w:rsidRPr="000A41D0" w14:paraId="25F770E2" w14:textId="77777777" w:rsidTr="00BF13E9">
        <w:tc>
          <w:tcPr>
            <w:tcW w:w="2020" w:type="dxa"/>
          </w:tcPr>
          <w:p w14:paraId="59061102" w14:textId="4F2E56DC" w:rsidR="00917995" w:rsidRPr="00917995" w:rsidRDefault="002F6C17" w:rsidP="00194F84">
            <w:pPr>
              <w:rPr>
                <w:b/>
                <w:sz w:val="22"/>
              </w:rPr>
            </w:pPr>
            <w:r>
              <w:rPr>
                <w:b/>
                <w:sz w:val="22"/>
              </w:rPr>
              <w:t>S</w:t>
            </w:r>
            <w:r w:rsidR="00970DDB" w:rsidRPr="00412EC5">
              <w:rPr>
                <w:b/>
                <w:sz w:val="22"/>
              </w:rPr>
              <w:t>tay</w:t>
            </w:r>
            <w:r>
              <w:rPr>
                <w:b/>
                <w:sz w:val="22"/>
              </w:rPr>
              <w:t>ing</w:t>
            </w:r>
            <w:r w:rsidR="00970DDB" w:rsidRPr="00412EC5">
              <w:rPr>
                <w:b/>
                <w:sz w:val="22"/>
              </w:rPr>
              <w:t xml:space="preserve"> on the fiscal consolidation path</w:t>
            </w:r>
            <w:r>
              <w:rPr>
                <w:b/>
                <w:sz w:val="22"/>
              </w:rPr>
              <w:t xml:space="preserve"> is a key priority</w:t>
            </w:r>
            <w:r w:rsidR="00412EC5">
              <w:rPr>
                <w:b/>
                <w:sz w:val="22"/>
              </w:rPr>
              <w:t>.</w:t>
            </w:r>
            <w:r w:rsidR="00970DDB">
              <w:rPr>
                <w:b/>
              </w:rPr>
              <w:t xml:space="preserve"> </w:t>
            </w:r>
          </w:p>
        </w:tc>
        <w:tc>
          <w:tcPr>
            <w:tcW w:w="145" w:type="dxa"/>
          </w:tcPr>
          <w:p w14:paraId="58C75A4F" w14:textId="77777777" w:rsidR="00917995" w:rsidRPr="000A41D0" w:rsidRDefault="00917995" w:rsidP="00BF13E9">
            <w:pPr>
              <w:pStyle w:val="BodyText"/>
            </w:pPr>
          </w:p>
        </w:tc>
        <w:tc>
          <w:tcPr>
            <w:tcW w:w="7221" w:type="dxa"/>
          </w:tcPr>
          <w:p w14:paraId="72E067B5" w14:textId="115EB129" w:rsidR="00917995" w:rsidRPr="009B3B80" w:rsidRDefault="00917995" w:rsidP="002A50D9">
            <w:pPr>
              <w:jc w:val="both"/>
              <w:rPr>
                <w:sz w:val="22"/>
              </w:rPr>
            </w:pPr>
            <w:r w:rsidRPr="00917995">
              <w:rPr>
                <w:sz w:val="22"/>
              </w:rPr>
              <w:t>Raising more revenue while controlling current expenditure is needed to reduce the fiscal deficit and bring pub</w:t>
            </w:r>
            <w:r w:rsidR="003A4F06">
              <w:rPr>
                <w:sz w:val="22"/>
              </w:rPr>
              <w:t>lic debt to a sustainable path. Following the success in 2016, emphasis is needed on raising tax revenues structurally without relying much on non-tax revenues driven by SOEs. Continued fiscal consolidation</w:t>
            </w:r>
            <w:r w:rsidRPr="00917995">
              <w:rPr>
                <w:sz w:val="22"/>
              </w:rPr>
              <w:t xml:space="preserve"> will help </w:t>
            </w:r>
            <w:r w:rsidR="003A4F06">
              <w:rPr>
                <w:sz w:val="22"/>
              </w:rPr>
              <w:t xml:space="preserve">the country </w:t>
            </w:r>
            <w:r w:rsidRPr="00917995">
              <w:rPr>
                <w:sz w:val="22"/>
              </w:rPr>
              <w:t>prepare for additional public spending on expanding pension coverage, old-age health and long-term care in the medium to long term as Sri Lanka’s demographic transition advances. Fiscal space is equally important to increase investment in human and physical capital and the provision of other public goods to sustain growth in the medium term</w:t>
            </w:r>
            <w:r w:rsidR="002A50D9">
              <w:rPr>
                <w:sz w:val="22"/>
              </w:rPr>
              <w:t xml:space="preserve"> with an aging population</w:t>
            </w:r>
            <w:r w:rsidRPr="00917995">
              <w:rPr>
                <w:sz w:val="22"/>
              </w:rPr>
              <w:t>. A reduced fiscal deficit will also limit exposure to global financial markets, which have become more volatile recently and which are expected to gradually become tighter, and to free up credit for the private sector in the domestic market.</w:t>
            </w:r>
            <w:r w:rsidR="00970DDB">
              <w:rPr>
                <w:sz w:val="22"/>
              </w:rPr>
              <w:t xml:space="preserve"> A reduced fiscal deficit, a reduced debt level and more predictability in the markets will also reduce the burden on the central bank to provide temporary financing, which gives it more operational independence to pursue an appropriate monetary and exchange rate policy for the country.</w:t>
            </w:r>
          </w:p>
        </w:tc>
      </w:tr>
    </w:tbl>
    <w:p w14:paraId="76DC145C" w14:textId="77777777" w:rsidR="00C86F3B" w:rsidRDefault="00C86F3B" w:rsidP="00917995">
      <w:pPr>
        <w:rPr>
          <w:rFonts w:eastAsia="Times New Roman" w:cs="Arial"/>
          <w:kern w:val="28"/>
          <w:sz w:val="22"/>
          <w:szCs w:val="20"/>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C86F3B" w:rsidRPr="000A41D0" w14:paraId="67C17959" w14:textId="77777777" w:rsidTr="00054111">
        <w:tc>
          <w:tcPr>
            <w:tcW w:w="2020" w:type="dxa"/>
          </w:tcPr>
          <w:p w14:paraId="6C635397" w14:textId="74DF8232" w:rsidR="00C86F3B" w:rsidRPr="00E25B1B" w:rsidRDefault="00194F84" w:rsidP="00194F84">
            <w:pPr>
              <w:rPr>
                <w:b/>
              </w:rPr>
            </w:pPr>
            <w:r>
              <w:rPr>
                <w:b/>
                <w:sz w:val="22"/>
              </w:rPr>
              <w:t xml:space="preserve">Implementing the </w:t>
            </w:r>
            <w:r w:rsidR="00C86F3B">
              <w:rPr>
                <w:b/>
                <w:sz w:val="22"/>
              </w:rPr>
              <w:t>new Inland Revenue Act is a good start</w:t>
            </w:r>
            <w:r w:rsidR="00C86F3B" w:rsidRPr="00EE0411">
              <w:rPr>
                <w:b/>
                <w:sz w:val="22"/>
              </w:rPr>
              <w:t>.</w:t>
            </w:r>
          </w:p>
        </w:tc>
        <w:tc>
          <w:tcPr>
            <w:tcW w:w="145" w:type="dxa"/>
          </w:tcPr>
          <w:p w14:paraId="398AB9E6" w14:textId="77777777" w:rsidR="00C86F3B" w:rsidRPr="000A41D0" w:rsidRDefault="00C86F3B" w:rsidP="00054111">
            <w:pPr>
              <w:pStyle w:val="BodyText"/>
            </w:pPr>
          </w:p>
        </w:tc>
        <w:tc>
          <w:tcPr>
            <w:tcW w:w="7221" w:type="dxa"/>
          </w:tcPr>
          <w:p w14:paraId="1DB9460F" w14:textId="4599832D" w:rsidR="00C86F3B" w:rsidRPr="009B3B80" w:rsidRDefault="00C86F3B" w:rsidP="00194F84">
            <w:pPr>
              <w:jc w:val="both"/>
              <w:rPr>
                <w:sz w:val="22"/>
              </w:rPr>
            </w:pPr>
            <w:r w:rsidRPr="009B3B80">
              <w:rPr>
                <w:sz w:val="22"/>
              </w:rPr>
              <w:t xml:space="preserve">The new Inland Revenue Act, </w:t>
            </w:r>
            <w:r>
              <w:rPr>
                <w:sz w:val="22"/>
              </w:rPr>
              <w:t>to be submitted to the Parliament by June</w:t>
            </w:r>
            <w:r w:rsidRPr="009B3B80">
              <w:rPr>
                <w:sz w:val="22"/>
              </w:rPr>
              <w:t xml:space="preserve">, </w:t>
            </w:r>
            <w:r>
              <w:rPr>
                <w:sz w:val="22"/>
              </w:rPr>
              <w:t>and further reforms are needed</w:t>
            </w:r>
            <w:r w:rsidRPr="009B3B80">
              <w:rPr>
                <w:sz w:val="22"/>
              </w:rPr>
              <w:t xml:space="preserve"> to </w:t>
            </w:r>
            <w:r>
              <w:rPr>
                <w:sz w:val="22"/>
              </w:rPr>
              <w:t xml:space="preserve">widen the tax base, make the </w:t>
            </w:r>
            <w:r w:rsidRPr="009B3B80">
              <w:rPr>
                <w:sz w:val="22"/>
              </w:rPr>
              <w:t xml:space="preserve">current tax system </w:t>
            </w:r>
            <w:r>
              <w:rPr>
                <w:sz w:val="22"/>
              </w:rPr>
              <w:t xml:space="preserve">simpler and more stable, </w:t>
            </w:r>
            <w:r w:rsidRPr="009B3B80">
              <w:rPr>
                <w:sz w:val="22"/>
              </w:rPr>
              <w:t>and</w:t>
            </w:r>
            <w:r>
              <w:rPr>
                <w:sz w:val="22"/>
              </w:rPr>
              <w:t xml:space="preserve"> make </w:t>
            </w:r>
            <w:r w:rsidRPr="009B3B80">
              <w:rPr>
                <w:sz w:val="22"/>
              </w:rPr>
              <w:t>administration</w:t>
            </w:r>
            <w:r>
              <w:rPr>
                <w:sz w:val="22"/>
              </w:rPr>
              <w:t xml:space="preserve"> more efficient</w:t>
            </w:r>
            <w:r w:rsidRPr="009B3B80">
              <w:rPr>
                <w:sz w:val="22"/>
              </w:rPr>
              <w:t xml:space="preserve">. </w:t>
            </w:r>
            <w:r>
              <w:rPr>
                <w:sz w:val="22"/>
              </w:rPr>
              <w:t xml:space="preserve">The government has already announced an incentives structure, which relies on investment allowances to promote investment and job creation instead of pursuing fiscally expensive tax holidays, exemptions and special rates. Although there is room for improvement through sector targeting, investment allowance based incentives could be helpful for simplification and reduce leakages while preserving competitiveness. </w:t>
            </w:r>
          </w:p>
        </w:tc>
      </w:tr>
    </w:tbl>
    <w:p w14:paraId="1078023A" w14:textId="77777777" w:rsidR="00C86F3B" w:rsidRPr="00917995" w:rsidRDefault="00C86F3B" w:rsidP="00917995"/>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D12D2E" w:rsidRPr="000A41D0" w14:paraId="2BEFD738" w14:textId="77777777" w:rsidTr="009214E5">
        <w:tc>
          <w:tcPr>
            <w:tcW w:w="2020" w:type="dxa"/>
          </w:tcPr>
          <w:p w14:paraId="75F89782" w14:textId="015E5A73" w:rsidR="00D12D2E" w:rsidRPr="009725FC" w:rsidRDefault="00BB1CE8" w:rsidP="009725FC">
            <w:pPr>
              <w:rPr>
                <w:b/>
                <w:sz w:val="22"/>
              </w:rPr>
            </w:pPr>
            <w:r>
              <w:rPr>
                <w:b/>
                <w:sz w:val="22"/>
              </w:rPr>
              <w:t xml:space="preserve">The impact of fiscal consolidation on </w:t>
            </w:r>
            <w:r w:rsidR="005B2949">
              <w:rPr>
                <w:b/>
                <w:sz w:val="22"/>
              </w:rPr>
              <w:t xml:space="preserve">the </w:t>
            </w:r>
            <w:r>
              <w:rPr>
                <w:b/>
                <w:sz w:val="22"/>
              </w:rPr>
              <w:t>poor is a key policy consideration</w:t>
            </w:r>
            <w:r w:rsidR="00D12D2E" w:rsidRPr="009725FC">
              <w:rPr>
                <w:b/>
                <w:sz w:val="22"/>
              </w:rPr>
              <w:t>.</w:t>
            </w:r>
          </w:p>
          <w:p w14:paraId="5CD9535B" w14:textId="77777777" w:rsidR="00D12D2E" w:rsidRPr="0094618C" w:rsidRDefault="00D12D2E" w:rsidP="009214E5">
            <w:pPr>
              <w:spacing w:after="120"/>
              <w:rPr>
                <w:b/>
              </w:rPr>
            </w:pPr>
          </w:p>
        </w:tc>
        <w:tc>
          <w:tcPr>
            <w:tcW w:w="145" w:type="dxa"/>
          </w:tcPr>
          <w:p w14:paraId="185FB116" w14:textId="77777777" w:rsidR="00D12D2E" w:rsidRPr="000A41D0" w:rsidRDefault="00D12D2E" w:rsidP="009214E5">
            <w:pPr>
              <w:pStyle w:val="BodyText"/>
            </w:pPr>
          </w:p>
        </w:tc>
        <w:tc>
          <w:tcPr>
            <w:tcW w:w="7221" w:type="dxa"/>
          </w:tcPr>
          <w:p w14:paraId="2A196978" w14:textId="535F5E7D" w:rsidR="00D12D2E" w:rsidRPr="009B3B80" w:rsidRDefault="005B2949" w:rsidP="00194F84">
            <w:pPr>
              <w:jc w:val="both"/>
              <w:rPr>
                <w:sz w:val="22"/>
              </w:rPr>
            </w:pPr>
            <w:r>
              <w:rPr>
                <w:sz w:val="22"/>
              </w:rPr>
              <w:t>In order to consolidate the gains in poverty reduction, a</w:t>
            </w:r>
            <w:r w:rsidR="00D12D2E">
              <w:rPr>
                <w:sz w:val="22"/>
              </w:rPr>
              <w:t xml:space="preserve"> careful consideration of distributional impact </w:t>
            </w:r>
            <w:r w:rsidR="004B1B01">
              <w:rPr>
                <w:sz w:val="22"/>
              </w:rPr>
              <w:t xml:space="preserve">of </w:t>
            </w:r>
            <w:r w:rsidR="00D12D2E">
              <w:rPr>
                <w:sz w:val="22"/>
              </w:rPr>
              <w:t xml:space="preserve">tax and spending on poverty will make it possible to increase tax collection, while offsetting the negative impact on the poor. For example, </w:t>
            </w:r>
            <w:r w:rsidR="00BB1CE8">
              <w:rPr>
                <w:sz w:val="22"/>
              </w:rPr>
              <w:t xml:space="preserve">it appears that </w:t>
            </w:r>
            <w:r w:rsidR="00D12D2E">
              <w:rPr>
                <w:sz w:val="22"/>
              </w:rPr>
              <w:t>l</w:t>
            </w:r>
            <w:r w:rsidR="00D12D2E" w:rsidRPr="00D45C38">
              <w:rPr>
                <w:sz w:val="22"/>
              </w:rPr>
              <w:t xml:space="preserve">ittle of the direct benefits of </w:t>
            </w:r>
            <w:r w:rsidR="008B4813">
              <w:rPr>
                <w:sz w:val="22"/>
              </w:rPr>
              <w:t xml:space="preserve">many </w:t>
            </w:r>
            <w:r w:rsidR="00D12D2E" w:rsidRPr="00D45C38">
              <w:rPr>
                <w:sz w:val="22"/>
              </w:rPr>
              <w:t xml:space="preserve">current </w:t>
            </w:r>
            <w:r w:rsidR="00D12D2E">
              <w:rPr>
                <w:sz w:val="22"/>
              </w:rPr>
              <w:t xml:space="preserve">VAT </w:t>
            </w:r>
            <w:r w:rsidR="00D12D2E" w:rsidRPr="00D45C38">
              <w:rPr>
                <w:sz w:val="22"/>
              </w:rPr>
              <w:t xml:space="preserve">exemptions accrue to the poor. In fact, virtually all tax exemptions are </w:t>
            </w:r>
            <w:r w:rsidR="004B1B01">
              <w:rPr>
                <w:sz w:val="22"/>
              </w:rPr>
              <w:t>less efficient in</w:t>
            </w:r>
            <w:r w:rsidR="00D12D2E" w:rsidRPr="00D45C38">
              <w:rPr>
                <w:sz w:val="22"/>
              </w:rPr>
              <w:t xml:space="preserve"> </w:t>
            </w:r>
            <w:r w:rsidR="004B1B01">
              <w:rPr>
                <w:sz w:val="22"/>
              </w:rPr>
              <w:t>helping</w:t>
            </w:r>
            <w:r w:rsidR="00D12D2E" w:rsidRPr="00D45C38">
              <w:rPr>
                <w:sz w:val="22"/>
              </w:rPr>
              <w:t xml:space="preserve"> poor, since wealthier households account for the majority of consumption on almost all specific items. </w:t>
            </w:r>
            <w:r w:rsidR="008B4813">
              <w:rPr>
                <w:sz w:val="22"/>
              </w:rPr>
              <w:t>However, removing them does come at the cost to the poor.</w:t>
            </w:r>
            <w:r w:rsidR="008B4813" w:rsidRPr="009B3B80">
              <w:rPr>
                <w:sz w:val="22"/>
              </w:rPr>
              <w:t xml:space="preserve"> </w:t>
            </w:r>
            <w:r w:rsidR="00D12D2E">
              <w:rPr>
                <w:sz w:val="22"/>
              </w:rPr>
              <w:t xml:space="preserve">Replacing them </w:t>
            </w:r>
            <w:r w:rsidR="006D1E91">
              <w:rPr>
                <w:sz w:val="22"/>
              </w:rPr>
              <w:t xml:space="preserve">by targeted expenditure under the </w:t>
            </w:r>
            <w:r w:rsidR="00D12D2E">
              <w:rPr>
                <w:sz w:val="22"/>
              </w:rPr>
              <w:t xml:space="preserve">social </w:t>
            </w:r>
            <w:r w:rsidR="006D1E91">
              <w:rPr>
                <w:sz w:val="22"/>
              </w:rPr>
              <w:t xml:space="preserve">safety net </w:t>
            </w:r>
            <w:r w:rsidR="004B1B01">
              <w:rPr>
                <w:sz w:val="22"/>
              </w:rPr>
              <w:t xml:space="preserve">could be </w:t>
            </w:r>
            <w:r w:rsidR="00D12D2E">
              <w:rPr>
                <w:sz w:val="22"/>
              </w:rPr>
              <w:t>a more efficient way to protect the poor at a lower fiscal cost, while simplifying the VAT system</w:t>
            </w:r>
            <w:r w:rsidR="00F02CC8">
              <w:rPr>
                <w:sz w:val="22"/>
              </w:rPr>
              <w:t xml:space="preserve">. </w:t>
            </w:r>
            <w:r w:rsidR="00F02CC8" w:rsidRPr="00B63362">
              <w:rPr>
                <w:sz w:val="22"/>
              </w:rPr>
              <w:t xml:space="preserve">Ongoing efforts to reform the targeting system used by the flagship Samurdhi Social Protection program will help in this regard. </w:t>
            </w:r>
            <w:r w:rsidR="00F02CC8">
              <w:rPr>
                <w:sz w:val="22"/>
              </w:rPr>
              <w:t>T</w:t>
            </w:r>
            <w:r w:rsidR="006D1E91" w:rsidRPr="006D1E91">
              <w:rPr>
                <w:sz w:val="22"/>
              </w:rPr>
              <w:t>he increased fiscal space could be used for investment in public health and education provision and infrastructure</w:t>
            </w:r>
            <w:r w:rsidR="00194F84">
              <w:rPr>
                <w:sz w:val="22"/>
              </w:rPr>
              <w:t xml:space="preserve"> to benefit poor areas</w:t>
            </w:r>
            <w:r w:rsidR="006D1E91" w:rsidRPr="006D1E91">
              <w:rPr>
                <w:sz w:val="22"/>
              </w:rPr>
              <w:t>.</w:t>
            </w:r>
            <w:r w:rsidR="00194F84">
              <w:rPr>
                <w:sz w:val="22"/>
              </w:rPr>
              <w:t xml:space="preserve"> </w:t>
            </w:r>
          </w:p>
        </w:tc>
      </w:tr>
    </w:tbl>
    <w:p w14:paraId="2B2042C8" w14:textId="1E5B6BFD" w:rsidR="00D12D2E" w:rsidRDefault="00D12D2E" w:rsidP="00726231">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E25B1B" w:rsidRPr="000A41D0" w14:paraId="41237BBD" w14:textId="77777777" w:rsidTr="009214E5">
        <w:tc>
          <w:tcPr>
            <w:tcW w:w="2020" w:type="dxa"/>
          </w:tcPr>
          <w:p w14:paraId="0FAEB86B" w14:textId="66E062FE" w:rsidR="00E25B1B" w:rsidRPr="00E25B1B" w:rsidRDefault="00194F84" w:rsidP="00D2217B">
            <w:pPr>
              <w:rPr>
                <w:b/>
              </w:rPr>
            </w:pPr>
            <w:r>
              <w:rPr>
                <w:b/>
                <w:sz w:val="22"/>
              </w:rPr>
              <w:t xml:space="preserve">Improving </w:t>
            </w:r>
            <w:r w:rsidR="00D2217B">
              <w:rPr>
                <w:b/>
                <w:sz w:val="22"/>
              </w:rPr>
              <w:t xml:space="preserve">trade and FDI </w:t>
            </w:r>
            <w:r>
              <w:rPr>
                <w:b/>
                <w:sz w:val="22"/>
              </w:rPr>
              <w:t>is key to ensure growth and strengthen its external position</w:t>
            </w:r>
          </w:p>
        </w:tc>
        <w:tc>
          <w:tcPr>
            <w:tcW w:w="145" w:type="dxa"/>
          </w:tcPr>
          <w:p w14:paraId="3CE59878" w14:textId="77777777" w:rsidR="00E25B1B" w:rsidRPr="000A41D0" w:rsidRDefault="00E25B1B" w:rsidP="009214E5">
            <w:pPr>
              <w:pStyle w:val="BodyText"/>
            </w:pPr>
          </w:p>
        </w:tc>
        <w:tc>
          <w:tcPr>
            <w:tcW w:w="7221" w:type="dxa"/>
          </w:tcPr>
          <w:p w14:paraId="4F1704E4" w14:textId="48F5916C" w:rsidR="007837B9" w:rsidRPr="009B3B80" w:rsidRDefault="00F3055A" w:rsidP="00070835">
            <w:pPr>
              <w:jc w:val="both"/>
              <w:rPr>
                <w:sz w:val="22"/>
              </w:rPr>
            </w:pPr>
            <w:r>
              <w:rPr>
                <w:sz w:val="22"/>
              </w:rPr>
              <w:t xml:space="preserve">Sri Lanka needs to shift </w:t>
            </w:r>
            <w:r w:rsidR="00070835" w:rsidRPr="00070835">
              <w:rPr>
                <w:sz w:val="22"/>
              </w:rPr>
              <w:t xml:space="preserve">from a public investment, non-tradable sector-driven growth model to a private investment, tradeable sector-led model, </w:t>
            </w:r>
            <w:r w:rsidR="00D2217B">
              <w:rPr>
                <w:sz w:val="22"/>
              </w:rPr>
              <w:t>to sustain its growth</w:t>
            </w:r>
            <w:r w:rsidR="00AA2DB0">
              <w:rPr>
                <w:sz w:val="22"/>
              </w:rPr>
              <w:t>, strengthen its structurally weak current account, create new, productive jobs in the private sector</w:t>
            </w:r>
            <w:r w:rsidR="00070835">
              <w:rPr>
                <w:sz w:val="22"/>
              </w:rPr>
              <w:t>, and reduce poverty</w:t>
            </w:r>
            <w:r w:rsidR="00D2217B">
              <w:rPr>
                <w:sz w:val="22"/>
              </w:rPr>
              <w:t xml:space="preserve">. </w:t>
            </w:r>
            <w:r w:rsidR="00AA2DB0">
              <w:rPr>
                <w:sz w:val="22"/>
              </w:rPr>
              <w:t>The Special Focus section below discusses challenges and policy priorities in this area</w:t>
            </w:r>
            <w:r w:rsidR="00DE346B">
              <w:rPr>
                <w:sz w:val="22"/>
              </w:rPr>
              <w:t xml:space="preserve"> with emphasis and trade and FDI.</w:t>
            </w:r>
            <w:r w:rsidR="007837B9">
              <w:rPr>
                <w:sz w:val="22"/>
              </w:rPr>
              <w:t xml:space="preserve"> </w:t>
            </w:r>
          </w:p>
        </w:tc>
      </w:tr>
    </w:tbl>
    <w:p w14:paraId="1FCEA2E5" w14:textId="77777777" w:rsidR="00FE3A0D" w:rsidRDefault="00FE3A0D" w:rsidP="00726231">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331498" w:rsidRPr="000A41D0" w14:paraId="091201BC" w14:textId="77777777" w:rsidTr="009214E5">
        <w:tc>
          <w:tcPr>
            <w:tcW w:w="2020" w:type="dxa"/>
          </w:tcPr>
          <w:p w14:paraId="6B4F2AEC" w14:textId="77777777" w:rsidR="00331498" w:rsidRPr="00E25B1B" w:rsidRDefault="00354BFB" w:rsidP="00937624">
            <w:pPr>
              <w:pStyle w:val="BodyText"/>
              <w:rPr>
                <w:b/>
              </w:rPr>
            </w:pPr>
            <w:r>
              <w:rPr>
                <w:b/>
              </w:rPr>
              <w:t>Governance</w:t>
            </w:r>
            <w:r w:rsidRPr="009725FC">
              <w:rPr>
                <w:b/>
              </w:rPr>
              <w:t xml:space="preserve"> </w:t>
            </w:r>
            <w:r w:rsidR="00E25B1B" w:rsidRPr="009725FC">
              <w:rPr>
                <w:b/>
              </w:rPr>
              <w:t xml:space="preserve">reforms will support fiscal </w:t>
            </w:r>
            <w:r w:rsidR="00E25B1B" w:rsidRPr="009725FC">
              <w:rPr>
                <w:b/>
              </w:rPr>
              <w:lastRenderedPageBreak/>
              <w:t xml:space="preserve">sustainability </w:t>
            </w:r>
            <w:r w:rsidR="00E62FBC">
              <w:rPr>
                <w:b/>
              </w:rPr>
              <w:t>and</w:t>
            </w:r>
            <w:r w:rsidR="00E25B1B" w:rsidRPr="009725FC">
              <w:rPr>
                <w:b/>
              </w:rPr>
              <w:t xml:space="preserve"> overall competitiveness.</w:t>
            </w:r>
          </w:p>
        </w:tc>
        <w:tc>
          <w:tcPr>
            <w:tcW w:w="145" w:type="dxa"/>
          </w:tcPr>
          <w:p w14:paraId="572E8376" w14:textId="77777777" w:rsidR="00331498" w:rsidRPr="000A41D0" w:rsidRDefault="00331498" w:rsidP="009214E5">
            <w:pPr>
              <w:pStyle w:val="BodyText"/>
            </w:pPr>
          </w:p>
        </w:tc>
        <w:tc>
          <w:tcPr>
            <w:tcW w:w="7221" w:type="dxa"/>
          </w:tcPr>
          <w:p w14:paraId="2E763D14" w14:textId="244C99D4" w:rsidR="00331498" w:rsidRPr="009B3B80" w:rsidRDefault="009A1670" w:rsidP="002A50D9">
            <w:pPr>
              <w:jc w:val="both"/>
              <w:rPr>
                <w:sz w:val="22"/>
              </w:rPr>
            </w:pPr>
            <w:r>
              <w:rPr>
                <w:sz w:val="22"/>
              </w:rPr>
              <w:t xml:space="preserve">In a landmark improvement of transparency and governance, the </w:t>
            </w:r>
            <w:r w:rsidR="002A50D9">
              <w:rPr>
                <w:sz w:val="22"/>
              </w:rPr>
              <w:t>G</w:t>
            </w:r>
            <w:r>
              <w:rPr>
                <w:sz w:val="22"/>
              </w:rPr>
              <w:t xml:space="preserve">overnment passed a strong Right to Information Law in 2016. </w:t>
            </w:r>
            <w:r w:rsidR="00A63B47">
              <w:rPr>
                <w:sz w:val="22"/>
              </w:rPr>
              <w:t xml:space="preserve">A </w:t>
            </w:r>
            <w:r w:rsidR="00A63B47" w:rsidRPr="007A3D46">
              <w:rPr>
                <w:sz w:val="22"/>
              </w:rPr>
              <w:t xml:space="preserve">Constitutional Amendment to </w:t>
            </w:r>
            <w:r w:rsidR="00A63B47" w:rsidRPr="007A3D46">
              <w:rPr>
                <w:sz w:val="22"/>
              </w:rPr>
              <w:lastRenderedPageBreak/>
              <w:t>strengthen the supreme audit institution</w:t>
            </w:r>
            <w:r w:rsidR="00A63B47">
              <w:rPr>
                <w:sz w:val="22"/>
              </w:rPr>
              <w:t xml:space="preserve"> was a key first step, which is expected to be followed by an Audit Bill</w:t>
            </w:r>
            <w:r w:rsidR="00A63B47" w:rsidRPr="007A3D46">
              <w:rPr>
                <w:sz w:val="22"/>
              </w:rPr>
              <w:t>, providing for greater administrative and financial independence</w:t>
            </w:r>
            <w:r w:rsidR="00A63B47">
              <w:rPr>
                <w:sz w:val="22"/>
              </w:rPr>
              <w:t xml:space="preserve">. </w:t>
            </w:r>
            <w:r w:rsidR="00A63B47" w:rsidRPr="007A3D46">
              <w:rPr>
                <w:sz w:val="22"/>
              </w:rPr>
              <w:t>A decision to move forward on draftin</w:t>
            </w:r>
            <w:r w:rsidR="00A63B47">
              <w:rPr>
                <w:sz w:val="22"/>
              </w:rPr>
              <w:t>g a comprehensive Public Financ</w:t>
            </w:r>
            <w:r w:rsidR="002A50D9">
              <w:rPr>
                <w:sz w:val="22"/>
              </w:rPr>
              <w:t xml:space="preserve">e </w:t>
            </w:r>
            <w:r w:rsidR="00A63B47" w:rsidRPr="007A3D46">
              <w:rPr>
                <w:sz w:val="22"/>
              </w:rPr>
              <w:t>Act will provide clarity on roles and responsibilities in the management of public assets</w:t>
            </w:r>
            <w:r w:rsidR="002A50D9">
              <w:rPr>
                <w:sz w:val="22"/>
              </w:rPr>
              <w:t xml:space="preserve"> and improve budget credibility</w:t>
            </w:r>
            <w:r w:rsidR="00A63B47" w:rsidRPr="007A3D46">
              <w:rPr>
                <w:sz w:val="22"/>
              </w:rPr>
              <w:t xml:space="preserve">. A </w:t>
            </w:r>
            <w:r w:rsidR="002A50D9">
              <w:rPr>
                <w:sz w:val="22"/>
              </w:rPr>
              <w:t xml:space="preserve">legal framework for SOEs </w:t>
            </w:r>
            <w:r w:rsidR="00A63B47" w:rsidRPr="007A3D46">
              <w:rPr>
                <w:sz w:val="22"/>
              </w:rPr>
              <w:t xml:space="preserve">strengthened audit function as well as improved public financial management and oversight of public enterprises could improve fiscal performance as well as public sector effectiveness, including for public enterprises. </w:t>
            </w:r>
          </w:p>
        </w:tc>
      </w:tr>
    </w:tbl>
    <w:p w14:paraId="2BE939D2" w14:textId="77777777" w:rsidR="00726231" w:rsidRDefault="00726231" w:rsidP="00AA374D">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31D90" w:rsidRPr="000A41D0" w14:paraId="1049E373" w14:textId="77777777" w:rsidTr="00054111">
        <w:tc>
          <w:tcPr>
            <w:tcW w:w="2020" w:type="dxa"/>
          </w:tcPr>
          <w:p w14:paraId="6DE40B72" w14:textId="61DA3B17" w:rsidR="00631D90" w:rsidRPr="002A50D9" w:rsidRDefault="00345B9E" w:rsidP="00DE346B">
            <w:pPr>
              <w:pStyle w:val="BodyText"/>
              <w:rPr>
                <w:b/>
              </w:rPr>
            </w:pPr>
            <w:r>
              <w:rPr>
                <w:b/>
              </w:rPr>
              <w:t>The a</w:t>
            </w:r>
            <w:r w:rsidR="00DE346B">
              <w:rPr>
                <w:b/>
              </w:rPr>
              <w:t xml:space="preserve">bility to deal </w:t>
            </w:r>
            <w:r w:rsidR="00631D90" w:rsidRPr="00DE346B">
              <w:rPr>
                <w:b/>
              </w:rPr>
              <w:t xml:space="preserve">with </w:t>
            </w:r>
            <w:r w:rsidR="00631D90" w:rsidRPr="002A50D9">
              <w:rPr>
                <w:b/>
              </w:rPr>
              <w:t>recurring natural disasters</w:t>
            </w:r>
            <w:r w:rsidR="00631D90" w:rsidRPr="00DE346B">
              <w:rPr>
                <w:b/>
              </w:rPr>
              <w:t xml:space="preserve"> </w:t>
            </w:r>
            <w:r w:rsidR="00DE346B">
              <w:rPr>
                <w:b/>
              </w:rPr>
              <w:t>is becoming important</w:t>
            </w:r>
            <w:r w:rsidR="002A50D9" w:rsidRPr="00DE346B">
              <w:rPr>
                <w:b/>
              </w:rPr>
              <w:t>.</w:t>
            </w:r>
          </w:p>
        </w:tc>
        <w:tc>
          <w:tcPr>
            <w:tcW w:w="145" w:type="dxa"/>
          </w:tcPr>
          <w:p w14:paraId="609800FC" w14:textId="77777777" w:rsidR="00631D90" w:rsidRPr="000A41D0" w:rsidRDefault="00631D90" w:rsidP="00054111">
            <w:pPr>
              <w:pStyle w:val="BodyText"/>
            </w:pPr>
          </w:p>
        </w:tc>
        <w:tc>
          <w:tcPr>
            <w:tcW w:w="7221" w:type="dxa"/>
          </w:tcPr>
          <w:p w14:paraId="426AA507" w14:textId="096C3776" w:rsidR="00631D90" w:rsidRPr="009B3B80" w:rsidRDefault="002A50D9" w:rsidP="003C40AE">
            <w:pPr>
              <w:jc w:val="both"/>
              <w:rPr>
                <w:sz w:val="22"/>
              </w:rPr>
            </w:pPr>
            <w:r w:rsidRPr="002A50D9">
              <w:rPr>
                <w:sz w:val="22"/>
              </w:rPr>
              <w:t xml:space="preserve">The </w:t>
            </w:r>
            <w:r>
              <w:rPr>
                <w:sz w:val="22"/>
              </w:rPr>
              <w:t xml:space="preserve">increased frequency, </w:t>
            </w:r>
            <w:r w:rsidRPr="002A50D9">
              <w:rPr>
                <w:sz w:val="22"/>
              </w:rPr>
              <w:t xml:space="preserve">severity and economic impact </w:t>
            </w:r>
            <w:r>
              <w:rPr>
                <w:sz w:val="22"/>
              </w:rPr>
              <w:t xml:space="preserve">of natural disasters means that </w:t>
            </w:r>
            <w:r w:rsidRPr="002A50D9">
              <w:rPr>
                <w:sz w:val="22"/>
              </w:rPr>
              <w:t xml:space="preserve">Sri Lanka </w:t>
            </w:r>
            <w:r>
              <w:rPr>
                <w:sz w:val="22"/>
              </w:rPr>
              <w:t xml:space="preserve">should </w:t>
            </w:r>
            <w:r w:rsidRPr="002A50D9">
              <w:rPr>
                <w:sz w:val="22"/>
              </w:rPr>
              <w:t>increase its physical resilience to reduce impact of disasters</w:t>
            </w:r>
            <w:r>
              <w:rPr>
                <w:sz w:val="22"/>
              </w:rPr>
              <w:t xml:space="preserve">, </w:t>
            </w:r>
            <w:r w:rsidRPr="002A50D9">
              <w:rPr>
                <w:sz w:val="22"/>
              </w:rPr>
              <w:t xml:space="preserve">and </w:t>
            </w:r>
            <w:r>
              <w:rPr>
                <w:sz w:val="22"/>
              </w:rPr>
              <w:t xml:space="preserve">increase its financial resilience </w:t>
            </w:r>
            <w:r w:rsidRPr="002A50D9">
              <w:rPr>
                <w:sz w:val="22"/>
              </w:rPr>
              <w:t xml:space="preserve">to deal with the impact when the disaster happens. </w:t>
            </w:r>
            <w:r>
              <w:rPr>
                <w:sz w:val="22"/>
              </w:rPr>
              <w:t xml:space="preserve">Box </w:t>
            </w:r>
            <w:r w:rsidR="003C40AE">
              <w:rPr>
                <w:sz w:val="22"/>
              </w:rPr>
              <w:t xml:space="preserve">2 </w:t>
            </w:r>
            <w:r>
              <w:rPr>
                <w:sz w:val="22"/>
              </w:rPr>
              <w:t xml:space="preserve">discusses a number of policy recommendations to increase resilience. </w:t>
            </w:r>
          </w:p>
        </w:tc>
      </w:tr>
    </w:tbl>
    <w:p w14:paraId="4B7E09B7" w14:textId="070D2BC9" w:rsidR="002A50D9" w:rsidRDefault="002A50D9" w:rsidP="00AA374D">
      <w:pPr>
        <w:pStyle w:val="BodyText"/>
      </w:pPr>
    </w:p>
    <w:p w14:paraId="12B7471B" w14:textId="77777777" w:rsidR="00391E11" w:rsidRDefault="002A50D9">
      <w:pPr>
        <w:sectPr w:rsidR="00391E11" w:rsidSect="0024662A">
          <w:headerReference w:type="default" r:id="rId53"/>
          <w:pgSz w:w="12240" w:h="15840" w:code="1"/>
          <w:pgMar w:top="1440" w:right="1440" w:bottom="1440" w:left="3600" w:header="720" w:footer="720" w:gutter="0"/>
          <w:cols w:space="720"/>
          <w:docGrid w:linePitch="360"/>
        </w:sectPr>
      </w:pPr>
      <w:r>
        <w:br w:type="page"/>
      </w:r>
    </w:p>
    <w:tbl>
      <w:tblPr>
        <w:tblStyle w:val="TableGrid"/>
        <w:tblW w:w="0" w:type="auto"/>
        <w:tblInd w:w="-2165" w:type="dxa"/>
        <w:tblBorders>
          <w:top w:val="dotted" w:sz="4" w:space="0" w:color="0C4DA2"/>
          <w:left w:val="none" w:sz="0" w:space="0" w:color="auto"/>
          <w:bottom w:val="dotted" w:sz="4" w:space="0" w:color="0C4DA2"/>
          <w:right w:val="none" w:sz="0" w:space="0" w:color="auto"/>
          <w:insideH w:val="dotted" w:sz="4" w:space="0" w:color="0C4DA2"/>
          <w:insideV w:val="dotted" w:sz="4" w:space="0" w:color="0C4DA2"/>
        </w:tblBorders>
        <w:tblLook w:val="04A0" w:firstRow="1" w:lastRow="0" w:firstColumn="1" w:lastColumn="0" w:noHBand="0" w:noVBand="1"/>
      </w:tblPr>
      <w:tblGrid>
        <w:gridCol w:w="9355"/>
      </w:tblGrid>
      <w:tr w:rsidR="00882CFB" w14:paraId="4BF8DCF5" w14:textId="77777777" w:rsidTr="00882CFB">
        <w:tc>
          <w:tcPr>
            <w:tcW w:w="9355" w:type="dxa"/>
          </w:tcPr>
          <w:p w14:paraId="6BB9A4EC" w14:textId="293BE809" w:rsidR="00882CFB" w:rsidRPr="005975FE" w:rsidRDefault="009D4D04" w:rsidP="00D36154">
            <w:pPr>
              <w:pStyle w:val="IEQ-Chapterheading"/>
              <w:ind w:left="0"/>
              <w:rPr>
                <w:color w:val="7030A0"/>
              </w:rPr>
            </w:pPr>
            <w:bookmarkStart w:id="110" w:name="_Toc485822610"/>
            <w:r>
              <w:rPr>
                <w:color w:val="7030A0"/>
              </w:rPr>
              <w:lastRenderedPageBreak/>
              <w:t>C</w:t>
            </w:r>
            <w:r w:rsidR="00882CFB" w:rsidRPr="005975FE">
              <w:rPr>
                <w:color w:val="7030A0"/>
              </w:rPr>
              <w:t>.</w:t>
            </w:r>
            <w:r w:rsidR="00882CFB" w:rsidRPr="005975FE">
              <w:rPr>
                <w:color w:val="7030A0"/>
              </w:rPr>
              <w:tab/>
            </w:r>
            <w:r w:rsidR="00D36154">
              <w:rPr>
                <w:color w:val="7030A0"/>
              </w:rPr>
              <w:t>Special Focus</w:t>
            </w:r>
            <w:bookmarkEnd w:id="110"/>
          </w:p>
        </w:tc>
      </w:tr>
    </w:tbl>
    <w:p w14:paraId="25417A26" w14:textId="77777777" w:rsidR="00E80E33" w:rsidRDefault="00E80E33" w:rsidP="00556DF3">
      <w:pPr>
        <w:pStyle w:val="BodyText"/>
      </w:pPr>
    </w:p>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tblGrid>
      <w:tr w:rsidR="00580AAE" w:rsidRPr="009E5733" w14:paraId="4AAC2667" w14:textId="77777777" w:rsidTr="00E21B50">
        <w:trPr>
          <w:trHeight w:val="4023"/>
        </w:trPr>
        <w:tc>
          <w:tcPr>
            <w:tcW w:w="7200" w:type="dxa"/>
          </w:tcPr>
          <w:p w14:paraId="5BF7C0CC" w14:textId="46AC7C17" w:rsidR="00580AAE" w:rsidRPr="009E5733" w:rsidRDefault="00EA5AFF" w:rsidP="00F9057D">
            <w:pPr>
              <w:pStyle w:val="BodyText"/>
              <w:ind w:left="-108"/>
              <w:rPr>
                <w:sz w:val="40"/>
                <w:szCs w:val="40"/>
              </w:rPr>
            </w:pPr>
            <w:r>
              <w:rPr>
                <w:noProof/>
                <w:sz w:val="40"/>
                <w:szCs w:val="40"/>
              </w:rPr>
              <w:drawing>
                <wp:inline distT="0" distB="0" distL="0" distR="0" wp14:anchorId="6221514D" wp14:editId="57818D37">
                  <wp:extent cx="4571476" cy="2509838"/>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650 C. Challenges CPF 2016 Joe Qian.JPG"/>
                          <pic:cNvPicPr/>
                        </pic:nvPicPr>
                        <pic:blipFill rotWithShape="1">
                          <a:blip r:embed="rId54"/>
                          <a:srcRect t="9217" b="8448"/>
                          <a:stretch/>
                        </pic:blipFill>
                        <pic:spPr bwMode="auto">
                          <a:xfrm>
                            <a:off x="0" y="0"/>
                            <a:ext cx="4572000" cy="25101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67D9C2" w14:textId="33E238E8" w:rsidR="007A5502" w:rsidRDefault="007A5502" w:rsidP="004246DE">
      <w:pPr>
        <w:pStyle w:val="Heading1"/>
        <w:numPr>
          <w:ilvl w:val="0"/>
          <w:numId w:val="25"/>
        </w:numPr>
        <w:ind w:left="-360"/>
      </w:pPr>
      <w:bookmarkStart w:id="111" w:name="_Toc485822611"/>
      <w:r w:rsidRPr="000D5DF0">
        <w:t xml:space="preserve">Special Focus: </w:t>
      </w:r>
      <w:r w:rsidR="00F21A4C" w:rsidRPr="00F21A4C">
        <w:t>Unleashing Sri Lanka’s Trade Potential</w:t>
      </w:r>
      <w:bookmarkEnd w:id="111"/>
      <w:r w:rsidRPr="000D5DF0">
        <w:t xml:space="preserve"> </w:t>
      </w:r>
    </w:p>
    <w:tbl>
      <w:tblPr>
        <w:tblStyle w:val="TableGrid"/>
        <w:tblW w:w="9360" w:type="dxa"/>
        <w:tblInd w:w="-215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43" w:type="dxa"/>
          <w:right w:w="43" w:type="dxa"/>
        </w:tblCellMar>
        <w:tblLook w:val="01E0" w:firstRow="1" w:lastRow="1" w:firstColumn="1" w:lastColumn="1" w:noHBand="0" w:noVBand="0"/>
      </w:tblPr>
      <w:tblGrid>
        <w:gridCol w:w="9360"/>
      </w:tblGrid>
      <w:tr w:rsidR="00C14911" w:rsidRPr="000A41D0" w14:paraId="1D001E93" w14:textId="77777777" w:rsidTr="00E4215D">
        <w:trPr>
          <w:trHeight w:val="216"/>
        </w:trPr>
        <w:tc>
          <w:tcPr>
            <w:tcW w:w="9360" w:type="dxa"/>
            <w:tcBorders>
              <w:top w:val="nil"/>
              <w:left w:val="nil"/>
              <w:bottom w:val="nil"/>
              <w:right w:val="nil"/>
            </w:tcBorders>
            <w:shd w:val="clear" w:color="auto" w:fill="0C4DA2"/>
          </w:tcPr>
          <w:p w14:paraId="6197F0DC" w14:textId="71EB9A83" w:rsidR="00C14911" w:rsidRPr="004D523C" w:rsidRDefault="00C14911" w:rsidP="00C14911">
            <w:pPr>
              <w:pStyle w:val="Boxcaption-Dev-Update"/>
              <w:ind w:left="0"/>
            </w:pPr>
            <w:bookmarkStart w:id="112" w:name="_Toc485824098"/>
            <w:r>
              <w:rPr>
                <w:sz w:val="22"/>
              </w:rPr>
              <w:t>Box 4</w:t>
            </w:r>
            <w:r w:rsidR="005B5671">
              <w:rPr>
                <w:sz w:val="22"/>
              </w:rPr>
              <w:t>:</w:t>
            </w:r>
            <w:r w:rsidRPr="003C40AE">
              <w:rPr>
                <w:sz w:val="22"/>
              </w:rPr>
              <w:t xml:space="preserve"> </w:t>
            </w:r>
            <w:r w:rsidRPr="00C14911">
              <w:rPr>
                <w:sz w:val="22"/>
              </w:rPr>
              <w:t>Policy recommendations</w:t>
            </w:r>
            <w:r>
              <w:rPr>
                <w:sz w:val="22"/>
              </w:rPr>
              <w:t xml:space="preserve"> to improve trade and business environment and FDI</w:t>
            </w:r>
            <w:bookmarkEnd w:id="112"/>
            <w:r>
              <w:rPr>
                <w:sz w:val="22"/>
              </w:rPr>
              <w:t xml:space="preserve"> </w:t>
            </w:r>
          </w:p>
        </w:tc>
      </w:tr>
      <w:tr w:rsidR="00C14911" w:rsidRPr="004B1D8B" w14:paraId="2779DC73" w14:textId="77777777" w:rsidTr="00E4215D">
        <w:tblPrEx>
          <w:tblCellMar>
            <w:left w:w="108" w:type="dxa"/>
            <w:right w:w="108" w:type="dxa"/>
          </w:tblCellMar>
        </w:tblPrEx>
        <w:trPr>
          <w:trHeight w:val="369"/>
        </w:trPr>
        <w:tc>
          <w:tcPr>
            <w:tcW w:w="9360" w:type="dxa"/>
            <w:tcBorders>
              <w:top w:val="nil"/>
              <w:left w:val="nil"/>
              <w:bottom w:val="nil"/>
              <w:right w:val="nil"/>
            </w:tcBorders>
            <w:shd w:val="clear" w:color="auto" w:fill="DBE5F1" w:themeFill="accent1" w:themeFillTint="33"/>
          </w:tcPr>
          <w:p w14:paraId="0CD85674" w14:textId="77777777" w:rsidR="0090778B" w:rsidRPr="004246DE" w:rsidRDefault="0090778B" w:rsidP="00C14911">
            <w:pPr>
              <w:ind w:left="0"/>
              <w:jc w:val="both"/>
              <w:rPr>
                <w:sz w:val="16"/>
                <w:szCs w:val="16"/>
              </w:rPr>
            </w:pPr>
          </w:p>
          <w:p w14:paraId="28FD1A72" w14:textId="2574CC8F" w:rsidR="00C14911" w:rsidRDefault="00C14911" w:rsidP="00C14911">
            <w:pPr>
              <w:ind w:left="0"/>
              <w:jc w:val="both"/>
              <w:rPr>
                <w:sz w:val="22"/>
              </w:rPr>
            </w:pPr>
            <w:r>
              <w:rPr>
                <w:sz w:val="22"/>
              </w:rPr>
              <w:t>This section contains a number of policy r</w:t>
            </w:r>
            <w:r w:rsidRPr="007837B9">
              <w:rPr>
                <w:sz w:val="22"/>
              </w:rPr>
              <w:t>ecommendations</w:t>
            </w:r>
            <w:r>
              <w:rPr>
                <w:sz w:val="22"/>
              </w:rPr>
              <w:t>, which are summarized here</w:t>
            </w:r>
            <w:r w:rsidRPr="007837B9">
              <w:rPr>
                <w:sz w:val="22"/>
              </w:rPr>
              <w:t>:</w:t>
            </w:r>
          </w:p>
          <w:p w14:paraId="10EC3F9D" w14:textId="77777777" w:rsidR="00C14911" w:rsidRPr="006C6602" w:rsidRDefault="00C14911" w:rsidP="00C14911">
            <w:pPr>
              <w:pStyle w:val="ListParagraph"/>
              <w:numPr>
                <w:ilvl w:val="0"/>
                <w:numId w:val="12"/>
              </w:numPr>
              <w:spacing w:after="0"/>
              <w:jc w:val="both"/>
              <w:rPr>
                <w:sz w:val="22"/>
              </w:rPr>
            </w:pPr>
            <w:r w:rsidRPr="006C6602">
              <w:rPr>
                <w:sz w:val="22"/>
              </w:rPr>
              <w:t>Trade policy: (1) adopt trade policy with a gradual but firm liberalization schedule, allowing time for adjustment to avoid a sudden shock to fiscal revenue and the balance of payment; and (2) make progress on bilateral trade agreements while carefully evaluating the costs and benefits to Sri Lanka, with a particular focus on non-tariff barriers and Mutual Recognition Agreements.</w:t>
            </w:r>
          </w:p>
          <w:p w14:paraId="5251265A" w14:textId="77777777" w:rsidR="00C14911" w:rsidRDefault="00C14911" w:rsidP="00C14911">
            <w:pPr>
              <w:pStyle w:val="ListParagraph"/>
              <w:numPr>
                <w:ilvl w:val="0"/>
                <w:numId w:val="12"/>
              </w:numPr>
              <w:spacing w:after="0"/>
              <w:jc w:val="both"/>
              <w:rPr>
                <w:sz w:val="22"/>
              </w:rPr>
            </w:pPr>
            <w:r w:rsidRPr="006C6602">
              <w:rPr>
                <w:sz w:val="22"/>
              </w:rPr>
              <w:t>Trade facilitation: (1) adopt a systematic and effective risk management system, the absence of which imposes a huge burden in terms of time and cost, adversely imp</w:t>
            </w:r>
            <w:r>
              <w:rPr>
                <w:sz w:val="22"/>
              </w:rPr>
              <w:t xml:space="preserve">acting competitiveness; and (2) </w:t>
            </w:r>
            <w:r w:rsidRPr="006C6602">
              <w:rPr>
                <w:sz w:val="22"/>
              </w:rPr>
              <w:t>create a single trade information portal will help meet the informational needs of businesses.</w:t>
            </w:r>
          </w:p>
          <w:p w14:paraId="0E392D01" w14:textId="77777777" w:rsidR="00C14911" w:rsidRPr="006C6602" w:rsidRDefault="00C14911" w:rsidP="00C14911">
            <w:pPr>
              <w:pStyle w:val="ListParagraph"/>
              <w:numPr>
                <w:ilvl w:val="0"/>
                <w:numId w:val="12"/>
              </w:numPr>
              <w:spacing w:after="0"/>
              <w:jc w:val="both"/>
              <w:rPr>
                <w:sz w:val="22"/>
              </w:rPr>
            </w:pPr>
            <w:r>
              <w:rPr>
                <w:sz w:val="22"/>
              </w:rPr>
              <w:t xml:space="preserve">Innovation: </w:t>
            </w:r>
            <w:r w:rsidRPr="00541536">
              <w:rPr>
                <w:sz w:val="22"/>
              </w:rPr>
              <w:t xml:space="preserve">improve the innovation landscape in Sri Lanka </w:t>
            </w:r>
            <w:r>
              <w:rPr>
                <w:sz w:val="22"/>
              </w:rPr>
              <w:t>especially for SMEs and start-ups.</w:t>
            </w:r>
          </w:p>
          <w:p w14:paraId="42803ED4" w14:textId="77777777" w:rsidR="00C14911" w:rsidRPr="006C6602" w:rsidRDefault="00C14911" w:rsidP="00C14911">
            <w:pPr>
              <w:pStyle w:val="ListParagraph"/>
              <w:numPr>
                <w:ilvl w:val="0"/>
                <w:numId w:val="12"/>
              </w:numPr>
              <w:spacing w:after="0"/>
              <w:jc w:val="both"/>
              <w:rPr>
                <w:sz w:val="22"/>
              </w:rPr>
            </w:pPr>
            <w:r w:rsidRPr="006C6602">
              <w:rPr>
                <w:sz w:val="22"/>
              </w:rPr>
              <w:t>FDI attraction: (1) enhance effectiveness of the Board of Investment as a ‘one-stop shop’ for foreign investors; (2) strengthen BOI’s investment attraction capabilities by adopting modern tools and techniques in sector targeting, investor outreach, and investor facilitation; (3) strengthen investment retention capacity through ‘after sales services’ for existing investors; and (4) address regulatory barriers to FDI in backbone sectors to promote exports.</w:t>
            </w:r>
          </w:p>
          <w:p w14:paraId="4CF71F16" w14:textId="77777777" w:rsidR="00C14911" w:rsidRPr="006C6602" w:rsidRDefault="00C14911" w:rsidP="00C14911">
            <w:pPr>
              <w:pStyle w:val="ListParagraph"/>
              <w:numPr>
                <w:ilvl w:val="0"/>
                <w:numId w:val="12"/>
              </w:numPr>
              <w:spacing w:after="0"/>
              <w:jc w:val="both"/>
              <w:rPr>
                <w:sz w:val="22"/>
              </w:rPr>
            </w:pPr>
            <w:r w:rsidRPr="006C6602">
              <w:rPr>
                <w:sz w:val="22"/>
              </w:rPr>
              <w:t>Ensure coherence and coordination between investment policy and trade policy with a clear indication of future policy direction.</w:t>
            </w:r>
          </w:p>
          <w:p w14:paraId="3F706130" w14:textId="15802634" w:rsidR="00C14911" w:rsidRDefault="00C14911" w:rsidP="00C14911">
            <w:pPr>
              <w:pStyle w:val="ListParagraph"/>
              <w:numPr>
                <w:ilvl w:val="0"/>
                <w:numId w:val="12"/>
              </w:numPr>
              <w:spacing w:after="0"/>
              <w:jc w:val="both"/>
              <w:rPr>
                <w:sz w:val="22"/>
              </w:rPr>
            </w:pPr>
            <w:r>
              <w:rPr>
                <w:sz w:val="22"/>
              </w:rPr>
              <w:t>C</w:t>
            </w:r>
            <w:r w:rsidRPr="006C6602">
              <w:rPr>
                <w:sz w:val="22"/>
              </w:rPr>
              <w:t>onduct awareness campaigns and adopt an effective communication strategy to dispel concerns regarding PTAs.</w:t>
            </w:r>
          </w:p>
          <w:p w14:paraId="70464492" w14:textId="18E4909D" w:rsidR="007E4DD8" w:rsidRDefault="007E4DD8" w:rsidP="007E4DD8">
            <w:pPr>
              <w:pStyle w:val="ListParagraph"/>
              <w:numPr>
                <w:ilvl w:val="0"/>
                <w:numId w:val="12"/>
              </w:numPr>
              <w:spacing w:after="0"/>
              <w:jc w:val="both"/>
              <w:rPr>
                <w:sz w:val="22"/>
              </w:rPr>
            </w:pPr>
            <w:r>
              <w:rPr>
                <w:sz w:val="22"/>
              </w:rPr>
              <w:t>Enhance i</w:t>
            </w:r>
            <w:r w:rsidRPr="007E4DD8">
              <w:rPr>
                <w:sz w:val="22"/>
              </w:rPr>
              <w:t>nstitutional capacity of GoSL to address the shortcomings in the investment climate undermining the competitiveness of the private sector.</w:t>
            </w:r>
          </w:p>
          <w:p w14:paraId="62D8852C" w14:textId="252739B8" w:rsidR="00C14911" w:rsidRPr="004B1D8B" w:rsidRDefault="00C14911" w:rsidP="00C14911">
            <w:pPr>
              <w:pStyle w:val="ListParagraph"/>
              <w:numPr>
                <w:ilvl w:val="0"/>
                <w:numId w:val="12"/>
              </w:numPr>
              <w:spacing w:after="0"/>
              <w:jc w:val="both"/>
              <w:rPr>
                <w:rFonts w:cs="Arial"/>
                <w:sz w:val="22"/>
                <w:szCs w:val="22"/>
              </w:rPr>
            </w:pPr>
            <w:r>
              <w:rPr>
                <w:sz w:val="22"/>
              </w:rPr>
              <w:t>Formulate</w:t>
            </w:r>
            <w:r w:rsidRPr="007837B9">
              <w:rPr>
                <w:sz w:val="22"/>
              </w:rPr>
              <w:t xml:space="preserve"> a legal framework and policies to help firms and workers adjust to the impact of trade policy reforms and allow them to s</w:t>
            </w:r>
            <w:r>
              <w:rPr>
                <w:sz w:val="22"/>
              </w:rPr>
              <w:t>e</w:t>
            </w:r>
            <w:r w:rsidR="00937F58">
              <w:rPr>
                <w:sz w:val="22"/>
              </w:rPr>
              <w:t>i</w:t>
            </w:r>
            <w:r w:rsidRPr="007837B9">
              <w:rPr>
                <w:sz w:val="22"/>
              </w:rPr>
              <w:t>ze new opportunities.</w:t>
            </w:r>
          </w:p>
        </w:tc>
      </w:tr>
      <w:tr w:rsidR="00C14911" w:rsidRPr="000A41D0" w14:paraId="05C2C227" w14:textId="77777777" w:rsidTr="00E4215D">
        <w:trPr>
          <w:trHeight w:val="216"/>
        </w:trPr>
        <w:tc>
          <w:tcPr>
            <w:tcW w:w="9360" w:type="dxa"/>
            <w:tcBorders>
              <w:top w:val="nil"/>
              <w:left w:val="nil"/>
              <w:bottom w:val="nil"/>
              <w:right w:val="nil"/>
            </w:tcBorders>
            <w:shd w:val="clear" w:color="auto" w:fill="0C4DA2"/>
          </w:tcPr>
          <w:p w14:paraId="090AFE19" w14:textId="77777777" w:rsidR="00C14911" w:rsidRPr="00C11406" w:rsidRDefault="00C14911" w:rsidP="00E4215D">
            <w:pPr>
              <w:pStyle w:val="BodyText"/>
              <w:keepNext/>
              <w:ind w:left="0"/>
              <w:rPr>
                <w:b/>
                <w:color w:val="FFFFFF" w:themeColor="background1"/>
                <w:szCs w:val="22"/>
              </w:rPr>
            </w:pPr>
          </w:p>
        </w:tc>
      </w:tr>
    </w:tbl>
    <w:p w14:paraId="6F057306" w14:textId="77777777" w:rsidR="00C14911" w:rsidRPr="00C14911" w:rsidRDefault="00C14911" w:rsidP="00C14911"/>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8E69CF" w:rsidRPr="000A41D0" w14:paraId="35E26F2D" w14:textId="77777777" w:rsidTr="008E69CF">
        <w:tc>
          <w:tcPr>
            <w:tcW w:w="2020" w:type="dxa"/>
          </w:tcPr>
          <w:p w14:paraId="58551368" w14:textId="64FCA651" w:rsidR="008E69CF" w:rsidRPr="0094618C" w:rsidRDefault="008E69CF" w:rsidP="00B07115">
            <w:pPr>
              <w:pStyle w:val="BodyText"/>
              <w:rPr>
                <w:b/>
              </w:rPr>
            </w:pPr>
            <w:r w:rsidRPr="008E69CF">
              <w:rPr>
                <w:b/>
              </w:rPr>
              <w:lastRenderedPageBreak/>
              <w:t xml:space="preserve">Sri Lanka’s </w:t>
            </w:r>
            <w:r w:rsidR="00B07115">
              <w:rPr>
                <w:b/>
              </w:rPr>
              <w:t>march</w:t>
            </w:r>
            <w:r w:rsidRPr="008E69CF">
              <w:rPr>
                <w:b/>
              </w:rPr>
              <w:t xml:space="preserve"> towards an Upper-Middle-Income Country hinges on the economy’s competitiveness and its ability to pursue an export-led growth model.</w:t>
            </w:r>
            <w:r w:rsidR="0027286F">
              <w:rPr>
                <w:b/>
              </w:rPr>
              <w:t xml:space="preserve"> </w:t>
            </w:r>
          </w:p>
        </w:tc>
        <w:tc>
          <w:tcPr>
            <w:tcW w:w="145" w:type="dxa"/>
          </w:tcPr>
          <w:p w14:paraId="52D66561" w14:textId="77777777" w:rsidR="008E69CF" w:rsidRPr="000A41D0" w:rsidRDefault="008E69CF" w:rsidP="008E69CF">
            <w:pPr>
              <w:pStyle w:val="BodyText"/>
            </w:pPr>
          </w:p>
        </w:tc>
        <w:tc>
          <w:tcPr>
            <w:tcW w:w="7221" w:type="dxa"/>
          </w:tcPr>
          <w:p w14:paraId="05FC29F6" w14:textId="1477B250" w:rsidR="008E69CF" w:rsidRPr="000A41D0" w:rsidRDefault="008E69CF" w:rsidP="00C14911">
            <w:pPr>
              <w:jc w:val="both"/>
            </w:pPr>
            <w:r w:rsidRPr="008E69CF">
              <w:rPr>
                <w:rFonts w:cs="Arial"/>
                <w:sz w:val="22"/>
              </w:rPr>
              <w:t xml:space="preserve">While Sri Lanka has grown rapidly in the past, </w:t>
            </w:r>
            <w:r w:rsidR="0027244D">
              <w:rPr>
                <w:rFonts w:cs="Arial"/>
                <w:sz w:val="22"/>
              </w:rPr>
              <w:t>the</w:t>
            </w:r>
            <w:r w:rsidRPr="008E69CF">
              <w:rPr>
                <w:rFonts w:cs="Arial"/>
                <w:sz w:val="22"/>
              </w:rPr>
              <w:t xml:space="preserve"> non-tradable drivers of </w:t>
            </w:r>
            <w:r w:rsidR="0027286F">
              <w:rPr>
                <w:rFonts w:cs="Arial"/>
                <w:sz w:val="22"/>
              </w:rPr>
              <w:t xml:space="preserve">such </w:t>
            </w:r>
            <w:r w:rsidRPr="008E69CF">
              <w:rPr>
                <w:rFonts w:cs="Arial"/>
                <w:sz w:val="22"/>
              </w:rPr>
              <w:t>growth are unlikely to remain adequate for inclusive and sustainable growth in the coming decade.</w:t>
            </w:r>
            <w:r w:rsidR="0027286F" w:rsidRPr="008E69CF">
              <w:rPr>
                <w:rFonts w:cs="Arial"/>
                <w:sz w:val="22"/>
                <w:vertAlign w:val="superscript"/>
              </w:rPr>
              <w:footnoteReference w:id="31"/>
            </w:r>
            <w:r w:rsidR="0027286F">
              <w:rPr>
                <w:rFonts w:cs="Arial"/>
                <w:sz w:val="22"/>
                <w:vertAlign w:val="superscript"/>
              </w:rPr>
              <w:t>,</w:t>
            </w:r>
            <w:r w:rsidRPr="008E69CF">
              <w:rPr>
                <w:rStyle w:val="FootnoteReference"/>
                <w:rFonts w:cs="Arial"/>
                <w:sz w:val="22"/>
              </w:rPr>
              <w:footnoteReference w:id="32"/>
            </w:r>
            <w:r w:rsidR="0027244D">
              <w:rPr>
                <w:rFonts w:cs="Arial"/>
                <w:sz w:val="22"/>
              </w:rPr>
              <w:t xml:space="preserve"> Given the context of continued weak external liquidity, foreign exchange generated through tradeable sectors is even more important for Sri Lanka. </w:t>
            </w:r>
            <w:r w:rsidRPr="008E69CF">
              <w:rPr>
                <w:rFonts w:cs="Arial"/>
                <w:sz w:val="22"/>
              </w:rPr>
              <w:t>In order to benefit from an export-led growth model, which is necessarily based on trade, it is important that Sri Lanka strengthens its competitiveness in order to promote trade and FDI, leverage its locational advantage of geographical proximity to the powerhouses</w:t>
            </w:r>
            <w:r>
              <w:rPr>
                <w:rFonts w:cs="Arial"/>
                <w:sz w:val="22"/>
              </w:rPr>
              <w:t>,</w:t>
            </w:r>
            <w:r w:rsidRPr="008E69CF">
              <w:rPr>
                <w:rFonts w:cs="Arial"/>
                <w:sz w:val="22"/>
              </w:rPr>
              <w:t xml:space="preserve"> establish the necessary conditions for a thriving knowledge economy, integrate productive local companies in global value chains, and attain higher value addition in the manufacturing sector. This reform process will be key for Sri Lanka’s sustained economic prosperity</w:t>
            </w:r>
            <w:r w:rsidR="008B65D8">
              <w:rPr>
                <w:rFonts w:cs="Arial"/>
                <w:sz w:val="22"/>
              </w:rPr>
              <w:t xml:space="preserve"> (Figure 18</w:t>
            </w:r>
            <w:r w:rsidR="000E2CE3">
              <w:rPr>
                <w:rFonts w:cs="Arial"/>
                <w:sz w:val="22"/>
              </w:rPr>
              <w:t>)</w:t>
            </w:r>
            <w:r w:rsidRPr="008E69CF">
              <w:rPr>
                <w:rFonts w:cs="Arial"/>
                <w:sz w:val="22"/>
              </w:rPr>
              <w:t>.</w:t>
            </w:r>
            <w:r>
              <w:rPr>
                <w:rFonts w:cs="Arial"/>
                <w:sz w:val="22"/>
              </w:rPr>
              <w:t xml:space="preserve"> </w:t>
            </w:r>
          </w:p>
        </w:tc>
      </w:tr>
    </w:tbl>
    <w:p w14:paraId="1D0CBAF1" w14:textId="3C279ACD" w:rsidR="00F21A4C" w:rsidRDefault="00F21A4C" w:rsidP="007A5502">
      <w:pPr>
        <w:pStyle w:val="BodyText"/>
      </w:pPr>
    </w:p>
    <w:tbl>
      <w:tblPr>
        <w:tblW w:w="9450" w:type="dxa"/>
        <w:tblInd w:w="-216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9450"/>
      </w:tblGrid>
      <w:tr w:rsidR="00C14911" w:rsidRPr="00525702" w14:paraId="1A6D2267" w14:textId="77777777" w:rsidTr="00C14911">
        <w:trPr>
          <w:trHeight w:val="218"/>
        </w:trPr>
        <w:tc>
          <w:tcPr>
            <w:tcW w:w="9450" w:type="dxa"/>
            <w:tcBorders>
              <w:top w:val="nil"/>
              <w:left w:val="nil"/>
              <w:bottom w:val="dotted" w:sz="4" w:space="0" w:color="0C4DA2"/>
              <w:right w:val="nil"/>
            </w:tcBorders>
            <w:hideMark/>
          </w:tcPr>
          <w:p w14:paraId="7C9FD2F6" w14:textId="77D3D4D4" w:rsidR="00C14911" w:rsidRPr="00CE0CC3" w:rsidRDefault="00C14911" w:rsidP="004246DE">
            <w:pPr>
              <w:pStyle w:val="Caption"/>
            </w:pPr>
            <w:bookmarkStart w:id="113" w:name="_Toc485822665"/>
            <w:r w:rsidRPr="006229D9">
              <w:t xml:space="preserve">Figure </w:t>
            </w:r>
            <w:r w:rsidR="00975748">
              <w:fldChar w:fldCharType="begin"/>
            </w:r>
            <w:r w:rsidR="00975748">
              <w:rPr>
                <w:b w:val="0"/>
              </w:rPr>
              <w:instrText xml:space="preserve"> SEQ Figure \* ARABIC </w:instrText>
            </w:r>
            <w:r w:rsidR="00975748">
              <w:fldChar w:fldCharType="separate"/>
            </w:r>
            <w:r w:rsidR="00A12655">
              <w:rPr>
                <w:b w:val="0"/>
                <w:noProof/>
              </w:rPr>
              <w:t>18</w:t>
            </w:r>
            <w:r w:rsidR="00975748">
              <w:rPr>
                <w:noProof/>
              </w:rPr>
              <w:fldChar w:fldCharType="end"/>
            </w:r>
            <w:r>
              <w:t xml:space="preserve">: </w:t>
            </w:r>
            <w:r w:rsidRPr="00C14911">
              <w:t>Sri Lanka's post conflict sectoral growth map 2010-2016</w:t>
            </w:r>
            <w:bookmarkEnd w:id="113"/>
          </w:p>
        </w:tc>
      </w:tr>
      <w:tr w:rsidR="00C14911" w14:paraId="52B89DCB" w14:textId="77777777" w:rsidTr="00C14911">
        <w:tblPrEx>
          <w:tblCellMar>
            <w:left w:w="108" w:type="dxa"/>
            <w:right w:w="108" w:type="dxa"/>
          </w:tblCellMar>
        </w:tblPrEx>
        <w:trPr>
          <w:trHeight w:val="3518"/>
        </w:trPr>
        <w:tc>
          <w:tcPr>
            <w:tcW w:w="9450" w:type="dxa"/>
            <w:tcBorders>
              <w:top w:val="dotted" w:sz="4" w:space="0" w:color="0C4DA2"/>
              <w:left w:val="nil"/>
              <w:bottom w:val="dotted" w:sz="4" w:space="0" w:color="0C4DA2"/>
              <w:right w:val="nil"/>
            </w:tcBorders>
            <w:hideMark/>
          </w:tcPr>
          <w:p w14:paraId="67CD86C8" w14:textId="016B019C" w:rsidR="00C14911" w:rsidRPr="00ED6AB4" w:rsidRDefault="00C14911" w:rsidP="00C14911">
            <w:pPr>
              <w:jc w:val="both"/>
              <w:rPr>
                <w:rFonts w:ascii="Arial" w:hAnsi="Arial" w:cs="Arial"/>
                <w:i/>
                <w:sz w:val="16"/>
                <w:szCs w:val="16"/>
              </w:rPr>
            </w:pPr>
            <w:r>
              <w:rPr>
                <w:noProof/>
              </w:rPr>
              <w:drawing>
                <wp:inline distT="0" distB="0" distL="0" distR="0" wp14:anchorId="01297247" wp14:editId="12D560A6">
                  <wp:extent cx="5953125" cy="3378835"/>
                  <wp:effectExtent l="0" t="0" r="9525"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C14911" w14:paraId="46DBEED6" w14:textId="77777777" w:rsidTr="00C14911">
        <w:trPr>
          <w:trHeight w:val="98"/>
        </w:trPr>
        <w:tc>
          <w:tcPr>
            <w:tcW w:w="9450" w:type="dxa"/>
            <w:tcBorders>
              <w:top w:val="dotted" w:sz="4" w:space="0" w:color="0C4DA2"/>
              <w:left w:val="nil"/>
              <w:bottom w:val="nil"/>
              <w:right w:val="nil"/>
            </w:tcBorders>
            <w:hideMark/>
          </w:tcPr>
          <w:p w14:paraId="005DCDD5" w14:textId="6E02F57F" w:rsidR="00E249BC" w:rsidRDefault="00C14911">
            <w:pPr>
              <w:pStyle w:val="IEQSources-notes"/>
            </w:pPr>
            <w:r w:rsidRPr="00C14911">
              <w:t>Note: Bubble size corresponds to the industry size within the GDP composition in 201</w:t>
            </w:r>
            <w:r w:rsidR="007525AF">
              <w:t>7</w:t>
            </w:r>
            <w:r w:rsidRPr="00C14911">
              <w:t>. Bubble colors indicate the relevant sub-sector: p</w:t>
            </w:r>
            <w:r w:rsidR="007525AF">
              <w:t>urple</w:t>
            </w:r>
            <w:r w:rsidRPr="00C14911">
              <w:t xml:space="preserve">-agriculture, </w:t>
            </w:r>
            <w:r w:rsidR="007525AF">
              <w:t xml:space="preserve">light </w:t>
            </w:r>
            <w:r w:rsidRPr="00C14911">
              <w:t xml:space="preserve">blue-industry, </w:t>
            </w:r>
            <w:r w:rsidR="007525AF">
              <w:t>dark blue-</w:t>
            </w:r>
            <w:r w:rsidRPr="00C14911">
              <w:t>services</w:t>
            </w:r>
          </w:p>
          <w:p w14:paraId="0F8A473F" w14:textId="72C4BAFA" w:rsidR="00C14911" w:rsidRDefault="00E249BC">
            <w:pPr>
              <w:pStyle w:val="IEQSources-notes"/>
            </w:pPr>
            <w:r w:rsidRPr="00E249BC">
              <w:t>Source: Department of Census and Statistics and staff calculations</w:t>
            </w:r>
          </w:p>
        </w:tc>
      </w:tr>
    </w:tbl>
    <w:p w14:paraId="566A7F37" w14:textId="77777777" w:rsidR="00C14911" w:rsidRDefault="00C14911" w:rsidP="007A5502">
      <w:pPr>
        <w:pStyle w:val="BodyText"/>
      </w:pPr>
    </w:p>
    <w:p w14:paraId="392992DF" w14:textId="77777777" w:rsidR="009E7550" w:rsidRDefault="009E7550" w:rsidP="009E7550">
      <w:pPr>
        <w:rPr>
          <w:rFonts w:eastAsia="Times New Roman" w:cs="Arial"/>
          <w:kern w:val="28"/>
          <w:sz w:val="22"/>
          <w:szCs w:val="20"/>
        </w:rPr>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9E7550" w:rsidRPr="000A41D0" w14:paraId="5943128A" w14:textId="77777777" w:rsidTr="006543B8">
        <w:tc>
          <w:tcPr>
            <w:tcW w:w="2020" w:type="dxa"/>
          </w:tcPr>
          <w:p w14:paraId="0AF435FA" w14:textId="406F4603" w:rsidR="009E7550" w:rsidRPr="00E25B1B" w:rsidRDefault="009E7550" w:rsidP="006543B8">
            <w:pPr>
              <w:rPr>
                <w:b/>
              </w:rPr>
            </w:pPr>
            <w:r w:rsidRPr="00F21A4C">
              <w:rPr>
                <w:b/>
              </w:rPr>
              <w:t xml:space="preserve">Sri Lanka can choose the path that allows realization of its </w:t>
            </w:r>
            <w:r w:rsidRPr="00F21A4C">
              <w:rPr>
                <w:b/>
              </w:rPr>
              <w:lastRenderedPageBreak/>
              <w:t>growth potential and the aspirations of its people</w:t>
            </w:r>
            <w:r>
              <w:rPr>
                <w:b/>
              </w:rPr>
              <w:t>.</w:t>
            </w:r>
          </w:p>
        </w:tc>
        <w:tc>
          <w:tcPr>
            <w:tcW w:w="145" w:type="dxa"/>
          </w:tcPr>
          <w:p w14:paraId="55C77DCD" w14:textId="77777777" w:rsidR="009E7550" w:rsidRPr="000A41D0" w:rsidRDefault="009E7550" w:rsidP="006543B8">
            <w:pPr>
              <w:pStyle w:val="BodyText"/>
            </w:pPr>
          </w:p>
        </w:tc>
        <w:tc>
          <w:tcPr>
            <w:tcW w:w="7221" w:type="dxa"/>
          </w:tcPr>
          <w:p w14:paraId="61321456" w14:textId="3B9A5DB8" w:rsidR="009E7550" w:rsidRPr="009B3B80" w:rsidRDefault="009E7550" w:rsidP="008B65D8">
            <w:pPr>
              <w:jc w:val="both"/>
              <w:rPr>
                <w:sz w:val="22"/>
              </w:rPr>
            </w:pPr>
            <w:r w:rsidRPr="009E7550">
              <w:rPr>
                <w:sz w:val="22"/>
              </w:rPr>
              <w:t xml:space="preserve">Sri Lanka was a pioneer in trade liberalization among South Asian countries, where export-oriented jobs were strong contributors to poverty reduction and inclusion. </w:t>
            </w:r>
            <w:r w:rsidRPr="009E7550">
              <w:rPr>
                <w:sz w:val="22"/>
              </w:rPr>
              <w:lastRenderedPageBreak/>
              <w:t>However, policy reversals since the mid-2000s have led to a regression back to the trade restrictiveness of the 1970s. Restrictive trade policies over the past decade have created a strong anti-export bias, which has been reflected in a dramatic decline in the trade-to-GDP ratio (from 89 percent in 2000 to 48 percent in 2016) and an unchanged composition of exports. While growth in Sri Lanka has been strong over the past few years, it has been inward-oriented and based on growth of non-tradable sectors. Sri Lanka also attracts a much lower volume of FDI (less than 2 percent of GDP) than peer economies, reducing its ability to improve production processes, diversify production, and enhance trade. At the same time, the investment climate, which is lagging behind those of its peers (Figure 1</w:t>
            </w:r>
            <w:r w:rsidR="008B65D8">
              <w:rPr>
                <w:sz w:val="22"/>
              </w:rPr>
              <w:t>9</w:t>
            </w:r>
            <w:r w:rsidRPr="009E7550">
              <w:rPr>
                <w:sz w:val="22"/>
              </w:rPr>
              <w:t>), pose obstacles for new firms to be created and for existing ones to grow and compete. The decline in openness and stagnating FDI took place when the rest of the world was integrating more strongly, thus resulting in a decline in Sri Lanka’s world market share to the levels last seen in the 1980s.</w:t>
            </w:r>
          </w:p>
        </w:tc>
      </w:tr>
    </w:tbl>
    <w:p w14:paraId="7D2B162A" w14:textId="77777777" w:rsidR="009E7550" w:rsidRDefault="009E7550" w:rsidP="009E7550">
      <w:pPr>
        <w:pStyle w:val="BodyText"/>
      </w:pPr>
    </w:p>
    <w:tbl>
      <w:tblPr>
        <w:tblW w:w="6660" w:type="dxa"/>
        <w:tblInd w:w="-630" w:type="dxa"/>
        <w:tblBorders>
          <w:top w:val="single" w:sz="8" w:space="0" w:color="FF0000"/>
          <w:bottom w:val="single" w:sz="8" w:space="0" w:color="FF0000"/>
          <w:insideH w:val="single" w:sz="8" w:space="0" w:color="FF0000"/>
        </w:tblBorders>
        <w:tblLayout w:type="fixed"/>
        <w:tblCellMar>
          <w:left w:w="29" w:type="dxa"/>
          <w:right w:w="29" w:type="dxa"/>
        </w:tblCellMar>
        <w:tblLook w:val="01E0" w:firstRow="1" w:lastRow="1" w:firstColumn="1" w:lastColumn="1" w:noHBand="0" w:noVBand="0"/>
      </w:tblPr>
      <w:tblGrid>
        <w:gridCol w:w="6660"/>
      </w:tblGrid>
      <w:tr w:rsidR="009E7550" w:rsidRPr="00525702" w14:paraId="230168A3" w14:textId="77777777" w:rsidTr="004246DE">
        <w:trPr>
          <w:trHeight w:val="218"/>
        </w:trPr>
        <w:tc>
          <w:tcPr>
            <w:tcW w:w="6660" w:type="dxa"/>
            <w:tcBorders>
              <w:top w:val="nil"/>
              <w:left w:val="nil"/>
              <w:bottom w:val="dotted" w:sz="4" w:space="0" w:color="0C4DA2"/>
              <w:right w:val="nil"/>
            </w:tcBorders>
            <w:hideMark/>
          </w:tcPr>
          <w:p w14:paraId="78FE47E2" w14:textId="77F9323D" w:rsidR="009E7550" w:rsidRPr="006229D9" w:rsidRDefault="009E7550" w:rsidP="006543B8">
            <w:pPr>
              <w:pStyle w:val="Caption"/>
            </w:pPr>
            <w:bookmarkStart w:id="114" w:name="_Toc485822666"/>
            <w:r w:rsidRPr="006229D9">
              <w:t xml:space="preserve">Figure </w:t>
            </w:r>
            <w:fldSimple w:instr=" SEQ Figure \* ARABIC ">
              <w:r w:rsidR="00A12655">
                <w:rPr>
                  <w:noProof/>
                </w:rPr>
                <w:t>19</w:t>
              </w:r>
            </w:fldSimple>
            <w:r>
              <w:t xml:space="preserve">: </w:t>
            </w:r>
            <w:r w:rsidRPr="009E7550">
              <w:t>Sri Lanka's competitiveness indicators compared to peer countries</w:t>
            </w:r>
            <w:bookmarkEnd w:id="114"/>
          </w:p>
          <w:p w14:paraId="4E18A867" w14:textId="77777777" w:rsidR="009E7550" w:rsidRPr="00CE0CC3" w:rsidRDefault="009E7550" w:rsidP="006543B8">
            <w:pPr>
              <w:pStyle w:val="IEQ-chart-subcaption"/>
              <w:ind w:left="0"/>
            </w:pPr>
            <w:r w:rsidRPr="005A1E75">
              <w:t>(USD Million)</w:t>
            </w:r>
          </w:p>
        </w:tc>
      </w:tr>
      <w:tr w:rsidR="009E7550" w14:paraId="1AEA2195" w14:textId="77777777" w:rsidTr="004246DE">
        <w:tblPrEx>
          <w:tblCellMar>
            <w:left w:w="108" w:type="dxa"/>
            <w:right w:w="108" w:type="dxa"/>
          </w:tblCellMar>
        </w:tblPrEx>
        <w:trPr>
          <w:trHeight w:val="3518"/>
        </w:trPr>
        <w:tc>
          <w:tcPr>
            <w:tcW w:w="6660" w:type="dxa"/>
            <w:tcBorders>
              <w:top w:val="dotted" w:sz="4" w:space="0" w:color="0C4DA2"/>
              <w:left w:val="nil"/>
              <w:bottom w:val="dotted" w:sz="4" w:space="0" w:color="0C4DA2"/>
              <w:right w:val="nil"/>
            </w:tcBorders>
            <w:hideMark/>
          </w:tcPr>
          <w:p w14:paraId="0817FA4D" w14:textId="7093B63A" w:rsidR="009E7550" w:rsidRPr="00ED6AB4" w:rsidRDefault="009E7550" w:rsidP="006543B8">
            <w:pPr>
              <w:rPr>
                <w:rFonts w:ascii="Arial" w:hAnsi="Arial" w:cs="Arial"/>
                <w:i/>
                <w:sz w:val="16"/>
                <w:szCs w:val="16"/>
              </w:rPr>
            </w:pPr>
            <w:r w:rsidRPr="009E7550">
              <w:rPr>
                <w:rFonts w:ascii="Arial" w:hAnsi="Arial" w:cs="Arial"/>
                <w:i/>
                <w:noProof/>
                <w:sz w:val="16"/>
                <w:szCs w:val="16"/>
              </w:rPr>
              <w:drawing>
                <wp:inline distT="0" distB="0" distL="0" distR="0" wp14:anchorId="087843D9" wp14:editId="6085301D">
                  <wp:extent cx="3688080" cy="26974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8080" cy="2697480"/>
                          </a:xfrm>
                          <a:prstGeom prst="rect">
                            <a:avLst/>
                          </a:prstGeom>
                          <a:noFill/>
                          <a:ln>
                            <a:noFill/>
                          </a:ln>
                        </pic:spPr>
                      </pic:pic>
                    </a:graphicData>
                  </a:graphic>
                </wp:inline>
              </w:drawing>
            </w:r>
          </w:p>
        </w:tc>
      </w:tr>
      <w:tr w:rsidR="009E7550" w14:paraId="798DC7E1" w14:textId="77777777" w:rsidTr="004246DE">
        <w:trPr>
          <w:trHeight w:val="98"/>
        </w:trPr>
        <w:tc>
          <w:tcPr>
            <w:tcW w:w="6660" w:type="dxa"/>
            <w:tcBorders>
              <w:top w:val="dotted" w:sz="4" w:space="0" w:color="0C4DA2"/>
              <w:left w:val="nil"/>
              <w:bottom w:val="nil"/>
              <w:right w:val="nil"/>
            </w:tcBorders>
          </w:tcPr>
          <w:p w14:paraId="4182F805" w14:textId="26707C97" w:rsidR="009E7550" w:rsidRPr="009E7550" w:rsidRDefault="00C53BF2" w:rsidP="009E7550">
            <w:pPr>
              <w:rPr>
                <w:rFonts w:cs="Arial"/>
                <w:color w:val="808080"/>
                <w:sz w:val="16"/>
              </w:rPr>
            </w:pPr>
            <w:r>
              <w:rPr>
                <w:b/>
                <w:color w:val="808080"/>
                <w:sz w:val="16"/>
              </w:rPr>
              <w:t xml:space="preserve">  </w:t>
            </w:r>
            <w:r w:rsidR="009E7550" w:rsidRPr="0090778B">
              <w:rPr>
                <w:b/>
                <w:color w:val="808080"/>
                <w:sz w:val="16"/>
              </w:rPr>
              <w:t xml:space="preserve">Note: </w:t>
            </w:r>
            <w:r w:rsidR="009E7550" w:rsidRPr="009E7550">
              <w:rPr>
                <w:rFonts w:cs="Arial"/>
                <w:color w:val="808080"/>
                <w:sz w:val="16"/>
              </w:rPr>
              <w:t xml:space="preserve">Cobweb shows the percentile rankings of countries under each of the index. </w:t>
            </w:r>
          </w:p>
          <w:p w14:paraId="5871A18B" w14:textId="77777777" w:rsidR="009E7550" w:rsidRPr="009E7550" w:rsidRDefault="009E7550" w:rsidP="009E7550">
            <w:pPr>
              <w:ind w:left="72"/>
              <w:rPr>
                <w:rFonts w:eastAsia="Times New Roman" w:cs="Arial"/>
                <w:b/>
                <w:color w:val="808080"/>
                <w:kern w:val="28"/>
                <w:sz w:val="16"/>
                <w:szCs w:val="20"/>
              </w:rPr>
            </w:pPr>
            <w:r w:rsidRPr="009E7550">
              <w:rPr>
                <w:rFonts w:eastAsia="Times New Roman" w:cs="Arial"/>
                <w:b/>
                <w:color w:val="808080"/>
                <w:kern w:val="28"/>
                <w:sz w:val="16"/>
                <w:szCs w:val="20"/>
              </w:rPr>
              <w:t>Sources: CPI – Corruption Perception Index; NRI – Network Readiness Index; DB – Doing Business; LPI – Logistics Performance Index; PS (WGI) - Political Stability (World Governance Indicators)</w:t>
            </w:r>
          </w:p>
          <w:p w14:paraId="76BE31EA" w14:textId="63D1B3AC" w:rsidR="009E7550" w:rsidRPr="003C40AE" w:rsidRDefault="009E7550" w:rsidP="009E7550">
            <w:pPr>
              <w:pStyle w:val="BodyText"/>
              <w:rPr>
                <w:b/>
                <w:color w:val="808080"/>
                <w:sz w:val="16"/>
              </w:rPr>
            </w:pPr>
            <w:r>
              <w:rPr>
                <w:b/>
                <w:color w:val="808080"/>
                <w:sz w:val="16"/>
              </w:rPr>
              <w:t xml:space="preserve">  </w:t>
            </w:r>
            <w:r w:rsidRPr="004246DE">
              <w:rPr>
                <w:b/>
                <w:color w:val="808080"/>
                <w:sz w:val="16"/>
              </w:rPr>
              <w:t>GCI – Global Competitiveness Index</w:t>
            </w:r>
          </w:p>
        </w:tc>
      </w:tr>
    </w:tbl>
    <w:p w14:paraId="605B86FE" w14:textId="77777777" w:rsidR="00F16ED1" w:rsidRDefault="00F16ED1" w:rsidP="00F16ED1">
      <w:pPr>
        <w:tabs>
          <w:tab w:val="left" w:pos="945"/>
        </w:tabs>
      </w:pPr>
      <w:r>
        <w:tab/>
      </w: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16ED1" w:rsidRPr="000A41D0" w14:paraId="42B71B78" w14:textId="77777777" w:rsidTr="00952815">
        <w:tc>
          <w:tcPr>
            <w:tcW w:w="2020" w:type="dxa"/>
          </w:tcPr>
          <w:p w14:paraId="3256BB54" w14:textId="4F240338" w:rsidR="00F16ED1" w:rsidRPr="0094618C" w:rsidRDefault="00F16ED1" w:rsidP="00F16ED1">
            <w:pPr>
              <w:pStyle w:val="BodyText"/>
              <w:rPr>
                <w:b/>
              </w:rPr>
            </w:pPr>
            <w:r w:rsidRPr="00F16ED1">
              <w:rPr>
                <w:b/>
              </w:rPr>
              <w:t>A new trade policy can help to reduce anti-export bias in the economy.</w:t>
            </w:r>
          </w:p>
        </w:tc>
        <w:tc>
          <w:tcPr>
            <w:tcW w:w="145" w:type="dxa"/>
          </w:tcPr>
          <w:p w14:paraId="445D656D" w14:textId="77777777" w:rsidR="00F16ED1" w:rsidRPr="000A41D0" w:rsidRDefault="00F16ED1" w:rsidP="00952815">
            <w:pPr>
              <w:pStyle w:val="BodyText"/>
            </w:pPr>
          </w:p>
        </w:tc>
        <w:tc>
          <w:tcPr>
            <w:tcW w:w="7221" w:type="dxa"/>
          </w:tcPr>
          <w:p w14:paraId="4E08CD41" w14:textId="79CDE1CA" w:rsidR="00F16ED1" w:rsidRPr="000A41D0" w:rsidRDefault="00F16ED1" w:rsidP="00AA2DB0">
            <w:pPr>
              <w:jc w:val="both"/>
            </w:pPr>
            <w:r w:rsidRPr="00F16ED1">
              <w:rPr>
                <w:sz w:val="22"/>
              </w:rPr>
              <w:t xml:space="preserve">The introduction of para-tariffs during the last decade has effectively doubled the protection rates (from an average </w:t>
            </w:r>
            <w:r w:rsidR="006D4CFE">
              <w:rPr>
                <w:sz w:val="22"/>
              </w:rPr>
              <w:t>Most Favored Nation</w:t>
            </w:r>
            <w:r w:rsidR="000A5B10">
              <w:rPr>
                <w:sz w:val="22"/>
              </w:rPr>
              <w:t>,</w:t>
            </w:r>
            <w:r w:rsidR="006D4CFE">
              <w:rPr>
                <w:sz w:val="22"/>
              </w:rPr>
              <w:t xml:space="preserve"> </w:t>
            </w:r>
            <w:r>
              <w:rPr>
                <w:sz w:val="22"/>
              </w:rPr>
              <w:t>MFN</w:t>
            </w:r>
            <w:r w:rsidR="000A5B10">
              <w:rPr>
                <w:sz w:val="22"/>
              </w:rPr>
              <w:t>,</w:t>
            </w:r>
            <w:r>
              <w:rPr>
                <w:sz w:val="22"/>
              </w:rPr>
              <w:t xml:space="preserve"> tariff rate of 13 percent</w:t>
            </w:r>
            <w:r w:rsidRPr="00F16ED1">
              <w:rPr>
                <w:sz w:val="22"/>
              </w:rPr>
              <w:t xml:space="preserve"> to average total n</w:t>
            </w:r>
            <w:r>
              <w:rPr>
                <w:sz w:val="22"/>
              </w:rPr>
              <w:t>ominal protection rate above 28 percent</w:t>
            </w:r>
            <w:r w:rsidRPr="00F16ED1">
              <w:rPr>
                <w:sz w:val="22"/>
              </w:rPr>
              <w:t>), making the present import regime one of the most complex and protectionist in the world.</w:t>
            </w:r>
            <w:r w:rsidR="000A5B10">
              <w:rPr>
                <w:sz w:val="22"/>
              </w:rPr>
              <w:t xml:space="preserve"> </w:t>
            </w:r>
            <w:r w:rsidRPr="00F16ED1">
              <w:rPr>
                <w:sz w:val="22"/>
              </w:rPr>
              <w:t>Additionally, para-tariffs’ dispersion leads to prices that distort production and consumption patterns.</w:t>
            </w:r>
            <w:r w:rsidR="000A5B10">
              <w:rPr>
                <w:sz w:val="22"/>
              </w:rPr>
              <w:t xml:space="preserve"> </w:t>
            </w:r>
            <w:r w:rsidRPr="00F16ED1">
              <w:rPr>
                <w:sz w:val="22"/>
              </w:rPr>
              <w:t>Higher rates of protection on final products than on inputs used in their production has created an anti-export bias, since producers have strong incentives to sell goods domestically.</w:t>
            </w:r>
            <w:r w:rsidR="000A5B10">
              <w:rPr>
                <w:sz w:val="22"/>
              </w:rPr>
              <w:t xml:space="preserve"> </w:t>
            </w:r>
            <w:r w:rsidRPr="00F16ED1">
              <w:rPr>
                <w:sz w:val="22"/>
              </w:rPr>
              <w:t>This is particularly worrying for the agricultural sector, where high protection of import-competing crops along with fertilizer subsidies have created strong disincentives for crop and export diversification.</w:t>
            </w:r>
            <w:r w:rsidR="000A5B10">
              <w:rPr>
                <w:sz w:val="22"/>
              </w:rPr>
              <w:t xml:space="preserve"> </w:t>
            </w:r>
            <w:r w:rsidRPr="00F16ED1">
              <w:rPr>
                <w:sz w:val="22"/>
              </w:rPr>
              <w:t xml:space="preserve">On the one hand, the protection afforded to agriculture encourages expansion of production of import-competing crops (rice, maize), and, on the other hand, the introduction of high export taxes (‘cesses’) on raw materials such as tea, rubber, </w:t>
            </w:r>
            <w:r w:rsidRPr="00F16ED1">
              <w:rPr>
                <w:sz w:val="22"/>
              </w:rPr>
              <w:lastRenderedPageBreak/>
              <w:t>cinnamon, coconut and spices, with the notion that this would increase value addition of exports, discourages the production of exportables. Trade barriers also make it difficult for firms to access world-class inputs at competitive prices, thus reducing the ability of firms to compete and integrate into Global Value Chains (GVCs) and Regional Value Chains (RVCs).</w:t>
            </w:r>
          </w:p>
        </w:tc>
      </w:tr>
    </w:tbl>
    <w:p w14:paraId="28D5B766" w14:textId="78BF5CE4" w:rsidR="00F16ED1" w:rsidRDefault="00F16ED1"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16ED1" w:rsidRPr="000A41D0" w14:paraId="16403A48" w14:textId="77777777" w:rsidTr="00952815">
        <w:tc>
          <w:tcPr>
            <w:tcW w:w="2020" w:type="dxa"/>
          </w:tcPr>
          <w:p w14:paraId="0D093BAD" w14:textId="23B43549" w:rsidR="00F16ED1" w:rsidRPr="0094618C" w:rsidRDefault="00F16ED1" w:rsidP="00952815">
            <w:pPr>
              <w:pStyle w:val="BodyText"/>
              <w:rPr>
                <w:b/>
              </w:rPr>
            </w:pPr>
            <w:r w:rsidRPr="00F16ED1">
              <w:rPr>
                <w:b/>
              </w:rPr>
              <w:t>Trade policy reforms can be devised with potential revenue neutrality or even gains if imports (and exports) increase due to reforms.</w:t>
            </w:r>
          </w:p>
        </w:tc>
        <w:tc>
          <w:tcPr>
            <w:tcW w:w="145" w:type="dxa"/>
          </w:tcPr>
          <w:p w14:paraId="364314A5" w14:textId="77777777" w:rsidR="00F16ED1" w:rsidRPr="000A41D0" w:rsidRDefault="00F16ED1" w:rsidP="00952815">
            <w:pPr>
              <w:pStyle w:val="BodyText"/>
            </w:pPr>
          </w:p>
        </w:tc>
        <w:tc>
          <w:tcPr>
            <w:tcW w:w="7221" w:type="dxa"/>
          </w:tcPr>
          <w:p w14:paraId="467BCBA4" w14:textId="22E842C5" w:rsidR="00F16ED1" w:rsidRPr="000A41D0" w:rsidRDefault="00F16ED1" w:rsidP="007574DA">
            <w:pPr>
              <w:jc w:val="both"/>
            </w:pPr>
            <w:r w:rsidRPr="00F16ED1">
              <w:rPr>
                <w:sz w:val="22"/>
              </w:rPr>
              <w:t xml:space="preserve">Sri Lanka’s </w:t>
            </w:r>
            <w:r w:rsidR="007C3905">
              <w:rPr>
                <w:sz w:val="22"/>
              </w:rPr>
              <w:t>structurally</w:t>
            </w:r>
            <w:r w:rsidR="000A5B10">
              <w:rPr>
                <w:sz w:val="22"/>
              </w:rPr>
              <w:t xml:space="preserve"> </w:t>
            </w:r>
            <w:r w:rsidRPr="00F16ED1">
              <w:rPr>
                <w:sz w:val="22"/>
              </w:rPr>
              <w:t xml:space="preserve">low </w:t>
            </w:r>
            <w:r>
              <w:rPr>
                <w:sz w:val="22"/>
              </w:rPr>
              <w:t xml:space="preserve">tax-to-GDP ratio </w:t>
            </w:r>
            <w:r w:rsidRPr="00F16ED1">
              <w:rPr>
                <w:sz w:val="22"/>
              </w:rPr>
              <w:t>and its heavy reliance on trade taxes (</w:t>
            </w:r>
            <w:r w:rsidR="00370DDE">
              <w:rPr>
                <w:sz w:val="22"/>
              </w:rPr>
              <w:t>on average 40</w:t>
            </w:r>
            <w:r>
              <w:rPr>
                <w:sz w:val="22"/>
              </w:rPr>
              <w:t xml:space="preserve"> percent</w:t>
            </w:r>
            <w:r w:rsidR="00370DDE">
              <w:rPr>
                <w:sz w:val="22"/>
              </w:rPr>
              <w:t xml:space="preserve"> from import related taxes</w:t>
            </w:r>
            <w:r w:rsidR="00370DDE">
              <w:rPr>
                <w:rStyle w:val="FootnoteReference"/>
                <w:sz w:val="22"/>
              </w:rPr>
              <w:footnoteReference w:id="33"/>
            </w:r>
            <w:r>
              <w:rPr>
                <w:sz w:val="22"/>
              </w:rPr>
              <w:t xml:space="preserve"> and </w:t>
            </w:r>
            <w:r w:rsidR="00370DDE">
              <w:rPr>
                <w:sz w:val="22"/>
              </w:rPr>
              <w:t>13</w:t>
            </w:r>
            <w:r>
              <w:rPr>
                <w:sz w:val="22"/>
              </w:rPr>
              <w:t xml:space="preserve"> percent</w:t>
            </w:r>
            <w:r w:rsidRPr="00F16ED1">
              <w:rPr>
                <w:sz w:val="22"/>
              </w:rPr>
              <w:t xml:space="preserve"> </w:t>
            </w:r>
            <w:r w:rsidR="00370DDE">
              <w:rPr>
                <w:sz w:val="22"/>
              </w:rPr>
              <w:t xml:space="preserve">from </w:t>
            </w:r>
            <w:r w:rsidRPr="00F16ED1">
              <w:rPr>
                <w:sz w:val="22"/>
              </w:rPr>
              <w:t xml:space="preserve">protective </w:t>
            </w:r>
            <w:r w:rsidR="00370DDE">
              <w:rPr>
                <w:sz w:val="22"/>
              </w:rPr>
              <w:t>taxes</w:t>
            </w:r>
            <w:r w:rsidR="00370DDE">
              <w:rPr>
                <w:rStyle w:val="FootnoteReference"/>
                <w:sz w:val="22"/>
              </w:rPr>
              <w:footnoteReference w:id="34"/>
            </w:r>
            <w:r w:rsidRPr="00F16ED1">
              <w:rPr>
                <w:sz w:val="22"/>
              </w:rPr>
              <w:t xml:space="preserve"> in </w:t>
            </w:r>
            <w:r w:rsidR="00370DDE">
              <w:rPr>
                <w:sz w:val="22"/>
              </w:rPr>
              <w:t xml:space="preserve">the </w:t>
            </w:r>
            <w:r w:rsidRPr="00F16ED1">
              <w:rPr>
                <w:sz w:val="22"/>
              </w:rPr>
              <w:t>total tax revenue) complicates trade reform. However, if Sri Lanka’s trade-to-GDP ratio increased back to what it was in 2000 (89</w:t>
            </w:r>
            <w:r>
              <w:rPr>
                <w:sz w:val="22"/>
              </w:rPr>
              <w:t xml:space="preserve"> percent</w:t>
            </w:r>
            <w:r w:rsidRPr="00F16ED1">
              <w:rPr>
                <w:sz w:val="22"/>
              </w:rPr>
              <w:t>) or even more to 160</w:t>
            </w:r>
            <w:r>
              <w:rPr>
                <w:sz w:val="22"/>
              </w:rPr>
              <w:t xml:space="preserve"> percent</w:t>
            </w:r>
            <w:r w:rsidRPr="00F16ED1">
              <w:rPr>
                <w:sz w:val="22"/>
              </w:rPr>
              <w:t xml:space="preserve"> (as in the case of Vietnam), even low tariffs could yield significant import revenues. Thus, the new trade policy, while being mindful of the impact of tariff reform on </w:t>
            </w:r>
            <w:r w:rsidR="00DA5B03">
              <w:rPr>
                <w:sz w:val="22"/>
              </w:rPr>
              <w:t xml:space="preserve">fiscal </w:t>
            </w:r>
            <w:r w:rsidRPr="00F16ED1">
              <w:rPr>
                <w:sz w:val="22"/>
              </w:rPr>
              <w:t>revenue and balance of payments, needs to incorporate a gradual but firm liberalization schedule, allowing time for adjustment, with a fixed phase-out schedule (sunset). It is clear that para-tariffs need to be consolidated, reduced in magnitude, and eventually eliminated, as they are non-transparent in nature and their ad-hoc imposition as an easy “go-to” for revenue generation takes away predictability, which is critical for production and investment decisions. Similarly, export taxes on agricultural commodities need to be revisited as the rationale behind them is no longer clear.</w:t>
            </w:r>
            <w:r w:rsidR="002A50D9">
              <w:rPr>
                <w:sz w:val="22"/>
              </w:rPr>
              <w:t xml:space="preserve"> Policy simulations suggest that the expected increase in economic activity</w:t>
            </w:r>
            <w:r w:rsidR="007574DA">
              <w:rPr>
                <w:sz w:val="22"/>
              </w:rPr>
              <w:t xml:space="preserve"> and</w:t>
            </w:r>
            <w:r w:rsidR="002A50D9">
              <w:rPr>
                <w:sz w:val="22"/>
              </w:rPr>
              <w:t xml:space="preserve"> trade</w:t>
            </w:r>
            <w:r w:rsidR="007574DA">
              <w:rPr>
                <w:sz w:val="22"/>
              </w:rPr>
              <w:t>,</w:t>
            </w:r>
            <w:r w:rsidR="002A50D9">
              <w:rPr>
                <w:sz w:val="22"/>
              </w:rPr>
              <w:t xml:space="preserve"> and other ongoing tax revenue reforms will offset the possible losses from reducing the tariff and para-tariff rates. </w:t>
            </w:r>
          </w:p>
        </w:tc>
      </w:tr>
    </w:tbl>
    <w:p w14:paraId="3BB0E9E1" w14:textId="00D38DE6" w:rsidR="00F16ED1" w:rsidRDefault="00F16ED1"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DA5B03" w:rsidRPr="000A41D0" w14:paraId="33FE39CB" w14:textId="77777777" w:rsidTr="002E79C8">
        <w:tc>
          <w:tcPr>
            <w:tcW w:w="2020" w:type="dxa"/>
          </w:tcPr>
          <w:p w14:paraId="2BC7CB48" w14:textId="77777777" w:rsidR="00DA5B03" w:rsidRPr="0094618C" w:rsidRDefault="00DA5B03" w:rsidP="002E79C8">
            <w:pPr>
              <w:pStyle w:val="BodyText"/>
              <w:rPr>
                <w:b/>
              </w:rPr>
            </w:pPr>
            <w:r w:rsidRPr="001645CA">
              <w:rPr>
                <w:b/>
              </w:rPr>
              <w:t xml:space="preserve">Sri Lanka can use </w:t>
            </w:r>
            <w:r>
              <w:rPr>
                <w:b/>
              </w:rPr>
              <w:t>Preferential Trade Agreements (</w:t>
            </w:r>
            <w:r w:rsidRPr="001645CA">
              <w:rPr>
                <w:b/>
              </w:rPr>
              <w:t>PTAs</w:t>
            </w:r>
            <w:r>
              <w:rPr>
                <w:b/>
              </w:rPr>
              <w:t>)</w:t>
            </w:r>
            <w:r w:rsidRPr="001645CA">
              <w:rPr>
                <w:b/>
              </w:rPr>
              <w:t xml:space="preserve"> as an instrument of its trade policy, and pursue them strategically to maximize benefits</w:t>
            </w:r>
            <w:r>
              <w:rPr>
                <w:b/>
              </w:rPr>
              <w:t>.</w:t>
            </w:r>
          </w:p>
        </w:tc>
        <w:tc>
          <w:tcPr>
            <w:tcW w:w="145" w:type="dxa"/>
          </w:tcPr>
          <w:p w14:paraId="2ACE6492" w14:textId="77777777" w:rsidR="00DA5B03" w:rsidRPr="000A41D0" w:rsidRDefault="00DA5B03" w:rsidP="002E79C8">
            <w:pPr>
              <w:pStyle w:val="BodyText"/>
            </w:pPr>
          </w:p>
        </w:tc>
        <w:tc>
          <w:tcPr>
            <w:tcW w:w="7221" w:type="dxa"/>
          </w:tcPr>
          <w:p w14:paraId="4AF4FF98" w14:textId="77777777" w:rsidR="00DA5B03" w:rsidRPr="000A41D0" w:rsidRDefault="00DA5B03" w:rsidP="002E79C8">
            <w:pPr>
              <w:jc w:val="both"/>
            </w:pPr>
            <w:r w:rsidRPr="001645CA">
              <w:rPr>
                <w:sz w:val="22"/>
              </w:rPr>
              <w:t>While Sri Lanka is committed to multilateralism and needs to remain engaged in the WTO to safeguard its interests, it cannot</w:t>
            </w:r>
            <w:r>
              <w:rPr>
                <w:sz w:val="22"/>
              </w:rPr>
              <w:t xml:space="preserve"> ignore the fact that nearly 50 percent</w:t>
            </w:r>
            <w:r w:rsidRPr="001645CA">
              <w:rPr>
                <w:sz w:val="22"/>
              </w:rPr>
              <w:t xml:space="preserve"> of global trade now takes place through regional, plurilateral, and bilateral trade agreements.</w:t>
            </w:r>
            <w:r>
              <w:rPr>
                <w:sz w:val="22"/>
              </w:rPr>
              <w:t xml:space="preserve"> </w:t>
            </w:r>
            <w:r w:rsidRPr="001645CA">
              <w:rPr>
                <w:sz w:val="22"/>
              </w:rPr>
              <w:t>Given that it will have to increasingly depend on the growing markets of Asia for export growth, PTAs with Asian countries like China and India need to be viewed as opportunities rather than threats, while carefully evaluating the costs and benefits to Sri Lanka from each PTA.</w:t>
            </w:r>
            <w:r>
              <w:rPr>
                <w:sz w:val="22"/>
              </w:rPr>
              <w:t xml:space="preserve"> </w:t>
            </w:r>
            <w:r w:rsidRPr="001645CA">
              <w:rPr>
                <w:sz w:val="22"/>
              </w:rPr>
              <w:t>Also, in negotiating new PTAs, Sri Lanka needs to be mindful of the lessons from existing PTAs – non-tariff barriers are as important to address as tariff barriers, Mutual Recognition Agreements are critical for trade facilitation, widespread awareness campaigns are vital for information dissemination, and an effective communication strategy is essential to dispel concerns regarding PTAs.</w:t>
            </w:r>
            <w:r>
              <w:rPr>
                <w:sz w:val="22"/>
              </w:rPr>
              <w:t xml:space="preserve"> </w:t>
            </w:r>
          </w:p>
        </w:tc>
      </w:tr>
    </w:tbl>
    <w:p w14:paraId="45394980" w14:textId="77777777" w:rsidR="00DA5B03" w:rsidRDefault="00DA5B03"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16ED1" w:rsidRPr="000A41D0" w14:paraId="25C47074" w14:textId="77777777" w:rsidTr="00952815">
        <w:tc>
          <w:tcPr>
            <w:tcW w:w="2020" w:type="dxa"/>
          </w:tcPr>
          <w:p w14:paraId="6EA78D9E" w14:textId="776BB17A" w:rsidR="00F16ED1" w:rsidRPr="0094618C" w:rsidRDefault="00F16ED1" w:rsidP="00F16ED1">
            <w:pPr>
              <w:pStyle w:val="BodyText"/>
              <w:rPr>
                <w:b/>
              </w:rPr>
            </w:pPr>
            <w:r w:rsidRPr="00F16ED1">
              <w:rPr>
                <w:b/>
              </w:rPr>
              <w:t xml:space="preserve">Improved trade facilitation is also key to capitalize on </w:t>
            </w:r>
            <w:r>
              <w:rPr>
                <w:b/>
              </w:rPr>
              <w:t>the</w:t>
            </w:r>
            <w:r w:rsidRPr="00F16ED1">
              <w:rPr>
                <w:b/>
              </w:rPr>
              <w:t xml:space="preserve"> strategic location and excellent port facilities in order to become a distribution and logistics hub.</w:t>
            </w:r>
            <w:r w:rsidR="000A5B10">
              <w:rPr>
                <w:b/>
              </w:rPr>
              <w:t xml:space="preserve"> </w:t>
            </w:r>
          </w:p>
        </w:tc>
        <w:tc>
          <w:tcPr>
            <w:tcW w:w="145" w:type="dxa"/>
          </w:tcPr>
          <w:p w14:paraId="2CF0E33B" w14:textId="77777777" w:rsidR="00F16ED1" w:rsidRPr="000A41D0" w:rsidRDefault="00F16ED1" w:rsidP="00952815">
            <w:pPr>
              <w:pStyle w:val="BodyText"/>
            </w:pPr>
          </w:p>
        </w:tc>
        <w:tc>
          <w:tcPr>
            <w:tcW w:w="7221" w:type="dxa"/>
          </w:tcPr>
          <w:p w14:paraId="304A1997" w14:textId="46EEA434" w:rsidR="00F16ED1" w:rsidRPr="000A41D0" w:rsidRDefault="00DA5B03" w:rsidP="002A50D9">
            <w:pPr>
              <w:jc w:val="both"/>
            </w:pPr>
            <w:r w:rsidRPr="006C6602">
              <w:rPr>
                <w:sz w:val="22"/>
              </w:rPr>
              <w:t xml:space="preserve">Sri Lanka </w:t>
            </w:r>
            <w:r>
              <w:rPr>
                <w:sz w:val="22"/>
              </w:rPr>
              <w:t xml:space="preserve">ratified </w:t>
            </w:r>
            <w:r w:rsidRPr="006C6602">
              <w:rPr>
                <w:sz w:val="22"/>
              </w:rPr>
              <w:t>the WTO’s Trade Facilitation Agreement</w:t>
            </w:r>
            <w:r>
              <w:rPr>
                <w:sz w:val="22"/>
              </w:rPr>
              <w:t xml:space="preserve">, which is a good step, but needs to be done to </w:t>
            </w:r>
            <w:r w:rsidRPr="00F16ED1">
              <w:rPr>
                <w:sz w:val="22"/>
              </w:rPr>
              <w:t>improve the trade facilitation environment.</w:t>
            </w:r>
            <w:r>
              <w:rPr>
                <w:sz w:val="22"/>
              </w:rPr>
              <w:t xml:space="preserve"> </w:t>
            </w:r>
            <w:r w:rsidRPr="00F16ED1">
              <w:rPr>
                <w:sz w:val="22"/>
              </w:rPr>
              <w:t>Sri Lanka requires a coordinated border management policy and strategy that allows for a more coordinated approach to management of the import and export processes and related requirements by all involved government agencies.</w:t>
            </w:r>
            <w:r>
              <w:rPr>
                <w:sz w:val="22"/>
              </w:rPr>
              <w:t xml:space="preserve"> </w:t>
            </w:r>
            <w:r w:rsidRPr="00F16ED1">
              <w:rPr>
                <w:sz w:val="22"/>
              </w:rPr>
              <w:t>Establishment of the National Trade Facilitation Committee (NTFC), in June 2014, should help towards this. While automation has been introduced by Customs through implementation of ASYCUDAWorld as its Customs processing system, all the various agencies that are involved in import and export processes are not connected to the system; there is no national electronic single window facility.</w:t>
            </w:r>
            <w:r>
              <w:rPr>
                <w:sz w:val="22"/>
              </w:rPr>
              <w:t xml:space="preserve"> </w:t>
            </w:r>
            <w:r w:rsidRPr="00F16ED1">
              <w:rPr>
                <w:sz w:val="22"/>
              </w:rPr>
              <w:t>A systematic and effective risk management system needs to be adopted</w:t>
            </w:r>
            <w:r>
              <w:rPr>
                <w:sz w:val="22"/>
              </w:rPr>
              <w:t xml:space="preserve"> to reduce the </w:t>
            </w:r>
            <w:r w:rsidRPr="00F16ED1">
              <w:rPr>
                <w:sz w:val="22"/>
              </w:rPr>
              <w:t>huge burden in terms of time and cost</w:t>
            </w:r>
            <w:r>
              <w:rPr>
                <w:sz w:val="22"/>
              </w:rPr>
              <w:t xml:space="preserve"> on firms</w:t>
            </w:r>
            <w:r w:rsidRPr="00F16ED1">
              <w:rPr>
                <w:sz w:val="22"/>
              </w:rPr>
              <w:t xml:space="preserve">, adversely impacting competitiveness. </w:t>
            </w:r>
            <w:r w:rsidRPr="00242AB2">
              <w:rPr>
                <w:sz w:val="22"/>
              </w:rPr>
              <w:t>The creation of a single trade information portal will help meet the informational needs of businesses more easily given that more than 30 agencies are involved in import and export processes.</w:t>
            </w:r>
          </w:p>
        </w:tc>
      </w:tr>
    </w:tbl>
    <w:p w14:paraId="1ADB6BEF" w14:textId="0CD8915A" w:rsidR="00F16ED1" w:rsidRDefault="00F16ED1"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41536" w:rsidRPr="000A41D0" w14:paraId="471F9214" w14:textId="77777777" w:rsidTr="00465E7A">
        <w:tc>
          <w:tcPr>
            <w:tcW w:w="2020" w:type="dxa"/>
          </w:tcPr>
          <w:p w14:paraId="26A09D6A" w14:textId="7F7B34A0" w:rsidR="00541536" w:rsidRPr="00541536" w:rsidRDefault="00541536" w:rsidP="00465E7A">
            <w:pPr>
              <w:pStyle w:val="BodyText"/>
              <w:rPr>
                <w:b/>
              </w:rPr>
            </w:pPr>
            <w:r w:rsidRPr="003C40AE">
              <w:rPr>
                <w:b/>
              </w:rPr>
              <w:t>Firm competiveness needs to be improved as opportunity widens to compete in global markets.</w:t>
            </w:r>
          </w:p>
        </w:tc>
        <w:tc>
          <w:tcPr>
            <w:tcW w:w="145" w:type="dxa"/>
          </w:tcPr>
          <w:p w14:paraId="7AC3ABDE" w14:textId="77777777" w:rsidR="00541536" w:rsidRPr="000A41D0" w:rsidRDefault="00541536" w:rsidP="00465E7A">
            <w:pPr>
              <w:pStyle w:val="BodyText"/>
            </w:pPr>
          </w:p>
        </w:tc>
        <w:tc>
          <w:tcPr>
            <w:tcW w:w="7221" w:type="dxa"/>
          </w:tcPr>
          <w:p w14:paraId="171391D8" w14:textId="5E020132" w:rsidR="00541536" w:rsidRPr="00541536" w:rsidRDefault="00541536" w:rsidP="00541536">
            <w:pPr>
              <w:jc w:val="both"/>
              <w:rPr>
                <w:sz w:val="22"/>
              </w:rPr>
            </w:pPr>
            <w:r w:rsidRPr="00541536">
              <w:rPr>
                <w:sz w:val="22"/>
              </w:rPr>
              <w:t>Sri Lanka is keen to expand its role in international trade through various FTAs and the recently renegotiated GSP+ concessions. However, the positive effects of these engagements are likely to be suboptimal if Sri Lankan firms are limited in capacity to respond to global demand</w:t>
            </w:r>
            <w:r w:rsidR="00C14911">
              <w:rPr>
                <w:sz w:val="22"/>
              </w:rPr>
              <w:t xml:space="preserve"> (Box 5)</w:t>
            </w:r>
            <w:r w:rsidRPr="00541536">
              <w:rPr>
                <w:sz w:val="22"/>
              </w:rPr>
              <w:t>.</w:t>
            </w:r>
            <w:r>
              <w:rPr>
                <w:sz w:val="22"/>
              </w:rPr>
              <w:t xml:space="preserve"> </w:t>
            </w:r>
            <w:r w:rsidRPr="00541536">
              <w:rPr>
                <w:sz w:val="22"/>
              </w:rPr>
              <w:t xml:space="preserve">Therefore, it is important that the domestic producers invest in new production processes to improve quality and reliability and adopt new technologies to identify ways in which they could compete in the global markets. </w:t>
            </w:r>
          </w:p>
          <w:p w14:paraId="64CEC8AF" w14:textId="77777777" w:rsidR="00541536" w:rsidRPr="00541536" w:rsidRDefault="00541536" w:rsidP="00541536">
            <w:pPr>
              <w:jc w:val="both"/>
              <w:rPr>
                <w:sz w:val="22"/>
              </w:rPr>
            </w:pPr>
          </w:p>
          <w:p w14:paraId="6BF5CAC5" w14:textId="77777777" w:rsidR="00541536" w:rsidRPr="00541536" w:rsidRDefault="00541536" w:rsidP="00541536">
            <w:pPr>
              <w:jc w:val="both"/>
              <w:rPr>
                <w:sz w:val="22"/>
              </w:rPr>
            </w:pPr>
            <w:r w:rsidRPr="00541536">
              <w:rPr>
                <w:sz w:val="22"/>
              </w:rPr>
              <w:t xml:space="preserve">This would require the policy makers undertake targeted policy reforms to improve the innovation landscape in Sri Lanka by: </w:t>
            </w:r>
          </w:p>
          <w:p w14:paraId="4F70E8AB" w14:textId="40D38015" w:rsidR="00541536" w:rsidRPr="003C40AE" w:rsidRDefault="00541536" w:rsidP="003C40AE">
            <w:pPr>
              <w:pStyle w:val="ListParagraph"/>
              <w:numPr>
                <w:ilvl w:val="0"/>
                <w:numId w:val="23"/>
              </w:numPr>
              <w:ind w:left="720"/>
              <w:jc w:val="both"/>
              <w:rPr>
                <w:sz w:val="22"/>
              </w:rPr>
            </w:pPr>
            <w:r w:rsidRPr="003C40AE">
              <w:rPr>
                <w:sz w:val="22"/>
              </w:rPr>
              <w:t>Revitalizing the export</w:t>
            </w:r>
            <w:r>
              <w:rPr>
                <w:sz w:val="22"/>
              </w:rPr>
              <w:t>-</w:t>
            </w:r>
            <w:r w:rsidRPr="003C40AE">
              <w:rPr>
                <w:sz w:val="22"/>
              </w:rPr>
              <w:t>oriented small and medium enterprises (SMEs) through reducing the barriers to entry and operate in the domestic business environment</w:t>
            </w:r>
            <w:r>
              <w:rPr>
                <w:sz w:val="22"/>
              </w:rPr>
              <w:t>;</w:t>
            </w:r>
            <w:r w:rsidRPr="003C40AE">
              <w:rPr>
                <w:sz w:val="22"/>
              </w:rPr>
              <w:t xml:space="preserve"> </w:t>
            </w:r>
          </w:p>
          <w:p w14:paraId="399AC0C3" w14:textId="2EEB776E" w:rsidR="00541536" w:rsidRDefault="00541536" w:rsidP="003C40AE">
            <w:pPr>
              <w:pStyle w:val="ListParagraph"/>
              <w:numPr>
                <w:ilvl w:val="0"/>
                <w:numId w:val="23"/>
              </w:numPr>
              <w:ind w:left="720"/>
              <w:jc w:val="both"/>
              <w:rPr>
                <w:sz w:val="22"/>
              </w:rPr>
            </w:pPr>
            <w:r w:rsidRPr="003C40AE">
              <w:rPr>
                <w:sz w:val="22"/>
              </w:rPr>
              <w:t>Fast-track the formation and scaling of growth</w:t>
            </w:r>
            <w:r>
              <w:rPr>
                <w:sz w:val="22"/>
              </w:rPr>
              <w:t>-</w:t>
            </w:r>
            <w:r w:rsidRPr="003C40AE">
              <w:rPr>
                <w:sz w:val="22"/>
              </w:rPr>
              <w:t>oriented start-up companies</w:t>
            </w:r>
            <w:r>
              <w:rPr>
                <w:sz w:val="22"/>
              </w:rPr>
              <w:t>;</w:t>
            </w:r>
          </w:p>
          <w:p w14:paraId="3FA564FA" w14:textId="340C9880" w:rsidR="00541536" w:rsidRPr="003C40AE" w:rsidRDefault="00541536" w:rsidP="003C40AE">
            <w:pPr>
              <w:pStyle w:val="ListParagraph"/>
              <w:numPr>
                <w:ilvl w:val="0"/>
                <w:numId w:val="23"/>
              </w:numPr>
              <w:ind w:left="720"/>
              <w:jc w:val="both"/>
              <w:rPr>
                <w:sz w:val="22"/>
              </w:rPr>
            </w:pPr>
            <w:r w:rsidRPr="00541536">
              <w:rPr>
                <w:sz w:val="22"/>
              </w:rPr>
              <w:t>Rationalize and upgrade the research and development (R&amp;D) sector</w:t>
            </w:r>
            <w:r>
              <w:rPr>
                <w:sz w:val="22"/>
              </w:rPr>
              <w:t>.</w:t>
            </w:r>
          </w:p>
        </w:tc>
      </w:tr>
    </w:tbl>
    <w:p w14:paraId="58DF17DB" w14:textId="77777777" w:rsidR="00541536" w:rsidRDefault="00541536"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16ED1" w:rsidRPr="000A41D0" w14:paraId="48DBB534" w14:textId="77777777" w:rsidTr="00952815">
        <w:tc>
          <w:tcPr>
            <w:tcW w:w="2020" w:type="dxa"/>
          </w:tcPr>
          <w:p w14:paraId="17E9DA68" w14:textId="625754EB" w:rsidR="00F16ED1" w:rsidRPr="0094618C" w:rsidRDefault="001645CA" w:rsidP="000853D3">
            <w:pPr>
              <w:pStyle w:val="BodyText"/>
              <w:rPr>
                <w:b/>
              </w:rPr>
            </w:pPr>
            <w:r w:rsidRPr="001645CA">
              <w:rPr>
                <w:b/>
              </w:rPr>
              <w:t>Sri Lanka also needs to enhance its ability to attract and retain</w:t>
            </w:r>
            <w:r w:rsidR="000853D3">
              <w:rPr>
                <w:b/>
              </w:rPr>
              <w:t xml:space="preserve"> FDI</w:t>
            </w:r>
            <w:r w:rsidRPr="001645CA">
              <w:rPr>
                <w:b/>
              </w:rPr>
              <w:t>.</w:t>
            </w:r>
            <w:r w:rsidR="000A5B10">
              <w:rPr>
                <w:b/>
              </w:rPr>
              <w:t xml:space="preserve"> </w:t>
            </w:r>
          </w:p>
        </w:tc>
        <w:tc>
          <w:tcPr>
            <w:tcW w:w="145" w:type="dxa"/>
          </w:tcPr>
          <w:p w14:paraId="016C8C0C" w14:textId="77777777" w:rsidR="00F16ED1" w:rsidRPr="000A41D0" w:rsidRDefault="00F16ED1" w:rsidP="00952815">
            <w:pPr>
              <w:pStyle w:val="BodyText"/>
            </w:pPr>
          </w:p>
        </w:tc>
        <w:tc>
          <w:tcPr>
            <w:tcW w:w="7221" w:type="dxa"/>
          </w:tcPr>
          <w:p w14:paraId="3C4547AE" w14:textId="1B63CE18" w:rsidR="00F16ED1" w:rsidRPr="000A41D0" w:rsidRDefault="001645CA" w:rsidP="000853D3">
            <w:pPr>
              <w:jc w:val="both"/>
            </w:pPr>
            <w:r w:rsidRPr="001645CA">
              <w:rPr>
                <w:sz w:val="22"/>
              </w:rPr>
              <w:t>In addition to boosting investment necessary for growth and providing long-term balance of payments financing, FDI can help to enhance the sophistication of Sri Lankan products and exports through introduction of new technologies and production processes.</w:t>
            </w:r>
            <w:r w:rsidR="000A5B10">
              <w:rPr>
                <w:sz w:val="22"/>
              </w:rPr>
              <w:t xml:space="preserve"> </w:t>
            </w:r>
            <w:r w:rsidRPr="001645CA">
              <w:rPr>
                <w:sz w:val="22"/>
              </w:rPr>
              <w:t>It can also give rise to positive spillovers to the rest of the economy through diffusion of better skills, technology and management practices.</w:t>
            </w:r>
            <w:r w:rsidR="000A5B10">
              <w:rPr>
                <w:sz w:val="22"/>
              </w:rPr>
              <w:t xml:space="preserve"> </w:t>
            </w:r>
            <w:r w:rsidRPr="001645CA">
              <w:rPr>
                <w:sz w:val="22"/>
              </w:rPr>
              <w:t>Finally, FDI can enhance access of Sri Lankan producers to global production networks and facilitate the development of new activities within existing value chains. However, FDI in Sri Lanka has been disappointing.</w:t>
            </w:r>
            <w:r w:rsidR="000A5B10">
              <w:rPr>
                <w:sz w:val="22"/>
              </w:rPr>
              <w:t xml:space="preserve"> </w:t>
            </w:r>
            <w:r w:rsidRPr="001645CA">
              <w:rPr>
                <w:sz w:val="22"/>
              </w:rPr>
              <w:t>Even five years after the end of armed conflict</w:t>
            </w:r>
            <w:r w:rsidR="008E69CF">
              <w:rPr>
                <w:sz w:val="22"/>
              </w:rPr>
              <w:t>, FDI remains below 2 percent</w:t>
            </w:r>
            <w:r w:rsidRPr="001645CA">
              <w:rPr>
                <w:sz w:val="22"/>
              </w:rPr>
              <w:t xml:space="preserve"> of GDP, much lower than in other MICs such as Vietnam or Cambodia.</w:t>
            </w:r>
            <w:r w:rsidR="000A5B10">
              <w:rPr>
                <w:sz w:val="22"/>
              </w:rPr>
              <w:t xml:space="preserve"> </w:t>
            </w:r>
            <w:r w:rsidRPr="001645CA">
              <w:rPr>
                <w:sz w:val="22"/>
              </w:rPr>
              <w:t>Moreover, FDI inflows to Sri Lanka have largely focused on infrastructure (inclusive of real estate development), with a relatively small proportion reaching sectors of the economy that are associated with global networks of production.</w:t>
            </w:r>
            <w:r w:rsidR="000A5B10">
              <w:rPr>
                <w:sz w:val="22"/>
              </w:rPr>
              <w:t xml:space="preserve"> </w:t>
            </w:r>
            <w:r w:rsidRPr="001645CA">
              <w:rPr>
                <w:sz w:val="22"/>
              </w:rPr>
              <w:t>Poor FDI performance has reinforced poor trade outcomes given the strong trade-investment nexus.</w:t>
            </w:r>
          </w:p>
        </w:tc>
      </w:tr>
    </w:tbl>
    <w:p w14:paraId="7730BC72" w14:textId="77777777" w:rsidR="00F16ED1" w:rsidRDefault="00F16ED1"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F16ED1" w:rsidRPr="000A41D0" w14:paraId="37E37239" w14:textId="77777777" w:rsidTr="00952815">
        <w:tc>
          <w:tcPr>
            <w:tcW w:w="2020" w:type="dxa"/>
          </w:tcPr>
          <w:p w14:paraId="23BA5D6C" w14:textId="2A9C3E3C" w:rsidR="00F16ED1" w:rsidRPr="0094618C" w:rsidRDefault="001645CA" w:rsidP="001645CA">
            <w:pPr>
              <w:pStyle w:val="BodyText"/>
              <w:rPr>
                <w:b/>
              </w:rPr>
            </w:pPr>
            <w:r w:rsidRPr="001645CA">
              <w:rPr>
                <w:b/>
              </w:rPr>
              <w:t>To boost FDI, there is a need to address challenges in the legal framework including enhancing investor protection and policy predictability.</w:t>
            </w:r>
            <w:r w:rsidR="000A5B10">
              <w:rPr>
                <w:b/>
              </w:rPr>
              <w:t xml:space="preserve"> </w:t>
            </w:r>
          </w:p>
        </w:tc>
        <w:tc>
          <w:tcPr>
            <w:tcW w:w="145" w:type="dxa"/>
          </w:tcPr>
          <w:p w14:paraId="3F9EC363" w14:textId="77777777" w:rsidR="00F16ED1" w:rsidRPr="000A41D0" w:rsidRDefault="00F16ED1" w:rsidP="00952815">
            <w:pPr>
              <w:pStyle w:val="BodyText"/>
            </w:pPr>
          </w:p>
        </w:tc>
        <w:tc>
          <w:tcPr>
            <w:tcW w:w="7221" w:type="dxa"/>
          </w:tcPr>
          <w:p w14:paraId="48BA8DEC" w14:textId="0FD44BCE" w:rsidR="00F16ED1" w:rsidRPr="000A41D0" w:rsidRDefault="001645CA" w:rsidP="004B2AF2">
            <w:pPr>
              <w:jc w:val="both"/>
            </w:pPr>
            <w:r w:rsidRPr="001645CA">
              <w:rPr>
                <w:sz w:val="22"/>
              </w:rPr>
              <w:t>There is a need to enhance the effectiveness of Board of Investment (BOI) as a ‘one-stop shop’ for foreign investors.</w:t>
            </w:r>
            <w:r w:rsidR="000A5B10">
              <w:rPr>
                <w:sz w:val="22"/>
              </w:rPr>
              <w:t xml:space="preserve"> </w:t>
            </w:r>
            <w:r w:rsidRPr="001645CA">
              <w:rPr>
                <w:sz w:val="22"/>
              </w:rPr>
              <w:t>At the same time, it is important to strengthen BOI’s investment attraction capabilities by adopting modern tools and techniques in sector targeting, investor outreach, and investor facilitation, as well as to strengthen investment retention capacity through a variety of ‘after sales services’ for existing investors (</w:t>
            </w:r>
            <w:r w:rsidR="004B2AF2">
              <w:rPr>
                <w:sz w:val="22"/>
              </w:rPr>
              <w:t xml:space="preserve">as </w:t>
            </w:r>
            <w:r w:rsidRPr="001645CA">
              <w:rPr>
                <w:sz w:val="22"/>
              </w:rPr>
              <w:t>in Malaysia).</w:t>
            </w:r>
            <w:r w:rsidR="000A5B10">
              <w:rPr>
                <w:sz w:val="22"/>
              </w:rPr>
              <w:t xml:space="preserve"> </w:t>
            </w:r>
            <w:r w:rsidRPr="001645CA">
              <w:rPr>
                <w:sz w:val="22"/>
              </w:rPr>
              <w:t>It is important to address regulatory barriers to FDI, including FDI in backbone services, which are also critical for competitiveness of manufacturing exports.</w:t>
            </w:r>
            <w:r w:rsidR="000A5B10">
              <w:rPr>
                <w:sz w:val="22"/>
              </w:rPr>
              <w:t xml:space="preserve"> </w:t>
            </w:r>
            <w:r w:rsidR="004B2AF2">
              <w:rPr>
                <w:sz w:val="22"/>
              </w:rPr>
              <w:t>The new performance-based incentive regime, rewarding actual rather than intended investment, included in the draft Inland Revenue Act is expected to be more efficient at attracting FDI than the current regime based on tax holidays, which has not attracted sufficient FDI and benefitted mainly firms in the non-tradable service sector with limited impact on employment</w:t>
            </w:r>
            <w:r w:rsidR="004B2AF2" w:rsidRPr="001645CA">
              <w:rPr>
                <w:sz w:val="22"/>
              </w:rPr>
              <w:t>.</w:t>
            </w:r>
            <w:r w:rsidR="004B2AF2">
              <w:rPr>
                <w:sz w:val="22"/>
              </w:rPr>
              <w:t xml:space="preserve"> </w:t>
            </w:r>
            <w:r w:rsidRPr="001645CA">
              <w:rPr>
                <w:sz w:val="22"/>
              </w:rPr>
              <w:t>Most importantly, there is a need to ensure coherence and coordination between investment policy and trade policy with a clear indication of future policy direction—one of the goals of the new trade policy framework.</w:t>
            </w:r>
          </w:p>
        </w:tc>
      </w:tr>
    </w:tbl>
    <w:p w14:paraId="6F0DE2F8" w14:textId="12DBD3ED" w:rsidR="008E69CF" w:rsidRDefault="00F16ED1" w:rsidP="00F16ED1">
      <w:pPr>
        <w:tabs>
          <w:tab w:val="left" w:pos="945"/>
        </w:tabs>
      </w:pPr>
      <w:r>
        <w:tab/>
      </w:r>
    </w:p>
    <w:p w14:paraId="165DECE3" w14:textId="3CDB0D6E" w:rsidR="00C53BF2" w:rsidRDefault="00C53BF2" w:rsidP="00F16ED1">
      <w:pPr>
        <w:tabs>
          <w:tab w:val="left" w:pos="945"/>
        </w:tabs>
      </w:pPr>
    </w:p>
    <w:p w14:paraId="3A9F14CB" w14:textId="39351D56" w:rsidR="00C53BF2" w:rsidRDefault="00C53BF2" w:rsidP="00F16ED1">
      <w:pPr>
        <w:tabs>
          <w:tab w:val="left" w:pos="945"/>
        </w:tabs>
      </w:pPr>
    </w:p>
    <w:p w14:paraId="45B34B40" w14:textId="77777777" w:rsidR="00C53BF2" w:rsidRDefault="00C53BF2" w:rsidP="00F16ED1">
      <w:pPr>
        <w:tabs>
          <w:tab w:val="left" w:pos="945"/>
        </w:tabs>
      </w:pPr>
    </w:p>
    <w:tbl>
      <w:tblPr>
        <w:tblStyle w:val="TableGrid"/>
        <w:tblW w:w="9360" w:type="dxa"/>
        <w:tblInd w:w="-215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43" w:type="dxa"/>
          <w:right w:w="43" w:type="dxa"/>
        </w:tblCellMar>
        <w:tblLook w:val="01E0" w:firstRow="1" w:lastRow="1" w:firstColumn="1" w:lastColumn="1" w:noHBand="0" w:noVBand="0"/>
      </w:tblPr>
      <w:tblGrid>
        <w:gridCol w:w="9360"/>
      </w:tblGrid>
      <w:tr w:rsidR="00541536" w:rsidRPr="000A41D0" w14:paraId="0778D93D" w14:textId="77777777" w:rsidTr="00465E7A">
        <w:trPr>
          <w:trHeight w:val="216"/>
        </w:trPr>
        <w:tc>
          <w:tcPr>
            <w:tcW w:w="9360" w:type="dxa"/>
            <w:tcBorders>
              <w:top w:val="nil"/>
              <w:left w:val="nil"/>
              <w:bottom w:val="nil"/>
              <w:right w:val="nil"/>
            </w:tcBorders>
            <w:shd w:val="clear" w:color="auto" w:fill="0C4DA2"/>
          </w:tcPr>
          <w:p w14:paraId="58672164" w14:textId="1C6CDDEA" w:rsidR="00541536" w:rsidRPr="004D523C" w:rsidRDefault="00C14911" w:rsidP="00465E7A">
            <w:pPr>
              <w:pStyle w:val="Boxcaption-Dev-Update"/>
              <w:ind w:left="0"/>
            </w:pPr>
            <w:bookmarkStart w:id="115" w:name="_Toc485824099"/>
            <w:r>
              <w:rPr>
                <w:sz w:val="22"/>
              </w:rPr>
              <w:lastRenderedPageBreak/>
              <w:t>Box 5</w:t>
            </w:r>
            <w:r w:rsidR="005B5671">
              <w:rPr>
                <w:sz w:val="22"/>
              </w:rPr>
              <w:t>:</w:t>
            </w:r>
            <w:r w:rsidR="00541536" w:rsidRPr="003C40AE">
              <w:rPr>
                <w:sz w:val="22"/>
              </w:rPr>
              <w:t xml:space="preserve"> Impact of mega-regional trade agreements on South Asia and Sri Lanka</w:t>
            </w:r>
            <w:bookmarkEnd w:id="115"/>
          </w:p>
        </w:tc>
      </w:tr>
      <w:tr w:rsidR="00541536" w:rsidRPr="004B1D8B" w14:paraId="5DE0333C" w14:textId="77777777" w:rsidTr="00465E7A">
        <w:tblPrEx>
          <w:tblCellMar>
            <w:left w:w="108" w:type="dxa"/>
            <w:right w:w="108" w:type="dxa"/>
          </w:tblCellMar>
        </w:tblPrEx>
        <w:trPr>
          <w:trHeight w:val="369"/>
        </w:trPr>
        <w:tc>
          <w:tcPr>
            <w:tcW w:w="9360" w:type="dxa"/>
            <w:tcBorders>
              <w:top w:val="nil"/>
              <w:left w:val="nil"/>
              <w:bottom w:val="nil"/>
              <w:right w:val="nil"/>
            </w:tcBorders>
            <w:shd w:val="clear" w:color="auto" w:fill="DBE5F1" w:themeFill="accent1" w:themeFillTint="33"/>
          </w:tcPr>
          <w:p w14:paraId="071D5D00" w14:textId="77777777" w:rsidR="001425F8" w:rsidRPr="004246DE" w:rsidRDefault="001425F8" w:rsidP="00465E7A">
            <w:pPr>
              <w:ind w:left="0"/>
              <w:jc w:val="both"/>
              <w:rPr>
                <w:rFonts w:cs="Arial"/>
                <w:sz w:val="16"/>
                <w:szCs w:val="16"/>
              </w:rPr>
            </w:pPr>
          </w:p>
          <w:p w14:paraId="4232BFD1" w14:textId="02F4DF0B" w:rsidR="00541536" w:rsidRPr="004B1D8B" w:rsidRDefault="00541536" w:rsidP="00465E7A">
            <w:pPr>
              <w:ind w:left="0"/>
              <w:jc w:val="both"/>
              <w:rPr>
                <w:rFonts w:cs="Arial"/>
                <w:sz w:val="22"/>
                <w:szCs w:val="22"/>
              </w:rPr>
            </w:pPr>
            <w:r w:rsidRPr="004B1D8B">
              <w:rPr>
                <w:rFonts w:cs="Arial"/>
                <w:sz w:val="22"/>
                <w:szCs w:val="22"/>
              </w:rPr>
              <w:t xml:space="preserve">Recent global political developments suggest that for many people in advanced economies globalization has gone too far. Political events in the UK and the US have been interpreted as signaling a shift against the international trade architecture including mega-regional trade agreements. However, it is noted that recently stalled mega-regional trade agreements, which did not include any South Asian country, were expected to reduce South Asia’s competitiveness. In fact, simulations on the impact of hypothetical new trade barriers applied across the board suggest that the harm for the region would be limited; while a scenario where hypothetical new trade barriers would be applied selectively, South Asia could actually benefit from trade diversion. Sri Lanka also stands to gain from the observed growth recovery in advanced economies, because they are the main markets for its exports. The gains would be larger if its exports were more diversified and its supply response were more elastic. The current globalization backlash should thus not dissuade South Asian countries including Sri Lanka from having a stronger outward orientation. </w:t>
            </w:r>
          </w:p>
          <w:p w14:paraId="2FF599C8" w14:textId="77777777" w:rsidR="00541536" w:rsidRPr="004B1D8B" w:rsidRDefault="00541536" w:rsidP="00465E7A">
            <w:pPr>
              <w:ind w:left="0"/>
              <w:jc w:val="both"/>
              <w:rPr>
                <w:rFonts w:cs="Arial"/>
                <w:sz w:val="22"/>
                <w:szCs w:val="22"/>
              </w:rPr>
            </w:pPr>
          </w:p>
          <w:p w14:paraId="7C1953DC" w14:textId="77777777" w:rsidR="00541536" w:rsidRPr="004B1D8B" w:rsidRDefault="00541536" w:rsidP="00465E7A">
            <w:pPr>
              <w:ind w:left="0"/>
              <w:jc w:val="both"/>
              <w:rPr>
                <w:rFonts w:cs="Arial"/>
                <w:sz w:val="22"/>
                <w:szCs w:val="22"/>
              </w:rPr>
            </w:pPr>
            <w:r w:rsidRPr="004B1D8B">
              <w:rPr>
                <w:rFonts w:cs="Arial"/>
                <w:sz w:val="22"/>
                <w:szCs w:val="22"/>
              </w:rPr>
              <w:t xml:space="preserve">The recently published World Bank South Asia Economic Focus looks at the impact of recent trade-related global developments on the South Asia region. The full report is available online at: </w:t>
            </w:r>
            <w:hyperlink r:id="rId57" w:history="1">
              <w:r w:rsidRPr="00893159">
                <w:rPr>
                  <w:rStyle w:val="Hyperlink"/>
                  <w:rFonts w:cs="Arial"/>
                  <w:sz w:val="22"/>
                </w:rPr>
                <w:t>https://openknowledge.worldbank.org/handle/10986/26373</w:t>
              </w:r>
            </w:hyperlink>
          </w:p>
          <w:p w14:paraId="72B326B0" w14:textId="77777777" w:rsidR="00541536" w:rsidRPr="004246DE" w:rsidRDefault="00541536" w:rsidP="004246DE">
            <w:pPr>
              <w:rPr>
                <w:rFonts w:cs="Arial"/>
              </w:rPr>
            </w:pPr>
          </w:p>
        </w:tc>
      </w:tr>
      <w:tr w:rsidR="00541536" w:rsidRPr="000A41D0" w14:paraId="787C5B92" w14:textId="77777777" w:rsidTr="00465E7A">
        <w:trPr>
          <w:trHeight w:val="216"/>
        </w:trPr>
        <w:tc>
          <w:tcPr>
            <w:tcW w:w="9360" w:type="dxa"/>
            <w:tcBorders>
              <w:top w:val="nil"/>
              <w:left w:val="nil"/>
              <w:bottom w:val="nil"/>
              <w:right w:val="nil"/>
            </w:tcBorders>
            <w:shd w:val="clear" w:color="auto" w:fill="0C4DA2"/>
          </w:tcPr>
          <w:p w14:paraId="7D1A6407" w14:textId="77777777" w:rsidR="00541536" w:rsidRPr="00C11406" w:rsidRDefault="00541536" w:rsidP="00465E7A">
            <w:pPr>
              <w:pStyle w:val="BodyText"/>
              <w:keepNext/>
              <w:ind w:left="0"/>
              <w:rPr>
                <w:b/>
                <w:color w:val="FFFFFF" w:themeColor="background1"/>
                <w:szCs w:val="22"/>
              </w:rPr>
            </w:pPr>
          </w:p>
        </w:tc>
      </w:tr>
    </w:tbl>
    <w:p w14:paraId="41F5360B" w14:textId="77777777" w:rsidR="00541536" w:rsidRDefault="00541536"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7E4DD8" w:rsidRPr="000A41D0" w14:paraId="299764D9" w14:textId="77777777" w:rsidTr="007E4DD8">
        <w:tc>
          <w:tcPr>
            <w:tcW w:w="2020" w:type="dxa"/>
          </w:tcPr>
          <w:p w14:paraId="54C22FEB" w14:textId="6731C6F3" w:rsidR="007E4DD8" w:rsidRPr="0094618C" w:rsidRDefault="007E4DD8" w:rsidP="007E4DD8">
            <w:pPr>
              <w:pStyle w:val="BodyText"/>
              <w:rPr>
                <w:b/>
              </w:rPr>
            </w:pPr>
            <w:r>
              <w:rPr>
                <w:b/>
              </w:rPr>
              <w:t>Institutional capacity of GoSL needs to be enhanced to address the shortcomings in the investment climate undermining the competitiveness of the private sector.</w:t>
            </w:r>
          </w:p>
        </w:tc>
        <w:tc>
          <w:tcPr>
            <w:tcW w:w="145" w:type="dxa"/>
          </w:tcPr>
          <w:p w14:paraId="38B537B1" w14:textId="77777777" w:rsidR="007E4DD8" w:rsidRPr="000A41D0" w:rsidRDefault="007E4DD8" w:rsidP="007E4DD8">
            <w:pPr>
              <w:pStyle w:val="BodyText"/>
            </w:pPr>
          </w:p>
        </w:tc>
        <w:tc>
          <w:tcPr>
            <w:tcW w:w="7221" w:type="dxa"/>
          </w:tcPr>
          <w:p w14:paraId="7BAA3689" w14:textId="37BCA98F" w:rsidR="007E4DD8" w:rsidRDefault="007E4DD8" w:rsidP="007E4DD8">
            <w:pPr>
              <w:jc w:val="both"/>
              <w:rPr>
                <w:sz w:val="22"/>
              </w:rPr>
            </w:pPr>
            <w:r>
              <w:rPr>
                <w:sz w:val="22"/>
              </w:rPr>
              <w:t xml:space="preserve">The challenges in the investment climate are manifold and across most areas of regulation governing the activities of private enterprises, from long lead times for registration of firms, connection of utilities and obtaining permits to construct premises, to costly ongoing processes such as import and export and accessing finance, to uncertain and time consuming legal procedures such as enforcement of contracts and winding up of businesses. </w:t>
            </w:r>
          </w:p>
          <w:p w14:paraId="5BC1AB10" w14:textId="77777777" w:rsidR="007E4DD8" w:rsidRDefault="007E4DD8" w:rsidP="007E4DD8">
            <w:pPr>
              <w:jc w:val="both"/>
              <w:rPr>
                <w:sz w:val="22"/>
              </w:rPr>
            </w:pPr>
          </w:p>
          <w:p w14:paraId="4BFB12F1" w14:textId="6AAD0476" w:rsidR="007E4DD8" w:rsidRDefault="007E4DD8" w:rsidP="007E4DD8">
            <w:pPr>
              <w:jc w:val="both"/>
              <w:rPr>
                <w:sz w:val="22"/>
              </w:rPr>
            </w:pPr>
            <w:r>
              <w:rPr>
                <w:sz w:val="22"/>
              </w:rPr>
              <w:t xml:space="preserve">High transaction cost associated in complying with unnecessarily burdensome regulations which undermine entrepreneurship is a factor contributing to the high level of informality prevalent in the country. In turn, unfair competition from informal businesses is one of the main obstacles that has stunted the growth of Sri Lanka’s formal sector, which in turn has been a drag on firm productivity. </w:t>
            </w:r>
          </w:p>
          <w:p w14:paraId="0A912386" w14:textId="77777777" w:rsidR="007E4DD8" w:rsidRDefault="007E4DD8" w:rsidP="007E4DD8">
            <w:pPr>
              <w:jc w:val="both"/>
              <w:rPr>
                <w:sz w:val="22"/>
              </w:rPr>
            </w:pPr>
          </w:p>
          <w:p w14:paraId="7A12740D" w14:textId="5173AA88" w:rsidR="007E4DD8" w:rsidRDefault="007E4DD8" w:rsidP="007E4DD8">
            <w:pPr>
              <w:jc w:val="both"/>
              <w:rPr>
                <w:sz w:val="22"/>
              </w:rPr>
            </w:pPr>
            <w:r>
              <w:rPr>
                <w:sz w:val="22"/>
              </w:rPr>
              <w:t xml:space="preserve">According to the 2017 survey results, Sri Lanka ranks 110 out of 190 economies in the Ease of Doing Business Index. In October 2016, the Government of Sri Lanka(GoSL) </w:t>
            </w:r>
            <w:r w:rsidRPr="00513ABF">
              <w:rPr>
                <w:sz w:val="22"/>
              </w:rPr>
              <w:t>announced</w:t>
            </w:r>
            <w:r>
              <w:rPr>
                <w:sz w:val="22"/>
              </w:rPr>
              <w:t xml:space="preserve"> the G</w:t>
            </w:r>
            <w:r w:rsidRPr="00513ABF">
              <w:rPr>
                <w:sz w:val="22"/>
              </w:rPr>
              <w:t xml:space="preserve">overnment’s intention to improve Sri Lanka’s investment climate and reach a top 70 ranking on the World Bank’s Ease of Doing Business Index by 2020. </w:t>
            </w:r>
          </w:p>
          <w:p w14:paraId="5D6216A5" w14:textId="77777777" w:rsidR="007E4DD8" w:rsidRPr="00513ABF" w:rsidRDefault="007E4DD8" w:rsidP="007E4DD8">
            <w:pPr>
              <w:jc w:val="both"/>
              <w:rPr>
                <w:sz w:val="22"/>
              </w:rPr>
            </w:pPr>
          </w:p>
          <w:p w14:paraId="30FB0205" w14:textId="77777777" w:rsidR="007E4DD8" w:rsidRDefault="007E4DD8" w:rsidP="007E4DD8">
            <w:pPr>
              <w:jc w:val="both"/>
              <w:rPr>
                <w:sz w:val="22"/>
              </w:rPr>
            </w:pPr>
            <w:r w:rsidRPr="00B829BD">
              <w:rPr>
                <w:sz w:val="22"/>
              </w:rPr>
              <w:t>GoSL</w:t>
            </w:r>
            <w:r>
              <w:rPr>
                <w:sz w:val="22"/>
              </w:rPr>
              <w:t xml:space="preserve"> needs to recognize</w:t>
            </w:r>
            <w:r w:rsidRPr="00B829BD">
              <w:rPr>
                <w:sz w:val="22"/>
              </w:rPr>
              <w:t xml:space="preserve"> that its policies and behaviors play a critical role in shaping the investment climate</w:t>
            </w:r>
            <w:r>
              <w:rPr>
                <w:sz w:val="22"/>
              </w:rPr>
              <w:t xml:space="preserve"> in Sri Lanka. In this context, </w:t>
            </w:r>
            <w:r w:rsidRPr="00BC05EC">
              <w:rPr>
                <w:sz w:val="22"/>
              </w:rPr>
              <w:t xml:space="preserve">a well-defined framework covering set of initial reforms that will be pursued, the timeframe for accomplishment of the reforms expected, the roles and responsibilities of all relevant stakeholders and a mechanism to monitor progress on an ongoing basis and promptly identify and address bottlenecks are essential to lead reforms going forward. </w:t>
            </w:r>
          </w:p>
          <w:p w14:paraId="1B265BAB" w14:textId="288957DA" w:rsidR="007E4DD8" w:rsidRPr="000A41D0" w:rsidRDefault="007E4DD8" w:rsidP="007E4DD8">
            <w:pPr>
              <w:jc w:val="both"/>
            </w:pPr>
            <w:r>
              <w:rPr>
                <w:sz w:val="22"/>
              </w:rPr>
              <w:t>I</w:t>
            </w:r>
            <w:r w:rsidRPr="00513ABF">
              <w:rPr>
                <w:sz w:val="22"/>
              </w:rPr>
              <w:t>t is clear that investment reform is a cornerstone of meaningful and long-term growth; it attracts investment that generates employment opportunities, provides access to knowledge capital, and plays a significant role in formalizing the informal sector</w:t>
            </w:r>
            <w:r>
              <w:rPr>
                <w:sz w:val="22"/>
              </w:rPr>
              <w:t xml:space="preserve"> </w:t>
            </w:r>
            <w:r w:rsidRPr="00513ABF">
              <w:rPr>
                <w:sz w:val="22"/>
              </w:rPr>
              <w:t>in Sri Lanka’s economy</w:t>
            </w:r>
            <w:r>
              <w:rPr>
                <w:sz w:val="22"/>
              </w:rPr>
              <w:t xml:space="preserve">. </w:t>
            </w:r>
          </w:p>
        </w:tc>
      </w:tr>
    </w:tbl>
    <w:p w14:paraId="2DDFC30A" w14:textId="77777777" w:rsidR="007E4DD8" w:rsidRDefault="007E4DD8"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1645CA" w:rsidRPr="000A41D0" w14:paraId="1B3F83D1" w14:textId="77777777" w:rsidTr="00952815">
        <w:tc>
          <w:tcPr>
            <w:tcW w:w="2020" w:type="dxa"/>
          </w:tcPr>
          <w:p w14:paraId="67271A18" w14:textId="5F8E461C" w:rsidR="001645CA" w:rsidRPr="0094618C" w:rsidRDefault="001645CA" w:rsidP="00952815">
            <w:pPr>
              <w:pStyle w:val="BodyText"/>
              <w:rPr>
                <w:b/>
              </w:rPr>
            </w:pPr>
            <w:r w:rsidRPr="001645CA">
              <w:rPr>
                <w:b/>
              </w:rPr>
              <w:t xml:space="preserve">Reforms have a differentiated impact </w:t>
            </w:r>
            <w:r w:rsidRPr="001645CA">
              <w:rPr>
                <w:b/>
              </w:rPr>
              <w:lastRenderedPageBreak/>
              <w:t>on different segments of the economy.</w:t>
            </w:r>
          </w:p>
        </w:tc>
        <w:tc>
          <w:tcPr>
            <w:tcW w:w="145" w:type="dxa"/>
          </w:tcPr>
          <w:p w14:paraId="6220F27E" w14:textId="77777777" w:rsidR="001645CA" w:rsidRPr="000A41D0" w:rsidRDefault="001645CA" w:rsidP="00952815">
            <w:pPr>
              <w:pStyle w:val="BodyText"/>
            </w:pPr>
          </w:p>
        </w:tc>
        <w:tc>
          <w:tcPr>
            <w:tcW w:w="7221" w:type="dxa"/>
          </w:tcPr>
          <w:p w14:paraId="2503BB92" w14:textId="4670C54A" w:rsidR="001645CA" w:rsidRPr="000A41D0" w:rsidRDefault="001645CA" w:rsidP="001645CA">
            <w:pPr>
              <w:jc w:val="both"/>
            </w:pPr>
            <w:r w:rsidRPr="001645CA">
              <w:rPr>
                <w:sz w:val="22"/>
              </w:rPr>
              <w:t xml:space="preserve">The Government will </w:t>
            </w:r>
            <w:r>
              <w:rPr>
                <w:sz w:val="22"/>
              </w:rPr>
              <w:t xml:space="preserve">need to </w:t>
            </w:r>
            <w:r w:rsidRPr="001645CA">
              <w:rPr>
                <w:sz w:val="22"/>
              </w:rPr>
              <w:t xml:space="preserve">be cognizant of the fact that policy reform will lead to gains, which are often dispersed over time and space, as well as losses, which can be </w:t>
            </w:r>
            <w:r w:rsidRPr="001645CA">
              <w:rPr>
                <w:sz w:val="22"/>
              </w:rPr>
              <w:lastRenderedPageBreak/>
              <w:t>immediate. There will be sectors, firms, and workers that will succumb to competition unleashed with the opening up of the economy and declining protection for domestic industries.</w:t>
            </w:r>
            <w:r w:rsidR="000A5B10">
              <w:rPr>
                <w:sz w:val="22"/>
              </w:rPr>
              <w:t xml:space="preserve"> </w:t>
            </w:r>
            <w:r w:rsidRPr="001645CA">
              <w:rPr>
                <w:sz w:val="22"/>
              </w:rPr>
              <w:t>However, it is important to focus on the fact that the costs will be far outweighed by the overall benefits to the Sri Lankan economy.</w:t>
            </w:r>
            <w:r w:rsidR="000A5B10">
              <w:rPr>
                <w:sz w:val="22"/>
              </w:rPr>
              <w:t xml:space="preserve"> </w:t>
            </w:r>
            <w:r w:rsidRPr="001645CA">
              <w:rPr>
                <w:sz w:val="22"/>
              </w:rPr>
              <w:t>Firms and expo</w:t>
            </w:r>
            <w:r w:rsidR="000853D3">
              <w:rPr>
                <w:sz w:val="22"/>
              </w:rPr>
              <w:t>rters will gain access to world-</w:t>
            </w:r>
            <w:r w:rsidRPr="001645CA">
              <w:rPr>
                <w:sz w:val="22"/>
              </w:rPr>
              <w:t>class inputs at competitive prices, and thus be able to breach new markets.</w:t>
            </w:r>
            <w:r w:rsidR="000A5B10">
              <w:rPr>
                <w:sz w:val="22"/>
              </w:rPr>
              <w:t xml:space="preserve"> </w:t>
            </w:r>
            <w:r w:rsidRPr="001645CA">
              <w:rPr>
                <w:sz w:val="22"/>
              </w:rPr>
              <w:t>Since trade and investment complement each other, trade liberalization will also bring FDI, which, in turn, will bring skills, technology, and foreign capital as well as access to GVCs and new markets.</w:t>
            </w:r>
            <w:r w:rsidR="000A5B10">
              <w:rPr>
                <w:sz w:val="22"/>
              </w:rPr>
              <w:t xml:space="preserve"> </w:t>
            </w:r>
            <w:r w:rsidRPr="001645CA">
              <w:rPr>
                <w:sz w:val="22"/>
              </w:rPr>
              <w:t>Most importantly, Sri Lankan consumers, whose welfare has to be given due consideration, will gain – they will have access to goods of greater variety, better quality, and at cheaper prices.</w:t>
            </w:r>
            <w:r w:rsidR="000A5B10">
              <w:rPr>
                <w:sz w:val="22"/>
              </w:rPr>
              <w:t xml:space="preserve"> </w:t>
            </w:r>
          </w:p>
        </w:tc>
      </w:tr>
    </w:tbl>
    <w:p w14:paraId="7E8CBBE0" w14:textId="77777777" w:rsidR="001645CA" w:rsidRDefault="001645CA" w:rsidP="00F16ED1">
      <w:pPr>
        <w:tabs>
          <w:tab w:val="left" w:pos="945"/>
        </w:tabs>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1645CA" w:rsidRPr="000A41D0" w14:paraId="535F98F1" w14:textId="77777777" w:rsidTr="00952815">
        <w:tc>
          <w:tcPr>
            <w:tcW w:w="2020" w:type="dxa"/>
          </w:tcPr>
          <w:p w14:paraId="4DC3EED8" w14:textId="6F07AD12" w:rsidR="001645CA" w:rsidRPr="0094618C" w:rsidRDefault="001645CA" w:rsidP="001645CA">
            <w:pPr>
              <w:pStyle w:val="BodyText"/>
              <w:rPr>
                <w:b/>
              </w:rPr>
            </w:pPr>
            <w:r w:rsidRPr="001645CA">
              <w:rPr>
                <w:b/>
              </w:rPr>
              <w:t xml:space="preserve">The Government </w:t>
            </w:r>
            <w:r>
              <w:rPr>
                <w:b/>
              </w:rPr>
              <w:t>needs to</w:t>
            </w:r>
            <w:r w:rsidRPr="001645CA">
              <w:rPr>
                <w:b/>
              </w:rPr>
              <w:t xml:space="preserve"> ensure that those who are negatively affected by reforms are not forgotten.</w:t>
            </w:r>
          </w:p>
        </w:tc>
        <w:tc>
          <w:tcPr>
            <w:tcW w:w="145" w:type="dxa"/>
          </w:tcPr>
          <w:p w14:paraId="70AEBE0A" w14:textId="77777777" w:rsidR="001645CA" w:rsidRPr="000A41D0" w:rsidRDefault="001645CA" w:rsidP="00952815">
            <w:pPr>
              <w:pStyle w:val="BodyText"/>
            </w:pPr>
          </w:p>
        </w:tc>
        <w:tc>
          <w:tcPr>
            <w:tcW w:w="7221" w:type="dxa"/>
          </w:tcPr>
          <w:p w14:paraId="7ABD8336" w14:textId="0EFB1734" w:rsidR="001645CA" w:rsidRPr="000A41D0" w:rsidRDefault="001645CA" w:rsidP="000853D3">
            <w:pPr>
              <w:jc w:val="both"/>
            </w:pPr>
            <w:r w:rsidRPr="001645CA">
              <w:rPr>
                <w:sz w:val="22"/>
              </w:rPr>
              <w:t>Keeping that in view, reforms should be carefully sequenced and calibrated, but with a finite schedule, to allow time for adjustment.</w:t>
            </w:r>
            <w:r w:rsidR="000A5B10">
              <w:rPr>
                <w:sz w:val="22"/>
              </w:rPr>
              <w:t xml:space="preserve"> </w:t>
            </w:r>
            <w:r w:rsidRPr="001645CA">
              <w:rPr>
                <w:sz w:val="22"/>
              </w:rPr>
              <w:t xml:space="preserve">The phasing in period will also allow the opportunity to address crosscutting competitiveness issues </w:t>
            </w:r>
            <w:r w:rsidR="000853D3">
              <w:rPr>
                <w:sz w:val="22"/>
              </w:rPr>
              <w:t>that</w:t>
            </w:r>
            <w:r w:rsidRPr="001645CA">
              <w:rPr>
                <w:sz w:val="22"/>
              </w:rPr>
              <w:t xml:space="preserve"> hamper firm productivity. It will also be important to design appropriate retraining programs to facilitate movement of workers out of the affected firms and sectors.</w:t>
            </w:r>
            <w:r w:rsidR="000A5B10">
              <w:rPr>
                <w:sz w:val="22"/>
              </w:rPr>
              <w:t xml:space="preserve"> </w:t>
            </w:r>
            <w:r w:rsidRPr="001645CA">
              <w:rPr>
                <w:sz w:val="22"/>
              </w:rPr>
              <w:t xml:space="preserve">Similarly, it will be important to ensure there are business support programs that help firms, for instance, to negotiate new markets by supplying the requisite market information. </w:t>
            </w:r>
            <w:r w:rsidR="00AA2DB0">
              <w:rPr>
                <w:sz w:val="22"/>
              </w:rPr>
              <w:t xml:space="preserve">Making progress on the Secured Transactions Act, which would </w:t>
            </w:r>
            <w:r w:rsidR="00F26CEF">
              <w:rPr>
                <w:sz w:val="22"/>
              </w:rPr>
              <w:t>facilitate</w:t>
            </w:r>
            <w:r w:rsidR="00AA2DB0">
              <w:rPr>
                <w:sz w:val="22"/>
              </w:rPr>
              <w:t xml:space="preserve"> the use of movable assets as collateral for bank loans, would give SMEs improved access to finance and make it easier for them to benefit from new opportunities.</w:t>
            </w:r>
            <w:r w:rsidRPr="001645CA">
              <w:rPr>
                <w:sz w:val="22"/>
              </w:rPr>
              <w:t xml:space="preserve"> </w:t>
            </w:r>
          </w:p>
        </w:tc>
      </w:tr>
    </w:tbl>
    <w:p w14:paraId="1F8CF9D5" w14:textId="77777777" w:rsidR="001645CA" w:rsidRDefault="001645CA" w:rsidP="00F16ED1">
      <w:pPr>
        <w:tabs>
          <w:tab w:val="left" w:pos="945"/>
        </w:tabs>
      </w:pPr>
    </w:p>
    <w:p w14:paraId="16759EA9" w14:textId="77777777" w:rsidR="001645CA" w:rsidRDefault="001645CA" w:rsidP="00F16ED1">
      <w:pPr>
        <w:tabs>
          <w:tab w:val="left" w:pos="945"/>
        </w:tabs>
      </w:pPr>
    </w:p>
    <w:p w14:paraId="008C823A" w14:textId="77777777" w:rsidR="001645CA" w:rsidRDefault="001645CA" w:rsidP="00F16ED1">
      <w:pPr>
        <w:tabs>
          <w:tab w:val="left" w:pos="945"/>
        </w:tabs>
      </w:pPr>
    </w:p>
    <w:p w14:paraId="216CEA03" w14:textId="77777777" w:rsidR="00C50644" w:rsidRDefault="001E2FED">
      <w:pPr>
        <w:sectPr w:rsidR="00C50644" w:rsidSect="00F6052B">
          <w:headerReference w:type="default" r:id="rId58"/>
          <w:pgSz w:w="12240" w:h="15840" w:code="1"/>
          <w:pgMar w:top="1440" w:right="1440" w:bottom="1440" w:left="3600" w:header="720" w:footer="720" w:gutter="0"/>
          <w:cols w:space="720"/>
          <w:docGrid w:linePitch="360"/>
        </w:sectPr>
      </w:pPr>
      <w:r>
        <w:br w:type="page"/>
      </w:r>
    </w:p>
    <w:tbl>
      <w:tblPr>
        <w:tblStyle w:val="TableGrid"/>
        <w:tblW w:w="0" w:type="auto"/>
        <w:tblInd w:w="-2165" w:type="dxa"/>
        <w:tblBorders>
          <w:top w:val="dotted" w:sz="4" w:space="0" w:color="0C4DA2"/>
          <w:left w:val="none" w:sz="0" w:space="0" w:color="auto"/>
          <w:bottom w:val="dotted" w:sz="4" w:space="0" w:color="0C4DA2"/>
          <w:right w:val="none" w:sz="0" w:space="0" w:color="auto"/>
          <w:insideH w:val="dotted" w:sz="4" w:space="0" w:color="0C4DA2"/>
          <w:insideV w:val="dotted" w:sz="4" w:space="0" w:color="0C4DA2"/>
        </w:tblBorders>
        <w:tblLook w:val="04A0" w:firstRow="1" w:lastRow="0" w:firstColumn="1" w:lastColumn="0" w:noHBand="0" w:noVBand="1"/>
      </w:tblPr>
      <w:tblGrid>
        <w:gridCol w:w="9355"/>
      </w:tblGrid>
      <w:tr w:rsidR="00882CFB" w:rsidRPr="00882CFB" w14:paraId="01B1E906" w14:textId="77777777" w:rsidTr="00882CFB">
        <w:tc>
          <w:tcPr>
            <w:tcW w:w="9355" w:type="dxa"/>
          </w:tcPr>
          <w:p w14:paraId="607849BE" w14:textId="77777777" w:rsidR="00882CFB" w:rsidRPr="005975FE" w:rsidRDefault="009D4D04" w:rsidP="005975FE">
            <w:pPr>
              <w:pStyle w:val="IEQ-Chapterheading"/>
              <w:ind w:left="0"/>
              <w:rPr>
                <w:color w:val="5F5F5F"/>
              </w:rPr>
            </w:pPr>
            <w:bookmarkStart w:id="116" w:name="_Toc485822612"/>
            <w:r>
              <w:rPr>
                <w:color w:val="5F5F5F"/>
              </w:rPr>
              <w:lastRenderedPageBreak/>
              <w:t>D</w:t>
            </w:r>
            <w:r w:rsidR="00882CFB" w:rsidRPr="005975FE">
              <w:rPr>
                <w:color w:val="5F5F5F"/>
              </w:rPr>
              <w:t>.</w:t>
            </w:r>
            <w:r w:rsidR="00882CFB" w:rsidRPr="005975FE">
              <w:rPr>
                <w:color w:val="5F5F5F"/>
              </w:rPr>
              <w:tab/>
              <w:t>World Bank Group Assistance</w:t>
            </w:r>
            <w:bookmarkEnd w:id="116"/>
          </w:p>
        </w:tc>
      </w:tr>
    </w:tbl>
    <w:p w14:paraId="21454D58" w14:textId="77777777" w:rsidR="00882CFB" w:rsidRPr="00922899" w:rsidRDefault="00882CFB" w:rsidP="00556DF3">
      <w:pPr>
        <w:pStyle w:val="BodyText"/>
        <w:rPr>
          <w:sz w:val="18"/>
          <w:szCs w:val="18"/>
        </w:rPr>
      </w:pPr>
    </w:p>
    <w:tbl>
      <w:tblPr>
        <w:tblStyle w:val="TableGrid"/>
        <w:tblW w:w="72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0"/>
      </w:tblGrid>
      <w:tr w:rsidR="00580AAE" w:rsidRPr="009E5733" w14:paraId="09B5F05B" w14:textId="77777777" w:rsidTr="00922899">
        <w:trPr>
          <w:trHeight w:val="4113"/>
        </w:trPr>
        <w:tc>
          <w:tcPr>
            <w:tcW w:w="7200" w:type="dxa"/>
          </w:tcPr>
          <w:p w14:paraId="7AB4EB5B" w14:textId="46B0851E" w:rsidR="00580AAE" w:rsidRPr="009E5733" w:rsidRDefault="00070835" w:rsidP="0088428F">
            <w:pPr>
              <w:pStyle w:val="BodyText"/>
              <w:ind w:left="-108"/>
              <w:rPr>
                <w:sz w:val="40"/>
                <w:szCs w:val="40"/>
              </w:rPr>
            </w:pPr>
            <w:r>
              <w:rPr>
                <w:noProof/>
                <w:sz w:val="40"/>
                <w:szCs w:val="40"/>
              </w:rPr>
              <w:drawing>
                <wp:inline distT="0" distB="0" distL="0" distR="0" wp14:anchorId="7CEFA04B" wp14:editId="0FE559A1">
                  <wp:extent cx="4572000" cy="30486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05 D. WBG Assistance Anuki Premachandra.JPG"/>
                          <pic:cNvPicPr/>
                        </pic:nvPicPr>
                        <pic:blipFill>
                          <a:blip r:embed="rId59"/>
                          <a:stretch>
                            <a:fillRect/>
                          </a:stretch>
                        </pic:blipFill>
                        <pic:spPr>
                          <a:xfrm>
                            <a:off x="0" y="0"/>
                            <a:ext cx="4572000" cy="3048635"/>
                          </a:xfrm>
                          <a:prstGeom prst="rect">
                            <a:avLst/>
                          </a:prstGeom>
                        </pic:spPr>
                      </pic:pic>
                    </a:graphicData>
                  </a:graphic>
                </wp:inline>
              </w:drawing>
            </w:r>
          </w:p>
        </w:tc>
      </w:tr>
    </w:tbl>
    <w:p w14:paraId="23D294EC" w14:textId="77777777" w:rsidR="00580AAE" w:rsidRDefault="00580AAE"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F63E1" w:rsidRPr="007A0CC1" w14:paraId="7996CA64" w14:textId="77777777" w:rsidTr="00123A15">
        <w:tc>
          <w:tcPr>
            <w:tcW w:w="2020" w:type="dxa"/>
          </w:tcPr>
          <w:p w14:paraId="60A7EE9C" w14:textId="3AB3DE08" w:rsidR="005F63E1" w:rsidRPr="007A0CC1" w:rsidRDefault="006F0139" w:rsidP="00D076BD">
            <w:pPr>
              <w:pStyle w:val="BodyText"/>
              <w:rPr>
                <w:b/>
              </w:rPr>
            </w:pPr>
            <w:r w:rsidRPr="006F7C33">
              <w:rPr>
                <w:b/>
              </w:rPr>
              <w:t>The World Bank Group</w:t>
            </w:r>
            <w:r>
              <w:rPr>
                <w:b/>
              </w:rPr>
              <w:t xml:space="preserve"> is committed to supporting</w:t>
            </w:r>
            <w:r w:rsidRPr="006F7C33">
              <w:rPr>
                <w:b/>
              </w:rPr>
              <w:t xml:space="preserve"> Sri Lanka’s transition to a</w:t>
            </w:r>
            <w:r>
              <w:rPr>
                <w:b/>
              </w:rPr>
              <w:t>n upper</w:t>
            </w:r>
            <w:r w:rsidRPr="006F7C33">
              <w:rPr>
                <w:b/>
              </w:rPr>
              <w:t xml:space="preserve"> middle-income country.</w:t>
            </w:r>
          </w:p>
        </w:tc>
        <w:tc>
          <w:tcPr>
            <w:tcW w:w="145" w:type="dxa"/>
          </w:tcPr>
          <w:p w14:paraId="2579BE73" w14:textId="77777777" w:rsidR="005F63E1" w:rsidRPr="007A0CC1" w:rsidRDefault="005F63E1" w:rsidP="00556DF3">
            <w:pPr>
              <w:pStyle w:val="BodyText"/>
            </w:pPr>
          </w:p>
        </w:tc>
        <w:tc>
          <w:tcPr>
            <w:tcW w:w="7221" w:type="dxa"/>
          </w:tcPr>
          <w:p w14:paraId="4A8C0B35" w14:textId="68A2EB55" w:rsidR="005F63E1" w:rsidRPr="007A0CC1" w:rsidRDefault="006F0139" w:rsidP="00556DF3">
            <w:pPr>
              <w:pStyle w:val="BodyText"/>
              <w:jc w:val="both"/>
            </w:pPr>
            <w:r w:rsidRPr="00CC69BF">
              <w:t xml:space="preserve">The World Bank </w:t>
            </w:r>
            <w:r>
              <w:t xml:space="preserve">Group </w:t>
            </w:r>
            <w:r w:rsidRPr="00CC69BF">
              <w:t>has been supporting Sri Lanka’s development for close to six decades, having accompanied the country as it has grown to join the r</w:t>
            </w:r>
            <w:r>
              <w:t>anks of middle-income countries.</w:t>
            </w:r>
            <w:r w:rsidR="000A5B10">
              <w:t xml:space="preserve"> </w:t>
            </w:r>
            <w:r>
              <w:t>Sri Lanka is in many ways a development success story, and yet faces a number of critical challenges as it pursues its goal of becoming an upper middle-income country.</w:t>
            </w:r>
            <w:r w:rsidR="000A5B10">
              <w:t xml:space="preserve"> </w:t>
            </w:r>
            <w:r w:rsidRPr="00BE3F8C">
              <w:rPr>
                <w:szCs w:val="22"/>
              </w:rPr>
              <w:t xml:space="preserve">The </w:t>
            </w:r>
            <w:r>
              <w:rPr>
                <w:szCs w:val="22"/>
              </w:rPr>
              <w:t>Systematic Country Diagnostic (</w:t>
            </w:r>
            <w:r w:rsidRPr="00BE3F8C">
              <w:rPr>
                <w:szCs w:val="22"/>
              </w:rPr>
              <w:t>SCD</w:t>
            </w:r>
            <w:r>
              <w:rPr>
                <w:szCs w:val="22"/>
              </w:rPr>
              <w:t>)</w:t>
            </w:r>
            <w:r w:rsidR="000A13BE">
              <w:rPr>
                <w:rStyle w:val="FootnoteReference"/>
                <w:szCs w:val="22"/>
              </w:rPr>
              <w:footnoteReference w:id="35"/>
            </w:r>
            <w:r w:rsidRPr="00BE3F8C">
              <w:rPr>
                <w:szCs w:val="22"/>
              </w:rPr>
              <w:t xml:space="preserve"> </w:t>
            </w:r>
            <w:r>
              <w:rPr>
                <w:szCs w:val="22"/>
              </w:rPr>
              <w:t>carried out in 2015 identifies</w:t>
            </w:r>
            <w:r w:rsidRPr="00BE3F8C">
              <w:rPr>
                <w:szCs w:val="22"/>
              </w:rPr>
              <w:t xml:space="preserve"> critical constraints and op</w:t>
            </w:r>
            <w:r>
              <w:rPr>
                <w:szCs w:val="22"/>
              </w:rPr>
              <w:t>portunities that Sri Lanka faces</w:t>
            </w:r>
            <w:r w:rsidRPr="00BE3F8C">
              <w:rPr>
                <w:szCs w:val="22"/>
              </w:rPr>
              <w:t xml:space="preserve"> in accelerating progress toward the goals of ending extreme poverty and promoting shared prosperity in a sustainabl</w:t>
            </w:r>
            <w:r>
              <w:rPr>
                <w:szCs w:val="22"/>
              </w:rPr>
              <w:t>e manner. They include</w:t>
            </w:r>
            <w:r w:rsidRPr="00BE3F8C">
              <w:rPr>
                <w:szCs w:val="22"/>
              </w:rPr>
              <w:t>: (i) achieving fiscal sustainability; (ii) enhancing competitiveness and promoting more and better jobs for the bottom 40 percent; (iii) providing for social inclusion for disadvantaged segments of the population; and (iv) attaining longer term sustainability, especially of the environment, political stability, and an aging population).</w:t>
            </w:r>
            <w:r w:rsidR="000A5B10">
              <w:rPr>
                <w:szCs w:val="22"/>
              </w:rPr>
              <w:t xml:space="preserve"> </w:t>
            </w:r>
            <w:r w:rsidRPr="00BE3F8C">
              <w:rPr>
                <w:szCs w:val="22"/>
              </w:rPr>
              <w:t>In addition, strengthening governance is</w:t>
            </w:r>
            <w:r>
              <w:rPr>
                <w:szCs w:val="22"/>
              </w:rPr>
              <w:t xml:space="preserve"> a cross-cutting challenge.</w:t>
            </w:r>
            <w:r w:rsidR="000A5B10">
              <w:rPr>
                <w:szCs w:val="22"/>
              </w:rPr>
              <w:t xml:space="preserve"> </w:t>
            </w:r>
            <w:r>
              <w:rPr>
                <w:szCs w:val="22"/>
              </w:rPr>
              <w:t>The SCD anchors the</w:t>
            </w:r>
            <w:r>
              <w:t xml:space="preserve"> World Bank Group Country Partnership Framework (CPF</w:t>
            </w:r>
            <w:r w:rsidRPr="00CC69BF">
              <w:t>) for FY1</w:t>
            </w:r>
            <w:r>
              <w:t>7–20.</w:t>
            </w:r>
            <w:r w:rsidR="000A13BE">
              <w:rPr>
                <w:rStyle w:val="FootnoteReference"/>
              </w:rPr>
              <w:footnoteReference w:id="36"/>
            </w:r>
          </w:p>
        </w:tc>
      </w:tr>
    </w:tbl>
    <w:p w14:paraId="28DF4BE0" w14:textId="77777777" w:rsidR="005F63E1" w:rsidRDefault="005F63E1"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F63E1" w:rsidRPr="007A0CC1" w14:paraId="46E05941" w14:textId="77777777" w:rsidTr="00123A15">
        <w:tc>
          <w:tcPr>
            <w:tcW w:w="2020" w:type="dxa"/>
          </w:tcPr>
          <w:p w14:paraId="196E996F" w14:textId="6223190E" w:rsidR="005F63E1" w:rsidRPr="007A0CC1" w:rsidRDefault="006F0139" w:rsidP="00CC69BF">
            <w:pPr>
              <w:pStyle w:val="BodyText"/>
              <w:rPr>
                <w:b/>
              </w:rPr>
            </w:pPr>
            <w:r>
              <w:rPr>
                <w:b/>
              </w:rPr>
              <w:t>The Country Partnership Framework is anchored by the Systematic Country Diagnostic.</w:t>
            </w:r>
            <w:r w:rsidR="000A5B10">
              <w:rPr>
                <w:b/>
              </w:rPr>
              <w:t xml:space="preserve"> </w:t>
            </w:r>
          </w:p>
        </w:tc>
        <w:tc>
          <w:tcPr>
            <w:tcW w:w="145" w:type="dxa"/>
          </w:tcPr>
          <w:p w14:paraId="4300EE9F" w14:textId="77777777" w:rsidR="005F63E1" w:rsidRPr="007A0CC1" w:rsidRDefault="005F63E1" w:rsidP="00556DF3">
            <w:pPr>
              <w:pStyle w:val="BodyText"/>
            </w:pPr>
          </w:p>
        </w:tc>
        <w:tc>
          <w:tcPr>
            <w:tcW w:w="7221" w:type="dxa"/>
          </w:tcPr>
          <w:p w14:paraId="15CF258D" w14:textId="4787CA02" w:rsidR="005F63E1" w:rsidRPr="007A0CC1" w:rsidRDefault="006F0139" w:rsidP="00556DF3">
            <w:pPr>
              <w:pStyle w:val="BodyText"/>
              <w:jc w:val="both"/>
            </w:pPr>
            <w:r w:rsidRPr="00DF4B67">
              <w:t>Under the CPF, the World Bank Group will contribute to Sri Lanka’s transition to a more competitive, inclusive, and resilient upper-middle income country. Main areas of support include macro-fiscal stability and competitiveness; promoting inclusion and opportunities for all; and seizing green growth opportunities, improving environmental management, and enhancing adaptation and mitigation potential.</w:t>
            </w:r>
            <w:r w:rsidR="000A5B10">
              <w:t xml:space="preserve"> </w:t>
            </w:r>
            <w:r w:rsidRPr="00DF4B67">
              <w:rPr>
                <w:szCs w:val="22"/>
              </w:rPr>
              <w:t>Sri Lanka has graduated from IDA and is receiving IDA transition financing during IDA 18 period (FY18-20).</w:t>
            </w:r>
            <w:r w:rsidR="000A5B10">
              <w:rPr>
                <w:szCs w:val="22"/>
              </w:rPr>
              <w:t xml:space="preserve"> </w:t>
            </w:r>
            <w:r w:rsidRPr="00DF4B67">
              <w:t xml:space="preserve">IFC gives priority to sustainable infrastructure (through PPP’s), financial inclusion, and access to input/output markets, products, services and jobs. </w:t>
            </w:r>
            <w:r w:rsidRPr="00DF4B67">
              <w:lastRenderedPageBreak/>
              <w:t>MIGA is ready to provide guarantees where possible to support foreign investment projects across sectors.</w:t>
            </w:r>
          </w:p>
        </w:tc>
      </w:tr>
    </w:tbl>
    <w:p w14:paraId="27CCF3F2" w14:textId="77777777" w:rsidR="005F63E1" w:rsidRDefault="005F63E1"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F63E1" w:rsidRPr="007A0CC1" w14:paraId="511B062C" w14:textId="77777777" w:rsidTr="00123A15">
        <w:tc>
          <w:tcPr>
            <w:tcW w:w="2020" w:type="dxa"/>
          </w:tcPr>
          <w:p w14:paraId="7CB762E0" w14:textId="40061000" w:rsidR="005F63E1" w:rsidRPr="007A0CC1" w:rsidRDefault="006F0139" w:rsidP="00CC69BF">
            <w:pPr>
              <w:pStyle w:val="BodyText"/>
              <w:rPr>
                <w:b/>
              </w:rPr>
            </w:pPr>
            <w:r w:rsidRPr="00CC69BF">
              <w:rPr>
                <w:b/>
              </w:rPr>
              <w:t xml:space="preserve">The World Bank portfolio </w:t>
            </w:r>
            <w:r>
              <w:rPr>
                <w:b/>
              </w:rPr>
              <w:t>covers a range of areas to support Sri Lanka’s transition.</w:t>
            </w:r>
          </w:p>
        </w:tc>
        <w:tc>
          <w:tcPr>
            <w:tcW w:w="145" w:type="dxa"/>
          </w:tcPr>
          <w:p w14:paraId="22593505" w14:textId="77777777" w:rsidR="005F63E1" w:rsidRPr="007A0CC1" w:rsidRDefault="005F63E1" w:rsidP="00556DF3">
            <w:pPr>
              <w:pStyle w:val="BodyText"/>
            </w:pPr>
          </w:p>
        </w:tc>
        <w:tc>
          <w:tcPr>
            <w:tcW w:w="7221" w:type="dxa"/>
          </w:tcPr>
          <w:p w14:paraId="5353CE37" w14:textId="4FD1D76C" w:rsidR="005F63E1" w:rsidRPr="007A0CC1" w:rsidRDefault="006F0139" w:rsidP="00556DF3">
            <w:pPr>
              <w:pStyle w:val="BodyText"/>
              <w:jc w:val="both"/>
            </w:pPr>
            <w:r>
              <w:rPr>
                <w:szCs w:val="22"/>
              </w:rPr>
              <w:t>C</w:t>
            </w:r>
            <w:r w:rsidRPr="00BE3F8C">
              <w:rPr>
                <w:szCs w:val="22"/>
              </w:rPr>
              <w:t>urrent active World Bank portfolio comprises 18 projects with a t</w:t>
            </w:r>
            <w:r>
              <w:rPr>
                <w:szCs w:val="22"/>
              </w:rPr>
              <w:t xml:space="preserve">otal net commitment value of USD </w:t>
            </w:r>
            <w:r w:rsidRPr="00BE3F8C">
              <w:rPr>
                <w:szCs w:val="22"/>
              </w:rPr>
              <w:t>2.1 billion (15 IDA</w:t>
            </w:r>
            <w:r>
              <w:rPr>
                <w:szCs w:val="22"/>
              </w:rPr>
              <w:t xml:space="preserve"> and 3 IBRD operations).</w:t>
            </w:r>
            <w:r w:rsidR="000A5B10">
              <w:rPr>
                <w:szCs w:val="22"/>
              </w:rPr>
              <w:t xml:space="preserve"> </w:t>
            </w:r>
            <w:r>
              <w:rPr>
                <w:szCs w:val="22"/>
              </w:rPr>
              <w:t>The World Bank has provided a mix of financing – investment project, development policy, and program-for-results – to meet the development needs of Sri Lanka.</w:t>
            </w:r>
            <w:r w:rsidR="000A5B10">
              <w:rPr>
                <w:szCs w:val="22"/>
              </w:rPr>
              <w:t xml:space="preserve"> </w:t>
            </w:r>
            <w:r>
              <w:rPr>
                <w:szCs w:val="22"/>
              </w:rPr>
              <w:t>U</w:t>
            </w:r>
            <w:r w:rsidRPr="00BE3F8C">
              <w:rPr>
                <w:rFonts w:cs="Times New Roman"/>
                <w:szCs w:val="22"/>
              </w:rPr>
              <w:t>rban</w:t>
            </w:r>
            <w:r>
              <w:rPr>
                <w:rFonts w:cs="Times New Roman"/>
                <w:szCs w:val="22"/>
              </w:rPr>
              <w:t xml:space="preserve"> and rural development sectors </w:t>
            </w:r>
            <w:r w:rsidRPr="00BE3F8C">
              <w:rPr>
                <w:rFonts w:cs="Times New Roman"/>
                <w:szCs w:val="22"/>
              </w:rPr>
              <w:t>account</w:t>
            </w:r>
            <w:r>
              <w:rPr>
                <w:rFonts w:cs="Times New Roman"/>
                <w:szCs w:val="22"/>
              </w:rPr>
              <w:t xml:space="preserve"> for the largest share of the portfolio both in terms of number of projects (28 percent) and total commitment (38 percent).</w:t>
            </w:r>
            <w:r w:rsidR="000A5B10">
              <w:rPr>
                <w:rFonts w:cs="Times New Roman"/>
                <w:szCs w:val="22"/>
              </w:rPr>
              <w:t xml:space="preserve"> </w:t>
            </w:r>
            <w:r>
              <w:rPr>
                <w:rFonts w:cs="Times New Roman"/>
                <w:szCs w:val="22"/>
              </w:rPr>
              <w:t>The second largest sector of engagement is education (22 percent of total number of projects, and 16 percent of total net commitment), followed by water (11 percent of total number of projects, 15 percent of total net commitment).</w:t>
            </w:r>
            <w:r w:rsidR="000A5B10">
              <w:rPr>
                <w:rFonts w:cs="Times New Roman"/>
                <w:szCs w:val="22"/>
              </w:rPr>
              <w:t xml:space="preserve"> </w:t>
            </w:r>
            <w:r>
              <w:t>In addition to lending, the World Bank is carrying out analytical work and technical assistance across various sectors, funded both through trust funds and own budget.</w:t>
            </w:r>
            <w:r w:rsidR="000A5B10">
              <w:t xml:space="preserve"> </w:t>
            </w:r>
            <w:r>
              <w:t>The World Bank has extended its support in close coordination and collaboration with development partners, including through co-financing of projects and leveraging private sector resources where opportunities arise.</w:t>
            </w:r>
            <w:r w:rsidR="000A5B10">
              <w:t xml:space="preserve"> </w:t>
            </w:r>
          </w:p>
        </w:tc>
      </w:tr>
    </w:tbl>
    <w:p w14:paraId="14C898EF" w14:textId="77777777" w:rsidR="005F63E1" w:rsidRDefault="005F63E1"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5F63E1" w:rsidRPr="007A0CC1" w14:paraId="1A8228E3" w14:textId="77777777" w:rsidTr="00123A15">
        <w:tc>
          <w:tcPr>
            <w:tcW w:w="2020" w:type="dxa"/>
          </w:tcPr>
          <w:p w14:paraId="6E9FBF38" w14:textId="6A0E103D" w:rsidR="005F63E1" w:rsidRPr="007A0CC1" w:rsidRDefault="006F0139" w:rsidP="00CC69BF">
            <w:pPr>
              <w:pStyle w:val="BodyText"/>
              <w:rPr>
                <w:b/>
              </w:rPr>
            </w:pPr>
            <w:r w:rsidRPr="00C33447">
              <w:rPr>
                <w:b/>
              </w:rPr>
              <w:t>IFC continues to engage in areas where private sector solutions help address key development challenges laid out in the CPS.</w:t>
            </w:r>
            <w:r w:rsidR="000A5B10">
              <w:rPr>
                <w:b/>
              </w:rPr>
              <w:t xml:space="preserve"> </w:t>
            </w:r>
          </w:p>
        </w:tc>
        <w:tc>
          <w:tcPr>
            <w:tcW w:w="145" w:type="dxa"/>
          </w:tcPr>
          <w:p w14:paraId="0177C29B" w14:textId="77777777" w:rsidR="005F63E1" w:rsidRPr="007A0CC1" w:rsidRDefault="005F63E1" w:rsidP="00556DF3">
            <w:pPr>
              <w:pStyle w:val="BodyText"/>
            </w:pPr>
          </w:p>
        </w:tc>
        <w:tc>
          <w:tcPr>
            <w:tcW w:w="7221" w:type="dxa"/>
          </w:tcPr>
          <w:p w14:paraId="6A716024" w14:textId="2E041EB5" w:rsidR="005F63E1" w:rsidRPr="007A0CC1" w:rsidRDefault="006F0139" w:rsidP="00556DF3">
            <w:pPr>
              <w:pStyle w:val="BodyText"/>
              <w:jc w:val="both"/>
            </w:pPr>
            <w:r w:rsidRPr="00C33447">
              <w:t>IFC’s activities in Sri Lanka are s</w:t>
            </w:r>
            <w:r>
              <w:t>upporting the World Bank Group’s</w:t>
            </w:r>
            <w:r w:rsidRPr="00C33447">
              <w:t xml:space="preserve"> CPF goals. By working closely with the private sector, the government, and the World Bank, IFC focuses on facilitating inclusive growth by crowding in private sector finance. In the area of financial inclusion IFC is specifically looking at solutions for underserved segments and markets, improved wealth creation and management options in light of the country’s demographic profile. In the area of social inclusion IFC is focused on sectors where private sector solutions can improve not just access to services, but the efficiency and quality of those services. Connectivity/logistics </w:t>
            </w:r>
            <w:r>
              <w:t>through</w:t>
            </w:r>
            <w:r w:rsidRPr="00C33447">
              <w:t xml:space="preserve"> sustainable infrastructure is seen as a key part of the country’s economic growth agenda and will be an IFC focus area. To support </w:t>
            </w:r>
            <w:r>
              <w:t>job creation and the build</w:t>
            </w:r>
            <w:r w:rsidRPr="00C33447">
              <w:t xml:space="preserve"> global</w:t>
            </w:r>
            <w:r>
              <w:t>ly competitive value chains, IFC</w:t>
            </w:r>
            <w:r w:rsidRPr="00C33447">
              <w:t xml:space="preserve"> investments are targeted at export oriented sectors including tourism.</w:t>
            </w:r>
          </w:p>
        </w:tc>
      </w:tr>
    </w:tbl>
    <w:p w14:paraId="0E67494F" w14:textId="77777777" w:rsidR="005F63E1" w:rsidRDefault="005F63E1"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CC69BF" w:rsidRPr="007A0CC1" w14:paraId="3882A294" w14:textId="77777777" w:rsidTr="00E21B50">
        <w:tc>
          <w:tcPr>
            <w:tcW w:w="2020" w:type="dxa"/>
          </w:tcPr>
          <w:p w14:paraId="2B74220F" w14:textId="1337A52F" w:rsidR="00CC69BF" w:rsidRPr="007A0CC1" w:rsidRDefault="006F0139" w:rsidP="00E21B50">
            <w:pPr>
              <w:pStyle w:val="BodyText"/>
              <w:rPr>
                <w:b/>
              </w:rPr>
            </w:pPr>
            <w:r w:rsidRPr="00C33447">
              <w:rPr>
                <w:b/>
              </w:rPr>
              <w:t>IFC is taking steps to increase the committed investment portfolio.</w:t>
            </w:r>
          </w:p>
        </w:tc>
        <w:tc>
          <w:tcPr>
            <w:tcW w:w="145" w:type="dxa"/>
          </w:tcPr>
          <w:p w14:paraId="214B626E" w14:textId="77777777" w:rsidR="00CC69BF" w:rsidRPr="007A0CC1" w:rsidRDefault="00CC69BF" w:rsidP="00E21B50">
            <w:pPr>
              <w:pStyle w:val="BodyText"/>
            </w:pPr>
          </w:p>
        </w:tc>
        <w:tc>
          <w:tcPr>
            <w:tcW w:w="7221" w:type="dxa"/>
          </w:tcPr>
          <w:p w14:paraId="640BECA7" w14:textId="6588E410" w:rsidR="00CC69BF" w:rsidRPr="007A0CC1" w:rsidRDefault="006F0139" w:rsidP="00E21B50">
            <w:pPr>
              <w:pStyle w:val="BodyText"/>
              <w:jc w:val="both"/>
            </w:pPr>
            <w:r w:rsidRPr="00F46535">
              <w:t>As of June 30, 2016, IFC’s total committed investment portfolio stood at</w:t>
            </w:r>
            <w:r>
              <w:t xml:space="preserve"> </w:t>
            </w:r>
            <w:r w:rsidRPr="00F46535">
              <w:t>about USD 228 million. In addition, IFC has an advisory program comprising 11 portfolio projects with a combined portfolio value of USD 11 million. IFC’s advisory projects are helping boost access to finance and insurance, build business skills for entrepreneurs, develop supply chains, and promote the growth of tourism. IFC has recently launched a gender focused advisory program to improve economic empowerment for women.</w:t>
            </w:r>
          </w:p>
        </w:tc>
      </w:tr>
    </w:tbl>
    <w:p w14:paraId="06A3CE6D" w14:textId="77777777" w:rsidR="00CC69BF" w:rsidRDefault="00CC69BF" w:rsidP="00556DF3">
      <w:pPr>
        <w:pStyle w:val="BodyText"/>
      </w:pPr>
    </w:p>
    <w:tbl>
      <w:tblPr>
        <w:tblW w:w="9386" w:type="dxa"/>
        <w:tblInd w:w="-2160" w:type="dxa"/>
        <w:tblLayout w:type="fixed"/>
        <w:tblCellMar>
          <w:left w:w="0" w:type="dxa"/>
          <w:right w:w="29" w:type="dxa"/>
        </w:tblCellMar>
        <w:tblLook w:val="01E0" w:firstRow="1" w:lastRow="1" w:firstColumn="1" w:lastColumn="1" w:noHBand="0" w:noVBand="0"/>
      </w:tblPr>
      <w:tblGrid>
        <w:gridCol w:w="2020"/>
        <w:gridCol w:w="145"/>
        <w:gridCol w:w="7221"/>
      </w:tblGrid>
      <w:tr w:rsidR="006F7C33" w:rsidRPr="007A0CC1" w14:paraId="63ED7CC7" w14:textId="77777777" w:rsidTr="00FC6B3E">
        <w:tc>
          <w:tcPr>
            <w:tcW w:w="2020" w:type="dxa"/>
          </w:tcPr>
          <w:p w14:paraId="5532EA16" w14:textId="633852AC" w:rsidR="006F7C33" w:rsidRPr="007A0CC1" w:rsidRDefault="006F0139" w:rsidP="00DF1407">
            <w:pPr>
              <w:pStyle w:val="BodyText"/>
              <w:rPr>
                <w:b/>
              </w:rPr>
            </w:pPr>
            <w:r w:rsidRPr="00DF4B67">
              <w:rPr>
                <w:b/>
              </w:rPr>
              <w:t xml:space="preserve">MIGA stands ready to support </w:t>
            </w:r>
            <w:r>
              <w:rPr>
                <w:b/>
              </w:rPr>
              <w:t>FDI</w:t>
            </w:r>
            <w:r w:rsidRPr="00DF4B67">
              <w:rPr>
                <w:b/>
              </w:rPr>
              <w:t>, in support of the WBG’s goals.</w:t>
            </w:r>
          </w:p>
        </w:tc>
        <w:tc>
          <w:tcPr>
            <w:tcW w:w="145" w:type="dxa"/>
          </w:tcPr>
          <w:p w14:paraId="1D4B3A91" w14:textId="77777777" w:rsidR="006F7C33" w:rsidRPr="007A0CC1" w:rsidRDefault="006F7C33" w:rsidP="00556DF3">
            <w:pPr>
              <w:pStyle w:val="BodyText"/>
            </w:pPr>
          </w:p>
        </w:tc>
        <w:tc>
          <w:tcPr>
            <w:tcW w:w="7221" w:type="dxa"/>
          </w:tcPr>
          <w:p w14:paraId="6A1287B8" w14:textId="5D41E211" w:rsidR="006F7C33" w:rsidRPr="007A0CC1" w:rsidRDefault="006F0139" w:rsidP="00DF1407">
            <w:pPr>
              <w:pStyle w:val="BodyText"/>
              <w:jc w:val="both"/>
            </w:pPr>
            <w:r w:rsidRPr="00DF4B67">
              <w:t xml:space="preserve">Sri Lanka is an important country for MIGA, </w:t>
            </w:r>
            <w:r>
              <w:t>and the Agency looks forward to supporting</w:t>
            </w:r>
            <w:r w:rsidRPr="00DF4B67">
              <w:t xml:space="preserve"> </w:t>
            </w:r>
            <w:r>
              <w:t xml:space="preserve">foreign investment into </w:t>
            </w:r>
            <w:r w:rsidRPr="00DF4B67">
              <w:t xml:space="preserve">high development impact </w:t>
            </w:r>
            <w:r>
              <w:t>operations,</w:t>
            </w:r>
            <w:r w:rsidRPr="00DF4B67">
              <w:t xml:space="preserve"> </w:t>
            </w:r>
            <w:r>
              <w:t xml:space="preserve">which are aligned with the World Bank Group’s goals </w:t>
            </w:r>
            <w:r w:rsidRPr="00BE3F8C">
              <w:rPr>
                <w:szCs w:val="22"/>
              </w:rPr>
              <w:t>of ending extreme poverty and promoting shared prosperity in a sustainabl</w:t>
            </w:r>
            <w:r>
              <w:rPr>
                <w:szCs w:val="22"/>
              </w:rPr>
              <w:t>e manner</w:t>
            </w:r>
            <w:r w:rsidRPr="00DF4B67">
              <w:t>. MIGA stands ready to participate in productive projects</w:t>
            </w:r>
            <w:r>
              <w:t>,</w:t>
            </w:r>
            <w:r w:rsidRPr="00DF4B67">
              <w:t xml:space="preserve"> across sectors</w:t>
            </w:r>
            <w:r>
              <w:t>,</w:t>
            </w:r>
            <w:r w:rsidRPr="00DF4B67">
              <w:t xml:space="preserve"> in the country, including in partnership </w:t>
            </w:r>
            <w:r>
              <w:t xml:space="preserve">with the </w:t>
            </w:r>
            <w:r w:rsidRPr="00DF4B67">
              <w:t>World Bank and IFC.</w:t>
            </w:r>
          </w:p>
        </w:tc>
      </w:tr>
    </w:tbl>
    <w:p w14:paraId="28D8BD74" w14:textId="77777777" w:rsidR="006F7C33" w:rsidRDefault="006F7C33" w:rsidP="00556DF3">
      <w:pPr>
        <w:pStyle w:val="BodyText"/>
      </w:pPr>
    </w:p>
    <w:p w14:paraId="438A96B8" w14:textId="77777777" w:rsidR="006F0139" w:rsidRDefault="006F0139" w:rsidP="00556DF3">
      <w:pPr>
        <w:pStyle w:val="BodyText"/>
      </w:pPr>
    </w:p>
    <w:p w14:paraId="36C4E3F1" w14:textId="77777777" w:rsidR="006F0139" w:rsidRDefault="006F0139" w:rsidP="00556DF3">
      <w:pPr>
        <w:pStyle w:val="BodyText"/>
      </w:pPr>
    </w:p>
    <w:p w14:paraId="3A6958E3" w14:textId="77777777" w:rsidR="006F0139" w:rsidRDefault="006F0139" w:rsidP="00556DF3">
      <w:pPr>
        <w:pStyle w:val="BodyText"/>
      </w:pPr>
    </w:p>
    <w:p w14:paraId="460D23CA" w14:textId="77777777" w:rsidR="00F93D69" w:rsidRPr="00CC200C" w:rsidRDefault="00F93D69" w:rsidP="00882CFB">
      <w:pPr>
        <w:pStyle w:val="Preface-TOC-Annex"/>
      </w:pPr>
      <w:bookmarkStart w:id="117" w:name="_Toc430960097"/>
      <w:bookmarkStart w:id="118" w:name="_Toc485822613"/>
      <w:r w:rsidRPr="00CC200C">
        <w:lastRenderedPageBreak/>
        <w:t>Key Economic Indicators</w:t>
      </w:r>
      <w:bookmarkEnd w:id="117"/>
      <w:bookmarkEnd w:id="118"/>
      <w:r w:rsidRPr="00CC200C">
        <w:t xml:space="preserve"> </w:t>
      </w:r>
    </w:p>
    <w:p w14:paraId="0122E73C" w14:textId="7937107B" w:rsidR="00C95CC2" w:rsidRDefault="0076310E" w:rsidP="001368C5">
      <w:pPr>
        <w:pStyle w:val="Caption"/>
        <w:ind w:left="-2160"/>
        <w:jc w:val="center"/>
      </w:pPr>
      <w:r w:rsidRPr="0076310E">
        <w:rPr>
          <w:noProof/>
        </w:rPr>
        <w:drawing>
          <wp:inline distT="0" distB="0" distL="0" distR="0" wp14:anchorId="7020D2E4" wp14:editId="57279A57">
            <wp:extent cx="4562475" cy="655061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0878" cy="6562674"/>
                    </a:xfrm>
                    <a:prstGeom prst="rect">
                      <a:avLst/>
                    </a:prstGeom>
                    <a:noFill/>
                    <a:ln>
                      <a:noFill/>
                    </a:ln>
                  </pic:spPr>
                </pic:pic>
              </a:graphicData>
            </a:graphic>
          </wp:inline>
        </w:drawing>
      </w:r>
    </w:p>
    <w:p w14:paraId="2C4DB9D0" w14:textId="7D2A1959" w:rsidR="005D73D8" w:rsidRDefault="005D73D8" w:rsidP="00514E14">
      <w:pPr>
        <w:pStyle w:val="BodyText"/>
        <w:ind w:left="-2070"/>
        <w:jc w:val="center"/>
      </w:pPr>
    </w:p>
    <w:p w14:paraId="07192543" w14:textId="2EDFB1EE" w:rsidR="00070835" w:rsidRPr="0076310E" w:rsidRDefault="001E2FED">
      <w:pPr>
        <w:pStyle w:val="BodyText"/>
        <w:ind w:left="-1080"/>
        <w:rPr>
          <w:color w:val="808080" w:themeColor="background1" w:themeShade="80"/>
          <w:sz w:val="18"/>
        </w:rPr>
      </w:pPr>
      <w:r w:rsidRPr="0076310E">
        <w:rPr>
          <w:color w:val="808080" w:themeColor="background1" w:themeShade="80"/>
          <w:sz w:val="18"/>
        </w:rPr>
        <w:t xml:space="preserve">Note: </w:t>
      </w:r>
      <w:r w:rsidR="00070835" w:rsidRPr="0076310E">
        <w:rPr>
          <w:color w:val="808080" w:themeColor="background1" w:themeShade="80"/>
          <w:sz w:val="18"/>
        </w:rPr>
        <w:t>These projections do not yet include the impact of the 2017 floods, as the full damage and loss have not yet been estimated.</w:t>
      </w:r>
    </w:p>
    <w:p w14:paraId="522B55AD" w14:textId="0C020BD9" w:rsidR="00070835" w:rsidRPr="0076310E" w:rsidRDefault="00070835">
      <w:pPr>
        <w:pStyle w:val="BodyText"/>
        <w:ind w:left="-1080"/>
        <w:rPr>
          <w:color w:val="808080" w:themeColor="background1" w:themeShade="80"/>
          <w:sz w:val="18"/>
        </w:rPr>
      </w:pPr>
      <w:r w:rsidRPr="0076310E">
        <w:rPr>
          <w:color w:val="808080" w:themeColor="background1" w:themeShade="80"/>
          <w:sz w:val="18"/>
          <w:vertAlign w:val="superscript"/>
        </w:rPr>
        <w:t>1</w:t>
      </w:r>
      <w:r w:rsidRPr="0076310E">
        <w:rPr>
          <w:color w:val="808080" w:themeColor="background1" w:themeShade="80"/>
          <w:sz w:val="18"/>
        </w:rPr>
        <w:t xml:space="preserve"> 2015 fiscal balance includes charges incurred in 2014 but accounted in 2015. The IMF estimates the fiscal deficit in 2014 and 2015 as 6.2 and 6.9 percent of G</w:t>
      </w:r>
      <w:r w:rsidR="007B25D7" w:rsidRPr="0076310E">
        <w:rPr>
          <w:color w:val="808080" w:themeColor="background1" w:themeShade="80"/>
          <w:sz w:val="18"/>
        </w:rPr>
        <w:t>DP, respectively (see footnote 9</w:t>
      </w:r>
      <w:r w:rsidRPr="0076310E">
        <w:rPr>
          <w:color w:val="808080" w:themeColor="background1" w:themeShade="80"/>
          <w:sz w:val="18"/>
        </w:rPr>
        <w:t>).</w:t>
      </w:r>
    </w:p>
    <w:p w14:paraId="6382A49D" w14:textId="771B97BD" w:rsidR="00070835" w:rsidRPr="0076310E" w:rsidRDefault="00070835">
      <w:pPr>
        <w:pStyle w:val="BodyText"/>
        <w:ind w:left="-1080"/>
        <w:rPr>
          <w:color w:val="808080" w:themeColor="background1" w:themeShade="80"/>
          <w:sz w:val="18"/>
        </w:rPr>
      </w:pPr>
      <w:r w:rsidRPr="0076310E">
        <w:rPr>
          <w:color w:val="808080" w:themeColor="background1" w:themeShade="80"/>
          <w:sz w:val="18"/>
          <w:vertAlign w:val="superscript"/>
        </w:rPr>
        <w:t>2</w:t>
      </w:r>
      <w:r w:rsidRPr="0076310E">
        <w:rPr>
          <w:color w:val="808080" w:themeColor="background1" w:themeShade="80"/>
          <w:sz w:val="18"/>
        </w:rPr>
        <w:t xml:space="preserve"> </w:t>
      </w:r>
      <w:r w:rsidR="007B25D7" w:rsidRPr="0076310E">
        <w:rPr>
          <w:color w:val="808080" w:themeColor="background1" w:themeShade="80"/>
          <w:sz w:val="18"/>
        </w:rPr>
        <w:t>Public debt number excludes: debt contracted by SOEs and state agencies under a Treasury and Treasury bonds amounting to LKR 78,447 million issued to settle dues to CPC in January 2012 and LKR 13,125 million issued to capitalize Sri Lankan Airlines in March 2013 (as reported by the CBSL).</w:t>
      </w:r>
    </w:p>
    <w:p w14:paraId="25F201EA" w14:textId="1482F4B6" w:rsidR="00070835" w:rsidRPr="0076310E" w:rsidRDefault="00070835">
      <w:pPr>
        <w:pStyle w:val="BodyText"/>
        <w:ind w:left="-1080"/>
        <w:rPr>
          <w:color w:val="808080" w:themeColor="background1" w:themeShade="80"/>
          <w:sz w:val="18"/>
        </w:rPr>
      </w:pPr>
      <w:r w:rsidRPr="0076310E">
        <w:rPr>
          <w:color w:val="808080" w:themeColor="background1" w:themeShade="80"/>
          <w:sz w:val="18"/>
          <w:vertAlign w:val="superscript"/>
        </w:rPr>
        <w:t>3</w:t>
      </w:r>
      <w:r w:rsidRPr="0076310E">
        <w:rPr>
          <w:color w:val="808080" w:themeColor="background1" w:themeShade="80"/>
          <w:sz w:val="18"/>
        </w:rPr>
        <w:t xml:space="preserve"> </w:t>
      </w:r>
      <w:r w:rsidR="007B25D7" w:rsidRPr="0076310E">
        <w:rPr>
          <w:color w:val="808080" w:themeColor="background1" w:themeShade="80"/>
          <w:sz w:val="18"/>
        </w:rPr>
        <w:t>Includes currency, demand deposits, time and savings deposits held by the public with commercial banks</w:t>
      </w:r>
    </w:p>
    <w:p w14:paraId="38C8F862" w14:textId="5CAD993D" w:rsidR="00070835" w:rsidRPr="0076310E" w:rsidRDefault="00070835">
      <w:pPr>
        <w:pStyle w:val="BodyText"/>
        <w:ind w:left="-1080"/>
        <w:rPr>
          <w:color w:val="808080" w:themeColor="background1" w:themeShade="80"/>
          <w:sz w:val="18"/>
        </w:rPr>
      </w:pPr>
      <w:r w:rsidRPr="0076310E">
        <w:rPr>
          <w:color w:val="808080" w:themeColor="background1" w:themeShade="80"/>
          <w:sz w:val="18"/>
        </w:rPr>
        <w:t xml:space="preserve">Sources: </w:t>
      </w:r>
      <w:r w:rsidR="007B25D7" w:rsidRPr="0076310E">
        <w:rPr>
          <w:color w:val="808080" w:themeColor="background1" w:themeShade="80"/>
          <w:sz w:val="18"/>
        </w:rPr>
        <w:t xml:space="preserve">Central </w:t>
      </w:r>
      <w:r w:rsidR="0076310E">
        <w:rPr>
          <w:color w:val="808080" w:themeColor="background1" w:themeShade="80"/>
          <w:sz w:val="18"/>
        </w:rPr>
        <w:t>B</w:t>
      </w:r>
      <w:r w:rsidR="007B25D7" w:rsidRPr="0076310E">
        <w:rPr>
          <w:color w:val="808080" w:themeColor="background1" w:themeShade="80"/>
          <w:sz w:val="18"/>
        </w:rPr>
        <w:t xml:space="preserve">ank of Sri Lanka, Ministry of Finance, staff </w:t>
      </w:r>
      <w:r w:rsidR="0076310E">
        <w:rPr>
          <w:color w:val="808080" w:themeColor="background1" w:themeShade="80"/>
          <w:sz w:val="18"/>
        </w:rPr>
        <w:t>projections</w:t>
      </w:r>
      <w:r w:rsidR="007B25D7" w:rsidRPr="0076310E">
        <w:rPr>
          <w:color w:val="808080" w:themeColor="background1" w:themeShade="80"/>
          <w:sz w:val="18"/>
        </w:rPr>
        <w:t xml:space="preserve"> </w:t>
      </w:r>
    </w:p>
    <w:sectPr w:rsidR="00070835" w:rsidRPr="0076310E" w:rsidSect="00F6052B">
      <w:headerReference w:type="default" r:id="rId61"/>
      <w:pgSz w:w="12240" w:h="15840" w:code="1"/>
      <w:pgMar w:top="1440" w:right="1440" w:bottom="1440" w:left="3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22C38F" w14:textId="77777777" w:rsidR="001A40CC" w:rsidRDefault="001A40CC" w:rsidP="00F6052B">
      <w:r>
        <w:separator/>
      </w:r>
    </w:p>
  </w:endnote>
  <w:endnote w:type="continuationSeparator" w:id="0">
    <w:p w14:paraId="4509C3FB" w14:textId="77777777" w:rsidR="001A40CC" w:rsidRDefault="001A40CC" w:rsidP="00F60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5F5FA" w14:textId="77777777" w:rsidR="006543B8" w:rsidRDefault="006543B8" w:rsidP="001B2105"/>
  <w:tbl>
    <w:tblPr>
      <w:tblpPr w:leftFromText="180" w:rightFromText="180" w:vertAnchor="text" w:tblpXSpec="right" w:tblpY="1"/>
      <w:tblOverlap w:val="never"/>
      <w:tblW w:w="9360" w:type="dxa"/>
      <w:jc w:val="right"/>
      <w:tblLayout w:type="fixed"/>
      <w:tblCellMar>
        <w:left w:w="0" w:type="dxa"/>
        <w:right w:w="14" w:type="dxa"/>
      </w:tblCellMar>
      <w:tblLook w:val="01E0" w:firstRow="1" w:lastRow="1" w:firstColumn="1" w:lastColumn="1" w:noHBand="0" w:noVBand="0"/>
    </w:tblPr>
    <w:tblGrid>
      <w:gridCol w:w="4140"/>
      <w:gridCol w:w="5220"/>
    </w:tblGrid>
    <w:tr w:rsidR="006543B8" w:rsidRPr="0005787B" w14:paraId="39411A88" w14:textId="77777777" w:rsidTr="001B2105">
      <w:trPr>
        <w:jc w:val="right"/>
      </w:trPr>
      <w:tc>
        <w:tcPr>
          <w:tcW w:w="4140" w:type="dxa"/>
          <w:vAlign w:val="center"/>
        </w:tcPr>
        <w:p w14:paraId="44CA6C69" w14:textId="4B536BE2" w:rsidR="006543B8" w:rsidRPr="004B4D08" w:rsidRDefault="0018644E" w:rsidP="003D14A1">
          <w:pPr>
            <w:rPr>
              <w:b/>
              <w:color w:val="0C4DA2"/>
              <w:spacing w:val="20"/>
              <w:szCs w:val="20"/>
            </w:rPr>
          </w:pPr>
          <w:r>
            <w:rPr>
              <w:b/>
              <w:color w:val="0C4DA2"/>
              <w:spacing w:val="20"/>
              <w:szCs w:val="20"/>
            </w:rPr>
            <w:t>Spring</w:t>
          </w:r>
          <w:r w:rsidR="006543B8" w:rsidRPr="004B4D08">
            <w:rPr>
              <w:b/>
              <w:color w:val="0C4DA2"/>
              <w:spacing w:val="20"/>
              <w:szCs w:val="20"/>
            </w:rPr>
            <w:t xml:space="preserve"> 201</w:t>
          </w:r>
          <w:r w:rsidR="006543B8">
            <w:rPr>
              <w:b/>
              <w:color w:val="0C4DA2"/>
              <w:spacing w:val="20"/>
              <w:szCs w:val="20"/>
            </w:rPr>
            <w:t>7</w:t>
          </w:r>
        </w:p>
      </w:tc>
      <w:tc>
        <w:tcPr>
          <w:tcW w:w="5220" w:type="dxa"/>
          <w:vAlign w:val="center"/>
        </w:tcPr>
        <w:p w14:paraId="24ADC3E6" w14:textId="77777777" w:rsidR="006543B8" w:rsidRPr="004B4D08" w:rsidRDefault="006543B8" w:rsidP="001B2105">
          <w:pPr>
            <w:pStyle w:val="Header"/>
            <w:rPr>
              <w:b/>
              <w:sz w:val="20"/>
              <w:szCs w:val="20"/>
            </w:rPr>
          </w:pPr>
          <w:r w:rsidRPr="004B4D08">
            <w:rPr>
              <w:b/>
              <w:sz w:val="20"/>
              <w:szCs w:val="20"/>
            </w:rPr>
            <w:t>THE WORLD BANK</w:t>
          </w:r>
        </w:p>
      </w:tc>
    </w:tr>
  </w:tbl>
  <w:p w14:paraId="11A3B44B" w14:textId="71614FC1" w:rsidR="006543B8" w:rsidRPr="004B4D08" w:rsidRDefault="001A40CC" w:rsidP="001B2105">
    <w:pPr>
      <w:pStyle w:val="Footer"/>
      <w:ind w:right="0"/>
      <w:jc w:val="right"/>
      <w:rPr>
        <w:b w:val="0"/>
      </w:rPr>
    </w:pPr>
    <w:sdt>
      <w:sdtPr>
        <w:id w:val="-408699585"/>
        <w:docPartObj>
          <w:docPartGallery w:val="Page Numbers (Bottom of Page)"/>
          <w:docPartUnique/>
        </w:docPartObj>
      </w:sdtPr>
      <w:sdtEndPr>
        <w:rPr>
          <w:b w:val="0"/>
          <w:noProof/>
        </w:rPr>
      </w:sdtEndPr>
      <w:sdtContent>
        <w:r w:rsidR="006543B8" w:rsidRPr="004B4D08">
          <w:rPr>
            <w:b w:val="0"/>
          </w:rPr>
          <w:fldChar w:fldCharType="begin"/>
        </w:r>
        <w:r w:rsidR="006543B8" w:rsidRPr="004B4D08">
          <w:rPr>
            <w:b w:val="0"/>
          </w:rPr>
          <w:instrText xml:space="preserve"> PAGE   \* MERGEFORMAT </w:instrText>
        </w:r>
        <w:r w:rsidR="006543B8" w:rsidRPr="004B4D08">
          <w:rPr>
            <w:b w:val="0"/>
          </w:rPr>
          <w:fldChar w:fldCharType="separate"/>
        </w:r>
        <w:r w:rsidR="00A12655">
          <w:rPr>
            <w:b w:val="0"/>
            <w:noProof/>
          </w:rPr>
          <w:t>21</w:t>
        </w:r>
        <w:r w:rsidR="006543B8" w:rsidRPr="004B4D08">
          <w:rPr>
            <w:b w:val="0"/>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AF811" w14:textId="77777777" w:rsidR="006543B8" w:rsidRDefault="00654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739B7" w14:textId="77777777" w:rsidR="001A40CC" w:rsidRDefault="001A40CC" w:rsidP="00F6052B">
      <w:r>
        <w:separator/>
      </w:r>
    </w:p>
  </w:footnote>
  <w:footnote w:type="continuationSeparator" w:id="0">
    <w:p w14:paraId="70607F48" w14:textId="77777777" w:rsidR="001A40CC" w:rsidRDefault="001A40CC" w:rsidP="00F6052B">
      <w:r>
        <w:continuationSeparator/>
      </w:r>
    </w:p>
  </w:footnote>
  <w:footnote w:id="1">
    <w:p w14:paraId="7E91B02E" w14:textId="77777777" w:rsidR="006543B8" w:rsidRDefault="006543B8" w:rsidP="0066023F">
      <w:pPr>
        <w:pStyle w:val="FootnoteText"/>
      </w:pPr>
      <w:r>
        <w:rPr>
          <w:rStyle w:val="FootnoteReference"/>
        </w:rPr>
        <w:footnoteRef/>
      </w:r>
      <w:r>
        <w:t xml:space="preserve"> </w:t>
      </w:r>
      <w:r w:rsidRPr="00E33564">
        <w:t>These included some important steps to increase government revenues and tighten the monetary policy.</w:t>
      </w:r>
    </w:p>
  </w:footnote>
  <w:footnote w:id="2">
    <w:p w14:paraId="7312863B" w14:textId="7E89A2EE" w:rsidR="00A12655" w:rsidRDefault="00A12655" w:rsidP="00A12655">
      <w:pPr>
        <w:pStyle w:val="FootnoteText"/>
      </w:pPr>
      <w:r>
        <w:rPr>
          <w:rStyle w:val="FootnoteReference"/>
        </w:rPr>
        <w:footnoteRef/>
      </w:r>
      <w:r>
        <w:t xml:space="preserve"> T</w:t>
      </w:r>
      <w:r>
        <w:t xml:space="preserve">he </w:t>
      </w:r>
      <w:r>
        <w:t xml:space="preserve">Development Policy Financing (DPF) </w:t>
      </w:r>
      <w:r>
        <w:t>Program Document is available online at:</w:t>
      </w:r>
    </w:p>
    <w:p w14:paraId="7B7B6103" w14:textId="366807EB" w:rsidR="00A12655" w:rsidRDefault="00A12655" w:rsidP="00A12655">
      <w:pPr>
        <w:pStyle w:val="FootnoteText"/>
      </w:pPr>
      <w:hyperlink r:id="rId1" w:history="1">
        <w:r w:rsidRPr="000825A5">
          <w:rPr>
            <w:rStyle w:val="Hyperlink"/>
            <w:rFonts w:cs="Arial"/>
          </w:rPr>
          <w:t>http://www.worldbank.org/en/news/loans-credits/2016/08/01/sri-lanka-dpf</w:t>
        </w:r>
      </w:hyperlink>
    </w:p>
    <w:p w14:paraId="79226709" w14:textId="77777777" w:rsidR="00A12655" w:rsidRDefault="00A12655" w:rsidP="00A12655">
      <w:pPr>
        <w:pStyle w:val="FootnoteText"/>
      </w:pPr>
    </w:p>
  </w:footnote>
  <w:footnote w:id="3">
    <w:p w14:paraId="058232CC" w14:textId="1F66A2C8" w:rsidR="006543B8" w:rsidRPr="0036561A" w:rsidRDefault="006543B8">
      <w:pPr>
        <w:pStyle w:val="FootnoteText"/>
        <w:rPr>
          <w:lang w:val="nl-NL"/>
        </w:rPr>
      </w:pPr>
      <w:r>
        <w:rPr>
          <w:rStyle w:val="FootnoteReference"/>
        </w:rPr>
        <w:footnoteRef/>
      </w:r>
      <w:r>
        <w:t xml:space="preserve"> This does not yet the impact of the 2017 floods, as the full damage and loss have not yet been estimated. </w:t>
      </w:r>
    </w:p>
  </w:footnote>
  <w:footnote w:id="4">
    <w:p w14:paraId="2FAC951F" w14:textId="1D6A8E80" w:rsidR="006543B8" w:rsidRDefault="006543B8">
      <w:pPr>
        <w:pStyle w:val="FootnoteText"/>
      </w:pPr>
      <w:r>
        <w:rPr>
          <w:rStyle w:val="FootnoteReference"/>
        </w:rPr>
        <w:footnoteRef/>
      </w:r>
      <w:r>
        <w:t xml:space="preserve"> C</w:t>
      </w:r>
      <w:r w:rsidRPr="00FF44BF">
        <w:t>ompared to a 0.4 percentage point positive contribution in the previous year</w:t>
      </w:r>
    </w:p>
  </w:footnote>
  <w:footnote w:id="5">
    <w:p w14:paraId="7675700D" w14:textId="5B8270C9" w:rsidR="006543B8" w:rsidRDefault="006543B8">
      <w:pPr>
        <w:pStyle w:val="FootnoteText"/>
      </w:pPr>
      <w:r>
        <w:rPr>
          <w:rStyle w:val="FootnoteReference"/>
        </w:rPr>
        <w:footnoteRef/>
      </w:r>
      <w:r>
        <w:t xml:space="preserve"> Compared to 0.4 percent recorded in 2015</w:t>
      </w:r>
    </w:p>
  </w:footnote>
  <w:footnote w:id="6">
    <w:p w14:paraId="4EAE5DED" w14:textId="48DC7E67" w:rsidR="006543B8" w:rsidRDefault="006543B8">
      <w:pPr>
        <w:pStyle w:val="FootnoteText"/>
      </w:pPr>
      <w:r>
        <w:rPr>
          <w:rStyle w:val="FootnoteReference"/>
        </w:rPr>
        <w:footnoteRef/>
      </w:r>
      <w:r>
        <w:t xml:space="preserve"> Private health activities were brought into the VAT net in November 2016 amendments. </w:t>
      </w:r>
    </w:p>
  </w:footnote>
  <w:footnote w:id="7">
    <w:p w14:paraId="0B20CA4A" w14:textId="638A5565" w:rsidR="006543B8" w:rsidRDefault="006543B8" w:rsidP="005A2E90">
      <w:pPr>
        <w:pStyle w:val="FootnoteText"/>
      </w:pPr>
      <w:r>
        <w:rPr>
          <w:rStyle w:val="FootnoteReference"/>
        </w:rPr>
        <w:footnoteRef/>
      </w:r>
      <w:r>
        <w:t xml:space="preserve"> The measures included a hike in VAT rate hike, removal of several exemptions on VAT and Nation</w:t>
      </w:r>
    </w:p>
    <w:p w14:paraId="4372A009" w14:textId="239B5F01" w:rsidR="006543B8" w:rsidRDefault="006543B8" w:rsidP="005A2E90">
      <w:pPr>
        <w:pStyle w:val="FootnoteText"/>
      </w:pPr>
      <w:r>
        <w:tab/>
        <w:t>Building Tax, some upward rate revisions of other taxes, such as Economic Service Charge (ESC), and progressing on the implementation of Revenue Administration Management Information System.</w:t>
      </w:r>
    </w:p>
  </w:footnote>
  <w:footnote w:id="8">
    <w:p w14:paraId="11E19BF2" w14:textId="04C9F75C" w:rsidR="006543B8" w:rsidRDefault="006543B8">
      <w:pPr>
        <w:pStyle w:val="FootnoteText"/>
      </w:pPr>
      <w:r>
        <w:rPr>
          <w:rStyle w:val="FootnoteReference"/>
        </w:rPr>
        <w:footnoteRef/>
      </w:r>
      <w:r>
        <w:t xml:space="preserve"> In 2015, tax collection increased to 12.4 from 10.1 percent of GDP in 2014. </w:t>
      </w:r>
      <w:r w:rsidRPr="00C63000">
        <w:t>Included</w:t>
      </w:r>
      <w:r>
        <w:t xml:space="preserve"> in 2015 were a</w:t>
      </w:r>
      <w:r w:rsidRPr="00C63000">
        <w:t xml:space="preserve"> retrospective super gain</w:t>
      </w:r>
      <w:r>
        <w:t>s</w:t>
      </w:r>
      <w:r w:rsidRPr="00C63000">
        <w:t xml:space="preserve"> tax at 25 percent imposed on corporates that generated profits over LKR 2.0 billion in 2013/14</w:t>
      </w:r>
      <w:r>
        <w:t xml:space="preserve"> and a spike in motor vehicle excise taxes in a vehicle imports boom. </w:t>
      </w:r>
    </w:p>
  </w:footnote>
  <w:footnote w:id="9">
    <w:p w14:paraId="76DCFA9C" w14:textId="6556FA09" w:rsidR="006543B8" w:rsidRDefault="006543B8">
      <w:pPr>
        <w:pStyle w:val="FootnoteText"/>
      </w:pPr>
      <w:r>
        <w:rPr>
          <w:rStyle w:val="FootnoteReference"/>
        </w:rPr>
        <w:footnoteRef/>
      </w:r>
      <w:r>
        <w:t xml:space="preserve"> The actual collection was 8 percent below the budget. </w:t>
      </w:r>
    </w:p>
  </w:footnote>
  <w:footnote w:id="10">
    <w:p w14:paraId="503077FA" w14:textId="01CBDA41" w:rsidR="006543B8" w:rsidRDefault="006543B8" w:rsidP="000C233B">
      <w:pPr>
        <w:pStyle w:val="FootnoteText"/>
      </w:pPr>
      <w:r>
        <w:rPr>
          <w:rStyle w:val="FootnoteReference"/>
        </w:rPr>
        <w:footnoteRef/>
      </w:r>
      <w:r>
        <w:t xml:space="preserve"> Due to “delay in land acquisition, lack of technical staff, shortage of construction material, procurement delays, delay in release of imprest from Treasury, delay in submission of bills by contractors, weak performance of contractors”. “Progress of the Projects Implemented through the Capital Budget in the year 2016”, Department of Project Management and Monitoring, Ministry of National Policies and Economic Affairs.</w:t>
      </w:r>
    </w:p>
  </w:footnote>
  <w:footnote w:id="11">
    <w:p w14:paraId="36614499" w14:textId="5D265D09" w:rsidR="006543B8" w:rsidRDefault="006543B8">
      <w:pPr>
        <w:pStyle w:val="FootnoteText"/>
      </w:pPr>
      <w:r>
        <w:rPr>
          <w:rStyle w:val="FootnoteReference"/>
        </w:rPr>
        <w:footnoteRef/>
      </w:r>
      <w:r>
        <w:t xml:space="preserve"> T</w:t>
      </w:r>
      <w:r w:rsidRPr="00A02C73">
        <w:t>he final fiscal deficit was 13 percent lower than the approved deficit estimate.</w:t>
      </w:r>
    </w:p>
  </w:footnote>
  <w:footnote w:id="12">
    <w:p w14:paraId="2F7CCBD7" w14:textId="73EEB0EF" w:rsidR="006543B8" w:rsidRPr="00556DF3" w:rsidRDefault="006543B8" w:rsidP="007E486D">
      <w:pPr>
        <w:pStyle w:val="FootnoteText"/>
      </w:pPr>
      <w:r w:rsidRPr="00556DF3">
        <w:rPr>
          <w:rStyle w:val="FootnoteReference"/>
        </w:rPr>
        <w:footnoteRef/>
      </w:r>
      <w:r w:rsidRPr="00556DF3">
        <w:rPr>
          <w:vertAlign w:val="superscript"/>
        </w:rPr>
        <w:t xml:space="preserve"> </w:t>
      </w:r>
      <w:r>
        <w:rPr>
          <w:vertAlign w:val="superscript"/>
        </w:rPr>
        <w:t xml:space="preserve"> </w:t>
      </w:r>
      <w:r>
        <w:t>During the year, U</w:t>
      </w:r>
      <w:r w:rsidRPr="00556DF3">
        <w:t xml:space="preserve">SD </w:t>
      </w:r>
      <w:r>
        <w:t>1.5 billion worth of sovereign bonds were issued at yields between 5.75 (5-year)</w:t>
      </w:r>
      <w:r w:rsidRPr="00556DF3">
        <w:t xml:space="preserve"> and 6.</w:t>
      </w:r>
      <w:r>
        <w:t>825 (10-year).</w:t>
      </w:r>
    </w:p>
  </w:footnote>
  <w:footnote w:id="13">
    <w:p w14:paraId="2676D221" w14:textId="28AE5886" w:rsidR="006543B8" w:rsidRDefault="006543B8" w:rsidP="005A584D">
      <w:pPr>
        <w:pStyle w:val="FootnoteText"/>
      </w:pPr>
      <w:r w:rsidRPr="003C37F7">
        <w:rPr>
          <w:rStyle w:val="FootnoteReference"/>
        </w:rPr>
        <w:footnoteRef/>
      </w:r>
      <w:r w:rsidRPr="003C37F7">
        <w:t xml:space="preserve"> </w:t>
      </w:r>
      <w:r>
        <w:t>Issued t</w:t>
      </w:r>
      <w:r w:rsidRPr="003C37F7">
        <w:t>reasury guarantees increased as a share of GDP from 5.</w:t>
      </w:r>
      <w:r>
        <w:t>6</w:t>
      </w:r>
      <w:r w:rsidRPr="003C37F7">
        <w:t xml:space="preserve"> percent in 2015 to </w:t>
      </w:r>
      <w:r>
        <w:t>7.1</w:t>
      </w:r>
      <w:r w:rsidRPr="003C37F7">
        <w:t xml:space="preserve"> in 2016</w:t>
      </w:r>
      <w:r>
        <w:t xml:space="preserve"> while the used guarantees also moved up from 3.7 to 4.4 percent of GDP during the same period</w:t>
      </w:r>
      <w:r w:rsidRPr="003C37F7">
        <w:t>.</w:t>
      </w:r>
    </w:p>
  </w:footnote>
  <w:footnote w:id="14">
    <w:p w14:paraId="456D8B96" w14:textId="442F3A1A" w:rsidR="006543B8" w:rsidRDefault="006543B8">
      <w:pPr>
        <w:pStyle w:val="FootnoteText"/>
      </w:pPr>
      <w:r>
        <w:rPr>
          <w:rStyle w:val="FootnoteReference"/>
        </w:rPr>
        <w:footnoteRef/>
      </w:r>
      <w:r>
        <w:t xml:space="preserve"> </w:t>
      </w:r>
      <w:r w:rsidRPr="00B96834">
        <w:t>Among others, these include Road Development Authority, General Sir John</w:t>
      </w:r>
      <w:r>
        <w:t xml:space="preserve"> Kotelawala Defence University and </w:t>
      </w:r>
      <w:r w:rsidRPr="00B96834">
        <w:t>Urban Development Authority.</w:t>
      </w:r>
      <w:r>
        <w:t xml:space="preserve"> </w:t>
      </w:r>
      <w:r w:rsidRPr="003248B3">
        <w:t>These agencies have no significant sources of revenue and the debt repayment will likely come from the Treasury in the future.</w:t>
      </w:r>
    </w:p>
  </w:footnote>
  <w:footnote w:id="15">
    <w:p w14:paraId="78ECFE29" w14:textId="0E7C6E93" w:rsidR="006543B8" w:rsidRDefault="006543B8">
      <w:pPr>
        <w:pStyle w:val="FootnoteText"/>
      </w:pPr>
      <w:r>
        <w:rPr>
          <w:rStyle w:val="FootnoteReference"/>
        </w:rPr>
        <w:footnoteRef/>
      </w:r>
      <w:r>
        <w:t xml:space="preserve"> Direct investments were just 0.8 percent of GDP.</w:t>
      </w:r>
    </w:p>
  </w:footnote>
  <w:footnote w:id="16">
    <w:p w14:paraId="38673ED7" w14:textId="1B57963E" w:rsidR="006543B8" w:rsidRDefault="006543B8">
      <w:pPr>
        <w:pStyle w:val="FootnoteText"/>
      </w:pPr>
      <w:r>
        <w:rPr>
          <w:rStyle w:val="FootnoteReference"/>
        </w:rPr>
        <w:footnoteRef/>
      </w:r>
      <w:r>
        <w:t xml:space="preserve"> </w:t>
      </w:r>
      <w:r w:rsidRPr="00FB64F1">
        <w:t>USD 2.2 billion</w:t>
      </w:r>
      <w:r>
        <w:t>, 2016</w:t>
      </w:r>
    </w:p>
  </w:footnote>
  <w:footnote w:id="17">
    <w:p w14:paraId="12070D2C" w14:textId="1B4AF526" w:rsidR="006543B8" w:rsidRDefault="006543B8">
      <w:pPr>
        <w:pStyle w:val="FootnoteText"/>
      </w:pPr>
      <w:r>
        <w:rPr>
          <w:rStyle w:val="FootnoteReference"/>
        </w:rPr>
        <w:footnoteRef/>
      </w:r>
      <w:r>
        <w:t xml:space="preserve"> USD 700 million was repaid to settle the swap facility in 2016, which was made available by the Reserve Bank of India in 2015.</w:t>
      </w:r>
    </w:p>
  </w:footnote>
  <w:footnote w:id="18">
    <w:p w14:paraId="76D73CB5" w14:textId="15D9E294" w:rsidR="006543B8" w:rsidRDefault="006543B8">
      <w:pPr>
        <w:pStyle w:val="FootnoteText"/>
      </w:pPr>
      <w:r>
        <w:rPr>
          <w:rStyle w:val="FootnoteReference"/>
        </w:rPr>
        <w:footnoteRef/>
      </w:r>
      <w:r>
        <w:t xml:space="preserve"> E</w:t>
      </w:r>
      <w:r w:rsidRPr="00241BFA">
        <w:t>quivalent to 3.1 months of imports of goods and services</w:t>
      </w:r>
    </w:p>
  </w:footnote>
  <w:footnote w:id="19">
    <w:p w14:paraId="7A4BB680" w14:textId="6E4CED5A" w:rsidR="006543B8" w:rsidRDefault="006543B8">
      <w:pPr>
        <w:pStyle w:val="FootnoteText"/>
      </w:pPr>
      <w:r>
        <w:rPr>
          <w:rStyle w:val="FootnoteReference"/>
        </w:rPr>
        <w:footnoteRef/>
      </w:r>
      <w:r>
        <w:t xml:space="preserve"> E</w:t>
      </w:r>
      <w:r w:rsidRPr="00960109">
        <w:t>quivalent to 3.</w:t>
      </w:r>
      <w:r>
        <w:t>8</w:t>
      </w:r>
      <w:r w:rsidRPr="00960109">
        <w:t xml:space="preserve"> months of imports of goods and services</w:t>
      </w:r>
    </w:p>
  </w:footnote>
  <w:footnote w:id="20">
    <w:p w14:paraId="6636371C" w14:textId="0FF187C8" w:rsidR="006543B8" w:rsidRDefault="006543B8">
      <w:pPr>
        <w:pStyle w:val="FootnoteText"/>
      </w:pPr>
      <w:r>
        <w:rPr>
          <w:rStyle w:val="FootnoteReference"/>
        </w:rPr>
        <w:footnoteRef/>
      </w:r>
      <w:r>
        <w:t xml:space="preserve"> However, some of the underlying Eurobonds are expected to mature in the coming year: e.g. National Savings Bank USD 750 million, Bank of Ceylon USD 500 million, DFCC Bank USD 100 million.</w:t>
      </w:r>
    </w:p>
  </w:footnote>
  <w:footnote w:id="21">
    <w:p w14:paraId="33A07DCC" w14:textId="08C1FFA3" w:rsidR="006543B8" w:rsidRDefault="006543B8">
      <w:pPr>
        <w:pStyle w:val="FootnoteText"/>
      </w:pPr>
      <w:r>
        <w:rPr>
          <w:rStyle w:val="FootnoteReference"/>
        </w:rPr>
        <w:footnoteRef/>
      </w:r>
      <w:r>
        <w:t xml:space="preserve"> Sri Lanka </w:t>
      </w:r>
      <w:r w:rsidRPr="005069A1">
        <w:t>issu</w:t>
      </w:r>
      <w:r>
        <w:t>ed its</w:t>
      </w:r>
      <w:r w:rsidRPr="005069A1">
        <w:t xml:space="preserve"> eleventh sovereign bond worth of USD 1.5 billion (having a tenure of 10 years) </w:t>
      </w:r>
      <w:r>
        <w:t>in May 2017</w:t>
      </w:r>
      <w:r w:rsidRPr="005069A1">
        <w:t>. The coupon rate of 6.20 percent reflected a spread of 380 bps over the US Treasury rate for a 10-year security, which compares well with a 540 bps spread recorded in the previous issuance in July 2016.  The issuance rated ‘B1’, ‘B+’ and ‘B+' by Moody's Investors Service, Standard and Poor’s and Fitch attracted bids over USD 11 billion achieving an oversubscription ratio of over 7 times (compared to an oversubscription ratio of 3 times in the previous issuance)</w:t>
      </w:r>
    </w:p>
  </w:footnote>
  <w:footnote w:id="22">
    <w:p w14:paraId="1E9D6C0E" w14:textId="77777777" w:rsidR="006543B8" w:rsidRDefault="006543B8" w:rsidP="00195AE6">
      <w:pPr>
        <w:pStyle w:val="FootnoteText"/>
      </w:pPr>
      <w:r>
        <w:rPr>
          <w:rStyle w:val="FootnoteReference"/>
        </w:rPr>
        <w:footnoteRef/>
      </w:r>
      <w:r>
        <w:t xml:space="preserve"> Driven mainly by policy rate tightening, average weighted prime lending rate increased by about 400 basis points between January </w:t>
      </w:r>
    </w:p>
  </w:footnote>
  <w:footnote w:id="23">
    <w:p w14:paraId="755D240D" w14:textId="38CA938E" w:rsidR="006543B8" w:rsidRDefault="006543B8">
      <w:pPr>
        <w:pStyle w:val="FootnoteText"/>
      </w:pPr>
      <w:r>
        <w:rPr>
          <w:rStyle w:val="FootnoteReference"/>
        </w:rPr>
        <w:footnoteRef/>
      </w:r>
      <w:r>
        <w:t xml:space="preserve"> T</w:t>
      </w:r>
      <w:r w:rsidRPr="00E53937">
        <w:t xml:space="preserve">he sluggish response of private credit growth </w:t>
      </w:r>
      <w:r>
        <w:t xml:space="preserve">to policy tightening </w:t>
      </w:r>
      <w:r w:rsidRPr="00E53937">
        <w:t>at least in part reflects the lags in monetary policy transmission.</w:t>
      </w:r>
    </w:p>
  </w:footnote>
  <w:footnote w:id="24">
    <w:p w14:paraId="63DB6BB0" w14:textId="00EE9B9F" w:rsidR="006543B8" w:rsidRDefault="006543B8">
      <w:pPr>
        <w:pStyle w:val="FootnoteText"/>
      </w:pPr>
      <w:r>
        <w:rPr>
          <w:rStyle w:val="FootnoteReference"/>
        </w:rPr>
        <w:footnoteRef/>
      </w:r>
      <w:r>
        <w:t xml:space="preserve"> Declined from 26.8 percent in 2015 to 23.2 percent of GDP in 2016</w:t>
      </w:r>
    </w:p>
  </w:footnote>
  <w:footnote w:id="25">
    <w:p w14:paraId="36D3FEC2" w14:textId="77928C37" w:rsidR="000A13BE" w:rsidRDefault="000A13BE" w:rsidP="000A13BE">
      <w:pPr>
        <w:pStyle w:val="FootnoteText"/>
        <w:jc w:val="left"/>
      </w:pPr>
      <w:r>
        <w:rPr>
          <w:rStyle w:val="FootnoteReference"/>
        </w:rPr>
        <w:footnoteRef/>
      </w:r>
      <w:r>
        <w:t xml:space="preserve"> “</w:t>
      </w:r>
      <w:r>
        <w:t>Sri Lanka</w:t>
      </w:r>
      <w:r>
        <w:t xml:space="preserve"> -</w:t>
      </w:r>
      <w:r>
        <w:t xml:space="preserve"> </w:t>
      </w:r>
      <w:r w:rsidRPr="000A13BE">
        <w:t xml:space="preserve">Poverty and welfare : </w:t>
      </w:r>
      <w:r>
        <w:t>R</w:t>
      </w:r>
      <w:r w:rsidRPr="000A13BE">
        <w:t>ecent progress and remaining challenges</w:t>
      </w:r>
      <w:r>
        <w:t xml:space="preserve">”, World Bank, January 2016, </w:t>
      </w:r>
      <w:hyperlink r:id="rId2" w:history="1">
        <w:r w:rsidRPr="000825A5">
          <w:rPr>
            <w:rStyle w:val="Hyperlink"/>
            <w:rFonts w:cs="Arial"/>
          </w:rPr>
          <w:t>http://documents.worldbank.org/curated/en/2016/02/25918944/sri-lanka-poverty-welfare-recent-progress-remain</w:t>
        </w:r>
        <w:r w:rsidRPr="000825A5">
          <w:rPr>
            <w:rStyle w:val="Hyperlink"/>
            <w:rFonts w:cs="Arial"/>
          </w:rPr>
          <w:t>i</w:t>
        </w:r>
        <w:r w:rsidRPr="000825A5">
          <w:rPr>
            <w:rStyle w:val="Hyperlink"/>
            <w:rFonts w:cs="Arial"/>
          </w:rPr>
          <w:t>ng-challenges</w:t>
        </w:r>
      </w:hyperlink>
    </w:p>
  </w:footnote>
  <w:footnote w:id="26">
    <w:p w14:paraId="1D7E37D5" w14:textId="7223C96D" w:rsidR="006543B8" w:rsidRDefault="006543B8">
      <w:pPr>
        <w:pStyle w:val="FootnoteText"/>
      </w:pPr>
      <w:r>
        <w:rPr>
          <w:rStyle w:val="FootnoteReference"/>
        </w:rPr>
        <w:footnoteRef/>
      </w:r>
      <w:r>
        <w:t xml:space="preserve"> </w:t>
      </w:r>
      <w:r w:rsidRPr="007E4DD8">
        <w:t>Sri Lanka: Post-Disaster Needs Assessment. May 2016 Floods and Landslides. Ministry of Disaster Management and Ministry of National Policies and Economic Affairs, in collaboration with the European Union, World Bank and United Nations, November 2016</w:t>
      </w:r>
    </w:p>
  </w:footnote>
  <w:footnote w:id="27">
    <w:p w14:paraId="720AACBC" w14:textId="1E13BF6F" w:rsidR="006543B8" w:rsidRDefault="006543B8" w:rsidP="007E4DD8">
      <w:pPr>
        <w:pStyle w:val="FootnoteText"/>
      </w:pPr>
      <w:r>
        <w:rPr>
          <w:rStyle w:val="FootnoteReference"/>
        </w:rPr>
        <w:footnoteRef/>
      </w:r>
      <w:r>
        <w:t xml:space="preserve"> Sri Lanka. Joint Assessment of Drought Impact on Food Security and Livelihoods 15 March 2017, Ministry of Disaster Management, National Disaster Relief Centre, Disaster Management Centre and Hector Kobbekaduwa Agrarian Research &amp; Training Institute.</w:t>
      </w:r>
    </w:p>
  </w:footnote>
  <w:footnote w:id="28">
    <w:p w14:paraId="2396566E" w14:textId="77777777" w:rsidR="006543B8" w:rsidRDefault="006543B8">
      <w:pPr>
        <w:pStyle w:val="FootnoteText"/>
      </w:pPr>
      <w:r>
        <w:rPr>
          <w:rStyle w:val="FootnoteReference"/>
        </w:rPr>
        <w:footnoteRef/>
      </w:r>
      <w:r>
        <w:t xml:space="preserve"> Table 1 on last page</w:t>
      </w:r>
    </w:p>
  </w:footnote>
  <w:footnote w:id="29">
    <w:p w14:paraId="6765513A" w14:textId="0991DA3A" w:rsidR="006543B8" w:rsidRDefault="006543B8">
      <w:pPr>
        <w:pStyle w:val="FootnoteText"/>
      </w:pPr>
      <w:r>
        <w:rPr>
          <w:rStyle w:val="FootnoteReference"/>
        </w:rPr>
        <w:footnoteRef/>
      </w:r>
      <w:r>
        <w:t xml:space="preserve"> This does not yet include the impact of the 2017 floods, as the full damage and loss have not yet been estimated.</w:t>
      </w:r>
    </w:p>
  </w:footnote>
  <w:footnote w:id="30">
    <w:p w14:paraId="60B215AA" w14:textId="01E34C32" w:rsidR="006543B8" w:rsidRDefault="006543B8">
      <w:pPr>
        <w:pStyle w:val="FootnoteText"/>
      </w:pPr>
      <w:r>
        <w:rPr>
          <w:rStyle w:val="FootnoteReference"/>
        </w:rPr>
        <w:footnoteRef/>
      </w:r>
      <w:r>
        <w:t xml:space="preserve"> Shocks considered were: (a) 10 percent currency depreciation for 2018 and; (b) a reduction of real GDP growth rate to 3 percent in 2018.</w:t>
      </w:r>
    </w:p>
  </w:footnote>
  <w:footnote w:id="31">
    <w:p w14:paraId="07323138" w14:textId="77777777" w:rsidR="006543B8" w:rsidRPr="002C6483" w:rsidRDefault="006543B8" w:rsidP="0027286F">
      <w:pPr>
        <w:pStyle w:val="FootnoteText"/>
      </w:pPr>
      <w:r w:rsidRPr="00ED5DAE">
        <w:rPr>
          <w:vertAlign w:val="superscript"/>
        </w:rPr>
        <w:footnoteRef/>
      </w:r>
      <w:r w:rsidRPr="002C6483">
        <w:t xml:space="preserve"> </w:t>
      </w:r>
      <w:r w:rsidRPr="0027286F">
        <w:t>Tradable activities can be an engine of economic growth, job creation and poverty reduction; particularly in the small open economy context. In general, shifting resources into tradable sectors, led by manufacturing, is desirable for emerging markets because productivity gains are higher in tradable sectors than in non-tradable sectors.</w:t>
      </w:r>
      <w:r>
        <w:t xml:space="preserve"> (</w:t>
      </w:r>
      <w:r w:rsidRPr="002C6483">
        <w:t>World Bank (2013), ‘Island of Prosperity? Ideas for Accelerating Inclusive Economic Growth in Sri Lanka’, Washington, DC.</w:t>
      </w:r>
      <w:r>
        <w:t>) In Sri Lanka, the</w:t>
      </w:r>
      <w:r w:rsidRPr="00A85046">
        <w:t xml:space="preserve"> share of manufacturing output, which was 18.7 percent in 2000, rose to 19.5 percent in 2005, and declined to 16.3 percent by 2016 due to faster growth in the services sector.</w:t>
      </w:r>
    </w:p>
  </w:footnote>
  <w:footnote w:id="32">
    <w:p w14:paraId="18B982BA" w14:textId="77777777" w:rsidR="006543B8" w:rsidRDefault="006543B8" w:rsidP="008E69CF">
      <w:pPr>
        <w:pStyle w:val="FootnoteText"/>
      </w:pPr>
      <w:r>
        <w:rPr>
          <w:rStyle w:val="FootnoteReference"/>
        </w:rPr>
        <w:footnoteRef/>
      </w:r>
      <w:r>
        <w:t xml:space="preserve"> </w:t>
      </w:r>
      <w:r w:rsidRPr="0076553D">
        <w:t>The real GDP expanded by 40.5 percent from 2010 to 2016</w:t>
      </w:r>
      <w:r>
        <w:t xml:space="preserve"> with</w:t>
      </w:r>
      <w:r w:rsidRPr="0076553D">
        <w:t xml:space="preserve"> </w:t>
      </w:r>
      <w:r>
        <w:t>t</w:t>
      </w:r>
      <w:r w:rsidRPr="0076553D">
        <w:t xml:space="preserve">he top six sectors contributing to 70.0 percent of the total growth </w:t>
      </w:r>
      <w:r>
        <w:t>were all non-tradables</w:t>
      </w:r>
      <w:r w:rsidRPr="0076553D">
        <w:t>: construction, transport, other personal services, financial services, wholesale an</w:t>
      </w:r>
      <w:r>
        <w:t>d retail trade, and real estate</w:t>
      </w:r>
      <w:r w:rsidRPr="0076553D">
        <w:t xml:space="preserve">. However, </w:t>
      </w:r>
      <w:r>
        <w:t>a</w:t>
      </w:r>
      <w:r w:rsidRPr="0076553D">
        <w:t>gricultur</w:t>
      </w:r>
      <w:r>
        <w:t>e</w:t>
      </w:r>
      <w:r w:rsidRPr="0076553D">
        <w:t xml:space="preserve"> that employs around 28 percent of the total labor force contributed to only 4.1 percent of the growth while all other manufacturing/service sectors collectively accounted for 25.9 percent of the growth.</w:t>
      </w:r>
    </w:p>
  </w:footnote>
  <w:footnote w:id="33">
    <w:p w14:paraId="7FA79584" w14:textId="0BADC70E" w:rsidR="006543B8" w:rsidRDefault="006543B8">
      <w:pPr>
        <w:pStyle w:val="FootnoteText"/>
      </w:pPr>
      <w:r>
        <w:rPr>
          <w:rStyle w:val="FootnoteReference"/>
        </w:rPr>
        <w:footnoteRef/>
      </w:r>
      <w:r>
        <w:t xml:space="preserve"> Import duty, PAL, SCL, CESS and excise taxes on petroleum and motor vehicles</w:t>
      </w:r>
    </w:p>
  </w:footnote>
  <w:footnote w:id="34">
    <w:p w14:paraId="5556E748" w14:textId="25DA5630" w:rsidR="006543B8" w:rsidRDefault="006543B8">
      <w:pPr>
        <w:pStyle w:val="FootnoteText"/>
      </w:pPr>
      <w:r>
        <w:rPr>
          <w:rStyle w:val="FootnoteReference"/>
        </w:rPr>
        <w:footnoteRef/>
      </w:r>
      <w:r>
        <w:t xml:space="preserve"> PAL, SCL, CESS</w:t>
      </w:r>
    </w:p>
  </w:footnote>
  <w:footnote w:id="35">
    <w:p w14:paraId="0F818492" w14:textId="315A95F9" w:rsidR="000A13BE" w:rsidRDefault="000A13BE" w:rsidP="000A13BE">
      <w:pPr>
        <w:pStyle w:val="FootnoteText"/>
      </w:pPr>
      <w:r>
        <w:rPr>
          <w:rStyle w:val="FootnoteReference"/>
        </w:rPr>
        <w:footnoteRef/>
      </w:r>
      <w:r>
        <w:t xml:space="preserve"> </w:t>
      </w:r>
      <w:r>
        <w:t xml:space="preserve">The </w:t>
      </w:r>
      <w:r w:rsidR="00A12655">
        <w:t xml:space="preserve">SCD </w:t>
      </w:r>
      <w:r>
        <w:t>report and video are available online at:</w:t>
      </w:r>
    </w:p>
    <w:p w14:paraId="4D2B14BD" w14:textId="6B588D0B" w:rsidR="000A13BE" w:rsidRDefault="000A13BE">
      <w:pPr>
        <w:pStyle w:val="FootnoteText"/>
      </w:pPr>
      <w:hyperlink r:id="rId3" w:history="1">
        <w:r w:rsidRPr="000825A5">
          <w:rPr>
            <w:rStyle w:val="Hyperlink"/>
            <w:rFonts w:cs="Arial"/>
          </w:rPr>
          <w:t>http:/</w:t>
        </w:r>
        <w:r w:rsidRPr="000825A5">
          <w:rPr>
            <w:rStyle w:val="Hyperlink"/>
            <w:rFonts w:cs="Arial"/>
          </w:rPr>
          <w:t>/</w:t>
        </w:r>
        <w:r w:rsidRPr="000825A5">
          <w:rPr>
            <w:rStyle w:val="Hyperlink"/>
            <w:rFonts w:cs="Arial"/>
          </w:rPr>
          <w:t>www.worldbank.org/en/news/feature/2016/02/15/sri-lanka-a-systematic-country-diagnostic</w:t>
        </w:r>
      </w:hyperlink>
    </w:p>
  </w:footnote>
  <w:footnote w:id="36">
    <w:p w14:paraId="1F131C1F" w14:textId="1AA51550" w:rsidR="000A13BE" w:rsidRDefault="000A13BE" w:rsidP="000A13BE">
      <w:pPr>
        <w:pStyle w:val="FootnoteText"/>
      </w:pPr>
      <w:r>
        <w:rPr>
          <w:rStyle w:val="FootnoteReference"/>
        </w:rPr>
        <w:footnoteRef/>
      </w:r>
      <w:r>
        <w:t xml:space="preserve"> The CPF is available at: </w:t>
      </w:r>
      <w:r>
        <w:t xml:space="preserve">CPF: </w:t>
      </w:r>
      <w:hyperlink r:id="rId4" w:history="1">
        <w:r w:rsidRPr="000825A5">
          <w:rPr>
            <w:rStyle w:val="Hyperlink"/>
            <w:rFonts w:cs="Arial"/>
          </w:rPr>
          <w:t>https://openkno</w:t>
        </w:r>
        <w:r w:rsidRPr="000825A5">
          <w:rPr>
            <w:rStyle w:val="Hyperlink"/>
            <w:rFonts w:cs="Arial"/>
          </w:rPr>
          <w:t>w</w:t>
        </w:r>
        <w:r w:rsidRPr="000825A5">
          <w:rPr>
            <w:rStyle w:val="Hyperlink"/>
            <w:rFonts w:cs="Arial"/>
          </w:rPr>
          <w:t>ledg</w:t>
        </w:r>
        <w:r w:rsidRPr="000825A5">
          <w:rPr>
            <w:rStyle w:val="Hyperlink"/>
            <w:rFonts w:cs="Arial"/>
          </w:rPr>
          <w:t>e</w:t>
        </w:r>
        <w:r w:rsidRPr="000825A5">
          <w:rPr>
            <w:rStyle w:val="Hyperlink"/>
            <w:rFonts w:cs="Arial"/>
          </w:rPr>
          <w:t>.worldbank.org/handle/10986/24682</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D91C3" w14:textId="77777777" w:rsidR="006543B8" w:rsidRDefault="006543B8" w:rsidP="00EF75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330" w:type="dxa"/>
      <w:tblInd w:w="-3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720"/>
      <w:gridCol w:w="4680"/>
      <w:gridCol w:w="4680"/>
      <w:gridCol w:w="765"/>
      <w:gridCol w:w="765"/>
    </w:tblGrid>
    <w:tr w:rsidR="006543B8" w14:paraId="5BC56714" w14:textId="77777777" w:rsidTr="00391E11">
      <w:trPr>
        <w:trHeight w:val="360"/>
      </w:trPr>
      <w:tc>
        <w:tcPr>
          <w:tcW w:w="720" w:type="dxa"/>
          <w:shd w:val="clear" w:color="auto" w:fill="auto"/>
        </w:tcPr>
        <w:p w14:paraId="677597DE" w14:textId="77777777" w:rsidR="006543B8" w:rsidRDefault="006543B8" w:rsidP="00EF754B">
          <w:pPr>
            <w:pStyle w:val="Header"/>
          </w:pPr>
        </w:p>
      </w:tc>
      <w:tc>
        <w:tcPr>
          <w:tcW w:w="720" w:type="dxa"/>
        </w:tcPr>
        <w:p w14:paraId="25501789" w14:textId="77777777" w:rsidR="006543B8" w:rsidRDefault="006543B8" w:rsidP="00EF754B">
          <w:pPr>
            <w:pStyle w:val="Header"/>
          </w:pPr>
        </w:p>
      </w:tc>
      <w:tc>
        <w:tcPr>
          <w:tcW w:w="4680" w:type="dxa"/>
        </w:tcPr>
        <w:p w14:paraId="0CA3AE3A" w14:textId="77777777" w:rsidR="006543B8" w:rsidRPr="00580859" w:rsidRDefault="006543B8" w:rsidP="00044789">
          <w:pPr>
            <w:pStyle w:val="Header"/>
            <w:ind w:left="0" w:firstLine="0"/>
            <w:jc w:val="both"/>
            <w:rPr>
              <w:b/>
              <w:bCs/>
              <w:spacing w:val="30"/>
              <w:szCs w:val="16"/>
            </w:rPr>
          </w:pPr>
        </w:p>
      </w:tc>
      <w:tc>
        <w:tcPr>
          <w:tcW w:w="4680" w:type="dxa"/>
        </w:tcPr>
        <w:p w14:paraId="7E5F972C" w14:textId="77777777" w:rsidR="006543B8" w:rsidRPr="00580859" w:rsidRDefault="006543B8" w:rsidP="00005833">
          <w:pPr>
            <w:pStyle w:val="Header"/>
            <w:rPr>
              <w:b/>
              <w:bCs/>
              <w:spacing w:val="30"/>
              <w:szCs w:val="16"/>
            </w:rPr>
          </w:pPr>
          <w:r>
            <w:rPr>
              <w:b/>
              <w:bCs/>
              <w:spacing w:val="30"/>
              <w:szCs w:val="16"/>
            </w:rPr>
            <w:t>Sri Lanka</w:t>
          </w:r>
          <w:r w:rsidRPr="00580859">
            <w:rPr>
              <w:b/>
              <w:bCs/>
              <w:spacing w:val="30"/>
              <w:szCs w:val="16"/>
            </w:rPr>
            <w:t xml:space="preserve"> Development Update</w:t>
          </w:r>
        </w:p>
      </w:tc>
      <w:tc>
        <w:tcPr>
          <w:tcW w:w="765" w:type="dxa"/>
        </w:tcPr>
        <w:p w14:paraId="3437645A" w14:textId="77777777" w:rsidR="006543B8" w:rsidRPr="00E12031" w:rsidRDefault="006543B8" w:rsidP="00EF754B">
          <w:pPr>
            <w:pStyle w:val="Header"/>
          </w:pPr>
        </w:p>
      </w:tc>
      <w:tc>
        <w:tcPr>
          <w:tcW w:w="765" w:type="dxa"/>
          <w:shd w:val="clear" w:color="auto" w:fill="95B3D7"/>
        </w:tcPr>
        <w:p w14:paraId="4C11A3CA" w14:textId="77777777" w:rsidR="006543B8" w:rsidRPr="00E12031" w:rsidRDefault="006543B8" w:rsidP="001659C4">
          <w:pPr>
            <w:pStyle w:val="Header"/>
            <w:jc w:val="left"/>
          </w:pPr>
        </w:p>
      </w:tc>
    </w:tr>
  </w:tbl>
  <w:p w14:paraId="3F105D48" w14:textId="77777777" w:rsidR="006543B8" w:rsidRDefault="006543B8" w:rsidP="001B2105">
    <w:pPr>
      <w:pStyle w:val="Header"/>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330" w:type="dxa"/>
      <w:tblInd w:w="-3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720"/>
      <w:gridCol w:w="4680"/>
      <w:gridCol w:w="4680"/>
      <w:gridCol w:w="765"/>
      <w:gridCol w:w="765"/>
    </w:tblGrid>
    <w:tr w:rsidR="006543B8" w14:paraId="703E7EB8" w14:textId="77777777" w:rsidTr="004246DE">
      <w:trPr>
        <w:trHeight w:val="360"/>
      </w:trPr>
      <w:tc>
        <w:tcPr>
          <w:tcW w:w="720" w:type="dxa"/>
          <w:shd w:val="clear" w:color="auto" w:fill="auto"/>
        </w:tcPr>
        <w:p w14:paraId="2CAC11FA" w14:textId="77777777" w:rsidR="006543B8" w:rsidRDefault="006543B8" w:rsidP="00435A0F">
          <w:pPr>
            <w:pStyle w:val="Header"/>
          </w:pPr>
        </w:p>
      </w:tc>
      <w:tc>
        <w:tcPr>
          <w:tcW w:w="720" w:type="dxa"/>
        </w:tcPr>
        <w:p w14:paraId="603A63E2" w14:textId="77777777" w:rsidR="006543B8" w:rsidRDefault="006543B8" w:rsidP="00435A0F">
          <w:pPr>
            <w:pStyle w:val="Header"/>
          </w:pPr>
        </w:p>
      </w:tc>
      <w:tc>
        <w:tcPr>
          <w:tcW w:w="4680" w:type="dxa"/>
        </w:tcPr>
        <w:p w14:paraId="3B16BA8E" w14:textId="77777777" w:rsidR="006543B8" w:rsidRPr="00580859" w:rsidRDefault="006543B8" w:rsidP="00435A0F">
          <w:pPr>
            <w:pStyle w:val="Header"/>
            <w:ind w:left="0" w:firstLine="0"/>
            <w:jc w:val="both"/>
            <w:rPr>
              <w:b/>
              <w:bCs/>
              <w:spacing w:val="30"/>
              <w:szCs w:val="16"/>
            </w:rPr>
          </w:pPr>
        </w:p>
      </w:tc>
      <w:tc>
        <w:tcPr>
          <w:tcW w:w="4680" w:type="dxa"/>
        </w:tcPr>
        <w:p w14:paraId="71FFB12D" w14:textId="77777777" w:rsidR="006543B8" w:rsidRPr="00580859" w:rsidRDefault="006543B8" w:rsidP="00435A0F">
          <w:pPr>
            <w:pStyle w:val="Header"/>
            <w:rPr>
              <w:b/>
              <w:bCs/>
              <w:spacing w:val="30"/>
              <w:szCs w:val="16"/>
            </w:rPr>
          </w:pPr>
          <w:r>
            <w:rPr>
              <w:b/>
              <w:bCs/>
              <w:spacing w:val="30"/>
              <w:szCs w:val="16"/>
            </w:rPr>
            <w:t>Sri Lanka</w:t>
          </w:r>
          <w:r w:rsidRPr="00580859">
            <w:rPr>
              <w:b/>
              <w:bCs/>
              <w:spacing w:val="30"/>
              <w:szCs w:val="16"/>
            </w:rPr>
            <w:t xml:space="preserve"> Development Update</w:t>
          </w:r>
        </w:p>
      </w:tc>
      <w:tc>
        <w:tcPr>
          <w:tcW w:w="765" w:type="dxa"/>
        </w:tcPr>
        <w:p w14:paraId="793CF225" w14:textId="77777777" w:rsidR="006543B8" w:rsidRPr="00E12031" w:rsidRDefault="006543B8" w:rsidP="00435A0F">
          <w:pPr>
            <w:pStyle w:val="Header"/>
          </w:pPr>
        </w:p>
      </w:tc>
      <w:tc>
        <w:tcPr>
          <w:tcW w:w="765" w:type="dxa"/>
          <w:shd w:val="clear" w:color="auto" w:fill="7030A0"/>
        </w:tcPr>
        <w:p w14:paraId="32227DBD" w14:textId="77777777" w:rsidR="006543B8" w:rsidRPr="00E12031" w:rsidRDefault="006543B8" w:rsidP="00435A0F">
          <w:pPr>
            <w:pStyle w:val="Header"/>
            <w:jc w:val="left"/>
          </w:pPr>
        </w:p>
      </w:tc>
    </w:tr>
  </w:tbl>
  <w:p w14:paraId="3C7F8FA3" w14:textId="77777777" w:rsidR="006543B8" w:rsidRPr="008957B0" w:rsidRDefault="006543B8" w:rsidP="008957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2330" w:type="dxa"/>
      <w:tblInd w:w="-3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720"/>
      <w:gridCol w:w="4680"/>
      <w:gridCol w:w="4680"/>
      <w:gridCol w:w="765"/>
      <w:gridCol w:w="765"/>
    </w:tblGrid>
    <w:tr w:rsidR="006543B8" w14:paraId="3ECC5D64" w14:textId="77777777" w:rsidTr="004246DE">
      <w:trPr>
        <w:trHeight w:val="360"/>
      </w:trPr>
      <w:tc>
        <w:tcPr>
          <w:tcW w:w="720" w:type="dxa"/>
          <w:shd w:val="clear" w:color="auto" w:fill="auto"/>
        </w:tcPr>
        <w:p w14:paraId="7AF08F0A" w14:textId="77777777" w:rsidR="006543B8" w:rsidRDefault="006543B8" w:rsidP="00435A0F">
          <w:pPr>
            <w:pStyle w:val="Header"/>
          </w:pPr>
        </w:p>
      </w:tc>
      <w:tc>
        <w:tcPr>
          <w:tcW w:w="720" w:type="dxa"/>
        </w:tcPr>
        <w:p w14:paraId="79AC6F29" w14:textId="77777777" w:rsidR="006543B8" w:rsidRDefault="006543B8" w:rsidP="00435A0F">
          <w:pPr>
            <w:pStyle w:val="Header"/>
          </w:pPr>
        </w:p>
      </w:tc>
      <w:tc>
        <w:tcPr>
          <w:tcW w:w="4680" w:type="dxa"/>
        </w:tcPr>
        <w:p w14:paraId="673173E6" w14:textId="77777777" w:rsidR="006543B8" w:rsidRPr="00580859" w:rsidRDefault="006543B8" w:rsidP="00435A0F">
          <w:pPr>
            <w:pStyle w:val="Header"/>
            <w:ind w:left="0" w:firstLine="0"/>
            <w:jc w:val="both"/>
            <w:rPr>
              <w:b/>
              <w:bCs/>
              <w:spacing w:val="30"/>
              <w:szCs w:val="16"/>
            </w:rPr>
          </w:pPr>
        </w:p>
      </w:tc>
      <w:tc>
        <w:tcPr>
          <w:tcW w:w="4680" w:type="dxa"/>
        </w:tcPr>
        <w:p w14:paraId="6F383012" w14:textId="77777777" w:rsidR="006543B8" w:rsidRPr="00580859" w:rsidRDefault="006543B8" w:rsidP="00435A0F">
          <w:pPr>
            <w:pStyle w:val="Header"/>
            <w:rPr>
              <w:b/>
              <w:bCs/>
              <w:spacing w:val="30"/>
              <w:szCs w:val="16"/>
            </w:rPr>
          </w:pPr>
          <w:r>
            <w:rPr>
              <w:b/>
              <w:bCs/>
              <w:spacing w:val="30"/>
              <w:szCs w:val="16"/>
            </w:rPr>
            <w:t>Sri Lanka</w:t>
          </w:r>
          <w:r w:rsidRPr="00580859">
            <w:rPr>
              <w:b/>
              <w:bCs/>
              <w:spacing w:val="30"/>
              <w:szCs w:val="16"/>
            </w:rPr>
            <w:t xml:space="preserve"> Development Update</w:t>
          </w:r>
        </w:p>
      </w:tc>
      <w:tc>
        <w:tcPr>
          <w:tcW w:w="765" w:type="dxa"/>
        </w:tcPr>
        <w:p w14:paraId="5999037F" w14:textId="77777777" w:rsidR="006543B8" w:rsidRPr="00E12031" w:rsidRDefault="006543B8" w:rsidP="00435A0F">
          <w:pPr>
            <w:pStyle w:val="Header"/>
          </w:pPr>
        </w:p>
      </w:tc>
      <w:tc>
        <w:tcPr>
          <w:tcW w:w="765" w:type="dxa"/>
          <w:shd w:val="clear" w:color="auto" w:fill="808080" w:themeFill="background1" w:themeFillShade="80"/>
        </w:tcPr>
        <w:p w14:paraId="5E27FAC6" w14:textId="77777777" w:rsidR="006543B8" w:rsidRPr="00E12031" w:rsidRDefault="006543B8" w:rsidP="00435A0F">
          <w:pPr>
            <w:pStyle w:val="Header"/>
            <w:jc w:val="left"/>
          </w:pPr>
        </w:p>
      </w:tc>
    </w:tr>
  </w:tbl>
  <w:p w14:paraId="4127888A" w14:textId="77777777" w:rsidR="006543B8" w:rsidRPr="008957B0" w:rsidRDefault="006543B8" w:rsidP="008957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alt="http://marketingland.com/wp-content/ml-loads/2013/05/facebook-logo-new.png" style="width:347.25pt;height:347.25pt;visibility:visible" o:bullet="t">
        <v:imagedata r:id="rId1" o:title="facebook-logo-new"/>
      </v:shape>
    </w:pict>
  </w:numPicBullet>
  <w:numPicBullet w:numPicBulletId="1">
    <w:pict>
      <v:shape id="_x0000_i1167" type="#_x0000_t75" alt="https://upload.wikimedia.org/wikipedia/commons/thumb/c/c4/Globe_icon.svg/1024px-Globe_icon.svg.png" style="width:768pt;height:768pt;flip:y;visibility:visible" o:bullet="t">
        <v:imagedata r:id="rId2" o:title="1024px-Globe_icon"/>
      </v:shape>
    </w:pict>
  </w:numPicBullet>
  <w:numPicBullet w:numPicBulletId="2">
    <w:pict>
      <v:shape id="_x0000_i1168" type="#_x0000_t75" style="width:21.75pt;height:20.25pt;visibility:visible" o:bullet="t">
        <v:imagedata r:id="rId3" o:title=""/>
      </v:shape>
    </w:pict>
  </w:numPicBullet>
  <w:numPicBullet w:numPicBulletId="3">
    <w:pict>
      <v:shape id="_x0000_i1169" type="#_x0000_t75" style="width:21pt;height:25.5pt;visibility:visible;mso-wrap-style:square" o:bullet="t">
        <v:imagedata r:id="rId4" o:title="" croptop="8364f" cropbottom="6166f"/>
      </v:shape>
    </w:pict>
  </w:numPicBullet>
  <w:numPicBullet w:numPicBulletId="4">
    <w:pict>
      <v:shape id="_x0000_i1170" type="#_x0000_t75" style="width:24.75pt;height:23.25pt;visibility:visible;mso-wrap-style:square" o:bullet="t">
        <v:imagedata r:id="rId5" o:title="" croptop="5263f" cropbottom="4740f" cropleft="5611f" cropright="3739f"/>
      </v:shape>
    </w:pict>
  </w:numPicBullet>
  <w:abstractNum w:abstractNumId="0" w15:restartNumberingAfterBreak="0">
    <w:nsid w:val="00E1575F"/>
    <w:multiLevelType w:val="hybridMultilevel"/>
    <w:tmpl w:val="C09EFDE0"/>
    <w:lvl w:ilvl="0" w:tplc="73BA32F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037C1"/>
    <w:multiLevelType w:val="hybridMultilevel"/>
    <w:tmpl w:val="45B6C14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05801C80"/>
    <w:multiLevelType w:val="hybridMultilevel"/>
    <w:tmpl w:val="CBFE5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01BC8"/>
    <w:multiLevelType w:val="hybridMultilevel"/>
    <w:tmpl w:val="B080AD2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C63639C"/>
    <w:multiLevelType w:val="hybridMultilevel"/>
    <w:tmpl w:val="45B6C144"/>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0CBD59C5"/>
    <w:multiLevelType w:val="hybridMultilevel"/>
    <w:tmpl w:val="89CCBDE8"/>
    <w:lvl w:ilvl="0" w:tplc="BA3E89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152F4"/>
    <w:multiLevelType w:val="hybridMultilevel"/>
    <w:tmpl w:val="4DA074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45EBE"/>
    <w:multiLevelType w:val="hybridMultilevel"/>
    <w:tmpl w:val="C564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5546B"/>
    <w:multiLevelType w:val="hybridMultilevel"/>
    <w:tmpl w:val="94701030"/>
    <w:lvl w:ilvl="0" w:tplc="BA3E89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2F7C5F"/>
    <w:multiLevelType w:val="hybridMultilevel"/>
    <w:tmpl w:val="0FACAC56"/>
    <w:lvl w:ilvl="0" w:tplc="9684B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93B29"/>
    <w:multiLevelType w:val="hybridMultilevel"/>
    <w:tmpl w:val="CD1E933E"/>
    <w:lvl w:ilvl="0" w:tplc="1E7A9A8C">
      <w:start w:val="1"/>
      <w:numFmt w:val="bullet"/>
      <w:lvlText w:val=""/>
      <w:lvlPicBulletId w:val="3"/>
      <w:lvlJc w:val="left"/>
      <w:pPr>
        <w:tabs>
          <w:tab w:val="num" w:pos="720"/>
        </w:tabs>
        <w:ind w:left="720" w:hanging="360"/>
      </w:pPr>
      <w:rPr>
        <w:rFonts w:ascii="Symbol" w:hAnsi="Symbol" w:hint="default"/>
      </w:rPr>
    </w:lvl>
    <w:lvl w:ilvl="1" w:tplc="873C84D4" w:tentative="1">
      <w:start w:val="1"/>
      <w:numFmt w:val="bullet"/>
      <w:lvlText w:val=""/>
      <w:lvlJc w:val="left"/>
      <w:pPr>
        <w:tabs>
          <w:tab w:val="num" w:pos="1440"/>
        </w:tabs>
        <w:ind w:left="1440" w:hanging="360"/>
      </w:pPr>
      <w:rPr>
        <w:rFonts w:ascii="Symbol" w:hAnsi="Symbol" w:hint="default"/>
      </w:rPr>
    </w:lvl>
    <w:lvl w:ilvl="2" w:tplc="29CAA634" w:tentative="1">
      <w:start w:val="1"/>
      <w:numFmt w:val="bullet"/>
      <w:lvlText w:val=""/>
      <w:lvlJc w:val="left"/>
      <w:pPr>
        <w:tabs>
          <w:tab w:val="num" w:pos="2160"/>
        </w:tabs>
        <w:ind w:left="2160" w:hanging="360"/>
      </w:pPr>
      <w:rPr>
        <w:rFonts w:ascii="Symbol" w:hAnsi="Symbol" w:hint="default"/>
      </w:rPr>
    </w:lvl>
    <w:lvl w:ilvl="3" w:tplc="BDD05E1A" w:tentative="1">
      <w:start w:val="1"/>
      <w:numFmt w:val="bullet"/>
      <w:lvlText w:val=""/>
      <w:lvlJc w:val="left"/>
      <w:pPr>
        <w:tabs>
          <w:tab w:val="num" w:pos="2880"/>
        </w:tabs>
        <w:ind w:left="2880" w:hanging="360"/>
      </w:pPr>
      <w:rPr>
        <w:rFonts w:ascii="Symbol" w:hAnsi="Symbol" w:hint="default"/>
      </w:rPr>
    </w:lvl>
    <w:lvl w:ilvl="4" w:tplc="84147506" w:tentative="1">
      <w:start w:val="1"/>
      <w:numFmt w:val="bullet"/>
      <w:lvlText w:val=""/>
      <w:lvlJc w:val="left"/>
      <w:pPr>
        <w:tabs>
          <w:tab w:val="num" w:pos="3600"/>
        </w:tabs>
        <w:ind w:left="3600" w:hanging="360"/>
      </w:pPr>
      <w:rPr>
        <w:rFonts w:ascii="Symbol" w:hAnsi="Symbol" w:hint="default"/>
      </w:rPr>
    </w:lvl>
    <w:lvl w:ilvl="5" w:tplc="C08C6666" w:tentative="1">
      <w:start w:val="1"/>
      <w:numFmt w:val="bullet"/>
      <w:lvlText w:val=""/>
      <w:lvlJc w:val="left"/>
      <w:pPr>
        <w:tabs>
          <w:tab w:val="num" w:pos="4320"/>
        </w:tabs>
        <w:ind w:left="4320" w:hanging="360"/>
      </w:pPr>
      <w:rPr>
        <w:rFonts w:ascii="Symbol" w:hAnsi="Symbol" w:hint="default"/>
      </w:rPr>
    </w:lvl>
    <w:lvl w:ilvl="6" w:tplc="C31804C8" w:tentative="1">
      <w:start w:val="1"/>
      <w:numFmt w:val="bullet"/>
      <w:lvlText w:val=""/>
      <w:lvlJc w:val="left"/>
      <w:pPr>
        <w:tabs>
          <w:tab w:val="num" w:pos="5040"/>
        </w:tabs>
        <w:ind w:left="5040" w:hanging="360"/>
      </w:pPr>
      <w:rPr>
        <w:rFonts w:ascii="Symbol" w:hAnsi="Symbol" w:hint="default"/>
      </w:rPr>
    </w:lvl>
    <w:lvl w:ilvl="7" w:tplc="E26CEF26" w:tentative="1">
      <w:start w:val="1"/>
      <w:numFmt w:val="bullet"/>
      <w:lvlText w:val=""/>
      <w:lvlJc w:val="left"/>
      <w:pPr>
        <w:tabs>
          <w:tab w:val="num" w:pos="5760"/>
        </w:tabs>
        <w:ind w:left="5760" w:hanging="360"/>
      </w:pPr>
      <w:rPr>
        <w:rFonts w:ascii="Symbol" w:hAnsi="Symbol" w:hint="default"/>
      </w:rPr>
    </w:lvl>
    <w:lvl w:ilvl="8" w:tplc="2174B7D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FCD306D"/>
    <w:multiLevelType w:val="hybridMultilevel"/>
    <w:tmpl w:val="052C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00CF4"/>
    <w:multiLevelType w:val="hybridMultilevel"/>
    <w:tmpl w:val="5A32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06C91"/>
    <w:multiLevelType w:val="hybridMultilevel"/>
    <w:tmpl w:val="7D547D76"/>
    <w:lvl w:ilvl="0" w:tplc="91CCE52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D14B6"/>
    <w:multiLevelType w:val="hybridMultilevel"/>
    <w:tmpl w:val="673023E2"/>
    <w:lvl w:ilvl="0" w:tplc="73BA32F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6532F7"/>
    <w:multiLevelType w:val="hybridMultilevel"/>
    <w:tmpl w:val="BF3039E4"/>
    <w:lvl w:ilvl="0" w:tplc="BA3E89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4602EA"/>
    <w:multiLevelType w:val="hybridMultilevel"/>
    <w:tmpl w:val="14C8B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DE164A"/>
    <w:multiLevelType w:val="hybridMultilevel"/>
    <w:tmpl w:val="B8B6B8F6"/>
    <w:lvl w:ilvl="0" w:tplc="5AEC7764">
      <w:start w:val="1"/>
      <w:numFmt w:val="bullet"/>
      <w:lvlText w:val=""/>
      <w:lvlPicBulletId w:val="4"/>
      <w:lvlJc w:val="left"/>
      <w:pPr>
        <w:tabs>
          <w:tab w:val="num" w:pos="720"/>
        </w:tabs>
        <w:ind w:left="720" w:hanging="360"/>
      </w:pPr>
      <w:rPr>
        <w:rFonts w:ascii="Symbol" w:hAnsi="Symbol" w:hint="default"/>
      </w:rPr>
    </w:lvl>
    <w:lvl w:ilvl="1" w:tplc="D2FCAA72" w:tentative="1">
      <w:start w:val="1"/>
      <w:numFmt w:val="bullet"/>
      <w:lvlText w:val=""/>
      <w:lvlJc w:val="left"/>
      <w:pPr>
        <w:tabs>
          <w:tab w:val="num" w:pos="1440"/>
        </w:tabs>
        <w:ind w:left="1440" w:hanging="360"/>
      </w:pPr>
      <w:rPr>
        <w:rFonts w:ascii="Symbol" w:hAnsi="Symbol" w:hint="default"/>
      </w:rPr>
    </w:lvl>
    <w:lvl w:ilvl="2" w:tplc="44280E04" w:tentative="1">
      <w:start w:val="1"/>
      <w:numFmt w:val="bullet"/>
      <w:lvlText w:val=""/>
      <w:lvlJc w:val="left"/>
      <w:pPr>
        <w:tabs>
          <w:tab w:val="num" w:pos="2160"/>
        </w:tabs>
        <w:ind w:left="2160" w:hanging="360"/>
      </w:pPr>
      <w:rPr>
        <w:rFonts w:ascii="Symbol" w:hAnsi="Symbol" w:hint="default"/>
      </w:rPr>
    </w:lvl>
    <w:lvl w:ilvl="3" w:tplc="0EA6437C" w:tentative="1">
      <w:start w:val="1"/>
      <w:numFmt w:val="bullet"/>
      <w:lvlText w:val=""/>
      <w:lvlJc w:val="left"/>
      <w:pPr>
        <w:tabs>
          <w:tab w:val="num" w:pos="2880"/>
        </w:tabs>
        <w:ind w:left="2880" w:hanging="360"/>
      </w:pPr>
      <w:rPr>
        <w:rFonts w:ascii="Symbol" w:hAnsi="Symbol" w:hint="default"/>
      </w:rPr>
    </w:lvl>
    <w:lvl w:ilvl="4" w:tplc="473AD3D0" w:tentative="1">
      <w:start w:val="1"/>
      <w:numFmt w:val="bullet"/>
      <w:lvlText w:val=""/>
      <w:lvlJc w:val="left"/>
      <w:pPr>
        <w:tabs>
          <w:tab w:val="num" w:pos="3600"/>
        </w:tabs>
        <w:ind w:left="3600" w:hanging="360"/>
      </w:pPr>
      <w:rPr>
        <w:rFonts w:ascii="Symbol" w:hAnsi="Symbol" w:hint="default"/>
      </w:rPr>
    </w:lvl>
    <w:lvl w:ilvl="5" w:tplc="6172AD52" w:tentative="1">
      <w:start w:val="1"/>
      <w:numFmt w:val="bullet"/>
      <w:lvlText w:val=""/>
      <w:lvlJc w:val="left"/>
      <w:pPr>
        <w:tabs>
          <w:tab w:val="num" w:pos="4320"/>
        </w:tabs>
        <w:ind w:left="4320" w:hanging="360"/>
      </w:pPr>
      <w:rPr>
        <w:rFonts w:ascii="Symbol" w:hAnsi="Symbol" w:hint="default"/>
      </w:rPr>
    </w:lvl>
    <w:lvl w:ilvl="6" w:tplc="B4E08222" w:tentative="1">
      <w:start w:val="1"/>
      <w:numFmt w:val="bullet"/>
      <w:lvlText w:val=""/>
      <w:lvlJc w:val="left"/>
      <w:pPr>
        <w:tabs>
          <w:tab w:val="num" w:pos="5040"/>
        </w:tabs>
        <w:ind w:left="5040" w:hanging="360"/>
      </w:pPr>
      <w:rPr>
        <w:rFonts w:ascii="Symbol" w:hAnsi="Symbol" w:hint="default"/>
      </w:rPr>
    </w:lvl>
    <w:lvl w:ilvl="7" w:tplc="E22C4FFE" w:tentative="1">
      <w:start w:val="1"/>
      <w:numFmt w:val="bullet"/>
      <w:lvlText w:val=""/>
      <w:lvlJc w:val="left"/>
      <w:pPr>
        <w:tabs>
          <w:tab w:val="num" w:pos="5760"/>
        </w:tabs>
        <w:ind w:left="5760" w:hanging="360"/>
      </w:pPr>
      <w:rPr>
        <w:rFonts w:ascii="Symbol" w:hAnsi="Symbol" w:hint="default"/>
      </w:rPr>
    </w:lvl>
    <w:lvl w:ilvl="8" w:tplc="4B78D2C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FC11B72"/>
    <w:multiLevelType w:val="hybridMultilevel"/>
    <w:tmpl w:val="11D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B1B3A"/>
    <w:multiLevelType w:val="hybridMultilevel"/>
    <w:tmpl w:val="625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C5A9A"/>
    <w:multiLevelType w:val="hybridMultilevel"/>
    <w:tmpl w:val="8FFA0456"/>
    <w:lvl w:ilvl="0" w:tplc="C6D08F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74F90"/>
    <w:multiLevelType w:val="hybridMultilevel"/>
    <w:tmpl w:val="D52A27F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15:restartNumberingAfterBreak="0">
    <w:nsid w:val="51F74490"/>
    <w:multiLevelType w:val="hybridMultilevel"/>
    <w:tmpl w:val="75C0E1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6884AB7"/>
    <w:multiLevelType w:val="hybridMultilevel"/>
    <w:tmpl w:val="27AA0A3C"/>
    <w:lvl w:ilvl="0" w:tplc="BA3E89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916AB9"/>
    <w:multiLevelType w:val="hybridMultilevel"/>
    <w:tmpl w:val="FE966684"/>
    <w:lvl w:ilvl="0" w:tplc="73BA32F2">
      <w:start w:val="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A063E"/>
    <w:multiLevelType w:val="hybridMultilevel"/>
    <w:tmpl w:val="7D547D76"/>
    <w:lvl w:ilvl="0" w:tplc="91CCE522">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
  </w:num>
  <w:num w:numId="3">
    <w:abstractNumId w:val="4"/>
  </w:num>
  <w:num w:numId="4">
    <w:abstractNumId w:val="22"/>
  </w:num>
  <w:num w:numId="5">
    <w:abstractNumId w:val="21"/>
  </w:num>
  <w:num w:numId="6">
    <w:abstractNumId w:val="18"/>
  </w:num>
  <w:num w:numId="7">
    <w:abstractNumId w:val="20"/>
  </w:num>
  <w:num w:numId="8">
    <w:abstractNumId w:val="13"/>
  </w:num>
  <w:num w:numId="9">
    <w:abstractNumId w:val="2"/>
  </w:num>
  <w:num w:numId="10">
    <w:abstractNumId w:val="7"/>
  </w:num>
  <w:num w:numId="11">
    <w:abstractNumId w:val="0"/>
  </w:num>
  <w:num w:numId="12">
    <w:abstractNumId w:val="14"/>
  </w:num>
  <w:num w:numId="13">
    <w:abstractNumId w:val="24"/>
  </w:num>
  <w:num w:numId="14">
    <w:abstractNumId w:val="19"/>
  </w:num>
  <w:num w:numId="15">
    <w:abstractNumId w:val="6"/>
  </w:num>
  <w:num w:numId="16">
    <w:abstractNumId w:val="12"/>
  </w:num>
  <w:num w:numId="17">
    <w:abstractNumId w:val="11"/>
  </w:num>
  <w:num w:numId="18">
    <w:abstractNumId w:val="16"/>
  </w:num>
  <w:num w:numId="19">
    <w:abstractNumId w:val="23"/>
  </w:num>
  <w:num w:numId="20">
    <w:abstractNumId w:val="8"/>
  </w:num>
  <w:num w:numId="21">
    <w:abstractNumId w:val="5"/>
  </w:num>
  <w:num w:numId="22">
    <w:abstractNumId w:val="15"/>
  </w:num>
  <w:num w:numId="23">
    <w:abstractNumId w:val="9"/>
  </w:num>
  <w:num w:numId="24">
    <w:abstractNumId w:val="10"/>
  </w:num>
  <w:num w:numId="25">
    <w:abstractNumId w:val="1"/>
  </w:num>
  <w:num w:numId="2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295"/>
    <w:rsid w:val="00000475"/>
    <w:rsid w:val="00000B75"/>
    <w:rsid w:val="00000E2E"/>
    <w:rsid w:val="000012FB"/>
    <w:rsid w:val="000015A8"/>
    <w:rsid w:val="00001E71"/>
    <w:rsid w:val="000027B2"/>
    <w:rsid w:val="00002CCD"/>
    <w:rsid w:val="000033CE"/>
    <w:rsid w:val="0000356D"/>
    <w:rsid w:val="00004701"/>
    <w:rsid w:val="00004BD0"/>
    <w:rsid w:val="00004D2F"/>
    <w:rsid w:val="00005184"/>
    <w:rsid w:val="000051A2"/>
    <w:rsid w:val="000053C3"/>
    <w:rsid w:val="00005413"/>
    <w:rsid w:val="000055A0"/>
    <w:rsid w:val="00005833"/>
    <w:rsid w:val="00005988"/>
    <w:rsid w:val="000059C1"/>
    <w:rsid w:val="00005B54"/>
    <w:rsid w:val="000063D4"/>
    <w:rsid w:val="0000691F"/>
    <w:rsid w:val="00007742"/>
    <w:rsid w:val="00007A84"/>
    <w:rsid w:val="000103AE"/>
    <w:rsid w:val="00010BD1"/>
    <w:rsid w:val="00010E8D"/>
    <w:rsid w:val="00010EAA"/>
    <w:rsid w:val="000129FF"/>
    <w:rsid w:val="00012AEF"/>
    <w:rsid w:val="00012B18"/>
    <w:rsid w:val="000136BA"/>
    <w:rsid w:val="00013DBA"/>
    <w:rsid w:val="00014411"/>
    <w:rsid w:val="00014454"/>
    <w:rsid w:val="00014584"/>
    <w:rsid w:val="00014617"/>
    <w:rsid w:val="00014A2D"/>
    <w:rsid w:val="00014A93"/>
    <w:rsid w:val="00014D98"/>
    <w:rsid w:val="000155CA"/>
    <w:rsid w:val="0001596A"/>
    <w:rsid w:val="00015C9E"/>
    <w:rsid w:val="00015F01"/>
    <w:rsid w:val="000163FB"/>
    <w:rsid w:val="000164BF"/>
    <w:rsid w:val="0001668C"/>
    <w:rsid w:val="000173E6"/>
    <w:rsid w:val="00017896"/>
    <w:rsid w:val="00017E1F"/>
    <w:rsid w:val="00017F86"/>
    <w:rsid w:val="000205D7"/>
    <w:rsid w:val="000210EA"/>
    <w:rsid w:val="00021559"/>
    <w:rsid w:val="000216DD"/>
    <w:rsid w:val="00021868"/>
    <w:rsid w:val="00022128"/>
    <w:rsid w:val="00023669"/>
    <w:rsid w:val="00023BA5"/>
    <w:rsid w:val="00024089"/>
    <w:rsid w:val="00024693"/>
    <w:rsid w:val="00024699"/>
    <w:rsid w:val="00024FF4"/>
    <w:rsid w:val="00025324"/>
    <w:rsid w:val="000254CB"/>
    <w:rsid w:val="000258BC"/>
    <w:rsid w:val="00025B99"/>
    <w:rsid w:val="00025C27"/>
    <w:rsid w:val="00025D54"/>
    <w:rsid w:val="00025F1A"/>
    <w:rsid w:val="000263CB"/>
    <w:rsid w:val="0002654C"/>
    <w:rsid w:val="0002660B"/>
    <w:rsid w:val="00026F12"/>
    <w:rsid w:val="00027071"/>
    <w:rsid w:val="000271B0"/>
    <w:rsid w:val="00027465"/>
    <w:rsid w:val="000275B5"/>
    <w:rsid w:val="00027958"/>
    <w:rsid w:val="00027D18"/>
    <w:rsid w:val="00027F8E"/>
    <w:rsid w:val="0003066F"/>
    <w:rsid w:val="0003074A"/>
    <w:rsid w:val="00030B89"/>
    <w:rsid w:val="00030B8A"/>
    <w:rsid w:val="00030B93"/>
    <w:rsid w:val="00030EB2"/>
    <w:rsid w:val="00031215"/>
    <w:rsid w:val="000312A7"/>
    <w:rsid w:val="000313DD"/>
    <w:rsid w:val="00031736"/>
    <w:rsid w:val="000318CB"/>
    <w:rsid w:val="00031C2D"/>
    <w:rsid w:val="00031E14"/>
    <w:rsid w:val="00032213"/>
    <w:rsid w:val="00032401"/>
    <w:rsid w:val="00032423"/>
    <w:rsid w:val="000327BA"/>
    <w:rsid w:val="000327CE"/>
    <w:rsid w:val="000327D0"/>
    <w:rsid w:val="00032C19"/>
    <w:rsid w:val="00032D4A"/>
    <w:rsid w:val="00032E5D"/>
    <w:rsid w:val="0003326B"/>
    <w:rsid w:val="00034342"/>
    <w:rsid w:val="00034400"/>
    <w:rsid w:val="00034489"/>
    <w:rsid w:val="00034652"/>
    <w:rsid w:val="000346D7"/>
    <w:rsid w:val="00034BBE"/>
    <w:rsid w:val="00034FCD"/>
    <w:rsid w:val="0003554B"/>
    <w:rsid w:val="00035B2E"/>
    <w:rsid w:val="00035DDB"/>
    <w:rsid w:val="00036293"/>
    <w:rsid w:val="00036FFC"/>
    <w:rsid w:val="0003722F"/>
    <w:rsid w:val="00037BEF"/>
    <w:rsid w:val="0004027F"/>
    <w:rsid w:val="00040C9E"/>
    <w:rsid w:val="00040EBC"/>
    <w:rsid w:val="0004135E"/>
    <w:rsid w:val="000418BA"/>
    <w:rsid w:val="00041A07"/>
    <w:rsid w:val="00042357"/>
    <w:rsid w:val="0004238A"/>
    <w:rsid w:val="000430C6"/>
    <w:rsid w:val="00043193"/>
    <w:rsid w:val="00043210"/>
    <w:rsid w:val="00043B03"/>
    <w:rsid w:val="00044035"/>
    <w:rsid w:val="000442C5"/>
    <w:rsid w:val="00044789"/>
    <w:rsid w:val="00044B23"/>
    <w:rsid w:val="00044C43"/>
    <w:rsid w:val="000453B9"/>
    <w:rsid w:val="00045615"/>
    <w:rsid w:val="0004576C"/>
    <w:rsid w:val="000463CC"/>
    <w:rsid w:val="00046409"/>
    <w:rsid w:val="00046688"/>
    <w:rsid w:val="00046DEC"/>
    <w:rsid w:val="00047124"/>
    <w:rsid w:val="000471B8"/>
    <w:rsid w:val="000477BF"/>
    <w:rsid w:val="0004784C"/>
    <w:rsid w:val="00047B93"/>
    <w:rsid w:val="00050851"/>
    <w:rsid w:val="000509EE"/>
    <w:rsid w:val="00050BF0"/>
    <w:rsid w:val="00050D3E"/>
    <w:rsid w:val="00050FCD"/>
    <w:rsid w:val="00051098"/>
    <w:rsid w:val="000511BC"/>
    <w:rsid w:val="00051237"/>
    <w:rsid w:val="00051465"/>
    <w:rsid w:val="00051984"/>
    <w:rsid w:val="00051ACB"/>
    <w:rsid w:val="00052090"/>
    <w:rsid w:val="000527FE"/>
    <w:rsid w:val="000528AB"/>
    <w:rsid w:val="00052C6A"/>
    <w:rsid w:val="000530B1"/>
    <w:rsid w:val="0005368B"/>
    <w:rsid w:val="0005380F"/>
    <w:rsid w:val="00053978"/>
    <w:rsid w:val="00053E58"/>
    <w:rsid w:val="00053EEA"/>
    <w:rsid w:val="00054111"/>
    <w:rsid w:val="00055170"/>
    <w:rsid w:val="00055836"/>
    <w:rsid w:val="00055D64"/>
    <w:rsid w:val="00055E3E"/>
    <w:rsid w:val="00056857"/>
    <w:rsid w:val="00056DE0"/>
    <w:rsid w:val="0005719F"/>
    <w:rsid w:val="000572FA"/>
    <w:rsid w:val="00057538"/>
    <w:rsid w:val="0006095B"/>
    <w:rsid w:val="00060F05"/>
    <w:rsid w:val="000610B8"/>
    <w:rsid w:val="000612FD"/>
    <w:rsid w:val="00061A9D"/>
    <w:rsid w:val="00061BFB"/>
    <w:rsid w:val="00061EB8"/>
    <w:rsid w:val="0006203D"/>
    <w:rsid w:val="00063561"/>
    <w:rsid w:val="000642C9"/>
    <w:rsid w:val="0006537E"/>
    <w:rsid w:val="00065392"/>
    <w:rsid w:val="000656F4"/>
    <w:rsid w:val="00065ED4"/>
    <w:rsid w:val="00066004"/>
    <w:rsid w:val="000661C7"/>
    <w:rsid w:val="000661F7"/>
    <w:rsid w:val="000662D2"/>
    <w:rsid w:val="0006648F"/>
    <w:rsid w:val="00066A37"/>
    <w:rsid w:val="00066BEE"/>
    <w:rsid w:val="00066CC4"/>
    <w:rsid w:val="00066FF1"/>
    <w:rsid w:val="00067269"/>
    <w:rsid w:val="00067432"/>
    <w:rsid w:val="0006771B"/>
    <w:rsid w:val="00067799"/>
    <w:rsid w:val="000677B0"/>
    <w:rsid w:val="000677C9"/>
    <w:rsid w:val="00067952"/>
    <w:rsid w:val="00067AB7"/>
    <w:rsid w:val="00070560"/>
    <w:rsid w:val="0007071C"/>
    <w:rsid w:val="00070835"/>
    <w:rsid w:val="000708FE"/>
    <w:rsid w:val="00070CAC"/>
    <w:rsid w:val="00072526"/>
    <w:rsid w:val="00072C59"/>
    <w:rsid w:val="00073194"/>
    <w:rsid w:val="00073694"/>
    <w:rsid w:val="000736DA"/>
    <w:rsid w:val="00073723"/>
    <w:rsid w:val="00073CE0"/>
    <w:rsid w:val="0007416C"/>
    <w:rsid w:val="00074484"/>
    <w:rsid w:val="0007472F"/>
    <w:rsid w:val="000752AB"/>
    <w:rsid w:val="00075933"/>
    <w:rsid w:val="00075D94"/>
    <w:rsid w:val="00075E0E"/>
    <w:rsid w:val="00075E2F"/>
    <w:rsid w:val="00076170"/>
    <w:rsid w:val="00076656"/>
    <w:rsid w:val="000766CB"/>
    <w:rsid w:val="00076E43"/>
    <w:rsid w:val="00076E94"/>
    <w:rsid w:val="000773E9"/>
    <w:rsid w:val="00077470"/>
    <w:rsid w:val="00077969"/>
    <w:rsid w:val="00077D7C"/>
    <w:rsid w:val="00080687"/>
    <w:rsid w:val="00080789"/>
    <w:rsid w:val="00080C2A"/>
    <w:rsid w:val="00080ED0"/>
    <w:rsid w:val="000812C0"/>
    <w:rsid w:val="00081307"/>
    <w:rsid w:val="000815D7"/>
    <w:rsid w:val="00082073"/>
    <w:rsid w:val="0008225B"/>
    <w:rsid w:val="0008232B"/>
    <w:rsid w:val="000825D0"/>
    <w:rsid w:val="00082B43"/>
    <w:rsid w:val="00082E80"/>
    <w:rsid w:val="000832E7"/>
    <w:rsid w:val="0008440C"/>
    <w:rsid w:val="00084665"/>
    <w:rsid w:val="00084C1E"/>
    <w:rsid w:val="00084CD1"/>
    <w:rsid w:val="00084D27"/>
    <w:rsid w:val="00084EBF"/>
    <w:rsid w:val="000852BA"/>
    <w:rsid w:val="000853D3"/>
    <w:rsid w:val="00085798"/>
    <w:rsid w:val="0008587A"/>
    <w:rsid w:val="00085A4E"/>
    <w:rsid w:val="00085E3A"/>
    <w:rsid w:val="00085E52"/>
    <w:rsid w:val="00086062"/>
    <w:rsid w:val="00086071"/>
    <w:rsid w:val="0008607B"/>
    <w:rsid w:val="000863FC"/>
    <w:rsid w:val="00086631"/>
    <w:rsid w:val="0008743E"/>
    <w:rsid w:val="00087685"/>
    <w:rsid w:val="00087882"/>
    <w:rsid w:val="00087B0D"/>
    <w:rsid w:val="000904CB"/>
    <w:rsid w:val="000909D0"/>
    <w:rsid w:val="00090A73"/>
    <w:rsid w:val="00091865"/>
    <w:rsid w:val="0009360C"/>
    <w:rsid w:val="00093D7E"/>
    <w:rsid w:val="000943B7"/>
    <w:rsid w:val="0009447C"/>
    <w:rsid w:val="00094A35"/>
    <w:rsid w:val="00095031"/>
    <w:rsid w:val="00095BA6"/>
    <w:rsid w:val="00095D9C"/>
    <w:rsid w:val="00095F62"/>
    <w:rsid w:val="00096125"/>
    <w:rsid w:val="00096596"/>
    <w:rsid w:val="0009678D"/>
    <w:rsid w:val="00096EDE"/>
    <w:rsid w:val="00097544"/>
    <w:rsid w:val="00097712"/>
    <w:rsid w:val="0009784D"/>
    <w:rsid w:val="00097AB6"/>
    <w:rsid w:val="00097CA2"/>
    <w:rsid w:val="00097E39"/>
    <w:rsid w:val="000A011E"/>
    <w:rsid w:val="000A06A3"/>
    <w:rsid w:val="000A06F1"/>
    <w:rsid w:val="000A08E8"/>
    <w:rsid w:val="000A0BF8"/>
    <w:rsid w:val="000A0E7D"/>
    <w:rsid w:val="000A13BE"/>
    <w:rsid w:val="000A18E8"/>
    <w:rsid w:val="000A18F4"/>
    <w:rsid w:val="000A1C0B"/>
    <w:rsid w:val="000A2020"/>
    <w:rsid w:val="000A2537"/>
    <w:rsid w:val="000A2584"/>
    <w:rsid w:val="000A2889"/>
    <w:rsid w:val="000A2D1D"/>
    <w:rsid w:val="000A2F7E"/>
    <w:rsid w:val="000A2FA5"/>
    <w:rsid w:val="000A3128"/>
    <w:rsid w:val="000A312D"/>
    <w:rsid w:val="000A35CF"/>
    <w:rsid w:val="000A41D0"/>
    <w:rsid w:val="000A45BF"/>
    <w:rsid w:val="000A4C81"/>
    <w:rsid w:val="000A4CF6"/>
    <w:rsid w:val="000A4DA1"/>
    <w:rsid w:val="000A525B"/>
    <w:rsid w:val="000A572E"/>
    <w:rsid w:val="000A5811"/>
    <w:rsid w:val="000A5B10"/>
    <w:rsid w:val="000A5E97"/>
    <w:rsid w:val="000A65D5"/>
    <w:rsid w:val="000A693B"/>
    <w:rsid w:val="000A6F06"/>
    <w:rsid w:val="000A6F2A"/>
    <w:rsid w:val="000A7127"/>
    <w:rsid w:val="000A71C6"/>
    <w:rsid w:val="000A729F"/>
    <w:rsid w:val="000A78C0"/>
    <w:rsid w:val="000B0125"/>
    <w:rsid w:val="000B0186"/>
    <w:rsid w:val="000B02F5"/>
    <w:rsid w:val="000B03E4"/>
    <w:rsid w:val="000B0737"/>
    <w:rsid w:val="000B0804"/>
    <w:rsid w:val="000B0A17"/>
    <w:rsid w:val="000B0B1E"/>
    <w:rsid w:val="000B12A8"/>
    <w:rsid w:val="000B1A52"/>
    <w:rsid w:val="000B241C"/>
    <w:rsid w:val="000B2D5A"/>
    <w:rsid w:val="000B2E73"/>
    <w:rsid w:val="000B34BA"/>
    <w:rsid w:val="000B37E5"/>
    <w:rsid w:val="000B3889"/>
    <w:rsid w:val="000B3B9C"/>
    <w:rsid w:val="000B3FB9"/>
    <w:rsid w:val="000B40A5"/>
    <w:rsid w:val="000B4666"/>
    <w:rsid w:val="000B46F0"/>
    <w:rsid w:val="000B4916"/>
    <w:rsid w:val="000B5616"/>
    <w:rsid w:val="000B5916"/>
    <w:rsid w:val="000B59B3"/>
    <w:rsid w:val="000B6E1E"/>
    <w:rsid w:val="000B6E7C"/>
    <w:rsid w:val="000B6F68"/>
    <w:rsid w:val="000B72D1"/>
    <w:rsid w:val="000B730E"/>
    <w:rsid w:val="000B7612"/>
    <w:rsid w:val="000B770E"/>
    <w:rsid w:val="000B79D2"/>
    <w:rsid w:val="000C01D2"/>
    <w:rsid w:val="000C0365"/>
    <w:rsid w:val="000C081C"/>
    <w:rsid w:val="000C0C17"/>
    <w:rsid w:val="000C12C6"/>
    <w:rsid w:val="000C1305"/>
    <w:rsid w:val="000C147C"/>
    <w:rsid w:val="000C19AC"/>
    <w:rsid w:val="000C1C8F"/>
    <w:rsid w:val="000C1F8F"/>
    <w:rsid w:val="000C233B"/>
    <w:rsid w:val="000C325E"/>
    <w:rsid w:val="000C32D8"/>
    <w:rsid w:val="000C3482"/>
    <w:rsid w:val="000C36C4"/>
    <w:rsid w:val="000C399D"/>
    <w:rsid w:val="000C3E9D"/>
    <w:rsid w:val="000C40F1"/>
    <w:rsid w:val="000C4552"/>
    <w:rsid w:val="000C4793"/>
    <w:rsid w:val="000C4CF4"/>
    <w:rsid w:val="000C4EE6"/>
    <w:rsid w:val="000C5373"/>
    <w:rsid w:val="000C5450"/>
    <w:rsid w:val="000C58E8"/>
    <w:rsid w:val="000C631B"/>
    <w:rsid w:val="000C68A8"/>
    <w:rsid w:val="000C69BA"/>
    <w:rsid w:val="000C6C08"/>
    <w:rsid w:val="000C70AC"/>
    <w:rsid w:val="000C7560"/>
    <w:rsid w:val="000C7816"/>
    <w:rsid w:val="000C78A6"/>
    <w:rsid w:val="000C7C3B"/>
    <w:rsid w:val="000D0765"/>
    <w:rsid w:val="000D085B"/>
    <w:rsid w:val="000D0EBB"/>
    <w:rsid w:val="000D1061"/>
    <w:rsid w:val="000D1077"/>
    <w:rsid w:val="000D178B"/>
    <w:rsid w:val="000D1880"/>
    <w:rsid w:val="000D1E14"/>
    <w:rsid w:val="000D200E"/>
    <w:rsid w:val="000D2404"/>
    <w:rsid w:val="000D24CB"/>
    <w:rsid w:val="000D2C42"/>
    <w:rsid w:val="000D2C5B"/>
    <w:rsid w:val="000D3258"/>
    <w:rsid w:val="000D3279"/>
    <w:rsid w:val="000D49B1"/>
    <w:rsid w:val="000D4C53"/>
    <w:rsid w:val="000D4CE1"/>
    <w:rsid w:val="000D4E04"/>
    <w:rsid w:val="000D5740"/>
    <w:rsid w:val="000D593A"/>
    <w:rsid w:val="000D5A8C"/>
    <w:rsid w:val="000D5DDB"/>
    <w:rsid w:val="000D5DF0"/>
    <w:rsid w:val="000D607C"/>
    <w:rsid w:val="000D6498"/>
    <w:rsid w:val="000D6770"/>
    <w:rsid w:val="000D6F16"/>
    <w:rsid w:val="000D7036"/>
    <w:rsid w:val="000D70F9"/>
    <w:rsid w:val="000D75E3"/>
    <w:rsid w:val="000D7912"/>
    <w:rsid w:val="000E06A3"/>
    <w:rsid w:val="000E1C81"/>
    <w:rsid w:val="000E1F54"/>
    <w:rsid w:val="000E2CE3"/>
    <w:rsid w:val="000E3016"/>
    <w:rsid w:val="000E3049"/>
    <w:rsid w:val="000E3A40"/>
    <w:rsid w:val="000E3D77"/>
    <w:rsid w:val="000E4130"/>
    <w:rsid w:val="000E46CF"/>
    <w:rsid w:val="000E46D6"/>
    <w:rsid w:val="000E4920"/>
    <w:rsid w:val="000E49AA"/>
    <w:rsid w:val="000E49AD"/>
    <w:rsid w:val="000E500C"/>
    <w:rsid w:val="000E56BD"/>
    <w:rsid w:val="000E5961"/>
    <w:rsid w:val="000E5D9C"/>
    <w:rsid w:val="000E7237"/>
    <w:rsid w:val="000E7A6B"/>
    <w:rsid w:val="000E7AC5"/>
    <w:rsid w:val="000E7EA6"/>
    <w:rsid w:val="000F00BB"/>
    <w:rsid w:val="000F046D"/>
    <w:rsid w:val="000F07E7"/>
    <w:rsid w:val="000F0D80"/>
    <w:rsid w:val="000F0DEA"/>
    <w:rsid w:val="000F0FDB"/>
    <w:rsid w:val="000F11CE"/>
    <w:rsid w:val="000F13E8"/>
    <w:rsid w:val="000F14DA"/>
    <w:rsid w:val="000F1BAB"/>
    <w:rsid w:val="000F22ED"/>
    <w:rsid w:val="000F2855"/>
    <w:rsid w:val="000F3492"/>
    <w:rsid w:val="000F3530"/>
    <w:rsid w:val="000F3613"/>
    <w:rsid w:val="000F36E2"/>
    <w:rsid w:val="000F3B1D"/>
    <w:rsid w:val="000F413D"/>
    <w:rsid w:val="000F4371"/>
    <w:rsid w:val="000F4E58"/>
    <w:rsid w:val="000F4F80"/>
    <w:rsid w:val="000F5188"/>
    <w:rsid w:val="000F54D7"/>
    <w:rsid w:val="000F563A"/>
    <w:rsid w:val="000F5AC7"/>
    <w:rsid w:val="000F5D80"/>
    <w:rsid w:val="000F66BA"/>
    <w:rsid w:val="000F679F"/>
    <w:rsid w:val="000F67B8"/>
    <w:rsid w:val="000F6A31"/>
    <w:rsid w:val="000F74B9"/>
    <w:rsid w:val="000F7858"/>
    <w:rsid w:val="000F79D2"/>
    <w:rsid w:val="000F7D30"/>
    <w:rsid w:val="000F7DB4"/>
    <w:rsid w:val="001001A8"/>
    <w:rsid w:val="00100420"/>
    <w:rsid w:val="00100A20"/>
    <w:rsid w:val="00100B8E"/>
    <w:rsid w:val="00100ED2"/>
    <w:rsid w:val="001012BE"/>
    <w:rsid w:val="00101D9F"/>
    <w:rsid w:val="00101F66"/>
    <w:rsid w:val="00101FBD"/>
    <w:rsid w:val="0010210C"/>
    <w:rsid w:val="00102741"/>
    <w:rsid w:val="00102BBE"/>
    <w:rsid w:val="00102F7F"/>
    <w:rsid w:val="00103293"/>
    <w:rsid w:val="001033BD"/>
    <w:rsid w:val="0010341C"/>
    <w:rsid w:val="00103DAA"/>
    <w:rsid w:val="00103FB7"/>
    <w:rsid w:val="00104177"/>
    <w:rsid w:val="00104383"/>
    <w:rsid w:val="001045F4"/>
    <w:rsid w:val="001047FE"/>
    <w:rsid w:val="00104807"/>
    <w:rsid w:val="001049DF"/>
    <w:rsid w:val="00104DD6"/>
    <w:rsid w:val="00104DF0"/>
    <w:rsid w:val="00105238"/>
    <w:rsid w:val="00105276"/>
    <w:rsid w:val="0010562F"/>
    <w:rsid w:val="00106814"/>
    <w:rsid w:val="001069DC"/>
    <w:rsid w:val="00107C1B"/>
    <w:rsid w:val="00107D13"/>
    <w:rsid w:val="00107E3F"/>
    <w:rsid w:val="0011053F"/>
    <w:rsid w:val="00110AF4"/>
    <w:rsid w:val="00111009"/>
    <w:rsid w:val="00111453"/>
    <w:rsid w:val="00111995"/>
    <w:rsid w:val="00111E36"/>
    <w:rsid w:val="0011216E"/>
    <w:rsid w:val="001121A4"/>
    <w:rsid w:val="0011243E"/>
    <w:rsid w:val="0011329D"/>
    <w:rsid w:val="0011393C"/>
    <w:rsid w:val="00113CD3"/>
    <w:rsid w:val="00114137"/>
    <w:rsid w:val="001145F9"/>
    <w:rsid w:val="001148FC"/>
    <w:rsid w:val="00114A41"/>
    <w:rsid w:val="00114CED"/>
    <w:rsid w:val="00114D4F"/>
    <w:rsid w:val="00114F93"/>
    <w:rsid w:val="0011510A"/>
    <w:rsid w:val="001156D4"/>
    <w:rsid w:val="00115C07"/>
    <w:rsid w:val="00116820"/>
    <w:rsid w:val="00116DCA"/>
    <w:rsid w:val="00116DD5"/>
    <w:rsid w:val="001174CE"/>
    <w:rsid w:val="0011780A"/>
    <w:rsid w:val="00117AD7"/>
    <w:rsid w:val="00117CA1"/>
    <w:rsid w:val="00120215"/>
    <w:rsid w:val="0012031C"/>
    <w:rsid w:val="0012043C"/>
    <w:rsid w:val="00120619"/>
    <w:rsid w:val="001206E6"/>
    <w:rsid w:val="001211CE"/>
    <w:rsid w:val="00121B88"/>
    <w:rsid w:val="00122140"/>
    <w:rsid w:val="0012242A"/>
    <w:rsid w:val="001225E9"/>
    <w:rsid w:val="00123497"/>
    <w:rsid w:val="00123583"/>
    <w:rsid w:val="001236C3"/>
    <w:rsid w:val="00123970"/>
    <w:rsid w:val="00123A15"/>
    <w:rsid w:val="00124474"/>
    <w:rsid w:val="00124FA9"/>
    <w:rsid w:val="00124FFF"/>
    <w:rsid w:val="001252D9"/>
    <w:rsid w:val="0012617B"/>
    <w:rsid w:val="001268DB"/>
    <w:rsid w:val="00126AA7"/>
    <w:rsid w:val="00126B55"/>
    <w:rsid w:val="00127136"/>
    <w:rsid w:val="00127593"/>
    <w:rsid w:val="00127AE6"/>
    <w:rsid w:val="00127B06"/>
    <w:rsid w:val="00127BFD"/>
    <w:rsid w:val="001300E7"/>
    <w:rsid w:val="00130716"/>
    <w:rsid w:val="00130758"/>
    <w:rsid w:val="001308C8"/>
    <w:rsid w:val="00130B71"/>
    <w:rsid w:val="00131777"/>
    <w:rsid w:val="00131F41"/>
    <w:rsid w:val="00132EA3"/>
    <w:rsid w:val="001330D6"/>
    <w:rsid w:val="0013323F"/>
    <w:rsid w:val="001341F5"/>
    <w:rsid w:val="00134495"/>
    <w:rsid w:val="001345B4"/>
    <w:rsid w:val="00134FCE"/>
    <w:rsid w:val="00135382"/>
    <w:rsid w:val="0013570B"/>
    <w:rsid w:val="00135C63"/>
    <w:rsid w:val="00135DE0"/>
    <w:rsid w:val="00136043"/>
    <w:rsid w:val="0013620F"/>
    <w:rsid w:val="00136248"/>
    <w:rsid w:val="0013637A"/>
    <w:rsid w:val="001363A7"/>
    <w:rsid w:val="001363DF"/>
    <w:rsid w:val="001368C5"/>
    <w:rsid w:val="001369DE"/>
    <w:rsid w:val="00137978"/>
    <w:rsid w:val="00137D5D"/>
    <w:rsid w:val="001403B2"/>
    <w:rsid w:val="00140667"/>
    <w:rsid w:val="00140F8D"/>
    <w:rsid w:val="00141544"/>
    <w:rsid w:val="00141C91"/>
    <w:rsid w:val="00141D9E"/>
    <w:rsid w:val="00141E46"/>
    <w:rsid w:val="00141E90"/>
    <w:rsid w:val="001425F8"/>
    <w:rsid w:val="00142D7E"/>
    <w:rsid w:val="00142F0C"/>
    <w:rsid w:val="00142FCF"/>
    <w:rsid w:val="001434D0"/>
    <w:rsid w:val="0014387C"/>
    <w:rsid w:val="001439AE"/>
    <w:rsid w:val="001441D9"/>
    <w:rsid w:val="00144A15"/>
    <w:rsid w:val="001455BD"/>
    <w:rsid w:val="00145D90"/>
    <w:rsid w:val="0014655C"/>
    <w:rsid w:val="00146838"/>
    <w:rsid w:val="00146BFE"/>
    <w:rsid w:val="00146C8A"/>
    <w:rsid w:val="0014760E"/>
    <w:rsid w:val="00147C25"/>
    <w:rsid w:val="00147E98"/>
    <w:rsid w:val="00150C72"/>
    <w:rsid w:val="00150CD3"/>
    <w:rsid w:val="001511CC"/>
    <w:rsid w:val="00151395"/>
    <w:rsid w:val="001516A4"/>
    <w:rsid w:val="00151FD1"/>
    <w:rsid w:val="0015258E"/>
    <w:rsid w:val="001525DD"/>
    <w:rsid w:val="00152A01"/>
    <w:rsid w:val="0015339B"/>
    <w:rsid w:val="00153465"/>
    <w:rsid w:val="001536B6"/>
    <w:rsid w:val="00153A5A"/>
    <w:rsid w:val="00154397"/>
    <w:rsid w:val="001546B9"/>
    <w:rsid w:val="00154AEE"/>
    <w:rsid w:val="00154FEE"/>
    <w:rsid w:val="0015514F"/>
    <w:rsid w:val="00155A06"/>
    <w:rsid w:val="00156626"/>
    <w:rsid w:val="00156733"/>
    <w:rsid w:val="00156C8C"/>
    <w:rsid w:val="00156F58"/>
    <w:rsid w:val="001572B0"/>
    <w:rsid w:val="001573AC"/>
    <w:rsid w:val="0016048E"/>
    <w:rsid w:val="00160790"/>
    <w:rsid w:val="001613D8"/>
    <w:rsid w:val="001614A4"/>
    <w:rsid w:val="00161898"/>
    <w:rsid w:val="00161A3D"/>
    <w:rsid w:val="00161BB1"/>
    <w:rsid w:val="00161CF3"/>
    <w:rsid w:val="0016236F"/>
    <w:rsid w:val="001624E2"/>
    <w:rsid w:val="00162D3D"/>
    <w:rsid w:val="00162EB8"/>
    <w:rsid w:val="0016354A"/>
    <w:rsid w:val="00163AF3"/>
    <w:rsid w:val="001645CA"/>
    <w:rsid w:val="001649E4"/>
    <w:rsid w:val="00165053"/>
    <w:rsid w:val="001659C4"/>
    <w:rsid w:val="001659F0"/>
    <w:rsid w:val="00165B99"/>
    <w:rsid w:val="001664B0"/>
    <w:rsid w:val="00166941"/>
    <w:rsid w:val="00167009"/>
    <w:rsid w:val="001673AD"/>
    <w:rsid w:val="00167C96"/>
    <w:rsid w:val="00167FEE"/>
    <w:rsid w:val="001701F2"/>
    <w:rsid w:val="00170C7F"/>
    <w:rsid w:val="00170CC3"/>
    <w:rsid w:val="00170D27"/>
    <w:rsid w:val="00170D55"/>
    <w:rsid w:val="00172043"/>
    <w:rsid w:val="0017258A"/>
    <w:rsid w:val="001726D6"/>
    <w:rsid w:val="0017298E"/>
    <w:rsid w:val="00172CB3"/>
    <w:rsid w:val="00172D98"/>
    <w:rsid w:val="0017339D"/>
    <w:rsid w:val="001739E8"/>
    <w:rsid w:val="00173BDA"/>
    <w:rsid w:val="00174122"/>
    <w:rsid w:val="0017432B"/>
    <w:rsid w:val="00174C2A"/>
    <w:rsid w:val="00174CB2"/>
    <w:rsid w:val="00174E6B"/>
    <w:rsid w:val="001750D1"/>
    <w:rsid w:val="00175562"/>
    <w:rsid w:val="001755EA"/>
    <w:rsid w:val="001756D5"/>
    <w:rsid w:val="001757A0"/>
    <w:rsid w:val="00175982"/>
    <w:rsid w:val="00175CBC"/>
    <w:rsid w:val="0017606D"/>
    <w:rsid w:val="00176523"/>
    <w:rsid w:val="00176979"/>
    <w:rsid w:val="0017736E"/>
    <w:rsid w:val="00177A2A"/>
    <w:rsid w:val="00177A75"/>
    <w:rsid w:val="00177AC6"/>
    <w:rsid w:val="00177BEF"/>
    <w:rsid w:val="0018009F"/>
    <w:rsid w:val="0018054A"/>
    <w:rsid w:val="0018059D"/>
    <w:rsid w:val="0018075F"/>
    <w:rsid w:val="00180D38"/>
    <w:rsid w:val="0018103D"/>
    <w:rsid w:val="001813B3"/>
    <w:rsid w:val="0018142B"/>
    <w:rsid w:val="0018177D"/>
    <w:rsid w:val="001817B6"/>
    <w:rsid w:val="0018190B"/>
    <w:rsid w:val="001825F9"/>
    <w:rsid w:val="0018264B"/>
    <w:rsid w:val="00182A76"/>
    <w:rsid w:val="00182B12"/>
    <w:rsid w:val="00182C1C"/>
    <w:rsid w:val="00182C29"/>
    <w:rsid w:val="001832DE"/>
    <w:rsid w:val="00183B82"/>
    <w:rsid w:val="0018407C"/>
    <w:rsid w:val="00184554"/>
    <w:rsid w:val="00184567"/>
    <w:rsid w:val="00184B45"/>
    <w:rsid w:val="00184B5B"/>
    <w:rsid w:val="00184EDE"/>
    <w:rsid w:val="00184F5F"/>
    <w:rsid w:val="001852F8"/>
    <w:rsid w:val="001855A0"/>
    <w:rsid w:val="00185898"/>
    <w:rsid w:val="00185AAF"/>
    <w:rsid w:val="0018600F"/>
    <w:rsid w:val="00186424"/>
    <w:rsid w:val="0018644E"/>
    <w:rsid w:val="001869D3"/>
    <w:rsid w:val="001900AB"/>
    <w:rsid w:val="00190614"/>
    <w:rsid w:val="001906FC"/>
    <w:rsid w:val="00190AB0"/>
    <w:rsid w:val="00190D82"/>
    <w:rsid w:val="00191036"/>
    <w:rsid w:val="00191637"/>
    <w:rsid w:val="00191731"/>
    <w:rsid w:val="00191DED"/>
    <w:rsid w:val="001921A4"/>
    <w:rsid w:val="001921D5"/>
    <w:rsid w:val="00192803"/>
    <w:rsid w:val="00192B47"/>
    <w:rsid w:val="00192C4D"/>
    <w:rsid w:val="00192EA4"/>
    <w:rsid w:val="00192F47"/>
    <w:rsid w:val="00192F53"/>
    <w:rsid w:val="00193C6A"/>
    <w:rsid w:val="00193DF7"/>
    <w:rsid w:val="0019405F"/>
    <w:rsid w:val="001940A3"/>
    <w:rsid w:val="001943DF"/>
    <w:rsid w:val="00194F13"/>
    <w:rsid w:val="00194F84"/>
    <w:rsid w:val="00195AE6"/>
    <w:rsid w:val="001969AA"/>
    <w:rsid w:val="00196B1F"/>
    <w:rsid w:val="00196B8A"/>
    <w:rsid w:val="00197297"/>
    <w:rsid w:val="001979D6"/>
    <w:rsid w:val="00197BB0"/>
    <w:rsid w:val="00197CF3"/>
    <w:rsid w:val="00197E41"/>
    <w:rsid w:val="001A00AD"/>
    <w:rsid w:val="001A0774"/>
    <w:rsid w:val="001A08E3"/>
    <w:rsid w:val="001A0BAE"/>
    <w:rsid w:val="001A1181"/>
    <w:rsid w:val="001A12CE"/>
    <w:rsid w:val="001A1351"/>
    <w:rsid w:val="001A14BC"/>
    <w:rsid w:val="001A23E8"/>
    <w:rsid w:val="001A2407"/>
    <w:rsid w:val="001A278C"/>
    <w:rsid w:val="001A2927"/>
    <w:rsid w:val="001A29CC"/>
    <w:rsid w:val="001A2B1F"/>
    <w:rsid w:val="001A36C8"/>
    <w:rsid w:val="001A3710"/>
    <w:rsid w:val="001A3730"/>
    <w:rsid w:val="001A3767"/>
    <w:rsid w:val="001A3C94"/>
    <w:rsid w:val="001A40CC"/>
    <w:rsid w:val="001A4429"/>
    <w:rsid w:val="001A44AA"/>
    <w:rsid w:val="001A4AA5"/>
    <w:rsid w:val="001A4DD8"/>
    <w:rsid w:val="001A5BF3"/>
    <w:rsid w:val="001A6A97"/>
    <w:rsid w:val="001A7858"/>
    <w:rsid w:val="001A798D"/>
    <w:rsid w:val="001A79CF"/>
    <w:rsid w:val="001A7C80"/>
    <w:rsid w:val="001A7D4C"/>
    <w:rsid w:val="001A7FF5"/>
    <w:rsid w:val="001B011A"/>
    <w:rsid w:val="001B0126"/>
    <w:rsid w:val="001B0489"/>
    <w:rsid w:val="001B06F6"/>
    <w:rsid w:val="001B1359"/>
    <w:rsid w:val="001B1444"/>
    <w:rsid w:val="001B1C9E"/>
    <w:rsid w:val="001B1F7B"/>
    <w:rsid w:val="001B2105"/>
    <w:rsid w:val="001B2377"/>
    <w:rsid w:val="001B2937"/>
    <w:rsid w:val="001B2E67"/>
    <w:rsid w:val="001B2F1A"/>
    <w:rsid w:val="001B31EC"/>
    <w:rsid w:val="001B389E"/>
    <w:rsid w:val="001B3F1E"/>
    <w:rsid w:val="001B42E3"/>
    <w:rsid w:val="001B4A0C"/>
    <w:rsid w:val="001B4BA9"/>
    <w:rsid w:val="001B4D88"/>
    <w:rsid w:val="001B5017"/>
    <w:rsid w:val="001B5057"/>
    <w:rsid w:val="001B5B92"/>
    <w:rsid w:val="001B7087"/>
    <w:rsid w:val="001B7626"/>
    <w:rsid w:val="001C04B6"/>
    <w:rsid w:val="001C075C"/>
    <w:rsid w:val="001C0776"/>
    <w:rsid w:val="001C0CE8"/>
    <w:rsid w:val="001C0FB0"/>
    <w:rsid w:val="001C22FB"/>
    <w:rsid w:val="001C3029"/>
    <w:rsid w:val="001C3032"/>
    <w:rsid w:val="001C4B31"/>
    <w:rsid w:val="001C4B6D"/>
    <w:rsid w:val="001C4F69"/>
    <w:rsid w:val="001C4F76"/>
    <w:rsid w:val="001C55FC"/>
    <w:rsid w:val="001C56CE"/>
    <w:rsid w:val="001C5D9B"/>
    <w:rsid w:val="001C6F80"/>
    <w:rsid w:val="001C6FE3"/>
    <w:rsid w:val="001C7252"/>
    <w:rsid w:val="001C7F35"/>
    <w:rsid w:val="001D0560"/>
    <w:rsid w:val="001D0854"/>
    <w:rsid w:val="001D0E6D"/>
    <w:rsid w:val="001D10E0"/>
    <w:rsid w:val="001D1E40"/>
    <w:rsid w:val="001D1EAB"/>
    <w:rsid w:val="001D2C38"/>
    <w:rsid w:val="001D2F9D"/>
    <w:rsid w:val="001D3014"/>
    <w:rsid w:val="001D3281"/>
    <w:rsid w:val="001D378F"/>
    <w:rsid w:val="001D3A6E"/>
    <w:rsid w:val="001D3B72"/>
    <w:rsid w:val="001D3D2E"/>
    <w:rsid w:val="001D498E"/>
    <w:rsid w:val="001D4B5D"/>
    <w:rsid w:val="001D4D22"/>
    <w:rsid w:val="001D4F6A"/>
    <w:rsid w:val="001D50A2"/>
    <w:rsid w:val="001D55E4"/>
    <w:rsid w:val="001D5614"/>
    <w:rsid w:val="001D5640"/>
    <w:rsid w:val="001D5C8E"/>
    <w:rsid w:val="001D63EE"/>
    <w:rsid w:val="001D6693"/>
    <w:rsid w:val="001D690E"/>
    <w:rsid w:val="001D7135"/>
    <w:rsid w:val="001D757D"/>
    <w:rsid w:val="001D7721"/>
    <w:rsid w:val="001D7F96"/>
    <w:rsid w:val="001E0029"/>
    <w:rsid w:val="001E01CA"/>
    <w:rsid w:val="001E0549"/>
    <w:rsid w:val="001E0A11"/>
    <w:rsid w:val="001E155C"/>
    <w:rsid w:val="001E1585"/>
    <w:rsid w:val="001E25FD"/>
    <w:rsid w:val="001E28CD"/>
    <w:rsid w:val="001E2EA6"/>
    <w:rsid w:val="001E2FED"/>
    <w:rsid w:val="001E307D"/>
    <w:rsid w:val="001E3F49"/>
    <w:rsid w:val="001E4234"/>
    <w:rsid w:val="001E4363"/>
    <w:rsid w:val="001E49B3"/>
    <w:rsid w:val="001E4A78"/>
    <w:rsid w:val="001E4FA3"/>
    <w:rsid w:val="001E5703"/>
    <w:rsid w:val="001E5CD1"/>
    <w:rsid w:val="001E6047"/>
    <w:rsid w:val="001E662A"/>
    <w:rsid w:val="001E66BC"/>
    <w:rsid w:val="001E6721"/>
    <w:rsid w:val="001E695A"/>
    <w:rsid w:val="001E6EFD"/>
    <w:rsid w:val="001E78AC"/>
    <w:rsid w:val="001E799D"/>
    <w:rsid w:val="001F033E"/>
    <w:rsid w:val="001F0867"/>
    <w:rsid w:val="001F08E0"/>
    <w:rsid w:val="001F08FB"/>
    <w:rsid w:val="001F0E92"/>
    <w:rsid w:val="001F0EA2"/>
    <w:rsid w:val="001F18FB"/>
    <w:rsid w:val="001F23E8"/>
    <w:rsid w:val="001F2479"/>
    <w:rsid w:val="001F27D8"/>
    <w:rsid w:val="001F28A2"/>
    <w:rsid w:val="001F31C2"/>
    <w:rsid w:val="001F363D"/>
    <w:rsid w:val="001F4E1F"/>
    <w:rsid w:val="001F4E35"/>
    <w:rsid w:val="001F4EBD"/>
    <w:rsid w:val="001F51E0"/>
    <w:rsid w:val="001F5844"/>
    <w:rsid w:val="001F5A9D"/>
    <w:rsid w:val="001F5D6E"/>
    <w:rsid w:val="001F5FA3"/>
    <w:rsid w:val="001F67E0"/>
    <w:rsid w:val="001F6A79"/>
    <w:rsid w:val="001F6BDA"/>
    <w:rsid w:val="001F6F56"/>
    <w:rsid w:val="001F733F"/>
    <w:rsid w:val="001F75AC"/>
    <w:rsid w:val="001F7F44"/>
    <w:rsid w:val="00200929"/>
    <w:rsid w:val="00200A65"/>
    <w:rsid w:val="00200CC0"/>
    <w:rsid w:val="0020139D"/>
    <w:rsid w:val="002015D2"/>
    <w:rsid w:val="00201960"/>
    <w:rsid w:val="0020231A"/>
    <w:rsid w:val="002023B4"/>
    <w:rsid w:val="00202C8D"/>
    <w:rsid w:val="00203749"/>
    <w:rsid w:val="00203A8A"/>
    <w:rsid w:val="00203EC2"/>
    <w:rsid w:val="0020417C"/>
    <w:rsid w:val="0020488B"/>
    <w:rsid w:val="00204BD1"/>
    <w:rsid w:val="002056B0"/>
    <w:rsid w:val="002057DC"/>
    <w:rsid w:val="002058C8"/>
    <w:rsid w:val="00205B97"/>
    <w:rsid w:val="00205BD2"/>
    <w:rsid w:val="0020629D"/>
    <w:rsid w:val="002063AD"/>
    <w:rsid w:val="00206530"/>
    <w:rsid w:val="0020680D"/>
    <w:rsid w:val="00206AFF"/>
    <w:rsid w:val="00207478"/>
    <w:rsid w:val="00207659"/>
    <w:rsid w:val="0020769C"/>
    <w:rsid w:val="0020783E"/>
    <w:rsid w:val="00210184"/>
    <w:rsid w:val="00210240"/>
    <w:rsid w:val="002102D8"/>
    <w:rsid w:val="0021049C"/>
    <w:rsid w:val="002106CC"/>
    <w:rsid w:val="002109AE"/>
    <w:rsid w:val="00210AA3"/>
    <w:rsid w:val="00211158"/>
    <w:rsid w:val="00211171"/>
    <w:rsid w:val="00211563"/>
    <w:rsid w:val="00211611"/>
    <w:rsid w:val="00211DE8"/>
    <w:rsid w:val="00211F57"/>
    <w:rsid w:val="002121BD"/>
    <w:rsid w:val="002125A4"/>
    <w:rsid w:val="00212A96"/>
    <w:rsid w:val="00212B67"/>
    <w:rsid w:val="00212C8F"/>
    <w:rsid w:val="00212E1E"/>
    <w:rsid w:val="0021329D"/>
    <w:rsid w:val="00213870"/>
    <w:rsid w:val="002138BF"/>
    <w:rsid w:val="00213BA1"/>
    <w:rsid w:val="00213C39"/>
    <w:rsid w:val="00213DB8"/>
    <w:rsid w:val="00214594"/>
    <w:rsid w:val="00215134"/>
    <w:rsid w:val="00215210"/>
    <w:rsid w:val="002155E7"/>
    <w:rsid w:val="002156CD"/>
    <w:rsid w:val="00215C24"/>
    <w:rsid w:val="00215D7D"/>
    <w:rsid w:val="00216248"/>
    <w:rsid w:val="00216737"/>
    <w:rsid w:val="002169A8"/>
    <w:rsid w:val="00216AA4"/>
    <w:rsid w:val="002177BF"/>
    <w:rsid w:val="00217C97"/>
    <w:rsid w:val="00217D6E"/>
    <w:rsid w:val="00220014"/>
    <w:rsid w:val="0022082A"/>
    <w:rsid w:val="00220890"/>
    <w:rsid w:val="0022101D"/>
    <w:rsid w:val="002217FB"/>
    <w:rsid w:val="002224BF"/>
    <w:rsid w:val="00222A3A"/>
    <w:rsid w:val="00222B75"/>
    <w:rsid w:val="0022392D"/>
    <w:rsid w:val="00223B31"/>
    <w:rsid w:val="00224094"/>
    <w:rsid w:val="00224DDB"/>
    <w:rsid w:val="002257BB"/>
    <w:rsid w:val="00225F6C"/>
    <w:rsid w:val="002260B5"/>
    <w:rsid w:val="002263D5"/>
    <w:rsid w:val="00226CBA"/>
    <w:rsid w:val="0022711A"/>
    <w:rsid w:val="00227183"/>
    <w:rsid w:val="002273CB"/>
    <w:rsid w:val="00227C8C"/>
    <w:rsid w:val="00227E44"/>
    <w:rsid w:val="00230087"/>
    <w:rsid w:val="002302AD"/>
    <w:rsid w:val="0023038D"/>
    <w:rsid w:val="00230AB5"/>
    <w:rsid w:val="00230D4F"/>
    <w:rsid w:val="002312CE"/>
    <w:rsid w:val="00231719"/>
    <w:rsid w:val="00231F21"/>
    <w:rsid w:val="00232890"/>
    <w:rsid w:val="00232E2C"/>
    <w:rsid w:val="00232F40"/>
    <w:rsid w:val="00233082"/>
    <w:rsid w:val="00233C40"/>
    <w:rsid w:val="00234420"/>
    <w:rsid w:val="002348E1"/>
    <w:rsid w:val="00234D71"/>
    <w:rsid w:val="00234D81"/>
    <w:rsid w:val="00234F4A"/>
    <w:rsid w:val="002351B9"/>
    <w:rsid w:val="0023529F"/>
    <w:rsid w:val="002354F1"/>
    <w:rsid w:val="00235F02"/>
    <w:rsid w:val="0023648A"/>
    <w:rsid w:val="00236D19"/>
    <w:rsid w:val="00236D9E"/>
    <w:rsid w:val="0023706B"/>
    <w:rsid w:val="0023721A"/>
    <w:rsid w:val="002379FA"/>
    <w:rsid w:val="00237C5D"/>
    <w:rsid w:val="002408C8"/>
    <w:rsid w:val="002409F7"/>
    <w:rsid w:val="00240C2A"/>
    <w:rsid w:val="00240C4F"/>
    <w:rsid w:val="00241BFA"/>
    <w:rsid w:val="00241D6D"/>
    <w:rsid w:val="0024257F"/>
    <w:rsid w:val="002427EC"/>
    <w:rsid w:val="00242EC9"/>
    <w:rsid w:val="00243508"/>
    <w:rsid w:val="002436DE"/>
    <w:rsid w:val="002436E9"/>
    <w:rsid w:val="00243B46"/>
    <w:rsid w:val="0024478D"/>
    <w:rsid w:val="00244994"/>
    <w:rsid w:val="00244A77"/>
    <w:rsid w:val="00244D23"/>
    <w:rsid w:val="00244F85"/>
    <w:rsid w:val="0024526A"/>
    <w:rsid w:val="002453F0"/>
    <w:rsid w:val="0024556B"/>
    <w:rsid w:val="00245C23"/>
    <w:rsid w:val="00245C87"/>
    <w:rsid w:val="00245F3C"/>
    <w:rsid w:val="00246119"/>
    <w:rsid w:val="0024619D"/>
    <w:rsid w:val="00246448"/>
    <w:rsid w:val="0024662A"/>
    <w:rsid w:val="00246744"/>
    <w:rsid w:val="00246A5D"/>
    <w:rsid w:val="00247739"/>
    <w:rsid w:val="002477B5"/>
    <w:rsid w:val="00247D81"/>
    <w:rsid w:val="00247E3D"/>
    <w:rsid w:val="00250261"/>
    <w:rsid w:val="002508B6"/>
    <w:rsid w:val="00250CC6"/>
    <w:rsid w:val="002512B8"/>
    <w:rsid w:val="00251659"/>
    <w:rsid w:val="00251770"/>
    <w:rsid w:val="00251D91"/>
    <w:rsid w:val="00252370"/>
    <w:rsid w:val="00252454"/>
    <w:rsid w:val="00252DC6"/>
    <w:rsid w:val="002530A7"/>
    <w:rsid w:val="00253265"/>
    <w:rsid w:val="00253279"/>
    <w:rsid w:val="00253786"/>
    <w:rsid w:val="00253F04"/>
    <w:rsid w:val="00254757"/>
    <w:rsid w:val="00254DC1"/>
    <w:rsid w:val="00254ECF"/>
    <w:rsid w:val="002550AB"/>
    <w:rsid w:val="0025529A"/>
    <w:rsid w:val="0025538F"/>
    <w:rsid w:val="0025556A"/>
    <w:rsid w:val="0025568B"/>
    <w:rsid w:val="00255A1F"/>
    <w:rsid w:val="00255BD6"/>
    <w:rsid w:val="0025629D"/>
    <w:rsid w:val="002564DC"/>
    <w:rsid w:val="00257857"/>
    <w:rsid w:val="00257927"/>
    <w:rsid w:val="00257A1B"/>
    <w:rsid w:val="00257B18"/>
    <w:rsid w:val="00257F59"/>
    <w:rsid w:val="00260078"/>
    <w:rsid w:val="00260319"/>
    <w:rsid w:val="002607E4"/>
    <w:rsid w:val="00260A5D"/>
    <w:rsid w:val="00260CDF"/>
    <w:rsid w:val="0026169E"/>
    <w:rsid w:val="00262399"/>
    <w:rsid w:val="00262565"/>
    <w:rsid w:val="002626D4"/>
    <w:rsid w:val="002627E5"/>
    <w:rsid w:val="00262870"/>
    <w:rsid w:val="00262A02"/>
    <w:rsid w:val="00262F71"/>
    <w:rsid w:val="002630A4"/>
    <w:rsid w:val="002635CA"/>
    <w:rsid w:val="002638E3"/>
    <w:rsid w:val="00263901"/>
    <w:rsid w:val="0026408D"/>
    <w:rsid w:val="00264358"/>
    <w:rsid w:val="00264F22"/>
    <w:rsid w:val="00264F4B"/>
    <w:rsid w:val="00265258"/>
    <w:rsid w:val="002654D8"/>
    <w:rsid w:val="00265B78"/>
    <w:rsid w:val="00266101"/>
    <w:rsid w:val="002661AD"/>
    <w:rsid w:val="0026633C"/>
    <w:rsid w:val="00266592"/>
    <w:rsid w:val="00266A87"/>
    <w:rsid w:val="00267604"/>
    <w:rsid w:val="00267747"/>
    <w:rsid w:val="00267D39"/>
    <w:rsid w:val="00267D7E"/>
    <w:rsid w:val="0027037C"/>
    <w:rsid w:val="002707E3"/>
    <w:rsid w:val="00270B2D"/>
    <w:rsid w:val="00270BD4"/>
    <w:rsid w:val="00270E1B"/>
    <w:rsid w:val="00271373"/>
    <w:rsid w:val="00271CD5"/>
    <w:rsid w:val="00271E5E"/>
    <w:rsid w:val="00272185"/>
    <w:rsid w:val="002722C1"/>
    <w:rsid w:val="0027244D"/>
    <w:rsid w:val="0027249C"/>
    <w:rsid w:val="00272811"/>
    <w:rsid w:val="0027286F"/>
    <w:rsid w:val="002728D7"/>
    <w:rsid w:val="00272D2B"/>
    <w:rsid w:val="00273603"/>
    <w:rsid w:val="00273757"/>
    <w:rsid w:val="002739AB"/>
    <w:rsid w:val="002743AB"/>
    <w:rsid w:val="0027456A"/>
    <w:rsid w:val="00274C4B"/>
    <w:rsid w:val="002752DA"/>
    <w:rsid w:val="00275318"/>
    <w:rsid w:val="00275889"/>
    <w:rsid w:val="00275925"/>
    <w:rsid w:val="002761A7"/>
    <w:rsid w:val="002761F3"/>
    <w:rsid w:val="002762CE"/>
    <w:rsid w:val="002763B8"/>
    <w:rsid w:val="00277D48"/>
    <w:rsid w:val="00277D61"/>
    <w:rsid w:val="00277E04"/>
    <w:rsid w:val="00280977"/>
    <w:rsid w:val="00281471"/>
    <w:rsid w:val="0028147E"/>
    <w:rsid w:val="00281D23"/>
    <w:rsid w:val="00281EA6"/>
    <w:rsid w:val="00281F6A"/>
    <w:rsid w:val="002832BF"/>
    <w:rsid w:val="00283B8D"/>
    <w:rsid w:val="00283E16"/>
    <w:rsid w:val="00284025"/>
    <w:rsid w:val="00284455"/>
    <w:rsid w:val="00284590"/>
    <w:rsid w:val="00284636"/>
    <w:rsid w:val="00284796"/>
    <w:rsid w:val="00284876"/>
    <w:rsid w:val="00285282"/>
    <w:rsid w:val="00285424"/>
    <w:rsid w:val="00285620"/>
    <w:rsid w:val="00285852"/>
    <w:rsid w:val="00285C9D"/>
    <w:rsid w:val="0028601D"/>
    <w:rsid w:val="0028607C"/>
    <w:rsid w:val="00286497"/>
    <w:rsid w:val="002864AA"/>
    <w:rsid w:val="002866A0"/>
    <w:rsid w:val="00286923"/>
    <w:rsid w:val="00286A75"/>
    <w:rsid w:val="00286D52"/>
    <w:rsid w:val="002900C5"/>
    <w:rsid w:val="0029081B"/>
    <w:rsid w:val="00290960"/>
    <w:rsid w:val="002913E3"/>
    <w:rsid w:val="00291505"/>
    <w:rsid w:val="00291769"/>
    <w:rsid w:val="002918FE"/>
    <w:rsid w:val="00292460"/>
    <w:rsid w:val="002929C1"/>
    <w:rsid w:val="00292B65"/>
    <w:rsid w:val="00293313"/>
    <w:rsid w:val="00293442"/>
    <w:rsid w:val="00293461"/>
    <w:rsid w:val="002938DC"/>
    <w:rsid w:val="00293A0B"/>
    <w:rsid w:val="00293B11"/>
    <w:rsid w:val="00293B49"/>
    <w:rsid w:val="00293DE9"/>
    <w:rsid w:val="00293E35"/>
    <w:rsid w:val="00293FB4"/>
    <w:rsid w:val="002944D5"/>
    <w:rsid w:val="002951EB"/>
    <w:rsid w:val="00295596"/>
    <w:rsid w:val="00295CB6"/>
    <w:rsid w:val="00296078"/>
    <w:rsid w:val="002964AC"/>
    <w:rsid w:val="00296AE9"/>
    <w:rsid w:val="00296D09"/>
    <w:rsid w:val="00296DDC"/>
    <w:rsid w:val="00297040"/>
    <w:rsid w:val="00297180"/>
    <w:rsid w:val="00297CA0"/>
    <w:rsid w:val="002A009A"/>
    <w:rsid w:val="002A00C0"/>
    <w:rsid w:val="002A097D"/>
    <w:rsid w:val="002A0A47"/>
    <w:rsid w:val="002A170E"/>
    <w:rsid w:val="002A18AB"/>
    <w:rsid w:val="002A19CA"/>
    <w:rsid w:val="002A1A1F"/>
    <w:rsid w:val="002A1BCF"/>
    <w:rsid w:val="002A1C5D"/>
    <w:rsid w:val="002A2DF7"/>
    <w:rsid w:val="002A2FBF"/>
    <w:rsid w:val="002A32C2"/>
    <w:rsid w:val="002A35B4"/>
    <w:rsid w:val="002A3671"/>
    <w:rsid w:val="002A36F1"/>
    <w:rsid w:val="002A384F"/>
    <w:rsid w:val="002A3B30"/>
    <w:rsid w:val="002A4A03"/>
    <w:rsid w:val="002A4DB4"/>
    <w:rsid w:val="002A50D9"/>
    <w:rsid w:val="002A556C"/>
    <w:rsid w:val="002A5704"/>
    <w:rsid w:val="002A5970"/>
    <w:rsid w:val="002A603C"/>
    <w:rsid w:val="002A623B"/>
    <w:rsid w:val="002A6561"/>
    <w:rsid w:val="002A739D"/>
    <w:rsid w:val="002A7875"/>
    <w:rsid w:val="002A789C"/>
    <w:rsid w:val="002A7CA5"/>
    <w:rsid w:val="002A7DAD"/>
    <w:rsid w:val="002A7DF8"/>
    <w:rsid w:val="002B0182"/>
    <w:rsid w:val="002B06FD"/>
    <w:rsid w:val="002B0AA5"/>
    <w:rsid w:val="002B12B6"/>
    <w:rsid w:val="002B191E"/>
    <w:rsid w:val="002B2604"/>
    <w:rsid w:val="002B285B"/>
    <w:rsid w:val="002B2BC3"/>
    <w:rsid w:val="002B32CC"/>
    <w:rsid w:val="002B33FE"/>
    <w:rsid w:val="002B3AA4"/>
    <w:rsid w:val="002B408F"/>
    <w:rsid w:val="002B45A2"/>
    <w:rsid w:val="002B464C"/>
    <w:rsid w:val="002B4AC2"/>
    <w:rsid w:val="002B5157"/>
    <w:rsid w:val="002B5172"/>
    <w:rsid w:val="002B56BB"/>
    <w:rsid w:val="002B5E04"/>
    <w:rsid w:val="002B65EE"/>
    <w:rsid w:val="002B671E"/>
    <w:rsid w:val="002B709B"/>
    <w:rsid w:val="002B763C"/>
    <w:rsid w:val="002B7B80"/>
    <w:rsid w:val="002C0A52"/>
    <w:rsid w:val="002C0BDC"/>
    <w:rsid w:val="002C0C3E"/>
    <w:rsid w:val="002C0CB9"/>
    <w:rsid w:val="002C1154"/>
    <w:rsid w:val="002C1AA4"/>
    <w:rsid w:val="002C1AEC"/>
    <w:rsid w:val="002C1D11"/>
    <w:rsid w:val="002C1EAD"/>
    <w:rsid w:val="002C420B"/>
    <w:rsid w:val="002C45C3"/>
    <w:rsid w:val="002C463D"/>
    <w:rsid w:val="002C4F6B"/>
    <w:rsid w:val="002C571D"/>
    <w:rsid w:val="002C5A20"/>
    <w:rsid w:val="002C5E5F"/>
    <w:rsid w:val="002C60BC"/>
    <w:rsid w:val="002C6120"/>
    <w:rsid w:val="002C634E"/>
    <w:rsid w:val="002C6483"/>
    <w:rsid w:val="002C6A05"/>
    <w:rsid w:val="002C7567"/>
    <w:rsid w:val="002C7E1B"/>
    <w:rsid w:val="002C7E93"/>
    <w:rsid w:val="002D0162"/>
    <w:rsid w:val="002D0227"/>
    <w:rsid w:val="002D0783"/>
    <w:rsid w:val="002D0872"/>
    <w:rsid w:val="002D10ED"/>
    <w:rsid w:val="002D11AA"/>
    <w:rsid w:val="002D1827"/>
    <w:rsid w:val="002D21CA"/>
    <w:rsid w:val="002D22C7"/>
    <w:rsid w:val="002D37E5"/>
    <w:rsid w:val="002D4072"/>
    <w:rsid w:val="002D434F"/>
    <w:rsid w:val="002D4515"/>
    <w:rsid w:val="002D4774"/>
    <w:rsid w:val="002D49E9"/>
    <w:rsid w:val="002D5614"/>
    <w:rsid w:val="002D5A35"/>
    <w:rsid w:val="002D5CBE"/>
    <w:rsid w:val="002D5D98"/>
    <w:rsid w:val="002D5FF3"/>
    <w:rsid w:val="002D6A02"/>
    <w:rsid w:val="002D6B26"/>
    <w:rsid w:val="002D6CD5"/>
    <w:rsid w:val="002D72F9"/>
    <w:rsid w:val="002D7965"/>
    <w:rsid w:val="002D7FDA"/>
    <w:rsid w:val="002E023F"/>
    <w:rsid w:val="002E0240"/>
    <w:rsid w:val="002E05F4"/>
    <w:rsid w:val="002E13C1"/>
    <w:rsid w:val="002E1DA5"/>
    <w:rsid w:val="002E1FB9"/>
    <w:rsid w:val="002E28C7"/>
    <w:rsid w:val="002E295D"/>
    <w:rsid w:val="002E297F"/>
    <w:rsid w:val="002E2D7B"/>
    <w:rsid w:val="002E3052"/>
    <w:rsid w:val="002E31A9"/>
    <w:rsid w:val="002E33EE"/>
    <w:rsid w:val="002E3511"/>
    <w:rsid w:val="002E35F4"/>
    <w:rsid w:val="002E3B36"/>
    <w:rsid w:val="002E3F22"/>
    <w:rsid w:val="002E4516"/>
    <w:rsid w:val="002E4641"/>
    <w:rsid w:val="002E4652"/>
    <w:rsid w:val="002E5310"/>
    <w:rsid w:val="002E54D8"/>
    <w:rsid w:val="002E57F1"/>
    <w:rsid w:val="002E5CBF"/>
    <w:rsid w:val="002E69A1"/>
    <w:rsid w:val="002E70EA"/>
    <w:rsid w:val="002E72BB"/>
    <w:rsid w:val="002E7390"/>
    <w:rsid w:val="002E7577"/>
    <w:rsid w:val="002E7645"/>
    <w:rsid w:val="002E79C8"/>
    <w:rsid w:val="002E7AA0"/>
    <w:rsid w:val="002E7EA8"/>
    <w:rsid w:val="002E7F26"/>
    <w:rsid w:val="002F043C"/>
    <w:rsid w:val="002F08C9"/>
    <w:rsid w:val="002F08F1"/>
    <w:rsid w:val="002F102D"/>
    <w:rsid w:val="002F11DE"/>
    <w:rsid w:val="002F130D"/>
    <w:rsid w:val="002F1806"/>
    <w:rsid w:val="002F1878"/>
    <w:rsid w:val="002F1A3F"/>
    <w:rsid w:val="002F1F48"/>
    <w:rsid w:val="002F24DA"/>
    <w:rsid w:val="002F2574"/>
    <w:rsid w:val="002F270D"/>
    <w:rsid w:val="002F30BC"/>
    <w:rsid w:val="002F3361"/>
    <w:rsid w:val="002F3D40"/>
    <w:rsid w:val="002F3FDD"/>
    <w:rsid w:val="002F43F8"/>
    <w:rsid w:val="002F498A"/>
    <w:rsid w:val="002F4B01"/>
    <w:rsid w:val="002F4B14"/>
    <w:rsid w:val="002F4C3C"/>
    <w:rsid w:val="002F4E2B"/>
    <w:rsid w:val="002F6291"/>
    <w:rsid w:val="002F6C17"/>
    <w:rsid w:val="002F6F00"/>
    <w:rsid w:val="002F7154"/>
    <w:rsid w:val="002F784E"/>
    <w:rsid w:val="002F7CFA"/>
    <w:rsid w:val="002F7E0B"/>
    <w:rsid w:val="002F7E3C"/>
    <w:rsid w:val="0030013B"/>
    <w:rsid w:val="0030057F"/>
    <w:rsid w:val="00300A37"/>
    <w:rsid w:val="00300E1E"/>
    <w:rsid w:val="00301061"/>
    <w:rsid w:val="0030112F"/>
    <w:rsid w:val="003012B3"/>
    <w:rsid w:val="003016DE"/>
    <w:rsid w:val="003016F8"/>
    <w:rsid w:val="00301FF8"/>
    <w:rsid w:val="00302899"/>
    <w:rsid w:val="00303A09"/>
    <w:rsid w:val="00303F7F"/>
    <w:rsid w:val="00303FE5"/>
    <w:rsid w:val="003040A0"/>
    <w:rsid w:val="00304311"/>
    <w:rsid w:val="00304792"/>
    <w:rsid w:val="00304992"/>
    <w:rsid w:val="003049DA"/>
    <w:rsid w:val="00304DBE"/>
    <w:rsid w:val="00304E46"/>
    <w:rsid w:val="003055D3"/>
    <w:rsid w:val="00306D2A"/>
    <w:rsid w:val="00307187"/>
    <w:rsid w:val="00307465"/>
    <w:rsid w:val="00307C5B"/>
    <w:rsid w:val="00307EFA"/>
    <w:rsid w:val="0031039E"/>
    <w:rsid w:val="003103A5"/>
    <w:rsid w:val="00310604"/>
    <w:rsid w:val="00310606"/>
    <w:rsid w:val="00310DC2"/>
    <w:rsid w:val="00311B8D"/>
    <w:rsid w:val="00312879"/>
    <w:rsid w:val="00312946"/>
    <w:rsid w:val="00312D55"/>
    <w:rsid w:val="00312F33"/>
    <w:rsid w:val="00313160"/>
    <w:rsid w:val="00313360"/>
    <w:rsid w:val="00313472"/>
    <w:rsid w:val="0031356A"/>
    <w:rsid w:val="0031399E"/>
    <w:rsid w:val="00313C3D"/>
    <w:rsid w:val="00313D36"/>
    <w:rsid w:val="00313D93"/>
    <w:rsid w:val="003143FB"/>
    <w:rsid w:val="003145C2"/>
    <w:rsid w:val="00314AAC"/>
    <w:rsid w:val="003154CF"/>
    <w:rsid w:val="0031579F"/>
    <w:rsid w:val="00315E7E"/>
    <w:rsid w:val="003163E7"/>
    <w:rsid w:val="00316FC5"/>
    <w:rsid w:val="00317006"/>
    <w:rsid w:val="003170A4"/>
    <w:rsid w:val="003173A1"/>
    <w:rsid w:val="00317B98"/>
    <w:rsid w:val="00317D2A"/>
    <w:rsid w:val="00320382"/>
    <w:rsid w:val="0032046E"/>
    <w:rsid w:val="0032049F"/>
    <w:rsid w:val="00320737"/>
    <w:rsid w:val="003207EE"/>
    <w:rsid w:val="00320869"/>
    <w:rsid w:val="0032097B"/>
    <w:rsid w:val="00320DAA"/>
    <w:rsid w:val="00321517"/>
    <w:rsid w:val="00322458"/>
    <w:rsid w:val="0032266C"/>
    <w:rsid w:val="00322B4C"/>
    <w:rsid w:val="00323A37"/>
    <w:rsid w:val="003242DC"/>
    <w:rsid w:val="00324487"/>
    <w:rsid w:val="0032455C"/>
    <w:rsid w:val="0032482F"/>
    <w:rsid w:val="003248B3"/>
    <w:rsid w:val="00324A9F"/>
    <w:rsid w:val="00324C4C"/>
    <w:rsid w:val="00324F6D"/>
    <w:rsid w:val="00325027"/>
    <w:rsid w:val="0032563E"/>
    <w:rsid w:val="00325CB9"/>
    <w:rsid w:val="00325E8E"/>
    <w:rsid w:val="00325FE9"/>
    <w:rsid w:val="00326435"/>
    <w:rsid w:val="003266DC"/>
    <w:rsid w:val="00326CB4"/>
    <w:rsid w:val="003272FA"/>
    <w:rsid w:val="003274C8"/>
    <w:rsid w:val="00327CD5"/>
    <w:rsid w:val="0033045B"/>
    <w:rsid w:val="00330CA4"/>
    <w:rsid w:val="00330E16"/>
    <w:rsid w:val="00331498"/>
    <w:rsid w:val="00331CD4"/>
    <w:rsid w:val="003327E9"/>
    <w:rsid w:val="0033296A"/>
    <w:rsid w:val="00332AAF"/>
    <w:rsid w:val="00332F1C"/>
    <w:rsid w:val="003333A4"/>
    <w:rsid w:val="00333506"/>
    <w:rsid w:val="00333672"/>
    <w:rsid w:val="00333F1F"/>
    <w:rsid w:val="00334141"/>
    <w:rsid w:val="0033437E"/>
    <w:rsid w:val="00334448"/>
    <w:rsid w:val="003353D8"/>
    <w:rsid w:val="00335DB5"/>
    <w:rsid w:val="00335E12"/>
    <w:rsid w:val="00336097"/>
    <w:rsid w:val="00336541"/>
    <w:rsid w:val="003365E1"/>
    <w:rsid w:val="0033691E"/>
    <w:rsid w:val="00336AFA"/>
    <w:rsid w:val="003370E9"/>
    <w:rsid w:val="00337157"/>
    <w:rsid w:val="003372F0"/>
    <w:rsid w:val="0033793D"/>
    <w:rsid w:val="00337DDA"/>
    <w:rsid w:val="003400CC"/>
    <w:rsid w:val="0034029B"/>
    <w:rsid w:val="00340701"/>
    <w:rsid w:val="00340AD2"/>
    <w:rsid w:val="003414A7"/>
    <w:rsid w:val="00341C5E"/>
    <w:rsid w:val="00342869"/>
    <w:rsid w:val="00342EB5"/>
    <w:rsid w:val="00343404"/>
    <w:rsid w:val="00343906"/>
    <w:rsid w:val="00343A92"/>
    <w:rsid w:val="00343CB2"/>
    <w:rsid w:val="00344B35"/>
    <w:rsid w:val="003450A8"/>
    <w:rsid w:val="0034532A"/>
    <w:rsid w:val="00345488"/>
    <w:rsid w:val="00345B9E"/>
    <w:rsid w:val="00345C65"/>
    <w:rsid w:val="00345C94"/>
    <w:rsid w:val="00345D58"/>
    <w:rsid w:val="003466E1"/>
    <w:rsid w:val="00346B13"/>
    <w:rsid w:val="00346C65"/>
    <w:rsid w:val="00346F36"/>
    <w:rsid w:val="00347575"/>
    <w:rsid w:val="003476F3"/>
    <w:rsid w:val="00347839"/>
    <w:rsid w:val="00347FC1"/>
    <w:rsid w:val="00352281"/>
    <w:rsid w:val="00352BB2"/>
    <w:rsid w:val="00352BD7"/>
    <w:rsid w:val="00353A15"/>
    <w:rsid w:val="00353B30"/>
    <w:rsid w:val="00354BFB"/>
    <w:rsid w:val="00354C97"/>
    <w:rsid w:val="00354E56"/>
    <w:rsid w:val="00354E6C"/>
    <w:rsid w:val="00354F94"/>
    <w:rsid w:val="00355068"/>
    <w:rsid w:val="00355108"/>
    <w:rsid w:val="0035558B"/>
    <w:rsid w:val="00355A7A"/>
    <w:rsid w:val="00355F92"/>
    <w:rsid w:val="003560D0"/>
    <w:rsid w:val="00356173"/>
    <w:rsid w:val="0035677C"/>
    <w:rsid w:val="00357264"/>
    <w:rsid w:val="0035739B"/>
    <w:rsid w:val="003575F5"/>
    <w:rsid w:val="003578F6"/>
    <w:rsid w:val="003579A2"/>
    <w:rsid w:val="003604B4"/>
    <w:rsid w:val="003611EE"/>
    <w:rsid w:val="003613B1"/>
    <w:rsid w:val="00361955"/>
    <w:rsid w:val="00361A2F"/>
    <w:rsid w:val="00361B5F"/>
    <w:rsid w:val="00362475"/>
    <w:rsid w:val="0036265A"/>
    <w:rsid w:val="0036267A"/>
    <w:rsid w:val="0036272B"/>
    <w:rsid w:val="0036298C"/>
    <w:rsid w:val="00362B22"/>
    <w:rsid w:val="003630EA"/>
    <w:rsid w:val="003636A6"/>
    <w:rsid w:val="00363D5B"/>
    <w:rsid w:val="003640C8"/>
    <w:rsid w:val="0036561A"/>
    <w:rsid w:val="00365754"/>
    <w:rsid w:val="00365877"/>
    <w:rsid w:val="00365E68"/>
    <w:rsid w:val="0036682C"/>
    <w:rsid w:val="00366D9E"/>
    <w:rsid w:val="00367264"/>
    <w:rsid w:val="00367B88"/>
    <w:rsid w:val="00367C6C"/>
    <w:rsid w:val="00370090"/>
    <w:rsid w:val="00370146"/>
    <w:rsid w:val="00370CEF"/>
    <w:rsid w:val="00370DDE"/>
    <w:rsid w:val="003712CD"/>
    <w:rsid w:val="003715B5"/>
    <w:rsid w:val="00372449"/>
    <w:rsid w:val="0037258F"/>
    <w:rsid w:val="003725A8"/>
    <w:rsid w:val="0037279A"/>
    <w:rsid w:val="00372978"/>
    <w:rsid w:val="003730B4"/>
    <w:rsid w:val="00373638"/>
    <w:rsid w:val="00373A76"/>
    <w:rsid w:val="00373CFD"/>
    <w:rsid w:val="00374061"/>
    <w:rsid w:val="003741C4"/>
    <w:rsid w:val="003742AC"/>
    <w:rsid w:val="003744C8"/>
    <w:rsid w:val="0037512B"/>
    <w:rsid w:val="0037537A"/>
    <w:rsid w:val="003753DD"/>
    <w:rsid w:val="003757B6"/>
    <w:rsid w:val="00375B38"/>
    <w:rsid w:val="00377171"/>
    <w:rsid w:val="00377BB7"/>
    <w:rsid w:val="003807C5"/>
    <w:rsid w:val="00380903"/>
    <w:rsid w:val="00380AED"/>
    <w:rsid w:val="00380B14"/>
    <w:rsid w:val="00380EDC"/>
    <w:rsid w:val="00381284"/>
    <w:rsid w:val="00381BDF"/>
    <w:rsid w:val="00381E3C"/>
    <w:rsid w:val="00382270"/>
    <w:rsid w:val="00382AB9"/>
    <w:rsid w:val="00382C4D"/>
    <w:rsid w:val="00383164"/>
    <w:rsid w:val="003836CC"/>
    <w:rsid w:val="003837A2"/>
    <w:rsid w:val="00383AD8"/>
    <w:rsid w:val="00383AFC"/>
    <w:rsid w:val="003846F2"/>
    <w:rsid w:val="00384B25"/>
    <w:rsid w:val="00384B6F"/>
    <w:rsid w:val="00386569"/>
    <w:rsid w:val="00386A75"/>
    <w:rsid w:val="00386BF3"/>
    <w:rsid w:val="00386CFE"/>
    <w:rsid w:val="00386DCA"/>
    <w:rsid w:val="00386EEB"/>
    <w:rsid w:val="0038713C"/>
    <w:rsid w:val="003874C7"/>
    <w:rsid w:val="003877FC"/>
    <w:rsid w:val="00387909"/>
    <w:rsid w:val="003879C8"/>
    <w:rsid w:val="00387B1A"/>
    <w:rsid w:val="00387CE7"/>
    <w:rsid w:val="003900D2"/>
    <w:rsid w:val="0039059D"/>
    <w:rsid w:val="00390928"/>
    <w:rsid w:val="00390ABE"/>
    <w:rsid w:val="0039141E"/>
    <w:rsid w:val="003915A1"/>
    <w:rsid w:val="0039166F"/>
    <w:rsid w:val="003917BC"/>
    <w:rsid w:val="00391D3B"/>
    <w:rsid w:val="00391D6B"/>
    <w:rsid w:val="00391E11"/>
    <w:rsid w:val="00391F76"/>
    <w:rsid w:val="0039218F"/>
    <w:rsid w:val="00392413"/>
    <w:rsid w:val="00392955"/>
    <w:rsid w:val="00393AE8"/>
    <w:rsid w:val="0039406A"/>
    <w:rsid w:val="003941F2"/>
    <w:rsid w:val="0039468E"/>
    <w:rsid w:val="00395271"/>
    <w:rsid w:val="0039578D"/>
    <w:rsid w:val="00395DD8"/>
    <w:rsid w:val="00395EDC"/>
    <w:rsid w:val="003961C7"/>
    <w:rsid w:val="00396E7C"/>
    <w:rsid w:val="00397495"/>
    <w:rsid w:val="003974DD"/>
    <w:rsid w:val="00397776"/>
    <w:rsid w:val="003979BC"/>
    <w:rsid w:val="00397BA2"/>
    <w:rsid w:val="00397FED"/>
    <w:rsid w:val="003A0D90"/>
    <w:rsid w:val="003A0DF5"/>
    <w:rsid w:val="003A1491"/>
    <w:rsid w:val="003A1BB3"/>
    <w:rsid w:val="003A1ED7"/>
    <w:rsid w:val="003A21F8"/>
    <w:rsid w:val="003A2E28"/>
    <w:rsid w:val="003A319D"/>
    <w:rsid w:val="003A3328"/>
    <w:rsid w:val="003A348D"/>
    <w:rsid w:val="003A3715"/>
    <w:rsid w:val="003A3B0A"/>
    <w:rsid w:val="003A4853"/>
    <w:rsid w:val="003A4B5A"/>
    <w:rsid w:val="003A4E72"/>
    <w:rsid w:val="003A4EF8"/>
    <w:rsid w:val="003A4F06"/>
    <w:rsid w:val="003A55DF"/>
    <w:rsid w:val="003A5AAC"/>
    <w:rsid w:val="003A5BC3"/>
    <w:rsid w:val="003A6816"/>
    <w:rsid w:val="003A71C1"/>
    <w:rsid w:val="003A7AC6"/>
    <w:rsid w:val="003A7AC8"/>
    <w:rsid w:val="003A7D70"/>
    <w:rsid w:val="003B0162"/>
    <w:rsid w:val="003B04CD"/>
    <w:rsid w:val="003B04F4"/>
    <w:rsid w:val="003B05BA"/>
    <w:rsid w:val="003B05F0"/>
    <w:rsid w:val="003B067C"/>
    <w:rsid w:val="003B0A14"/>
    <w:rsid w:val="003B0F9A"/>
    <w:rsid w:val="003B11D2"/>
    <w:rsid w:val="003B2910"/>
    <w:rsid w:val="003B3548"/>
    <w:rsid w:val="003B3A4C"/>
    <w:rsid w:val="003B3C58"/>
    <w:rsid w:val="003B3FFB"/>
    <w:rsid w:val="003B47C2"/>
    <w:rsid w:val="003B516C"/>
    <w:rsid w:val="003B51F1"/>
    <w:rsid w:val="003B58C1"/>
    <w:rsid w:val="003B5B4E"/>
    <w:rsid w:val="003B5FBF"/>
    <w:rsid w:val="003B6320"/>
    <w:rsid w:val="003B68D7"/>
    <w:rsid w:val="003B6C0F"/>
    <w:rsid w:val="003B6E74"/>
    <w:rsid w:val="003B750F"/>
    <w:rsid w:val="003B7AE1"/>
    <w:rsid w:val="003B7B4A"/>
    <w:rsid w:val="003B7C4A"/>
    <w:rsid w:val="003B7F82"/>
    <w:rsid w:val="003C013C"/>
    <w:rsid w:val="003C0870"/>
    <w:rsid w:val="003C09A8"/>
    <w:rsid w:val="003C0BB1"/>
    <w:rsid w:val="003C0FA8"/>
    <w:rsid w:val="003C101F"/>
    <w:rsid w:val="003C24BA"/>
    <w:rsid w:val="003C2775"/>
    <w:rsid w:val="003C2850"/>
    <w:rsid w:val="003C2AC7"/>
    <w:rsid w:val="003C31D3"/>
    <w:rsid w:val="003C374A"/>
    <w:rsid w:val="003C37F7"/>
    <w:rsid w:val="003C3FC2"/>
    <w:rsid w:val="003C40AE"/>
    <w:rsid w:val="003C44C0"/>
    <w:rsid w:val="003C4D22"/>
    <w:rsid w:val="003C4DAB"/>
    <w:rsid w:val="003C5E09"/>
    <w:rsid w:val="003C5E31"/>
    <w:rsid w:val="003C674E"/>
    <w:rsid w:val="003C68AF"/>
    <w:rsid w:val="003C6E6C"/>
    <w:rsid w:val="003C73D7"/>
    <w:rsid w:val="003C7406"/>
    <w:rsid w:val="003C77BD"/>
    <w:rsid w:val="003C7978"/>
    <w:rsid w:val="003C7BFA"/>
    <w:rsid w:val="003C7DA4"/>
    <w:rsid w:val="003D0066"/>
    <w:rsid w:val="003D02D1"/>
    <w:rsid w:val="003D04F4"/>
    <w:rsid w:val="003D14A1"/>
    <w:rsid w:val="003D1AD2"/>
    <w:rsid w:val="003D2168"/>
    <w:rsid w:val="003D22B4"/>
    <w:rsid w:val="003D22F6"/>
    <w:rsid w:val="003D277E"/>
    <w:rsid w:val="003D287A"/>
    <w:rsid w:val="003D2BFA"/>
    <w:rsid w:val="003D2C38"/>
    <w:rsid w:val="003D3322"/>
    <w:rsid w:val="003D3486"/>
    <w:rsid w:val="003D3D9E"/>
    <w:rsid w:val="003D434C"/>
    <w:rsid w:val="003D51F1"/>
    <w:rsid w:val="003D523E"/>
    <w:rsid w:val="003D5E15"/>
    <w:rsid w:val="003D5E83"/>
    <w:rsid w:val="003D5FA2"/>
    <w:rsid w:val="003D675E"/>
    <w:rsid w:val="003D6D1D"/>
    <w:rsid w:val="003D75E3"/>
    <w:rsid w:val="003D7E9C"/>
    <w:rsid w:val="003E007B"/>
    <w:rsid w:val="003E01D0"/>
    <w:rsid w:val="003E02B6"/>
    <w:rsid w:val="003E073A"/>
    <w:rsid w:val="003E0DC4"/>
    <w:rsid w:val="003E0F9E"/>
    <w:rsid w:val="003E2667"/>
    <w:rsid w:val="003E2808"/>
    <w:rsid w:val="003E297E"/>
    <w:rsid w:val="003E3149"/>
    <w:rsid w:val="003E3668"/>
    <w:rsid w:val="003E36F0"/>
    <w:rsid w:val="003E398D"/>
    <w:rsid w:val="003E3A00"/>
    <w:rsid w:val="003E3B2A"/>
    <w:rsid w:val="003E3C05"/>
    <w:rsid w:val="003E42C1"/>
    <w:rsid w:val="003E4520"/>
    <w:rsid w:val="003E50C0"/>
    <w:rsid w:val="003E52A0"/>
    <w:rsid w:val="003E530D"/>
    <w:rsid w:val="003E548F"/>
    <w:rsid w:val="003E585C"/>
    <w:rsid w:val="003E5AEC"/>
    <w:rsid w:val="003E5B4C"/>
    <w:rsid w:val="003E5E2B"/>
    <w:rsid w:val="003E610D"/>
    <w:rsid w:val="003E61DF"/>
    <w:rsid w:val="003E6A5E"/>
    <w:rsid w:val="003E6EC8"/>
    <w:rsid w:val="003E710B"/>
    <w:rsid w:val="003E7849"/>
    <w:rsid w:val="003E7DDE"/>
    <w:rsid w:val="003F00A1"/>
    <w:rsid w:val="003F0409"/>
    <w:rsid w:val="003F0757"/>
    <w:rsid w:val="003F07DD"/>
    <w:rsid w:val="003F08DE"/>
    <w:rsid w:val="003F0DEF"/>
    <w:rsid w:val="003F1302"/>
    <w:rsid w:val="003F1447"/>
    <w:rsid w:val="003F19ED"/>
    <w:rsid w:val="003F26BC"/>
    <w:rsid w:val="003F280D"/>
    <w:rsid w:val="003F287A"/>
    <w:rsid w:val="003F28D1"/>
    <w:rsid w:val="003F2DF8"/>
    <w:rsid w:val="003F3842"/>
    <w:rsid w:val="003F3958"/>
    <w:rsid w:val="003F3AAD"/>
    <w:rsid w:val="003F3E46"/>
    <w:rsid w:val="003F4337"/>
    <w:rsid w:val="003F448D"/>
    <w:rsid w:val="003F47AE"/>
    <w:rsid w:val="003F4BE5"/>
    <w:rsid w:val="003F4E2A"/>
    <w:rsid w:val="003F54FB"/>
    <w:rsid w:val="003F5A07"/>
    <w:rsid w:val="003F62A5"/>
    <w:rsid w:val="003F6961"/>
    <w:rsid w:val="003F6B35"/>
    <w:rsid w:val="003F7844"/>
    <w:rsid w:val="003F7BD2"/>
    <w:rsid w:val="004003D1"/>
    <w:rsid w:val="00400785"/>
    <w:rsid w:val="004008D1"/>
    <w:rsid w:val="00400B61"/>
    <w:rsid w:val="004011C3"/>
    <w:rsid w:val="00401578"/>
    <w:rsid w:val="0040163D"/>
    <w:rsid w:val="00401CAD"/>
    <w:rsid w:val="00401F00"/>
    <w:rsid w:val="0040245C"/>
    <w:rsid w:val="004030BE"/>
    <w:rsid w:val="00403108"/>
    <w:rsid w:val="00403200"/>
    <w:rsid w:val="004037E5"/>
    <w:rsid w:val="00403906"/>
    <w:rsid w:val="00403B6F"/>
    <w:rsid w:val="004040AF"/>
    <w:rsid w:val="00404178"/>
    <w:rsid w:val="0040459D"/>
    <w:rsid w:val="004045C8"/>
    <w:rsid w:val="00405EC5"/>
    <w:rsid w:val="0040604B"/>
    <w:rsid w:val="0040665B"/>
    <w:rsid w:val="00406678"/>
    <w:rsid w:val="00406BC4"/>
    <w:rsid w:val="004076B6"/>
    <w:rsid w:val="004077DE"/>
    <w:rsid w:val="00407C41"/>
    <w:rsid w:val="004103B3"/>
    <w:rsid w:val="00410593"/>
    <w:rsid w:val="004105A9"/>
    <w:rsid w:val="004105F8"/>
    <w:rsid w:val="0041073F"/>
    <w:rsid w:val="00410A81"/>
    <w:rsid w:val="004117C7"/>
    <w:rsid w:val="00411AFE"/>
    <w:rsid w:val="00412EC5"/>
    <w:rsid w:val="00413BDC"/>
    <w:rsid w:val="004141D4"/>
    <w:rsid w:val="00414526"/>
    <w:rsid w:val="004147B7"/>
    <w:rsid w:val="004148D6"/>
    <w:rsid w:val="00414C4B"/>
    <w:rsid w:val="004156AF"/>
    <w:rsid w:val="0041598E"/>
    <w:rsid w:val="00416507"/>
    <w:rsid w:val="00416560"/>
    <w:rsid w:val="00416618"/>
    <w:rsid w:val="00416935"/>
    <w:rsid w:val="00416B9B"/>
    <w:rsid w:val="004172C6"/>
    <w:rsid w:val="00417308"/>
    <w:rsid w:val="00417660"/>
    <w:rsid w:val="00417793"/>
    <w:rsid w:val="00417D9F"/>
    <w:rsid w:val="0042004B"/>
    <w:rsid w:val="0042065E"/>
    <w:rsid w:val="004211DD"/>
    <w:rsid w:val="0042145E"/>
    <w:rsid w:val="004223C7"/>
    <w:rsid w:val="00422E6D"/>
    <w:rsid w:val="00422E71"/>
    <w:rsid w:val="00423091"/>
    <w:rsid w:val="0042351D"/>
    <w:rsid w:val="004236AA"/>
    <w:rsid w:val="00423CC0"/>
    <w:rsid w:val="00423DB4"/>
    <w:rsid w:val="004241E2"/>
    <w:rsid w:val="00424263"/>
    <w:rsid w:val="004246DE"/>
    <w:rsid w:val="00424822"/>
    <w:rsid w:val="00424A04"/>
    <w:rsid w:val="004253E3"/>
    <w:rsid w:val="00425482"/>
    <w:rsid w:val="004254B9"/>
    <w:rsid w:val="0042598F"/>
    <w:rsid w:val="004259FF"/>
    <w:rsid w:val="00425A09"/>
    <w:rsid w:val="00425D5D"/>
    <w:rsid w:val="00425FB1"/>
    <w:rsid w:val="0042606E"/>
    <w:rsid w:val="004260D7"/>
    <w:rsid w:val="004260FA"/>
    <w:rsid w:val="0042636E"/>
    <w:rsid w:val="004266A9"/>
    <w:rsid w:val="004268E9"/>
    <w:rsid w:val="00426F21"/>
    <w:rsid w:val="00426FAE"/>
    <w:rsid w:val="00427332"/>
    <w:rsid w:val="00427866"/>
    <w:rsid w:val="00427E76"/>
    <w:rsid w:val="004307A8"/>
    <w:rsid w:val="00430955"/>
    <w:rsid w:val="00430B6C"/>
    <w:rsid w:val="004311BA"/>
    <w:rsid w:val="00431227"/>
    <w:rsid w:val="00431235"/>
    <w:rsid w:val="004313C5"/>
    <w:rsid w:val="0043164F"/>
    <w:rsid w:val="00431DD7"/>
    <w:rsid w:val="00432C1E"/>
    <w:rsid w:val="0043454D"/>
    <w:rsid w:val="00434855"/>
    <w:rsid w:val="004348E5"/>
    <w:rsid w:val="00435611"/>
    <w:rsid w:val="00435A0F"/>
    <w:rsid w:val="00436092"/>
    <w:rsid w:val="00436CF5"/>
    <w:rsid w:val="00436E94"/>
    <w:rsid w:val="00436EE8"/>
    <w:rsid w:val="00437696"/>
    <w:rsid w:val="004378FA"/>
    <w:rsid w:val="004379E0"/>
    <w:rsid w:val="00437D04"/>
    <w:rsid w:val="00437DA5"/>
    <w:rsid w:val="00437DE0"/>
    <w:rsid w:val="004405CE"/>
    <w:rsid w:val="00440BB8"/>
    <w:rsid w:val="00441310"/>
    <w:rsid w:val="0044157C"/>
    <w:rsid w:val="004417C2"/>
    <w:rsid w:val="0044187D"/>
    <w:rsid w:val="004418F3"/>
    <w:rsid w:val="00441E24"/>
    <w:rsid w:val="00441EA3"/>
    <w:rsid w:val="004420B7"/>
    <w:rsid w:val="00442933"/>
    <w:rsid w:val="00443547"/>
    <w:rsid w:val="0044361B"/>
    <w:rsid w:val="00444315"/>
    <w:rsid w:val="0044464E"/>
    <w:rsid w:val="00445BEA"/>
    <w:rsid w:val="00445D96"/>
    <w:rsid w:val="00445E0E"/>
    <w:rsid w:val="004466D5"/>
    <w:rsid w:val="004468DD"/>
    <w:rsid w:val="00446E88"/>
    <w:rsid w:val="004471DC"/>
    <w:rsid w:val="004473B2"/>
    <w:rsid w:val="004475C1"/>
    <w:rsid w:val="0044784E"/>
    <w:rsid w:val="00450501"/>
    <w:rsid w:val="00450598"/>
    <w:rsid w:val="00450D05"/>
    <w:rsid w:val="00451681"/>
    <w:rsid w:val="004518B4"/>
    <w:rsid w:val="00451B26"/>
    <w:rsid w:val="00451DAB"/>
    <w:rsid w:val="00451EE9"/>
    <w:rsid w:val="004522C5"/>
    <w:rsid w:val="004525E3"/>
    <w:rsid w:val="00452894"/>
    <w:rsid w:val="00452896"/>
    <w:rsid w:val="00452D6D"/>
    <w:rsid w:val="0045322B"/>
    <w:rsid w:val="004534E4"/>
    <w:rsid w:val="00453780"/>
    <w:rsid w:val="0045395F"/>
    <w:rsid w:val="004541C1"/>
    <w:rsid w:val="004544C4"/>
    <w:rsid w:val="004549FA"/>
    <w:rsid w:val="00454E7C"/>
    <w:rsid w:val="00455321"/>
    <w:rsid w:val="00455B7D"/>
    <w:rsid w:val="00455F11"/>
    <w:rsid w:val="00455F7B"/>
    <w:rsid w:val="004562E5"/>
    <w:rsid w:val="0045640F"/>
    <w:rsid w:val="00456ED9"/>
    <w:rsid w:val="00457710"/>
    <w:rsid w:val="00457B34"/>
    <w:rsid w:val="00457D69"/>
    <w:rsid w:val="0046011B"/>
    <w:rsid w:val="004603DD"/>
    <w:rsid w:val="00460B65"/>
    <w:rsid w:val="00460D31"/>
    <w:rsid w:val="00460FB0"/>
    <w:rsid w:val="004614AC"/>
    <w:rsid w:val="0046169C"/>
    <w:rsid w:val="004616DE"/>
    <w:rsid w:val="0046277A"/>
    <w:rsid w:val="00462AF1"/>
    <w:rsid w:val="00462CDF"/>
    <w:rsid w:val="00462E75"/>
    <w:rsid w:val="004630F7"/>
    <w:rsid w:val="00463A54"/>
    <w:rsid w:val="00463ADA"/>
    <w:rsid w:val="00463CE5"/>
    <w:rsid w:val="00463E16"/>
    <w:rsid w:val="004642D9"/>
    <w:rsid w:val="0046493B"/>
    <w:rsid w:val="00464B36"/>
    <w:rsid w:val="00464CE0"/>
    <w:rsid w:val="00464D97"/>
    <w:rsid w:val="004650BA"/>
    <w:rsid w:val="0046560B"/>
    <w:rsid w:val="004658B8"/>
    <w:rsid w:val="00465BE5"/>
    <w:rsid w:val="00465E7A"/>
    <w:rsid w:val="00466033"/>
    <w:rsid w:val="0046607A"/>
    <w:rsid w:val="00466C97"/>
    <w:rsid w:val="00466F21"/>
    <w:rsid w:val="00467B2C"/>
    <w:rsid w:val="004701E5"/>
    <w:rsid w:val="00471320"/>
    <w:rsid w:val="0047140C"/>
    <w:rsid w:val="004714F9"/>
    <w:rsid w:val="0047170A"/>
    <w:rsid w:val="004718DA"/>
    <w:rsid w:val="0047194E"/>
    <w:rsid w:val="00471A4E"/>
    <w:rsid w:val="00471B8F"/>
    <w:rsid w:val="00471DB5"/>
    <w:rsid w:val="00472034"/>
    <w:rsid w:val="0047214D"/>
    <w:rsid w:val="00472AE4"/>
    <w:rsid w:val="004734AC"/>
    <w:rsid w:val="004734DC"/>
    <w:rsid w:val="0047362C"/>
    <w:rsid w:val="0047380A"/>
    <w:rsid w:val="004743F0"/>
    <w:rsid w:val="004745E2"/>
    <w:rsid w:val="004746E4"/>
    <w:rsid w:val="00474C6C"/>
    <w:rsid w:val="004766E4"/>
    <w:rsid w:val="00476E0A"/>
    <w:rsid w:val="00476F1F"/>
    <w:rsid w:val="00476F27"/>
    <w:rsid w:val="00477022"/>
    <w:rsid w:val="00477B04"/>
    <w:rsid w:val="00477C63"/>
    <w:rsid w:val="00477ECE"/>
    <w:rsid w:val="00480596"/>
    <w:rsid w:val="004806D5"/>
    <w:rsid w:val="00481295"/>
    <w:rsid w:val="004816E4"/>
    <w:rsid w:val="00481995"/>
    <w:rsid w:val="004821C4"/>
    <w:rsid w:val="0048223C"/>
    <w:rsid w:val="004826AC"/>
    <w:rsid w:val="0048285B"/>
    <w:rsid w:val="00482B52"/>
    <w:rsid w:val="00483573"/>
    <w:rsid w:val="004836AC"/>
    <w:rsid w:val="004837CD"/>
    <w:rsid w:val="0048443C"/>
    <w:rsid w:val="00484A8B"/>
    <w:rsid w:val="00484AA2"/>
    <w:rsid w:val="00484E2C"/>
    <w:rsid w:val="0048521F"/>
    <w:rsid w:val="00485BE8"/>
    <w:rsid w:val="00485C8A"/>
    <w:rsid w:val="0048623D"/>
    <w:rsid w:val="00486289"/>
    <w:rsid w:val="00486450"/>
    <w:rsid w:val="00486C6F"/>
    <w:rsid w:val="00486F5F"/>
    <w:rsid w:val="004870DF"/>
    <w:rsid w:val="004874CE"/>
    <w:rsid w:val="00487DF3"/>
    <w:rsid w:val="00490A28"/>
    <w:rsid w:val="00490C61"/>
    <w:rsid w:val="004914C1"/>
    <w:rsid w:val="0049154E"/>
    <w:rsid w:val="004917FC"/>
    <w:rsid w:val="00491ACE"/>
    <w:rsid w:val="004920CD"/>
    <w:rsid w:val="00492366"/>
    <w:rsid w:val="00492439"/>
    <w:rsid w:val="00492830"/>
    <w:rsid w:val="00492873"/>
    <w:rsid w:val="00492C37"/>
    <w:rsid w:val="004931A5"/>
    <w:rsid w:val="004931D9"/>
    <w:rsid w:val="004939F7"/>
    <w:rsid w:val="00493BBD"/>
    <w:rsid w:val="00493CF5"/>
    <w:rsid w:val="0049447C"/>
    <w:rsid w:val="0049465E"/>
    <w:rsid w:val="00494C36"/>
    <w:rsid w:val="00494EBF"/>
    <w:rsid w:val="004959EC"/>
    <w:rsid w:val="00495BCB"/>
    <w:rsid w:val="00495F05"/>
    <w:rsid w:val="00495F2E"/>
    <w:rsid w:val="00496088"/>
    <w:rsid w:val="004965C7"/>
    <w:rsid w:val="0049680C"/>
    <w:rsid w:val="004968B5"/>
    <w:rsid w:val="00496F13"/>
    <w:rsid w:val="00497316"/>
    <w:rsid w:val="004974BA"/>
    <w:rsid w:val="00497E11"/>
    <w:rsid w:val="004A0F4E"/>
    <w:rsid w:val="004A1476"/>
    <w:rsid w:val="004A230B"/>
    <w:rsid w:val="004A2580"/>
    <w:rsid w:val="004A2AC8"/>
    <w:rsid w:val="004A2DAE"/>
    <w:rsid w:val="004A3380"/>
    <w:rsid w:val="004A3472"/>
    <w:rsid w:val="004A387D"/>
    <w:rsid w:val="004A38BC"/>
    <w:rsid w:val="004A3DB0"/>
    <w:rsid w:val="004A3F1E"/>
    <w:rsid w:val="004A4014"/>
    <w:rsid w:val="004A4060"/>
    <w:rsid w:val="004A42A7"/>
    <w:rsid w:val="004A4D7F"/>
    <w:rsid w:val="004A4F49"/>
    <w:rsid w:val="004A5BBC"/>
    <w:rsid w:val="004A5C78"/>
    <w:rsid w:val="004A60FC"/>
    <w:rsid w:val="004A6136"/>
    <w:rsid w:val="004A6738"/>
    <w:rsid w:val="004A6AAC"/>
    <w:rsid w:val="004A6FFC"/>
    <w:rsid w:val="004A7154"/>
    <w:rsid w:val="004A75A6"/>
    <w:rsid w:val="004A76BA"/>
    <w:rsid w:val="004A78F7"/>
    <w:rsid w:val="004A7AC1"/>
    <w:rsid w:val="004B017E"/>
    <w:rsid w:val="004B028B"/>
    <w:rsid w:val="004B058D"/>
    <w:rsid w:val="004B159B"/>
    <w:rsid w:val="004B16BB"/>
    <w:rsid w:val="004B16ED"/>
    <w:rsid w:val="004B1B01"/>
    <w:rsid w:val="004B1CCC"/>
    <w:rsid w:val="004B1D8B"/>
    <w:rsid w:val="004B276F"/>
    <w:rsid w:val="004B2ACE"/>
    <w:rsid w:val="004B2AF2"/>
    <w:rsid w:val="004B2BA3"/>
    <w:rsid w:val="004B2F2B"/>
    <w:rsid w:val="004B2F38"/>
    <w:rsid w:val="004B2FFF"/>
    <w:rsid w:val="004B417F"/>
    <w:rsid w:val="004B4D08"/>
    <w:rsid w:val="004B502B"/>
    <w:rsid w:val="004B56A4"/>
    <w:rsid w:val="004B5713"/>
    <w:rsid w:val="004B5CC6"/>
    <w:rsid w:val="004B5D3B"/>
    <w:rsid w:val="004B5DC4"/>
    <w:rsid w:val="004B5F12"/>
    <w:rsid w:val="004B6450"/>
    <w:rsid w:val="004B6C48"/>
    <w:rsid w:val="004B7770"/>
    <w:rsid w:val="004B780D"/>
    <w:rsid w:val="004B7C3C"/>
    <w:rsid w:val="004C02D7"/>
    <w:rsid w:val="004C0312"/>
    <w:rsid w:val="004C1151"/>
    <w:rsid w:val="004C150B"/>
    <w:rsid w:val="004C1BB9"/>
    <w:rsid w:val="004C2316"/>
    <w:rsid w:val="004C24D4"/>
    <w:rsid w:val="004C2571"/>
    <w:rsid w:val="004C26D4"/>
    <w:rsid w:val="004C2EEE"/>
    <w:rsid w:val="004C308D"/>
    <w:rsid w:val="004C374B"/>
    <w:rsid w:val="004C393B"/>
    <w:rsid w:val="004C3B75"/>
    <w:rsid w:val="004C3DA5"/>
    <w:rsid w:val="004C46DE"/>
    <w:rsid w:val="004C4F0D"/>
    <w:rsid w:val="004C4FAB"/>
    <w:rsid w:val="004C5728"/>
    <w:rsid w:val="004C5926"/>
    <w:rsid w:val="004C59A9"/>
    <w:rsid w:val="004C5BC3"/>
    <w:rsid w:val="004C5C44"/>
    <w:rsid w:val="004C6226"/>
    <w:rsid w:val="004C6268"/>
    <w:rsid w:val="004C632A"/>
    <w:rsid w:val="004C63C6"/>
    <w:rsid w:val="004C6403"/>
    <w:rsid w:val="004C6A94"/>
    <w:rsid w:val="004C6C58"/>
    <w:rsid w:val="004C7AE1"/>
    <w:rsid w:val="004D003A"/>
    <w:rsid w:val="004D0812"/>
    <w:rsid w:val="004D0C6C"/>
    <w:rsid w:val="004D115B"/>
    <w:rsid w:val="004D16A4"/>
    <w:rsid w:val="004D1926"/>
    <w:rsid w:val="004D1C1E"/>
    <w:rsid w:val="004D1ECD"/>
    <w:rsid w:val="004D2666"/>
    <w:rsid w:val="004D282E"/>
    <w:rsid w:val="004D2D07"/>
    <w:rsid w:val="004D2F65"/>
    <w:rsid w:val="004D3298"/>
    <w:rsid w:val="004D353F"/>
    <w:rsid w:val="004D3578"/>
    <w:rsid w:val="004D357E"/>
    <w:rsid w:val="004D387D"/>
    <w:rsid w:val="004D393B"/>
    <w:rsid w:val="004D4722"/>
    <w:rsid w:val="004D476A"/>
    <w:rsid w:val="004D4A9F"/>
    <w:rsid w:val="004D4D08"/>
    <w:rsid w:val="004D4D3B"/>
    <w:rsid w:val="004D4F61"/>
    <w:rsid w:val="004D523C"/>
    <w:rsid w:val="004D53ED"/>
    <w:rsid w:val="004D56D8"/>
    <w:rsid w:val="004D59BD"/>
    <w:rsid w:val="004D68C9"/>
    <w:rsid w:val="004D6E9E"/>
    <w:rsid w:val="004D73BC"/>
    <w:rsid w:val="004D74D4"/>
    <w:rsid w:val="004D7642"/>
    <w:rsid w:val="004D7739"/>
    <w:rsid w:val="004D7766"/>
    <w:rsid w:val="004D7CA9"/>
    <w:rsid w:val="004E0829"/>
    <w:rsid w:val="004E0960"/>
    <w:rsid w:val="004E0A32"/>
    <w:rsid w:val="004E1367"/>
    <w:rsid w:val="004E1717"/>
    <w:rsid w:val="004E1924"/>
    <w:rsid w:val="004E19B8"/>
    <w:rsid w:val="004E1BA5"/>
    <w:rsid w:val="004E1C62"/>
    <w:rsid w:val="004E2033"/>
    <w:rsid w:val="004E2612"/>
    <w:rsid w:val="004E3076"/>
    <w:rsid w:val="004E393B"/>
    <w:rsid w:val="004E3A54"/>
    <w:rsid w:val="004E406A"/>
    <w:rsid w:val="004E443A"/>
    <w:rsid w:val="004E5199"/>
    <w:rsid w:val="004E525B"/>
    <w:rsid w:val="004E5347"/>
    <w:rsid w:val="004E54F1"/>
    <w:rsid w:val="004E57F4"/>
    <w:rsid w:val="004E6577"/>
    <w:rsid w:val="004E699A"/>
    <w:rsid w:val="004E703E"/>
    <w:rsid w:val="004E7456"/>
    <w:rsid w:val="004E7797"/>
    <w:rsid w:val="004E7880"/>
    <w:rsid w:val="004F031D"/>
    <w:rsid w:val="004F04AE"/>
    <w:rsid w:val="004F1304"/>
    <w:rsid w:val="004F19EF"/>
    <w:rsid w:val="004F1F4D"/>
    <w:rsid w:val="004F2A56"/>
    <w:rsid w:val="004F327A"/>
    <w:rsid w:val="004F3C95"/>
    <w:rsid w:val="004F3DAA"/>
    <w:rsid w:val="004F3E5F"/>
    <w:rsid w:val="004F3FD5"/>
    <w:rsid w:val="004F4102"/>
    <w:rsid w:val="004F521F"/>
    <w:rsid w:val="004F542E"/>
    <w:rsid w:val="004F54FB"/>
    <w:rsid w:val="004F5781"/>
    <w:rsid w:val="004F5DBF"/>
    <w:rsid w:val="004F66E8"/>
    <w:rsid w:val="004F6B42"/>
    <w:rsid w:val="004F71E1"/>
    <w:rsid w:val="004F745B"/>
    <w:rsid w:val="004F759F"/>
    <w:rsid w:val="004F774C"/>
    <w:rsid w:val="004F7836"/>
    <w:rsid w:val="004F7BEA"/>
    <w:rsid w:val="00500A0D"/>
    <w:rsid w:val="00500BC7"/>
    <w:rsid w:val="00500ECB"/>
    <w:rsid w:val="00500FA9"/>
    <w:rsid w:val="00501157"/>
    <w:rsid w:val="0050127A"/>
    <w:rsid w:val="0050168A"/>
    <w:rsid w:val="00501692"/>
    <w:rsid w:val="005018B2"/>
    <w:rsid w:val="00501FDE"/>
    <w:rsid w:val="0050215D"/>
    <w:rsid w:val="00502F74"/>
    <w:rsid w:val="00502F94"/>
    <w:rsid w:val="005035DE"/>
    <w:rsid w:val="00503E3F"/>
    <w:rsid w:val="0050473D"/>
    <w:rsid w:val="005048E7"/>
    <w:rsid w:val="00504AC8"/>
    <w:rsid w:val="00504C48"/>
    <w:rsid w:val="00505100"/>
    <w:rsid w:val="005057DB"/>
    <w:rsid w:val="00505F0C"/>
    <w:rsid w:val="005065FC"/>
    <w:rsid w:val="005069A1"/>
    <w:rsid w:val="0050720D"/>
    <w:rsid w:val="00507ED8"/>
    <w:rsid w:val="0051016A"/>
    <w:rsid w:val="0051044A"/>
    <w:rsid w:val="0051060A"/>
    <w:rsid w:val="0051066D"/>
    <w:rsid w:val="00510C0F"/>
    <w:rsid w:val="00510E52"/>
    <w:rsid w:val="005110E1"/>
    <w:rsid w:val="00511786"/>
    <w:rsid w:val="005118C2"/>
    <w:rsid w:val="005122C9"/>
    <w:rsid w:val="00512AE0"/>
    <w:rsid w:val="00513455"/>
    <w:rsid w:val="00513D0E"/>
    <w:rsid w:val="0051405C"/>
    <w:rsid w:val="005145F3"/>
    <w:rsid w:val="00514E14"/>
    <w:rsid w:val="005151C2"/>
    <w:rsid w:val="005151F6"/>
    <w:rsid w:val="00515313"/>
    <w:rsid w:val="00515F09"/>
    <w:rsid w:val="00515F19"/>
    <w:rsid w:val="005166C5"/>
    <w:rsid w:val="00516AC3"/>
    <w:rsid w:val="00516B2C"/>
    <w:rsid w:val="00516F1B"/>
    <w:rsid w:val="005170B8"/>
    <w:rsid w:val="0051753A"/>
    <w:rsid w:val="005175AC"/>
    <w:rsid w:val="00517B63"/>
    <w:rsid w:val="00517CD7"/>
    <w:rsid w:val="00520370"/>
    <w:rsid w:val="00520B24"/>
    <w:rsid w:val="00520DB1"/>
    <w:rsid w:val="00520E02"/>
    <w:rsid w:val="00521582"/>
    <w:rsid w:val="00521EEE"/>
    <w:rsid w:val="00522B4E"/>
    <w:rsid w:val="00522C77"/>
    <w:rsid w:val="00522D1D"/>
    <w:rsid w:val="00522D83"/>
    <w:rsid w:val="00522F06"/>
    <w:rsid w:val="0052371B"/>
    <w:rsid w:val="00523788"/>
    <w:rsid w:val="005238A2"/>
    <w:rsid w:val="00523CE8"/>
    <w:rsid w:val="00523E50"/>
    <w:rsid w:val="00523E5C"/>
    <w:rsid w:val="00523FBE"/>
    <w:rsid w:val="0052498C"/>
    <w:rsid w:val="00524C48"/>
    <w:rsid w:val="00524D50"/>
    <w:rsid w:val="005251A6"/>
    <w:rsid w:val="0052522E"/>
    <w:rsid w:val="00525702"/>
    <w:rsid w:val="00526034"/>
    <w:rsid w:val="005261B1"/>
    <w:rsid w:val="00526544"/>
    <w:rsid w:val="00526F48"/>
    <w:rsid w:val="005274F4"/>
    <w:rsid w:val="0052751F"/>
    <w:rsid w:val="005276F6"/>
    <w:rsid w:val="00527995"/>
    <w:rsid w:val="00527ABF"/>
    <w:rsid w:val="0053022A"/>
    <w:rsid w:val="00530359"/>
    <w:rsid w:val="00530923"/>
    <w:rsid w:val="0053098F"/>
    <w:rsid w:val="0053247D"/>
    <w:rsid w:val="00532A9F"/>
    <w:rsid w:val="00533630"/>
    <w:rsid w:val="005338FE"/>
    <w:rsid w:val="00533BFB"/>
    <w:rsid w:val="00533DF9"/>
    <w:rsid w:val="0053464C"/>
    <w:rsid w:val="00534720"/>
    <w:rsid w:val="005347A0"/>
    <w:rsid w:val="005347E0"/>
    <w:rsid w:val="00534857"/>
    <w:rsid w:val="00534E63"/>
    <w:rsid w:val="00534EA4"/>
    <w:rsid w:val="005350F3"/>
    <w:rsid w:val="005356E7"/>
    <w:rsid w:val="00535EC0"/>
    <w:rsid w:val="00535FF3"/>
    <w:rsid w:val="0053616E"/>
    <w:rsid w:val="005362C9"/>
    <w:rsid w:val="0053658E"/>
    <w:rsid w:val="00536A3D"/>
    <w:rsid w:val="00536BBB"/>
    <w:rsid w:val="00536DD7"/>
    <w:rsid w:val="00536E28"/>
    <w:rsid w:val="00537428"/>
    <w:rsid w:val="0053744C"/>
    <w:rsid w:val="00537D8F"/>
    <w:rsid w:val="0054007F"/>
    <w:rsid w:val="0054028F"/>
    <w:rsid w:val="005403CB"/>
    <w:rsid w:val="005404DB"/>
    <w:rsid w:val="005413DD"/>
    <w:rsid w:val="00541536"/>
    <w:rsid w:val="005417E6"/>
    <w:rsid w:val="005419E5"/>
    <w:rsid w:val="00541B73"/>
    <w:rsid w:val="00541E8B"/>
    <w:rsid w:val="0054200E"/>
    <w:rsid w:val="00542242"/>
    <w:rsid w:val="005422F1"/>
    <w:rsid w:val="00542656"/>
    <w:rsid w:val="00542AAD"/>
    <w:rsid w:val="00543B48"/>
    <w:rsid w:val="0054400A"/>
    <w:rsid w:val="005441B0"/>
    <w:rsid w:val="0054438D"/>
    <w:rsid w:val="005443BD"/>
    <w:rsid w:val="00544A3E"/>
    <w:rsid w:val="00544D5D"/>
    <w:rsid w:val="00544DB5"/>
    <w:rsid w:val="0054666E"/>
    <w:rsid w:val="005466CD"/>
    <w:rsid w:val="005466CE"/>
    <w:rsid w:val="0054694E"/>
    <w:rsid w:val="00546AE0"/>
    <w:rsid w:val="00546C1A"/>
    <w:rsid w:val="00546C4B"/>
    <w:rsid w:val="005471EC"/>
    <w:rsid w:val="00547631"/>
    <w:rsid w:val="00547AC6"/>
    <w:rsid w:val="005506BC"/>
    <w:rsid w:val="00550BF6"/>
    <w:rsid w:val="00550E74"/>
    <w:rsid w:val="00550E82"/>
    <w:rsid w:val="00551139"/>
    <w:rsid w:val="00551469"/>
    <w:rsid w:val="00551619"/>
    <w:rsid w:val="00551F18"/>
    <w:rsid w:val="00551F32"/>
    <w:rsid w:val="00551F93"/>
    <w:rsid w:val="00552AB0"/>
    <w:rsid w:val="00553219"/>
    <w:rsid w:val="005534B8"/>
    <w:rsid w:val="005534C0"/>
    <w:rsid w:val="005535A4"/>
    <w:rsid w:val="0055371C"/>
    <w:rsid w:val="0055382C"/>
    <w:rsid w:val="00554576"/>
    <w:rsid w:val="00554593"/>
    <w:rsid w:val="00554659"/>
    <w:rsid w:val="00554FD5"/>
    <w:rsid w:val="00555410"/>
    <w:rsid w:val="005562BE"/>
    <w:rsid w:val="00556406"/>
    <w:rsid w:val="00556DF3"/>
    <w:rsid w:val="00556FAD"/>
    <w:rsid w:val="0055728C"/>
    <w:rsid w:val="0055756B"/>
    <w:rsid w:val="00557814"/>
    <w:rsid w:val="005603A5"/>
    <w:rsid w:val="0056041C"/>
    <w:rsid w:val="005604BC"/>
    <w:rsid w:val="0056088B"/>
    <w:rsid w:val="00560E1D"/>
    <w:rsid w:val="0056103D"/>
    <w:rsid w:val="00561860"/>
    <w:rsid w:val="00561AB3"/>
    <w:rsid w:val="00561DA7"/>
    <w:rsid w:val="00561E6A"/>
    <w:rsid w:val="00562304"/>
    <w:rsid w:val="00562EC4"/>
    <w:rsid w:val="0056311C"/>
    <w:rsid w:val="00563417"/>
    <w:rsid w:val="00563DD5"/>
    <w:rsid w:val="00563ED9"/>
    <w:rsid w:val="00564436"/>
    <w:rsid w:val="00564607"/>
    <w:rsid w:val="00564DAA"/>
    <w:rsid w:val="00564DBE"/>
    <w:rsid w:val="00564DC0"/>
    <w:rsid w:val="00565410"/>
    <w:rsid w:val="00565735"/>
    <w:rsid w:val="00565EB4"/>
    <w:rsid w:val="00566739"/>
    <w:rsid w:val="00566AB7"/>
    <w:rsid w:val="00566B07"/>
    <w:rsid w:val="00566DA4"/>
    <w:rsid w:val="00566E1F"/>
    <w:rsid w:val="005673AD"/>
    <w:rsid w:val="00567436"/>
    <w:rsid w:val="00567E1F"/>
    <w:rsid w:val="0057043C"/>
    <w:rsid w:val="005705A0"/>
    <w:rsid w:val="00571131"/>
    <w:rsid w:val="005717A4"/>
    <w:rsid w:val="0057199F"/>
    <w:rsid w:val="00571D05"/>
    <w:rsid w:val="005723FD"/>
    <w:rsid w:val="005728B4"/>
    <w:rsid w:val="00572C3E"/>
    <w:rsid w:val="00572D38"/>
    <w:rsid w:val="00572F27"/>
    <w:rsid w:val="00572F4B"/>
    <w:rsid w:val="00573917"/>
    <w:rsid w:val="00574025"/>
    <w:rsid w:val="00574108"/>
    <w:rsid w:val="00574306"/>
    <w:rsid w:val="0057447D"/>
    <w:rsid w:val="00574488"/>
    <w:rsid w:val="005744B7"/>
    <w:rsid w:val="0057484A"/>
    <w:rsid w:val="00575188"/>
    <w:rsid w:val="005751AF"/>
    <w:rsid w:val="005754A0"/>
    <w:rsid w:val="0057573F"/>
    <w:rsid w:val="00575933"/>
    <w:rsid w:val="00575937"/>
    <w:rsid w:val="00575FDB"/>
    <w:rsid w:val="00576567"/>
    <w:rsid w:val="0057738D"/>
    <w:rsid w:val="005777A2"/>
    <w:rsid w:val="00577805"/>
    <w:rsid w:val="00577813"/>
    <w:rsid w:val="0057782E"/>
    <w:rsid w:val="005779F4"/>
    <w:rsid w:val="00577D94"/>
    <w:rsid w:val="00580425"/>
    <w:rsid w:val="00580601"/>
    <w:rsid w:val="0058076A"/>
    <w:rsid w:val="00580859"/>
    <w:rsid w:val="00580A2E"/>
    <w:rsid w:val="00580AAE"/>
    <w:rsid w:val="00580F29"/>
    <w:rsid w:val="00580F3D"/>
    <w:rsid w:val="0058129F"/>
    <w:rsid w:val="00581404"/>
    <w:rsid w:val="0058188D"/>
    <w:rsid w:val="00581985"/>
    <w:rsid w:val="00581B4B"/>
    <w:rsid w:val="00581EFA"/>
    <w:rsid w:val="00582486"/>
    <w:rsid w:val="00582992"/>
    <w:rsid w:val="00582B74"/>
    <w:rsid w:val="00583307"/>
    <w:rsid w:val="0058358D"/>
    <w:rsid w:val="00584659"/>
    <w:rsid w:val="00584884"/>
    <w:rsid w:val="00584A8D"/>
    <w:rsid w:val="0058574D"/>
    <w:rsid w:val="0058739B"/>
    <w:rsid w:val="00587A69"/>
    <w:rsid w:val="00590054"/>
    <w:rsid w:val="005902B2"/>
    <w:rsid w:val="0059053F"/>
    <w:rsid w:val="005905B2"/>
    <w:rsid w:val="005908CE"/>
    <w:rsid w:val="00590970"/>
    <w:rsid w:val="0059117B"/>
    <w:rsid w:val="00591B99"/>
    <w:rsid w:val="00591E41"/>
    <w:rsid w:val="00592C13"/>
    <w:rsid w:val="00592C79"/>
    <w:rsid w:val="005930E7"/>
    <w:rsid w:val="00593391"/>
    <w:rsid w:val="00593670"/>
    <w:rsid w:val="0059396B"/>
    <w:rsid w:val="005941B8"/>
    <w:rsid w:val="00594EB0"/>
    <w:rsid w:val="00594EDC"/>
    <w:rsid w:val="00595DAD"/>
    <w:rsid w:val="00596161"/>
    <w:rsid w:val="00597103"/>
    <w:rsid w:val="005971B4"/>
    <w:rsid w:val="0059727F"/>
    <w:rsid w:val="005975FE"/>
    <w:rsid w:val="0059781E"/>
    <w:rsid w:val="00597A65"/>
    <w:rsid w:val="005A0368"/>
    <w:rsid w:val="005A04FC"/>
    <w:rsid w:val="005A09B6"/>
    <w:rsid w:val="005A0DA7"/>
    <w:rsid w:val="005A0E77"/>
    <w:rsid w:val="005A13ED"/>
    <w:rsid w:val="005A1582"/>
    <w:rsid w:val="005A1A28"/>
    <w:rsid w:val="005A1C16"/>
    <w:rsid w:val="005A1E17"/>
    <w:rsid w:val="005A1E75"/>
    <w:rsid w:val="005A1F6C"/>
    <w:rsid w:val="005A240D"/>
    <w:rsid w:val="005A24B5"/>
    <w:rsid w:val="005A24BE"/>
    <w:rsid w:val="005A275B"/>
    <w:rsid w:val="005A290A"/>
    <w:rsid w:val="005A2D9D"/>
    <w:rsid w:val="005A2E45"/>
    <w:rsid w:val="005A2E90"/>
    <w:rsid w:val="005A3735"/>
    <w:rsid w:val="005A409C"/>
    <w:rsid w:val="005A40D5"/>
    <w:rsid w:val="005A4277"/>
    <w:rsid w:val="005A4A05"/>
    <w:rsid w:val="005A4A4B"/>
    <w:rsid w:val="005A5290"/>
    <w:rsid w:val="005A5412"/>
    <w:rsid w:val="005A5684"/>
    <w:rsid w:val="005A584D"/>
    <w:rsid w:val="005A61BA"/>
    <w:rsid w:val="005A6B14"/>
    <w:rsid w:val="005A6D21"/>
    <w:rsid w:val="005A7BB7"/>
    <w:rsid w:val="005A7F76"/>
    <w:rsid w:val="005B04A6"/>
    <w:rsid w:val="005B095E"/>
    <w:rsid w:val="005B1055"/>
    <w:rsid w:val="005B15A2"/>
    <w:rsid w:val="005B1DD3"/>
    <w:rsid w:val="005B1F4B"/>
    <w:rsid w:val="005B2060"/>
    <w:rsid w:val="005B240C"/>
    <w:rsid w:val="005B27A8"/>
    <w:rsid w:val="005B28A6"/>
    <w:rsid w:val="005B28D3"/>
    <w:rsid w:val="005B2949"/>
    <w:rsid w:val="005B2D16"/>
    <w:rsid w:val="005B2EBF"/>
    <w:rsid w:val="005B3256"/>
    <w:rsid w:val="005B3657"/>
    <w:rsid w:val="005B37DE"/>
    <w:rsid w:val="005B3B6F"/>
    <w:rsid w:val="005B4432"/>
    <w:rsid w:val="005B4D73"/>
    <w:rsid w:val="005B4EB5"/>
    <w:rsid w:val="005B52EF"/>
    <w:rsid w:val="005B5671"/>
    <w:rsid w:val="005B58EB"/>
    <w:rsid w:val="005B5D87"/>
    <w:rsid w:val="005B600B"/>
    <w:rsid w:val="005B626E"/>
    <w:rsid w:val="005B6286"/>
    <w:rsid w:val="005B6C44"/>
    <w:rsid w:val="005B700A"/>
    <w:rsid w:val="005B77EA"/>
    <w:rsid w:val="005B783A"/>
    <w:rsid w:val="005B7BE6"/>
    <w:rsid w:val="005B7C59"/>
    <w:rsid w:val="005B7E26"/>
    <w:rsid w:val="005C0EE0"/>
    <w:rsid w:val="005C0FF9"/>
    <w:rsid w:val="005C120A"/>
    <w:rsid w:val="005C12DD"/>
    <w:rsid w:val="005C1432"/>
    <w:rsid w:val="005C1991"/>
    <w:rsid w:val="005C2A72"/>
    <w:rsid w:val="005C3052"/>
    <w:rsid w:val="005C3353"/>
    <w:rsid w:val="005C3497"/>
    <w:rsid w:val="005C3535"/>
    <w:rsid w:val="005C3B59"/>
    <w:rsid w:val="005C42B9"/>
    <w:rsid w:val="005C47DD"/>
    <w:rsid w:val="005C48CF"/>
    <w:rsid w:val="005C4B9F"/>
    <w:rsid w:val="005C51DF"/>
    <w:rsid w:val="005C53AF"/>
    <w:rsid w:val="005C6034"/>
    <w:rsid w:val="005C6313"/>
    <w:rsid w:val="005C662F"/>
    <w:rsid w:val="005C6AE8"/>
    <w:rsid w:val="005C72C4"/>
    <w:rsid w:val="005C73F0"/>
    <w:rsid w:val="005C7680"/>
    <w:rsid w:val="005C7EB6"/>
    <w:rsid w:val="005D011F"/>
    <w:rsid w:val="005D0674"/>
    <w:rsid w:val="005D0676"/>
    <w:rsid w:val="005D089D"/>
    <w:rsid w:val="005D0CE4"/>
    <w:rsid w:val="005D115C"/>
    <w:rsid w:val="005D1452"/>
    <w:rsid w:val="005D161B"/>
    <w:rsid w:val="005D1BEE"/>
    <w:rsid w:val="005D271B"/>
    <w:rsid w:val="005D28CB"/>
    <w:rsid w:val="005D3592"/>
    <w:rsid w:val="005D3E99"/>
    <w:rsid w:val="005D4633"/>
    <w:rsid w:val="005D4C59"/>
    <w:rsid w:val="005D4D8D"/>
    <w:rsid w:val="005D5772"/>
    <w:rsid w:val="005D5C3C"/>
    <w:rsid w:val="005D5D15"/>
    <w:rsid w:val="005D62F9"/>
    <w:rsid w:val="005D6A1F"/>
    <w:rsid w:val="005D6C36"/>
    <w:rsid w:val="005D6EBE"/>
    <w:rsid w:val="005D6F54"/>
    <w:rsid w:val="005D73D8"/>
    <w:rsid w:val="005D75AD"/>
    <w:rsid w:val="005D7677"/>
    <w:rsid w:val="005E0A25"/>
    <w:rsid w:val="005E0DB7"/>
    <w:rsid w:val="005E0F70"/>
    <w:rsid w:val="005E13BC"/>
    <w:rsid w:val="005E158D"/>
    <w:rsid w:val="005E16D6"/>
    <w:rsid w:val="005E2519"/>
    <w:rsid w:val="005E2CD5"/>
    <w:rsid w:val="005E35E3"/>
    <w:rsid w:val="005E3712"/>
    <w:rsid w:val="005E3CB7"/>
    <w:rsid w:val="005E483D"/>
    <w:rsid w:val="005E4C0A"/>
    <w:rsid w:val="005E5950"/>
    <w:rsid w:val="005E607B"/>
    <w:rsid w:val="005E62EE"/>
    <w:rsid w:val="005E64F6"/>
    <w:rsid w:val="005E6B23"/>
    <w:rsid w:val="005E6B24"/>
    <w:rsid w:val="005E6BBD"/>
    <w:rsid w:val="005E72EF"/>
    <w:rsid w:val="005E73A8"/>
    <w:rsid w:val="005E747A"/>
    <w:rsid w:val="005E7AD4"/>
    <w:rsid w:val="005E7DEC"/>
    <w:rsid w:val="005E7FC3"/>
    <w:rsid w:val="005F052D"/>
    <w:rsid w:val="005F0C52"/>
    <w:rsid w:val="005F0D80"/>
    <w:rsid w:val="005F12F6"/>
    <w:rsid w:val="005F187D"/>
    <w:rsid w:val="005F19D9"/>
    <w:rsid w:val="005F1B96"/>
    <w:rsid w:val="005F1F21"/>
    <w:rsid w:val="005F2009"/>
    <w:rsid w:val="005F2146"/>
    <w:rsid w:val="005F2564"/>
    <w:rsid w:val="005F2A9C"/>
    <w:rsid w:val="005F2C1D"/>
    <w:rsid w:val="005F306E"/>
    <w:rsid w:val="005F320E"/>
    <w:rsid w:val="005F36D5"/>
    <w:rsid w:val="005F38E9"/>
    <w:rsid w:val="005F3ACE"/>
    <w:rsid w:val="005F4516"/>
    <w:rsid w:val="005F4D47"/>
    <w:rsid w:val="005F51B2"/>
    <w:rsid w:val="005F52D1"/>
    <w:rsid w:val="005F52E9"/>
    <w:rsid w:val="005F5607"/>
    <w:rsid w:val="005F56EA"/>
    <w:rsid w:val="005F59F1"/>
    <w:rsid w:val="005F63E1"/>
    <w:rsid w:val="005F663E"/>
    <w:rsid w:val="005F6DF8"/>
    <w:rsid w:val="006001B8"/>
    <w:rsid w:val="00600219"/>
    <w:rsid w:val="00600871"/>
    <w:rsid w:val="00600A21"/>
    <w:rsid w:val="006012F6"/>
    <w:rsid w:val="006013C3"/>
    <w:rsid w:val="00601667"/>
    <w:rsid w:val="006019A0"/>
    <w:rsid w:val="00601DE2"/>
    <w:rsid w:val="00601F39"/>
    <w:rsid w:val="00602516"/>
    <w:rsid w:val="00602618"/>
    <w:rsid w:val="0060271D"/>
    <w:rsid w:val="00602AF4"/>
    <w:rsid w:val="00602B76"/>
    <w:rsid w:val="006032A5"/>
    <w:rsid w:val="00604045"/>
    <w:rsid w:val="00604308"/>
    <w:rsid w:val="006045E4"/>
    <w:rsid w:val="0060487B"/>
    <w:rsid w:val="00604BAD"/>
    <w:rsid w:val="00604E75"/>
    <w:rsid w:val="00605667"/>
    <w:rsid w:val="00605C4D"/>
    <w:rsid w:val="00606247"/>
    <w:rsid w:val="00607876"/>
    <w:rsid w:val="00610173"/>
    <w:rsid w:val="00610EA2"/>
    <w:rsid w:val="00611077"/>
    <w:rsid w:val="00611199"/>
    <w:rsid w:val="006123D0"/>
    <w:rsid w:val="006124BD"/>
    <w:rsid w:val="00612B89"/>
    <w:rsid w:val="00612C07"/>
    <w:rsid w:val="00612D24"/>
    <w:rsid w:val="0061318A"/>
    <w:rsid w:val="00613219"/>
    <w:rsid w:val="00613E43"/>
    <w:rsid w:val="0061408A"/>
    <w:rsid w:val="00614498"/>
    <w:rsid w:val="00614A0A"/>
    <w:rsid w:val="00614A14"/>
    <w:rsid w:val="00614A25"/>
    <w:rsid w:val="00614A99"/>
    <w:rsid w:val="00614DF3"/>
    <w:rsid w:val="00616727"/>
    <w:rsid w:val="00616A39"/>
    <w:rsid w:val="00616D4B"/>
    <w:rsid w:val="00616DBF"/>
    <w:rsid w:val="00616FAA"/>
    <w:rsid w:val="0061704B"/>
    <w:rsid w:val="006178BE"/>
    <w:rsid w:val="006178E4"/>
    <w:rsid w:val="006178F9"/>
    <w:rsid w:val="00617A91"/>
    <w:rsid w:val="00617C01"/>
    <w:rsid w:val="00620501"/>
    <w:rsid w:val="00621859"/>
    <w:rsid w:val="006228E0"/>
    <w:rsid w:val="00622CD1"/>
    <w:rsid w:val="00622FBF"/>
    <w:rsid w:val="006233C1"/>
    <w:rsid w:val="00623A2F"/>
    <w:rsid w:val="00624976"/>
    <w:rsid w:val="00624CE7"/>
    <w:rsid w:val="00625506"/>
    <w:rsid w:val="006259DB"/>
    <w:rsid w:val="00625FC7"/>
    <w:rsid w:val="00626226"/>
    <w:rsid w:val="0062648E"/>
    <w:rsid w:val="00626C8D"/>
    <w:rsid w:val="00626CC2"/>
    <w:rsid w:val="00626DBE"/>
    <w:rsid w:val="00627233"/>
    <w:rsid w:val="00627A13"/>
    <w:rsid w:val="00627EA3"/>
    <w:rsid w:val="00627F89"/>
    <w:rsid w:val="006305DF"/>
    <w:rsid w:val="00630792"/>
    <w:rsid w:val="00630E52"/>
    <w:rsid w:val="0063133E"/>
    <w:rsid w:val="00631D90"/>
    <w:rsid w:val="00632753"/>
    <w:rsid w:val="006328DA"/>
    <w:rsid w:val="00632D01"/>
    <w:rsid w:val="00633874"/>
    <w:rsid w:val="006338E6"/>
    <w:rsid w:val="00633E0B"/>
    <w:rsid w:val="0063461A"/>
    <w:rsid w:val="00634853"/>
    <w:rsid w:val="00634929"/>
    <w:rsid w:val="00634F1A"/>
    <w:rsid w:val="00635078"/>
    <w:rsid w:val="006351B9"/>
    <w:rsid w:val="006369EB"/>
    <w:rsid w:val="00636A40"/>
    <w:rsid w:val="00636C55"/>
    <w:rsid w:val="00637D02"/>
    <w:rsid w:val="00640BAE"/>
    <w:rsid w:val="00641054"/>
    <w:rsid w:val="006417BF"/>
    <w:rsid w:val="006419C7"/>
    <w:rsid w:val="00641E23"/>
    <w:rsid w:val="00642453"/>
    <w:rsid w:val="00642C69"/>
    <w:rsid w:val="00642F87"/>
    <w:rsid w:val="00643302"/>
    <w:rsid w:val="006435CC"/>
    <w:rsid w:val="006437D6"/>
    <w:rsid w:val="00643F76"/>
    <w:rsid w:val="0064433E"/>
    <w:rsid w:val="00644771"/>
    <w:rsid w:val="00644F7A"/>
    <w:rsid w:val="00645953"/>
    <w:rsid w:val="00645D34"/>
    <w:rsid w:val="00645DB2"/>
    <w:rsid w:val="00645FC2"/>
    <w:rsid w:val="006465E2"/>
    <w:rsid w:val="00646813"/>
    <w:rsid w:val="00646A8F"/>
    <w:rsid w:val="00646E11"/>
    <w:rsid w:val="006474D6"/>
    <w:rsid w:val="00647A91"/>
    <w:rsid w:val="00650007"/>
    <w:rsid w:val="006500AE"/>
    <w:rsid w:val="006502C9"/>
    <w:rsid w:val="006505E3"/>
    <w:rsid w:val="006511A4"/>
    <w:rsid w:val="00651628"/>
    <w:rsid w:val="006516DE"/>
    <w:rsid w:val="00651C0C"/>
    <w:rsid w:val="006520CD"/>
    <w:rsid w:val="006526FE"/>
    <w:rsid w:val="006528F5"/>
    <w:rsid w:val="00652F9E"/>
    <w:rsid w:val="006533FF"/>
    <w:rsid w:val="00653B03"/>
    <w:rsid w:val="006543B8"/>
    <w:rsid w:val="00654BE5"/>
    <w:rsid w:val="006556D0"/>
    <w:rsid w:val="00655BF8"/>
    <w:rsid w:val="00655E20"/>
    <w:rsid w:val="006560CD"/>
    <w:rsid w:val="006562AE"/>
    <w:rsid w:val="0065691A"/>
    <w:rsid w:val="0065726C"/>
    <w:rsid w:val="006573AC"/>
    <w:rsid w:val="00657780"/>
    <w:rsid w:val="00657A2E"/>
    <w:rsid w:val="00657E94"/>
    <w:rsid w:val="00657F21"/>
    <w:rsid w:val="0066023F"/>
    <w:rsid w:val="00660B66"/>
    <w:rsid w:val="0066128D"/>
    <w:rsid w:val="006612C4"/>
    <w:rsid w:val="0066136B"/>
    <w:rsid w:val="00661836"/>
    <w:rsid w:val="0066210B"/>
    <w:rsid w:val="00662716"/>
    <w:rsid w:val="00662978"/>
    <w:rsid w:val="006629F8"/>
    <w:rsid w:val="00662C52"/>
    <w:rsid w:val="00662C68"/>
    <w:rsid w:val="00662CB6"/>
    <w:rsid w:val="006635A2"/>
    <w:rsid w:val="006643F4"/>
    <w:rsid w:val="006645A3"/>
    <w:rsid w:val="0066480E"/>
    <w:rsid w:val="0066487A"/>
    <w:rsid w:val="00664CF5"/>
    <w:rsid w:val="00664D16"/>
    <w:rsid w:val="00664E25"/>
    <w:rsid w:val="006658AA"/>
    <w:rsid w:val="006662A1"/>
    <w:rsid w:val="006666AB"/>
    <w:rsid w:val="006668DE"/>
    <w:rsid w:val="00666B95"/>
    <w:rsid w:val="00666C5D"/>
    <w:rsid w:val="006676A7"/>
    <w:rsid w:val="00667F66"/>
    <w:rsid w:val="00667FF2"/>
    <w:rsid w:val="0067033C"/>
    <w:rsid w:val="00670585"/>
    <w:rsid w:val="00670867"/>
    <w:rsid w:val="006709E1"/>
    <w:rsid w:val="00670C55"/>
    <w:rsid w:val="00670E87"/>
    <w:rsid w:val="00671A08"/>
    <w:rsid w:val="00671CF3"/>
    <w:rsid w:val="00672F1C"/>
    <w:rsid w:val="00673415"/>
    <w:rsid w:val="0067346C"/>
    <w:rsid w:val="006736D8"/>
    <w:rsid w:val="00673811"/>
    <w:rsid w:val="006744E1"/>
    <w:rsid w:val="00674750"/>
    <w:rsid w:val="006752BF"/>
    <w:rsid w:val="00675626"/>
    <w:rsid w:val="006764D0"/>
    <w:rsid w:val="006766A9"/>
    <w:rsid w:val="006768CD"/>
    <w:rsid w:val="0067755E"/>
    <w:rsid w:val="00677CD3"/>
    <w:rsid w:val="0068028E"/>
    <w:rsid w:val="006805CC"/>
    <w:rsid w:val="00680EAE"/>
    <w:rsid w:val="00680F92"/>
    <w:rsid w:val="0068102A"/>
    <w:rsid w:val="006811DE"/>
    <w:rsid w:val="00681DB6"/>
    <w:rsid w:val="0068211F"/>
    <w:rsid w:val="006822FE"/>
    <w:rsid w:val="00682DA1"/>
    <w:rsid w:val="0068338E"/>
    <w:rsid w:val="006833B8"/>
    <w:rsid w:val="0068372C"/>
    <w:rsid w:val="00683A47"/>
    <w:rsid w:val="00683D2C"/>
    <w:rsid w:val="00683E2D"/>
    <w:rsid w:val="00683F33"/>
    <w:rsid w:val="00684496"/>
    <w:rsid w:val="00684DD2"/>
    <w:rsid w:val="00685B16"/>
    <w:rsid w:val="00685EA9"/>
    <w:rsid w:val="0068640A"/>
    <w:rsid w:val="0068688C"/>
    <w:rsid w:val="00686981"/>
    <w:rsid w:val="00686AF7"/>
    <w:rsid w:val="00687336"/>
    <w:rsid w:val="00687584"/>
    <w:rsid w:val="00687A0D"/>
    <w:rsid w:val="00687AAA"/>
    <w:rsid w:val="00687B41"/>
    <w:rsid w:val="00687EE6"/>
    <w:rsid w:val="00690084"/>
    <w:rsid w:val="006909A3"/>
    <w:rsid w:val="00690DC2"/>
    <w:rsid w:val="00691606"/>
    <w:rsid w:val="00692447"/>
    <w:rsid w:val="006924D8"/>
    <w:rsid w:val="006924F8"/>
    <w:rsid w:val="006926DC"/>
    <w:rsid w:val="00692A10"/>
    <w:rsid w:val="00692A42"/>
    <w:rsid w:val="00692A60"/>
    <w:rsid w:val="00692F8E"/>
    <w:rsid w:val="006934D2"/>
    <w:rsid w:val="006937F9"/>
    <w:rsid w:val="00693C1E"/>
    <w:rsid w:val="006943A5"/>
    <w:rsid w:val="0069469D"/>
    <w:rsid w:val="006952F7"/>
    <w:rsid w:val="00695726"/>
    <w:rsid w:val="006958ED"/>
    <w:rsid w:val="00695941"/>
    <w:rsid w:val="00695BEA"/>
    <w:rsid w:val="00695C4A"/>
    <w:rsid w:val="00695C93"/>
    <w:rsid w:val="00695C9D"/>
    <w:rsid w:val="0069613E"/>
    <w:rsid w:val="00696B9C"/>
    <w:rsid w:val="00697493"/>
    <w:rsid w:val="006974D7"/>
    <w:rsid w:val="006A0024"/>
    <w:rsid w:val="006A00C2"/>
    <w:rsid w:val="006A0497"/>
    <w:rsid w:val="006A0850"/>
    <w:rsid w:val="006A134F"/>
    <w:rsid w:val="006A2136"/>
    <w:rsid w:val="006A2273"/>
    <w:rsid w:val="006A27FC"/>
    <w:rsid w:val="006A28D7"/>
    <w:rsid w:val="006A2FBB"/>
    <w:rsid w:val="006A3906"/>
    <w:rsid w:val="006A3DFE"/>
    <w:rsid w:val="006A41C8"/>
    <w:rsid w:val="006A41F0"/>
    <w:rsid w:val="006A4315"/>
    <w:rsid w:val="006A4483"/>
    <w:rsid w:val="006A478D"/>
    <w:rsid w:val="006A53BD"/>
    <w:rsid w:val="006A549C"/>
    <w:rsid w:val="006A57E9"/>
    <w:rsid w:val="006A5BA1"/>
    <w:rsid w:val="006A5DC9"/>
    <w:rsid w:val="006A64B7"/>
    <w:rsid w:val="006A660A"/>
    <w:rsid w:val="006B0005"/>
    <w:rsid w:val="006B0743"/>
    <w:rsid w:val="006B0983"/>
    <w:rsid w:val="006B1D1E"/>
    <w:rsid w:val="006B1D4F"/>
    <w:rsid w:val="006B1DA8"/>
    <w:rsid w:val="006B1E33"/>
    <w:rsid w:val="006B1F9D"/>
    <w:rsid w:val="006B2844"/>
    <w:rsid w:val="006B2B1B"/>
    <w:rsid w:val="006B3026"/>
    <w:rsid w:val="006B33F6"/>
    <w:rsid w:val="006B343C"/>
    <w:rsid w:val="006B34CD"/>
    <w:rsid w:val="006B3912"/>
    <w:rsid w:val="006B3A76"/>
    <w:rsid w:val="006B3B84"/>
    <w:rsid w:val="006B471D"/>
    <w:rsid w:val="006B51A0"/>
    <w:rsid w:val="006B55C1"/>
    <w:rsid w:val="006B5795"/>
    <w:rsid w:val="006B6B74"/>
    <w:rsid w:val="006B75B1"/>
    <w:rsid w:val="006B7B94"/>
    <w:rsid w:val="006B7DE1"/>
    <w:rsid w:val="006B7DF8"/>
    <w:rsid w:val="006C0056"/>
    <w:rsid w:val="006C0EC0"/>
    <w:rsid w:val="006C124D"/>
    <w:rsid w:val="006C12B8"/>
    <w:rsid w:val="006C12DE"/>
    <w:rsid w:val="006C2133"/>
    <w:rsid w:val="006C233A"/>
    <w:rsid w:val="006C3054"/>
    <w:rsid w:val="006C3212"/>
    <w:rsid w:val="006C33F8"/>
    <w:rsid w:val="006C3488"/>
    <w:rsid w:val="006C3637"/>
    <w:rsid w:val="006C365A"/>
    <w:rsid w:val="006C3BAF"/>
    <w:rsid w:val="006C3C51"/>
    <w:rsid w:val="006C4255"/>
    <w:rsid w:val="006C47F5"/>
    <w:rsid w:val="006C4A55"/>
    <w:rsid w:val="006C5099"/>
    <w:rsid w:val="006C5E3C"/>
    <w:rsid w:val="006C64B6"/>
    <w:rsid w:val="006C66D4"/>
    <w:rsid w:val="006C6893"/>
    <w:rsid w:val="006C7043"/>
    <w:rsid w:val="006C733C"/>
    <w:rsid w:val="006C7397"/>
    <w:rsid w:val="006C7806"/>
    <w:rsid w:val="006C7A45"/>
    <w:rsid w:val="006C7F6A"/>
    <w:rsid w:val="006D0249"/>
    <w:rsid w:val="006D0CAD"/>
    <w:rsid w:val="006D0DBA"/>
    <w:rsid w:val="006D0FE4"/>
    <w:rsid w:val="006D1216"/>
    <w:rsid w:val="006D1D30"/>
    <w:rsid w:val="006D1E91"/>
    <w:rsid w:val="006D2586"/>
    <w:rsid w:val="006D2C77"/>
    <w:rsid w:val="006D2EDC"/>
    <w:rsid w:val="006D33F1"/>
    <w:rsid w:val="006D38EF"/>
    <w:rsid w:val="006D39D2"/>
    <w:rsid w:val="006D3FE8"/>
    <w:rsid w:val="006D40CE"/>
    <w:rsid w:val="006D45A6"/>
    <w:rsid w:val="006D4A75"/>
    <w:rsid w:val="006D4B79"/>
    <w:rsid w:val="006D4CFE"/>
    <w:rsid w:val="006D50E5"/>
    <w:rsid w:val="006D5E1B"/>
    <w:rsid w:val="006D61FB"/>
    <w:rsid w:val="006D6575"/>
    <w:rsid w:val="006D6BB6"/>
    <w:rsid w:val="006D7ECF"/>
    <w:rsid w:val="006E0254"/>
    <w:rsid w:val="006E0312"/>
    <w:rsid w:val="006E0468"/>
    <w:rsid w:val="006E0544"/>
    <w:rsid w:val="006E060A"/>
    <w:rsid w:val="006E0704"/>
    <w:rsid w:val="006E094B"/>
    <w:rsid w:val="006E0BC4"/>
    <w:rsid w:val="006E0CEA"/>
    <w:rsid w:val="006E188F"/>
    <w:rsid w:val="006E1B12"/>
    <w:rsid w:val="006E1D18"/>
    <w:rsid w:val="006E224D"/>
    <w:rsid w:val="006E229B"/>
    <w:rsid w:val="006E23AA"/>
    <w:rsid w:val="006E2913"/>
    <w:rsid w:val="006E293A"/>
    <w:rsid w:val="006E3184"/>
    <w:rsid w:val="006E32B6"/>
    <w:rsid w:val="006E4336"/>
    <w:rsid w:val="006E4DC1"/>
    <w:rsid w:val="006E518E"/>
    <w:rsid w:val="006E555D"/>
    <w:rsid w:val="006E5909"/>
    <w:rsid w:val="006E6122"/>
    <w:rsid w:val="006E6432"/>
    <w:rsid w:val="006E66A3"/>
    <w:rsid w:val="006E6767"/>
    <w:rsid w:val="006E69A4"/>
    <w:rsid w:val="006E6C1F"/>
    <w:rsid w:val="006E6F9E"/>
    <w:rsid w:val="006E70A9"/>
    <w:rsid w:val="006E7341"/>
    <w:rsid w:val="006E75CA"/>
    <w:rsid w:val="006F0139"/>
    <w:rsid w:val="006F0727"/>
    <w:rsid w:val="006F0D47"/>
    <w:rsid w:val="006F0DD6"/>
    <w:rsid w:val="006F0EDC"/>
    <w:rsid w:val="006F104D"/>
    <w:rsid w:val="006F1222"/>
    <w:rsid w:val="006F1443"/>
    <w:rsid w:val="006F1503"/>
    <w:rsid w:val="006F166D"/>
    <w:rsid w:val="006F1693"/>
    <w:rsid w:val="006F1717"/>
    <w:rsid w:val="006F18AB"/>
    <w:rsid w:val="006F1B12"/>
    <w:rsid w:val="006F1B7E"/>
    <w:rsid w:val="006F1F66"/>
    <w:rsid w:val="006F207C"/>
    <w:rsid w:val="006F20DC"/>
    <w:rsid w:val="006F2104"/>
    <w:rsid w:val="006F3818"/>
    <w:rsid w:val="006F3DEB"/>
    <w:rsid w:val="006F3EDD"/>
    <w:rsid w:val="006F44FE"/>
    <w:rsid w:val="006F46B7"/>
    <w:rsid w:val="006F470C"/>
    <w:rsid w:val="006F494F"/>
    <w:rsid w:val="006F4DA0"/>
    <w:rsid w:val="006F4E60"/>
    <w:rsid w:val="006F5195"/>
    <w:rsid w:val="006F51C5"/>
    <w:rsid w:val="006F5BEC"/>
    <w:rsid w:val="006F5D04"/>
    <w:rsid w:val="006F6381"/>
    <w:rsid w:val="006F67D5"/>
    <w:rsid w:val="006F75A7"/>
    <w:rsid w:val="006F7624"/>
    <w:rsid w:val="006F7C33"/>
    <w:rsid w:val="006F7D52"/>
    <w:rsid w:val="00700249"/>
    <w:rsid w:val="00700977"/>
    <w:rsid w:val="007009D1"/>
    <w:rsid w:val="00700B22"/>
    <w:rsid w:val="00700CA1"/>
    <w:rsid w:val="00701818"/>
    <w:rsid w:val="00701BFC"/>
    <w:rsid w:val="00701DA2"/>
    <w:rsid w:val="00701F13"/>
    <w:rsid w:val="00702572"/>
    <w:rsid w:val="00702AF5"/>
    <w:rsid w:val="00702C2B"/>
    <w:rsid w:val="00702CDE"/>
    <w:rsid w:val="00702CF7"/>
    <w:rsid w:val="00703053"/>
    <w:rsid w:val="007031E7"/>
    <w:rsid w:val="0070342F"/>
    <w:rsid w:val="00703E22"/>
    <w:rsid w:val="00704144"/>
    <w:rsid w:val="00704242"/>
    <w:rsid w:val="007045C2"/>
    <w:rsid w:val="007047AB"/>
    <w:rsid w:val="00704BE6"/>
    <w:rsid w:val="00704E8D"/>
    <w:rsid w:val="0070514F"/>
    <w:rsid w:val="0070574C"/>
    <w:rsid w:val="007057FD"/>
    <w:rsid w:val="00705C85"/>
    <w:rsid w:val="0070678C"/>
    <w:rsid w:val="00706A71"/>
    <w:rsid w:val="00706EDC"/>
    <w:rsid w:val="007077E6"/>
    <w:rsid w:val="00707E67"/>
    <w:rsid w:val="007102B2"/>
    <w:rsid w:val="00710706"/>
    <w:rsid w:val="00710E21"/>
    <w:rsid w:val="0071127D"/>
    <w:rsid w:val="007115F4"/>
    <w:rsid w:val="007118D3"/>
    <w:rsid w:val="00711AF2"/>
    <w:rsid w:val="00711B62"/>
    <w:rsid w:val="00711C30"/>
    <w:rsid w:val="007121AF"/>
    <w:rsid w:val="0071306A"/>
    <w:rsid w:val="00713890"/>
    <w:rsid w:val="00713C0A"/>
    <w:rsid w:val="00713C3C"/>
    <w:rsid w:val="00713E05"/>
    <w:rsid w:val="00714143"/>
    <w:rsid w:val="0071414E"/>
    <w:rsid w:val="00714173"/>
    <w:rsid w:val="0071421F"/>
    <w:rsid w:val="00714355"/>
    <w:rsid w:val="00715D6C"/>
    <w:rsid w:val="00716938"/>
    <w:rsid w:val="007174F8"/>
    <w:rsid w:val="00717EDD"/>
    <w:rsid w:val="00720253"/>
    <w:rsid w:val="00720333"/>
    <w:rsid w:val="007204EA"/>
    <w:rsid w:val="00720940"/>
    <w:rsid w:val="00720BA7"/>
    <w:rsid w:val="00721003"/>
    <w:rsid w:val="007218BD"/>
    <w:rsid w:val="00721B01"/>
    <w:rsid w:val="00721E17"/>
    <w:rsid w:val="0072276A"/>
    <w:rsid w:val="007229A4"/>
    <w:rsid w:val="00723490"/>
    <w:rsid w:val="0072391F"/>
    <w:rsid w:val="00723B1E"/>
    <w:rsid w:val="00723CE4"/>
    <w:rsid w:val="00724E24"/>
    <w:rsid w:val="00725171"/>
    <w:rsid w:val="0072555D"/>
    <w:rsid w:val="0072560B"/>
    <w:rsid w:val="00725819"/>
    <w:rsid w:val="00726231"/>
    <w:rsid w:val="0072640C"/>
    <w:rsid w:val="007269F4"/>
    <w:rsid w:val="00726D7E"/>
    <w:rsid w:val="00726F31"/>
    <w:rsid w:val="00726F7F"/>
    <w:rsid w:val="0072709D"/>
    <w:rsid w:val="00727A60"/>
    <w:rsid w:val="00727AC0"/>
    <w:rsid w:val="00727DF0"/>
    <w:rsid w:val="00727FC8"/>
    <w:rsid w:val="007304EA"/>
    <w:rsid w:val="00730989"/>
    <w:rsid w:val="007314FF"/>
    <w:rsid w:val="007316A8"/>
    <w:rsid w:val="007317BB"/>
    <w:rsid w:val="0073190A"/>
    <w:rsid w:val="00731983"/>
    <w:rsid w:val="00731B9D"/>
    <w:rsid w:val="00731D27"/>
    <w:rsid w:val="00731FFD"/>
    <w:rsid w:val="007325C5"/>
    <w:rsid w:val="0073270E"/>
    <w:rsid w:val="00732CCC"/>
    <w:rsid w:val="00732D4D"/>
    <w:rsid w:val="00732D98"/>
    <w:rsid w:val="007331EF"/>
    <w:rsid w:val="007331F8"/>
    <w:rsid w:val="007336EB"/>
    <w:rsid w:val="007337AC"/>
    <w:rsid w:val="00733C75"/>
    <w:rsid w:val="00733F09"/>
    <w:rsid w:val="00734018"/>
    <w:rsid w:val="00735108"/>
    <w:rsid w:val="00735374"/>
    <w:rsid w:val="00735860"/>
    <w:rsid w:val="00735883"/>
    <w:rsid w:val="007366D6"/>
    <w:rsid w:val="007367D1"/>
    <w:rsid w:val="0073681D"/>
    <w:rsid w:val="00736973"/>
    <w:rsid w:val="00736EB0"/>
    <w:rsid w:val="00737988"/>
    <w:rsid w:val="007404C7"/>
    <w:rsid w:val="00740585"/>
    <w:rsid w:val="00740C37"/>
    <w:rsid w:val="007416AA"/>
    <w:rsid w:val="00741850"/>
    <w:rsid w:val="007431E9"/>
    <w:rsid w:val="00743326"/>
    <w:rsid w:val="007435DD"/>
    <w:rsid w:val="007437AE"/>
    <w:rsid w:val="0074436C"/>
    <w:rsid w:val="00744869"/>
    <w:rsid w:val="00744A85"/>
    <w:rsid w:val="0074516A"/>
    <w:rsid w:val="007455E3"/>
    <w:rsid w:val="007458B1"/>
    <w:rsid w:val="007459B4"/>
    <w:rsid w:val="00745A9C"/>
    <w:rsid w:val="00745E51"/>
    <w:rsid w:val="00746059"/>
    <w:rsid w:val="00746112"/>
    <w:rsid w:val="00746BC3"/>
    <w:rsid w:val="00746EA5"/>
    <w:rsid w:val="00746EBC"/>
    <w:rsid w:val="00747010"/>
    <w:rsid w:val="00747090"/>
    <w:rsid w:val="00747585"/>
    <w:rsid w:val="00747D4E"/>
    <w:rsid w:val="00747DD6"/>
    <w:rsid w:val="00750751"/>
    <w:rsid w:val="00751192"/>
    <w:rsid w:val="00751588"/>
    <w:rsid w:val="007520FA"/>
    <w:rsid w:val="007524AC"/>
    <w:rsid w:val="00752521"/>
    <w:rsid w:val="007525AF"/>
    <w:rsid w:val="00752676"/>
    <w:rsid w:val="007534EB"/>
    <w:rsid w:val="0075444A"/>
    <w:rsid w:val="007545D3"/>
    <w:rsid w:val="007546C4"/>
    <w:rsid w:val="0075487B"/>
    <w:rsid w:val="00754DE2"/>
    <w:rsid w:val="00755112"/>
    <w:rsid w:val="00755151"/>
    <w:rsid w:val="007552FC"/>
    <w:rsid w:val="007566BD"/>
    <w:rsid w:val="00756B0A"/>
    <w:rsid w:val="007571AD"/>
    <w:rsid w:val="007573CE"/>
    <w:rsid w:val="007574DA"/>
    <w:rsid w:val="00757633"/>
    <w:rsid w:val="00760675"/>
    <w:rsid w:val="00760C18"/>
    <w:rsid w:val="00760CBC"/>
    <w:rsid w:val="00760FE6"/>
    <w:rsid w:val="00761B7C"/>
    <w:rsid w:val="007621A2"/>
    <w:rsid w:val="00762551"/>
    <w:rsid w:val="00762850"/>
    <w:rsid w:val="00762B14"/>
    <w:rsid w:val="0076310E"/>
    <w:rsid w:val="00763A15"/>
    <w:rsid w:val="00763CFF"/>
    <w:rsid w:val="00763FA1"/>
    <w:rsid w:val="007645DB"/>
    <w:rsid w:val="0076553D"/>
    <w:rsid w:val="007657E0"/>
    <w:rsid w:val="007659EE"/>
    <w:rsid w:val="00765B93"/>
    <w:rsid w:val="00765E12"/>
    <w:rsid w:val="007661DE"/>
    <w:rsid w:val="007668E1"/>
    <w:rsid w:val="00767E7C"/>
    <w:rsid w:val="00770E2B"/>
    <w:rsid w:val="00770FAD"/>
    <w:rsid w:val="0077193D"/>
    <w:rsid w:val="00771A59"/>
    <w:rsid w:val="00771D33"/>
    <w:rsid w:val="00772651"/>
    <w:rsid w:val="00772CA9"/>
    <w:rsid w:val="00772EE6"/>
    <w:rsid w:val="00773B7C"/>
    <w:rsid w:val="00773E89"/>
    <w:rsid w:val="00774384"/>
    <w:rsid w:val="0077576B"/>
    <w:rsid w:val="00775B8F"/>
    <w:rsid w:val="00775E82"/>
    <w:rsid w:val="00775EF6"/>
    <w:rsid w:val="00776517"/>
    <w:rsid w:val="0077656D"/>
    <w:rsid w:val="007772B8"/>
    <w:rsid w:val="0077763F"/>
    <w:rsid w:val="0078082F"/>
    <w:rsid w:val="00780919"/>
    <w:rsid w:val="00780C14"/>
    <w:rsid w:val="007812AE"/>
    <w:rsid w:val="007819DE"/>
    <w:rsid w:val="0078239C"/>
    <w:rsid w:val="007828B8"/>
    <w:rsid w:val="00782DD2"/>
    <w:rsid w:val="007837B9"/>
    <w:rsid w:val="00783A2E"/>
    <w:rsid w:val="00783D4F"/>
    <w:rsid w:val="0078469A"/>
    <w:rsid w:val="00784A42"/>
    <w:rsid w:val="00785D78"/>
    <w:rsid w:val="00786085"/>
    <w:rsid w:val="00786204"/>
    <w:rsid w:val="00786798"/>
    <w:rsid w:val="00786B3E"/>
    <w:rsid w:val="0078731F"/>
    <w:rsid w:val="007873B8"/>
    <w:rsid w:val="007875AE"/>
    <w:rsid w:val="00787F47"/>
    <w:rsid w:val="007907DD"/>
    <w:rsid w:val="00790AB4"/>
    <w:rsid w:val="0079113B"/>
    <w:rsid w:val="007912E7"/>
    <w:rsid w:val="00791309"/>
    <w:rsid w:val="007914D5"/>
    <w:rsid w:val="00791761"/>
    <w:rsid w:val="007919DF"/>
    <w:rsid w:val="00791AE9"/>
    <w:rsid w:val="007925E8"/>
    <w:rsid w:val="0079264F"/>
    <w:rsid w:val="00792BA4"/>
    <w:rsid w:val="007931CF"/>
    <w:rsid w:val="00794349"/>
    <w:rsid w:val="00794867"/>
    <w:rsid w:val="007951AE"/>
    <w:rsid w:val="007958CC"/>
    <w:rsid w:val="007959ED"/>
    <w:rsid w:val="00795DD2"/>
    <w:rsid w:val="0079630F"/>
    <w:rsid w:val="00796625"/>
    <w:rsid w:val="0079679D"/>
    <w:rsid w:val="007968CB"/>
    <w:rsid w:val="00797372"/>
    <w:rsid w:val="0079778D"/>
    <w:rsid w:val="00797806"/>
    <w:rsid w:val="00797A29"/>
    <w:rsid w:val="007A02BD"/>
    <w:rsid w:val="007A0361"/>
    <w:rsid w:val="007A0751"/>
    <w:rsid w:val="007A08D3"/>
    <w:rsid w:val="007A0AF3"/>
    <w:rsid w:val="007A0CC1"/>
    <w:rsid w:val="007A1319"/>
    <w:rsid w:val="007A164C"/>
    <w:rsid w:val="007A171B"/>
    <w:rsid w:val="007A1AE0"/>
    <w:rsid w:val="007A1B5B"/>
    <w:rsid w:val="007A1CD8"/>
    <w:rsid w:val="007A1FFE"/>
    <w:rsid w:val="007A22DF"/>
    <w:rsid w:val="007A240F"/>
    <w:rsid w:val="007A24B4"/>
    <w:rsid w:val="007A2664"/>
    <w:rsid w:val="007A274D"/>
    <w:rsid w:val="007A29A4"/>
    <w:rsid w:val="007A2A42"/>
    <w:rsid w:val="007A3AB4"/>
    <w:rsid w:val="007A3BE2"/>
    <w:rsid w:val="007A3D46"/>
    <w:rsid w:val="007A4666"/>
    <w:rsid w:val="007A46C1"/>
    <w:rsid w:val="007A4A3C"/>
    <w:rsid w:val="007A51C4"/>
    <w:rsid w:val="007A5502"/>
    <w:rsid w:val="007A56F1"/>
    <w:rsid w:val="007A5F0E"/>
    <w:rsid w:val="007A5FEB"/>
    <w:rsid w:val="007A62E4"/>
    <w:rsid w:val="007A6E4B"/>
    <w:rsid w:val="007A7649"/>
    <w:rsid w:val="007A7779"/>
    <w:rsid w:val="007A791C"/>
    <w:rsid w:val="007A7CF1"/>
    <w:rsid w:val="007A7E49"/>
    <w:rsid w:val="007B013F"/>
    <w:rsid w:val="007B02C9"/>
    <w:rsid w:val="007B04D2"/>
    <w:rsid w:val="007B0B78"/>
    <w:rsid w:val="007B1CD9"/>
    <w:rsid w:val="007B1DE4"/>
    <w:rsid w:val="007B25D7"/>
    <w:rsid w:val="007B28E3"/>
    <w:rsid w:val="007B2E97"/>
    <w:rsid w:val="007B30D5"/>
    <w:rsid w:val="007B3781"/>
    <w:rsid w:val="007B39FE"/>
    <w:rsid w:val="007B3B4D"/>
    <w:rsid w:val="007B3F8D"/>
    <w:rsid w:val="007B4B1B"/>
    <w:rsid w:val="007B4BE6"/>
    <w:rsid w:val="007B4CE0"/>
    <w:rsid w:val="007B526F"/>
    <w:rsid w:val="007B5936"/>
    <w:rsid w:val="007B5EF5"/>
    <w:rsid w:val="007B690E"/>
    <w:rsid w:val="007B6CD2"/>
    <w:rsid w:val="007B7A83"/>
    <w:rsid w:val="007B7DF8"/>
    <w:rsid w:val="007C0083"/>
    <w:rsid w:val="007C0F89"/>
    <w:rsid w:val="007C19B9"/>
    <w:rsid w:val="007C1AB6"/>
    <w:rsid w:val="007C1C59"/>
    <w:rsid w:val="007C1E66"/>
    <w:rsid w:val="007C20A2"/>
    <w:rsid w:val="007C239B"/>
    <w:rsid w:val="007C2446"/>
    <w:rsid w:val="007C2701"/>
    <w:rsid w:val="007C2FFD"/>
    <w:rsid w:val="007C3294"/>
    <w:rsid w:val="007C3602"/>
    <w:rsid w:val="007C3905"/>
    <w:rsid w:val="007C3CE6"/>
    <w:rsid w:val="007C3D5F"/>
    <w:rsid w:val="007C41AA"/>
    <w:rsid w:val="007C4602"/>
    <w:rsid w:val="007C4B98"/>
    <w:rsid w:val="007C4D69"/>
    <w:rsid w:val="007C5FF1"/>
    <w:rsid w:val="007C6081"/>
    <w:rsid w:val="007C60E3"/>
    <w:rsid w:val="007C61EB"/>
    <w:rsid w:val="007C632E"/>
    <w:rsid w:val="007C6A79"/>
    <w:rsid w:val="007C6C3D"/>
    <w:rsid w:val="007C6C7B"/>
    <w:rsid w:val="007C6F4B"/>
    <w:rsid w:val="007C7AE6"/>
    <w:rsid w:val="007C7DF5"/>
    <w:rsid w:val="007D0412"/>
    <w:rsid w:val="007D07E4"/>
    <w:rsid w:val="007D09E1"/>
    <w:rsid w:val="007D0F7A"/>
    <w:rsid w:val="007D0FA4"/>
    <w:rsid w:val="007D1094"/>
    <w:rsid w:val="007D120E"/>
    <w:rsid w:val="007D137D"/>
    <w:rsid w:val="007D15A6"/>
    <w:rsid w:val="007D19DE"/>
    <w:rsid w:val="007D1C29"/>
    <w:rsid w:val="007D2638"/>
    <w:rsid w:val="007D284A"/>
    <w:rsid w:val="007D288C"/>
    <w:rsid w:val="007D2FD8"/>
    <w:rsid w:val="007D396D"/>
    <w:rsid w:val="007D3A82"/>
    <w:rsid w:val="007D411E"/>
    <w:rsid w:val="007D41AA"/>
    <w:rsid w:val="007D4212"/>
    <w:rsid w:val="007D424A"/>
    <w:rsid w:val="007D4BC4"/>
    <w:rsid w:val="007D4CA5"/>
    <w:rsid w:val="007D4CF7"/>
    <w:rsid w:val="007D4E5F"/>
    <w:rsid w:val="007D4E6F"/>
    <w:rsid w:val="007D4F2C"/>
    <w:rsid w:val="007D4FBF"/>
    <w:rsid w:val="007D5124"/>
    <w:rsid w:val="007D519C"/>
    <w:rsid w:val="007D58CB"/>
    <w:rsid w:val="007D5D0B"/>
    <w:rsid w:val="007D5D27"/>
    <w:rsid w:val="007D5EB0"/>
    <w:rsid w:val="007D5EF0"/>
    <w:rsid w:val="007D5F8E"/>
    <w:rsid w:val="007D60D0"/>
    <w:rsid w:val="007D6654"/>
    <w:rsid w:val="007D7012"/>
    <w:rsid w:val="007D74CA"/>
    <w:rsid w:val="007E00BB"/>
    <w:rsid w:val="007E04DE"/>
    <w:rsid w:val="007E0EFA"/>
    <w:rsid w:val="007E1215"/>
    <w:rsid w:val="007E1F7B"/>
    <w:rsid w:val="007E1F9A"/>
    <w:rsid w:val="007E21AA"/>
    <w:rsid w:val="007E238B"/>
    <w:rsid w:val="007E24D6"/>
    <w:rsid w:val="007E2B2A"/>
    <w:rsid w:val="007E2B7B"/>
    <w:rsid w:val="007E2BDE"/>
    <w:rsid w:val="007E2F88"/>
    <w:rsid w:val="007E3018"/>
    <w:rsid w:val="007E324B"/>
    <w:rsid w:val="007E4542"/>
    <w:rsid w:val="007E486D"/>
    <w:rsid w:val="007E4CAC"/>
    <w:rsid w:val="007E4D4A"/>
    <w:rsid w:val="007E4DD8"/>
    <w:rsid w:val="007E4FC1"/>
    <w:rsid w:val="007E5019"/>
    <w:rsid w:val="007E5111"/>
    <w:rsid w:val="007E53ED"/>
    <w:rsid w:val="007E5DCF"/>
    <w:rsid w:val="007E5E91"/>
    <w:rsid w:val="007E5EBE"/>
    <w:rsid w:val="007E5FB4"/>
    <w:rsid w:val="007E5FE1"/>
    <w:rsid w:val="007E6985"/>
    <w:rsid w:val="007E69A1"/>
    <w:rsid w:val="007E72E7"/>
    <w:rsid w:val="007E74D9"/>
    <w:rsid w:val="007E7616"/>
    <w:rsid w:val="007E763E"/>
    <w:rsid w:val="007F0827"/>
    <w:rsid w:val="007F0E77"/>
    <w:rsid w:val="007F1576"/>
    <w:rsid w:val="007F310A"/>
    <w:rsid w:val="007F319C"/>
    <w:rsid w:val="007F3412"/>
    <w:rsid w:val="007F36E6"/>
    <w:rsid w:val="007F390A"/>
    <w:rsid w:val="007F46B0"/>
    <w:rsid w:val="007F59C9"/>
    <w:rsid w:val="007F604A"/>
    <w:rsid w:val="007F673B"/>
    <w:rsid w:val="007F6891"/>
    <w:rsid w:val="007F726F"/>
    <w:rsid w:val="0080002A"/>
    <w:rsid w:val="00800300"/>
    <w:rsid w:val="00800DCC"/>
    <w:rsid w:val="00800F34"/>
    <w:rsid w:val="0080103F"/>
    <w:rsid w:val="008014A6"/>
    <w:rsid w:val="008014FB"/>
    <w:rsid w:val="008017F4"/>
    <w:rsid w:val="00801988"/>
    <w:rsid w:val="00801EC5"/>
    <w:rsid w:val="00801F75"/>
    <w:rsid w:val="008027A5"/>
    <w:rsid w:val="008038AD"/>
    <w:rsid w:val="008038E1"/>
    <w:rsid w:val="008043EC"/>
    <w:rsid w:val="00805156"/>
    <w:rsid w:val="008055DF"/>
    <w:rsid w:val="00805B33"/>
    <w:rsid w:val="00805D6A"/>
    <w:rsid w:val="00805DB6"/>
    <w:rsid w:val="00806B49"/>
    <w:rsid w:val="00806E5E"/>
    <w:rsid w:val="0080700A"/>
    <w:rsid w:val="00807361"/>
    <w:rsid w:val="008075B9"/>
    <w:rsid w:val="008078CE"/>
    <w:rsid w:val="00807AA6"/>
    <w:rsid w:val="00807CDC"/>
    <w:rsid w:val="00807F9D"/>
    <w:rsid w:val="008106E5"/>
    <w:rsid w:val="00810A56"/>
    <w:rsid w:val="00811198"/>
    <w:rsid w:val="008113F7"/>
    <w:rsid w:val="0081191D"/>
    <w:rsid w:val="00811A42"/>
    <w:rsid w:val="008123CD"/>
    <w:rsid w:val="008123F1"/>
    <w:rsid w:val="00812569"/>
    <w:rsid w:val="00812DA9"/>
    <w:rsid w:val="00812FD3"/>
    <w:rsid w:val="00813130"/>
    <w:rsid w:val="008137E8"/>
    <w:rsid w:val="00813DDF"/>
    <w:rsid w:val="00813FA6"/>
    <w:rsid w:val="0081401E"/>
    <w:rsid w:val="00815381"/>
    <w:rsid w:val="008159CA"/>
    <w:rsid w:val="00815E84"/>
    <w:rsid w:val="0081734B"/>
    <w:rsid w:val="008175F0"/>
    <w:rsid w:val="00817BFD"/>
    <w:rsid w:val="00817D5D"/>
    <w:rsid w:val="00817E7E"/>
    <w:rsid w:val="0082050B"/>
    <w:rsid w:val="008205B4"/>
    <w:rsid w:val="0082093A"/>
    <w:rsid w:val="008209F0"/>
    <w:rsid w:val="0082115A"/>
    <w:rsid w:val="00821A35"/>
    <w:rsid w:val="00821A60"/>
    <w:rsid w:val="00821C71"/>
    <w:rsid w:val="00821D17"/>
    <w:rsid w:val="008220B0"/>
    <w:rsid w:val="00822395"/>
    <w:rsid w:val="008229A1"/>
    <w:rsid w:val="00822F12"/>
    <w:rsid w:val="00823BAD"/>
    <w:rsid w:val="008241C7"/>
    <w:rsid w:val="008243DA"/>
    <w:rsid w:val="0082442E"/>
    <w:rsid w:val="00824E03"/>
    <w:rsid w:val="0082528C"/>
    <w:rsid w:val="008254D2"/>
    <w:rsid w:val="008256BD"/>
    <w:rsid w:val="008257A0"/>
    <w:rsid w:val="00825806"/>
    <w:rsid w:val="00825C09"/>
    <w:rsid w:val="008269CC"/>
    <w:rsid w:val="00826F5D"/>
    <w:rsid w:val="00827592"/>
    <w:rsid w:val="00827650"/>
    <w:rsid w:val="00827BEB"/>
    <w:rsid w:val="00827C68"/>
    <w:rsid w:val="00827E22"/>
    <w:rsid w:val="00827F19"/>
    <w:rsid w:val="00830156"/>
    <w:rsid w:val="00830382"/>
    <w:rsid w:val="0083077F"/>
    <w:rsid w:val="00830806"/>
    <w:rsid w:val="008308ED"/>
    <w:rsid w:val="008319C5"/>
    <w:rsid w:val="00831B67"/>
    <w:rsid w:val="00831C18"/>
    <w:rsid w:val="00831FE5"/>
    <w:rsid w:val="00832604"/>
    <w:rsid w:val="008329DF"/>
    <w:rsid w:val="00832C4A"/>
    <w:rsid w:val="00832E76"/>
    <w:rsid w:val="008333AF"/>
    <w:rsid w:val="008339F4"/>
    <w:rsid w:val="00834109"/>
    <w:rsid w:val="00834182"/>
    <w:rsid w:val="00834632"/>
    <w:rsid w:val="00834C2F"/>
    <w:rsid w:val="008356E7"/>
    <w:rsid w:val="0083582D"/>
    <w:rsid w:val="0083659F"/>
    <w:rsid w:val="00836D83"/>
    <w:rsid w:val="00836E84"/>
    <w:rsid w:val="008375F4"/>
    <w:rsid w:val="00837769"/>
    <w:rsid w:val="008379BA"/>
    <w:rsid w:val="00837B70"/>
    <w:rsid w:val="00840192"/>
    <w:rsid w:val="00840250"/>
    <w:rsid w:val="008403B8"/>
    <w:rsid w:val="00840624"/>
    <w:rsid w:val="00840DDC"/>
    <w:rsid w:val="00840FFF"/>
    <w:rsid w:val="0084106F"/>
    <w:rsid w:val="0084118E"/>
    <w:rsid w:val="00841A67"/>
    <w:rsid w:val="00841B85"/>
    <w:rsid w:val="00841C18"/>
    <w:rsid w:val="008421A6"/>
    <w:rsid w:val="0084264D"/>
    <w:rsid w:val="00842A4D"/>
    <w:rsid w:val="00843250"/>
    <w:rsid w:val="00843E4E"/>
    <w:rsid w:val="00844A40"/>
    <w:rsid w:val="00844BBC"/>
    <w:rsid w:val="00844E36"/>
    <w:rsid w:val="008455A5"/>
    <w:rsid w:val="00845B84"/>
    <w:rsid w:val="00846AEE"/>
    <w:rsid w:val="00846F0B"/>
    <w:rsid w:val="00847E26"/>
    <w:rsid w:val="00847F11"/>
    <w:rsid w:val="0085004C"/>
    <w:rsid w:val="00850081"/>
    <w:rsid w:val="00850166"/>
    <w:rsid w:val="00850A99"/>
    <w:rsid w:val="00850E1D"/>
    <w:rsid w:val="00851801"/>
    <w:rsid w:val="00851C1E"/>
    <w:rsid w:val="00851E22"/>
    <w:rsid w:val="00851E76"/>
    <w:rsid w:val="00851F0F"/>
    <w:rsid w:val="00852C4B"/>
    <w:rsid w:val="00852CC8"/>
    <w:rsid w:val="00852D14"/>
    <w:rsid w:val="008532C4"/>
    <w:rsid w:val="00853796"/>
    <w:rsid w:val="00853A61"/>
    <w:rsid w:val="00853FBC"/>
    <w:rsid w:val="008545E5"/>
    <w:rsid w:val="00854921"/>
    <w:rsid w:val="008549C3"/>
    <w:rsid w:val="00854D48"/>
    <w:rsid w:val="00855138"/>
    <w:rsid w:val="008552D6"/>
    <w:rsid w:val="0085532A"/>
    <w:rsid w:val="00855BB5"/>
    <w:rsid w:val="00855C24"/>
    <w:rsid w:val="008567F8"/>
    <w:rsid w:val="00856C04"/>
    <w:rsid w:val="00857C67"/>
    <w:rsid w:val="00857EBC"/>
    <w:rsid w:val="00860731"/>
    <w:rsid w:val="00860987"/>
    <w:rsid w:val="00860A54"/>
    <w:rsid w:val="008614E8"/>
    <w:rsid w:val="0086184A"/>
    <w:rsid w:val="0086188C"/>
    <w:rsid w:val="00862662"/>
    <w:rsid w:val="008627F8"/>
    <w:rsid w:val="00862954"/>
    <w:rsid w:val="00862AF1"/>
    <w:rsid w:val="00862B75"/>
    <w:rsid w:val="00862FAA"/>
    <w:rsid w:val="00863729"/>
    <w:rsid w:val="00863DDE"/>
    <w:rsid w:val="00863F06"/>
    <w:rsid w:val="008642A0"/>
    <w:rsid w:val="008645E0"/>
    <w:rsid w:val="00864E65"/>
    <w:rsid w:val="00864F78"/>
    <w:rsid w:val="0086588F"/>
    <w:rsid w:val="00865A4F"/>
    <w:rsid w:val="00865CA7"/>
    <w:rsid w:val="00865E91"/>
    <w:rsid w:val="0086615D"/>
    <w:rsid w:val="00866767"/>
    <w:rsid w:val="0086686D"/>
    <w:rsid w:val="00866E3B"/>
    <w:rsid w:val="008675B6"/>
    <w:rsid w:val="00867A04"/>
    <w:rsid w:val="0087088A"/>
    <w:rsid w:val="00870956"/>
    <w:rsid w:val="00871609"/>
    <w:rsid w:val="00871A23"/>
    <w:rsid w:val="00871B42"/>
    <w:rsid w:val="00871B92"/>
    <w:rsid w:val="00872B73"/>
    <w:rsid w:val="00872BD5"/>
    <w:rsid w:val="00873087"/>
    <w:rsid w:val="008732DB"/>
    <w:rsid w:val="008734D7"/>
    <w:rsid w:val="00873506"/>
    <w:rsid w:val="00873B08"/>
    <w:rsid w:val="00873E81"/>
    <w:rsid w:val="00873EC5"/>
    <w:rsid w:val="008742AA"/>
    <w:rsid w:val="00875720"/>
    <w:rsid w:val="0087606D"/>
    <w:rsid w:val="008760BB"/>
    <w:rsid w:val="008764B6"/>
    <w:rsid w:val="008767F0"/>
    <w:rsid w:val="00876E4F"/>
    <w:rsid w:val="00876F94"/>
    <w:rsid w:val="008777A4"/>
    <w:rsid w:val="00877A5E"/>
    <w:rsid w:val="00877A89"/>
    <w:rsid w:val="00877B1C"/>
    <w:rsid w:val="00877FBB"/>
    <w:rsid w:val="00881245"/>
    <w:rsid w:val="00881481"/>
    <w:rsid w:val="008817D1"/>
    <w:rsid w:val="00881880"/>
    <w:rsid w:val="00881BD9"/>
    <w:rsid w:val="00882125"/>
    <w:rsid w:val="008825CC"/>
    <w:rsid w:val="00882B4F"/>
    <w:rsid w:val="00882CFB"/>
    <w:rsid w:val="008833BE"/>
    <w:rsid w:val="00883532"/>
    <w:rsid w:val="008838C3"/>
    <w:rsid w:val="00883934"/>
    <w:rsid w:val="008839BE"/>
    <w:rsid w:val="00883A84"/>
    <w:rsid w:val="00883B38"/>
    <w:rsid w:val="00883E1D"/>
    <w:rsid w:val="00883FEF"/>
    <w:rsid w:val="0088428F"/>
    <w:rsid w:val="0088475B"/>
    <w:rsid w:val="00884C03"/>
    <w:rsid w:val="00884C06"/>
    <w:rsid w:val="00885291"/>
    <w:rsid w:val="00885D72"/>
    <w:rsid w:val="00885F64"/>
    <w:rsid w:val="008862DB"/>
    <w:rsid w:val="0088704A"/>
    <w:rsid w:val="00887578"/>
    <w:rsid w:val="0088787B"/>
    <w:rsid w:val="00890232"/>
    <w:rsid w:val="00890361"/>
    <w:rsid w:val="0089095E"/>
    <w:rsid w:val="00891078"/>
    <w:rsid w:val="00891190"/>
    <w:rsid w:val="00891B71"/>
    <w:rsid w:val="00892790"/>
    <w:rsid w:val="00892957"/>
    <w:rsid w:val="00892B71"/>
    <w:rsid w:val="00892C27"/>
    <w:rsid w:val="008933DE"/>
    <w:rsid w:val="008933E3"/>
    <w:rsid w:val="00893550"/>
    <w:rsid w:val="00893A14"/>
    <w:rsid w:val="00893AF4"/>
    <w:rsid w:val="00893B0A"/>
    <w:rsid w:val="00893B4F"/>
    <w:rsid w:val="00893E8A"/>
    <w:rsid w:val="00893F73"/>
    <w:rsid w:val="0089485D"/>
    <w:rsid w:val="008957B0"/>
    <w:rsid w:val="0089596C"/>
    <w:rsid w:val="00895F76"/>
    <w:rsid w:val="00896438"/>
    <w:rsid w:val="00896C95"/>
    <w:rsid w:val="00897D61"/>
    <w:rsid w:val="00897F24"/>
    <w:rsid w:val="00897FF0"/>
    <w:rsid w:val="008A0174"/>
    <w:rsid w:val="008A01E3"/>
    <w:rsid w:val="008A11FE"/>
    <w:rsid w:val="008A1242"/>
    <w:rsid w:val="008A1427"/>
    <w:rsid w:val="008A1A4D"/>
    <w:rsid w:val="008A1AE4"/>
    <w:rsid w:val="008A1E14"/>
    <w:rsid w:val="008A26F4"/>
    <w:rsid w:val="008A29B5"/>
    <w:rsid w:val="008A2E48"/>
    <w:rsid w:val="008A2E67"/>
    <w:rsid w:val="008A30F5"/>
    <w:rsid w:val="008A3840"/>
    <w:rsid w:val="008A3C6B"/>
    <w:rsid w:val="008A3F92"/>
    <w:rsid w:val="008A41F4"/>
    <w:rsid w:val="008A53C7"/>
    <w:rsid w:val="008A5946"/>
    <w:rsid w:val="008A5B89"/>
    <w:rsid w:val="008A6023"/>
    <w:rsid w:val="008A60C7"/>
    <w:rsid w:val="008A622B"/>
    <w:rsid w:val="008A66EE"/>
    <w:rsid w:val="008A6832"/>
    <w:rsid w:val="008A7457"/>
    <w:rsid w:val="008A785C"/>
    <w:rsid w:val="008B01CA"/>
    <w:rsid w:val="008B0517"/>
    <w:rsid w:val="008B0A00"/>
    <w:rsid w:val="008B0BA4"/>
    <w:rsid w:val="008B0C1A"/>
    <w:rsid w:val="008B0C39"/>
    <w:rsid w:val="008B1063"/>
    <w:rsid w:val="008B142A"/>
    <w:rsid w:val="008B19F6"/>
    <w:rsid w:val="008B1E6A"/>
    <w:rsid w:val="008B299D"/>
    <w:rsid w:val="008B3EFD"/>
    <w:rsid w:val="008B4081"/>
    <w:rsid w:val="008B40DE"/>
    <w:rsid w:val="008B40FF"/>
    <w:rsid w:val="008B4399"/>
    <w:rsid w:val="008B4461"/>
    <w:rsid w:val="008B4813"/>
    <w:rsid w:val="008B4DAB"/>
    <w:rsid w:val="008B6574"/>
    <w:rsid w:val="008B65D8"/>
    <w:rsid w:val="008B729C"/>
    <w:rsid w:val="008B76A6"/>
    <w:rsid w:val="008B7BEC"/>
    <w:rsid w:val="008B7E9D"/>
    <w:rsid w:val="008B7F98"/>
    <w:rsid w:val="008C01F2"/>
    <w:rsid w:val="008C03AC"/>
    <w:rsid w:val="008C0424"/>
    <w:rsid w:val="008C08FB"/>
    <w:rsid w:val="008C09F1"/>
    <w:rsid w:val="008C0B13"/>
    <w:rsid w:val="008C1A65"/>
    <w:rsid w:val="008C1CFA"/>
    <w:rsid w:val="008C2A32"/>
    <w:rsid w:val="008C2C1A"/>
    <w:rsid w:val="008C2C83"/>
    <w:rsid w:val="008C2D88"/>
    <w:rsid w:val="008C31C1"/>
    <w:rsid w:val="008C35AE"/>
    <w:rsid w:val="008C361D"/>
    <w:rsid w:val="008C45F7"/>
    <w:rsid w:val="008C4C1C"/>
    <w:rsid w:val="008C5763"/>
    <w:rsid w:val="008C5A7D"/>
    <w:rsid w:val="008C5BB7"/>
    <w:rsid w:val="008C6473"/>
    <w:rsid w:val="008C67DD"/>
    <w:rsid w:val="008C6C71"/>
    <w:rsid w:val="008C6D98"/>
    <w:rsid w:val="008C72B4"/>
    <w:rsid w:val="008C795A"/>
    <w:rsid w:val="008C7B8F"/>
    <w:rsid w:val="008C7F5A"/>
    <w:rsid w:val="008D025B"/>
    <w:rsid w:val="008D05CF"/>
    <w:rsid w:val="008D0810"/>
    <w:rsid w:val="008D0CBB"/>
    <w:rsid w:val="008D0D35"/>
    <w:rsid w:val="008D1387"/>
    <w:rsid w:val="008D1463"/>
    <w:rsid w:val="008D1965"/>
    <w:rsid w:val="008D1CB0"/>
    <w:rsid w:val="008D1EDC"/>
    <w:rsid w:val="008D2632"/>
    <w:rsid w:val="008D30C8"/>
    <w:rsid w:val="008D37CC"/>
    <w:rsid w:val="008D3E6B"/>
    <w:rsid w:val="008D4CC4"/>
    <w:rsid w:val="008D4E40"/>
    <w:rsid w:val="008D4F9C"/>
    <w:rsid w:val="008D51A7"/>
    <w:rsid w:val="008D526A"/>
    <w:rsid w:val="008D5475"/>
    <w:rsid w:val="008D561A"/>
    <w:rsid w:val="008D579D"/>
    <w:rsid w:val="008D5877"/>
    <w:rsid w:val="008D58A7"/>
    <w:rsid w:val="008D5D15"/>
    <w:rsid w:val="008D5E59"/>
    <w:rsid w:val="008D5FF4"/>
    <w:rsid w:val="008D6998"/>
    <w:rsid w:val="008D6B38"/>
    <w:rsid w:val="008D6DBC"/>
    <w:rsid w:val="008D726A"/>
    <w:rsid w:val="008D72CA"/>
    <w:rsid w:val="008D7329"/>
    <w:rsid w:val="008D7EB5"/>
    <w:rsid w:val="008E004B"/>
    <w:rsid w:val="008E03A6"/>
    <w:rsid w:val="008E0B9D"/>
    <w:rsid w:val="008E0BD1"/>
    <w:rsid w:val="008E0DD3"/>
    <w:rsid w:val="008E131B"/>
    <w:rsid w:val="008E137F"/>
    <w:rsid w:val="008E1661"/>
    <w:rsid w:val="008E1789"/>
    <w:rsid w:val="008E1885"/>
    <w:rsid w:val="008E1AB7"/>
    <w:rsid w:val="008E1B84"/>
    <w:rsid w:val="008E1BAE"/>
    <w:rsid w:val="008E1D16"/>
    <w:rsid w:val="008E1EC5"/>
    <w:rsid w:val="008E2200"/>
    <w:rsid w:val="008E2226"/>
    <w:rsid w:val="008E2388"/>
    <w:rsid w:val="008E28F7"/>
    <w:rsid w:val="008E2948"/>
    <w:rsid w:val="008E2F70"/>
    <w:rsid w:val="008E331E"/>
    <w:rsid w:val="008E3349"/>
    <w:rsid w:val="008E35A4"/>
    <w:rsid w:val="008E36B3"/>
    <w:rsid w:val="008E3821"/>
    <w:rsid w:val="008E42BC"/>
    <w:rsid w:val="008E47F5"/>
    <w:rsid w:val="008E4CDA"/>
    <w:rsid w:val="008E579C"/>
    <w:rsid w:val="008E5888"/>
    <w:rsid w:val="008E5893"/>
    <w:rsid w:val="008E600B"/>
    <w:rsid w:val="008E6153"/>
    <w:rsid w:val="008E6846"/>
    <w:rsid w:val="008E690E"/>
    <w:rsid w:val="008E69CF"/>
    <w:rsid w:val="008E6BCA"/>
    <w:rsid w:val="008E6F09"/>
    <w:rsid w:val="008E786B"/>
    <w:rsid w:val="008F027A"/>
    <w:rsid w:val="008F1127"/>
    <w:rsid w:val="008F1130"/>
    <w:rsid w:val="008F1860"/>
    <w:rsid w:val="008F1944"/>
    <w:rsid w:val="008F2F04"/>
    <w:rsid w:val="008F3B2B"/>
    <w:rsid w:val="008F3F41"/>
    <w:rsid w:val="008F416B"/>
    <w:rsid w:val="008F4524"/>
    <w:rsid w:val="008F4BA4"/>
    <w:rsid w:val="008F4F31"/>
    <w:rsid w:val="008F5327"/>
    <w:rsid w:val="008F5449"/>
    <w:rsid w:val="008F5587"/>
    <w:rsid w:val="008F5853"/>
    <w:rsid w:val="008F5AE2"/>
    <w:rsid w:val="008F65BA"/>
    <w:rsid w:val="008F7779"/>
    <w:rsid w:val="008F7AC5"/>
    <w:rsid w:val="00900272"/>
    <w:rsid w:val="00900C4C"/>
    <w:rsid w:val="00900D1B"/>
    <w:rsid w:val="009011B1"/>
    <w:rsid w:val="009019CB"/>
    <w:rsid w:val="00901AAD"/>
    <w:rsid w:val="00902873"/>
    <w:rsid w:val="00902A20"/>
    <w:rsid w:val="00903296"/>
    <w:rsid w:val="009032B9"/>
    <w:rsid w:val="00904682"/>
    <w:rsid w:val="00904FEF"/>
    <w:rsid w:val="00905022"/>
    <w:rsid w:val="00905190"/>
    <w:rsid w:val="00905419"/>
    <w:rsid w:val="00905897"/>
    <w:rsid w:val="00905BF6"/>
    <w:rsid w:val="009060DC"/>
    <w:rsid w:val="00906322"/>
    <w:rsid w:val="00906D5B"/>
    <w:rsid w:val="0090731A"/>
    <w:rsid w:val="00907529"/>
    <w:rsid w:val="00907645"/>
    <w:rsid w:val="0090778B"/>
    <w:rsid w:val="00907810"/>
    <w:rsid w:val="00907885"/>
    <w:rsid w:val="00907DF1"/>
    <w:rsid w:val="009102D3"/>
    <w:rsid w:val="009106AA"/>
    <w:rsid w:val="00910911"/>
    <w:rsid w:val="00910E9E"/>
    <w:rsid w:val="009111CD"/>
    <w:rsid w:val="00911F7D"/>
    <w:rsid w:val="009121BD"/>
    <w:rsid w:val="0091234C"/>
    <w:rsid w:val="00912432"/>
    <w:rsid w:val="00912607"/>
    <w:rsid w:val="00912A69"/>
    <w:rsid w:val="00912D98"/>
    <w:rsid w:val="00913323"/>
    <w:rsid w:val="0091340E"/>
    <w:rsid w:val="00914755"/>
    <w:rsid w:val="0091518C"/>
    <w:rsid w:val="00915211"/>
    <w:rsid w:val="00915218"/>
    <w:rsid w:val="009154D0"/>
    <w:rsid w:val="00915DE7"/>
    <w:rsid w:val="0091631A"/>
    <w:rsid w:val="00916483"/>
    <w:rsid w:val="00916494"/>
    <w:rsid w:val="0091657B"/>
    <w:rsid w:val="00916710"/>
    <w:rsid w:val="009169A8"/>
    <w:rsid w:val="00916A25"/>
    <w:rsid w:val="00916BD9"/>
    <w:rsid w:val="00916DD9"/>
    <w:rsid w:val="00917213"/>
    <w:rsid w:val="00917853"/>
    <w:rsid w:val="00917995"/>
    <w:rsid w:val="00917AB9"/>
    <w:rsid w:val="00920666"/>
    <w:rsid w:val="009207DC"/>
    <w:rsid w:val="009214E5"/>
    <w:rsid w:val="00921743"/>
    <w:rsid w:val="00921957"/>
    <w:rsid w:val="00921BAE"/>
    <w:rsid w:val="0092237D"/>
    <w:rsid w:val="00922414"/>
    <w:rsid w:val="0092258D"/>
    <w:rsid w:val="00922899"/>
    <w:rsid w:val="009229CE"/>
    <w:rsid w:val="00922AB1"/>
    <w:rsid w:val="00922B63"/>
    <w:rsid w:val="00922C31"/>
    <w:rsid w:val="00922E03"/>
    <w:rsid w:val="00922E6A"/>
    <w:rsid w:val="009231F5"/>
    <w:rsid w:val="009236E1"/>
    <w:rsid w:val="00923819"/>
    <w:rsid w:val="00923910"/>
    <w:rsid w:val="0092418F"/>
    <w:rsid w:val="00925304"/>
    <w:rsid w:val="009254A7"/>
    <w:rsid w:val="00925704"/>
    <w:rsid w:val="0092575D"/>
    <w:rsid w:val="00925788"/>
    <w:rsid w:val="00925D97"/>
    <w:rsid w:val="00925E83"/>
    <w:rsid w:val="009262E5"/>
    <w:rsid w:val="009269E2"/>
    <w:rsid w:val="00926CB4"/>
    <w:rsid w:val="0092717B"/>
    <w:rsid w:val="0092797B"/>
    <w:rsid w:val="00927C83"/>
    <w:rsid w:val="00927D14"/>
    <w:rsid w:val="00927FD6"/>
    <w:rsid w:val="00930870"/>
    <w:rsid w:val="0093093B"/>
    <w:rsid w:val="0093106F"/>
    <w:rsid w:val="00931A65"/>
    <w:rsid w:val="00931D78"/>
    <w:rsid w:val="00931FD7"/>
    <w:rsid w:val="00931FD9"/>
    <w:rsid w:val="0093202D"/>
    <w:rsid w:val="009321F5"/>
    <w:rsid w:val="00932A18"/>
    <w:rsid w:val="00932B01"/>
    <w:rsid w:val="009337E7"/>
    <w:rsid w:val="009338A4"/>
    <w:rsid w:val="009338D2"/>
    <w:rsid w:val="00933E8B"/>
    <w:rsid w:val="00933EAD"/>
    <w:rsid w:val="009342F3"/>
    <w:rsid w:val="00934D94"/>
    <w:rsid w:val="00934F1B"/>
    <w:rsid w:val="00935449"/>
    <w:rsid w:val="00935D3D"/>
    <w:rsid w:val="00935DD9"/>
    <w:rsid w:val="00936110"/>
    <w:rsid w:val="0093668F"/>
    <w:rsid w:val="00936E80"/>
    <w:rsid w:val="00937624"/>
    <w:rsid w:val="00937CB4"/>
    <w:rsid w:val="00937F58"/>
    <w:rsid w:val="0094002D"/>
    <w:rsid w:val="00940387"/>
    <w:rsid w:val="009404EA"/>
    <w:rsid w:val="00940526"/>
    <w:rsid w:val="00940AE1"/>
    <w:rsid w:val="00940B02"/>
    <w:rsid w:val="00941C45"/>
    <w:rsid w:val="0094206A"/>
    <w:rsid w:val="009429D3"/>
    <w:rsid w:val="00943296"/>
    <w:rsid w:val="009440CE"/>
    <w:rsid w:val="0094412B"/>
    <w:rsid w:val="009443DA"/>
    <w:rsid w:val="00944493"/>
    <w:rsid w:val="00944CE7"/>
    <w:rsid w:val="00944DD8"/>
    <w:rsid w:val="009450E4"/>
    <w:rsid w:val="0094560F"/>
    <w:rsid w:val="0094569C"/>
    <w:rsid w:val="0094618C"/>
    <w:rsid w:val="009462A4"/>
    <w:rsid w:val="00946911"/>
    <w:rsid w:val="00946CE7"/>
    <w:rsid w:val="00946D8A"/>
    <w:rsid w:val="00947577"/>
    <w:rsid w:val="0094760C"/>
    <w:rsid w:val="00947829"/>
    <w:rsid w:val="00947892"/>
    <w:rsid w:val="009510AC"/>
    <w:rsid w:val="0095113D"/>
    <w:rsid w:val="00951256"/>
    <w:rsid w:val="009521C1"/>
    <w:rsid w:val="00952815"/>
    <w:rsid w:val="009529D5"/>
    <w:rsid w:val="00952A3A"/>
    <w:rsid w:val="00952DCD"/>
    <w:rsid w:val="00952FC6"/>
    <w:rsid w:val="009531CC"/>
    <w:rsid w:val="0095362F"/>
    <w:rsid w:val="009538D5"/>
    <w:rsid w:val="00953B5F"/>
    <w:rsid w:val="00953E88"/>
    <w:rsid w:val="00954617"/>
    <w:rsid w:val="00954771"/>
    <w:rsid w:val="0095495A"/>
    <w:rsid w:val="00954A5E"/>
    <w:rsid w:val="00954C34"/>
    <w:rsid w:val="00954C65"/>
    <w:rsid w:val="0095528C"/>
    <w:rsid w:val="009553C9"/>
    <w:rsid w:val="009557B2"/>
    <w:rsid w:val="0095590E"/>
    <w:rsid w:val="0095591B"/>
    <w:rsid w:val="00955EDD"/>
    <w:rsid w:val="00956193"/>
    <w:rsid w:val="00956DC3"/>
    <w:rsid w:val="00956EE3"/>
    <w:rsid w:val="009578E7"/>
    <w:rsid w:val="00957FE7"/>
    <w:rsid w:val="00960109"/>
    <w:rsid w:val="00960225"/>
    <w:rsid w:val="009603E5"/>
    <w:rsid w:val="00960645"/>
    <w:rsid w:val="00960706"/>
    <w:rsid w:val="00960707"/>
    <w:rsid w:val="0096082D"/>
    <w:rsid w:val="00960C04"/>
    <w:rsid w:val="0096115C"/>
    <w:rsid w:val="00961513"/>
    <w:rsid w:val="00961E7F"/>
    <w:rsid w:val="009620DE"/>
    <w:rsid w:val="00962317"/>
    <w:rsid w:val="009627D0"/>
    <w:rsid w:val="00962867"/>
    <w:rsid w:val="0096344B"/>
    <w:rsid w:val="0096357E"/>
    <w:rsid w:val="0096395C"/>
    <w:rsid w:val="00963CF5"/>
    <w:rsid w:val="0096427E"/>
    <w:rsid w:val="0096433D"/>
    <w:rsid w:val="00964BDA"/>
    <w:rsid w:val="00964DF9"/>
    <w:rsid w:val="00965807"/>
    <w:rsid w:val="00966079"/>
    <w:rsid w:val="00966090"/>
    <w:rsid w:val="009660B3"/>
    <w:rsid w:val="0096618F"/>
    <w:rsid w:val="0096702B"/>
    <w:rsid w:val="009670A0"/>
    <w:rsid w:val="00967595"/>
    <w:rsid w:val="00967696"/>
    <w:rsid w:val="00970470"/>
    <w:rsid w:val="00970582"/>
    <w:rsid w:val="00970798"/>
    <w:rsid w:val="0097084E"/>
    <w:rsid w:val="00970C15"/>
    <w:rsid w:val="00970DDB"/>
    <w:rsid w:val="00971177"/>
    <w:rsid w:val="009715B4"/>
    <w:rsid w:val="009719A6"/>
    <w:rsid w:val="00971C97"/>
    <w:rsid w:val="00971F82"/>
    <w:rsid w:val="00972011"/>
    <w:rsid w:val="0097258E"/>
    <w:rsid w:val="009725FC"/>
    <w:rsid w:val="009726CE"/>
    <w:rsid w:val="009726F5"/>
    <w:rsid w:val="00972854"/>
    <w:rsid w:val="0097293F"/>
    <w:rsid w:val="0097320B"/>
    <w:rsid w:val="00973299"/>
    <w:rsid w:val="0097372F"/>
    <w:rsid w:val="00974792"/>
    <w:rsid w:val="00975070"/>
    <w:rsid w:val="009753CA"/>
    <w:rsid w:val="009754FC"/>
    <w:rsid w:val="00975748"/>
    <w:rsid w:val="00975766"/>
    <w:rsid w:val="00975EDB"/>
    <w:rsid w:val="00975FAB"/>
    <w:rsid w:val="0097602C"/>
    <w:rsid w:val="00976117"/>
    <w:rsid w:val="0097666A"/>
    <w:rsid w:val="0097697F"/>
    <w:rsid w:val="00976AC2"/>
    <w:rsid w:val="00977406"/>
    <w:rsid w:val="00977604"/>
    <w:rsid w:val="0097782D"/>
    <w:rsid w:val="0098025C"/>
    <w:rsid w:val="00980690"/>
    <w:rsid w:val="009809D3"/>
    <w:rsid w:val="00980E56"/>
    <w:rsid w:val="00981408"/>
    <w:rsid w:val="00981B7A"/>
    <w:rsid w:val="00981E53"/>
    <w:rsid w:val="00981FF5"/>
    <w:rsid w:val="00982074"/>
    <w:rsid w:val="009821D1"/>
    <w:rsid w:val="009823BB"/>
    <w:rsid w:val="009827ED"/>
    <w:rsid w:val="00982974"/>
    <w:rsid w:val="009829F4"/>
    <w:rsid w:val="00982B42"/>
    <w:rsid w:val="00982CEF"/>
    <w:rsid w:val="0098330C"/>
    <w:rsid w:val="009835EE"/>
    <w:rsid w:val="00983AF4"/>
    <w:rsid w:val="00983DCC"/>
    <w:rsid w:val="00983E8B"/>
    <w:rsid w:val="00983FAC"/>
    <w:rsid w:val="00984160"/>
    <w:rsid w:val="00984663"/>
    <w:rsid w:val="00984B6F"/>
    <w:rsid w:val="009850BB"/>
    <w:rsid w:val="0098524F"/>
    <w:rsid w:val="00985881"/>
    <w:rsid w:val="00986503"/>
    <w:rsid w:val="00986D9D"/>
    <w:rsid w:val="00986E59"/>
    <w:rsid w:val="009870E0"/>
    <w:rsid w:val="00987EBD"/>
    <w:rsid w:val="0099008A"/>
    <w:rsid w:val="00990230"/>
    <w:rsid w:val="009904ED"/>
    <w:rsid w:val="00990A03"/>
    <w:rsid w:val="00991069"/>
    <w:rsid w:val="00991374"/>
    <w:rsid w:val="0099167C"/>
    <w:rsid w:val="0099198C"/>
    <w:rsid w:val="00991ABC"/>
    <w:rsid w:val="00991B8A"/>
    <w:rsid w:val="009920AB"/>
    <w:rsid w:val="009920EB"/>
    <w:rsid w:val="00992525"/>
    <w:rsid w:val="009926F6"/>
    <w:rsid w:val="009928CA"/>
    <w:rsid w:val="00992A7A"/>
    <w:rsid w:val="00992FA0"/>
    <w:rsid w:val="00992FFD"/>
    <w:rsid w:val="00993013"/>
    <w:rsid w:val="00993095"/>
    <w:rsid w:val="00994042"/>
    <w:rsid w:val="00994345"/>
    <w:rsid w:val="00994CCA"/>
    <w:rsid w:val="00994D81"/>
    <w:rsid w:val="00995094"/>
    <w:rsid w:val="00995A0B"/>
    <w:rsid w:val="00996103"/>
    <w:rsid w:val="00996639"/>
    <w:rsid w:val="00996D74"/>
    <w:rsid w:val="009972DD"/>
    <w:rsid w:val="00997B52"/>
    <w:rsid w:val="00997CBC"/>
    <w:rsid w:val="00997D36"/>
    <w:rsid w:val="009A02B9"/>
    <w:rsid w:val="009A055B"/>
    <w:rsid w:val="009A06A4"/>
    <w:rsid w:val="009A06C2"/>
    <w:rsid w:val="009A0722"/>
    <w:rsid w:val="009A0A8B"/>
    <w:rsid w:val="009A1026"/>
    <w:rsid w:val="009A1611"/>
    <w:rsid w:val="009A1670"/>
    <w:rsid w:val="009A16AD"/>
    <w:rsid w:val="009A1927"/>
    <w:rsid w:val="009A19CD"/>
    <w:rsid w:val="009A2202"/>
    <w:rsid w:val="009A26D6"/>
    <w:rsid w:val="009A279D"/>
    <w:rsid w:val="009A2C7C"/>
    <w:rsid w:val="009A2C85"/>
    <w:rsid w:val="009A327A"/>
    <w:rsid w:val="009A342D"/>
    <w:rsid w:val="009A34E5"/>
    <w:rsid w:val="009A3DF3"/>
    <w:rsid w:val="009A3E5B"/>
    <w:rsid w:val="009A3FF7"/>
    <w:rsid w:val="009A4054"/>
    <w:rsid w:val="009A4E71"/>
    <w:rsid w:val="009A4E7A"/>
    <w:rsid w:val="009A5F17"/>
    <w:rsid w:val="009A768A"/>
    <w:rsid w:val="009A779B"/>
    <w:rsid w:val="009A78A3"/>
    <w:rsid w:val="009A7954"/>
    <w:rsid w:val="009A7D02"/>
    <w:rsid w:val="009A7EB8"/>
    <w:rsid w:val="009B0382"/>
    <w:rsid w:val="009B07E4"/>
    <w:rsid w:val="009B08C7"/>
    <w:rsid w:val="009B0C75"/>
    <w:rsid w:val="009B13D1"/>
    <w:rsid w:val="009B176A"/>
    <w:rsid w:val="009B20FF"/>
    <w:rsid w:val="009B27E5"/>
    <w:rsid w:val="009B28EB"/>
    <w:rsid w:val="009B2CE4"/>
    <w:rsid w:val="009B2D54"/>
    <w:rsid w:val="009B332A"/>
    <w:rsid w:val="009B354D"/>
    <w:rsid w:val="009B377F"/>
    <w:rsid w:val="009B3B80"/>
    <w:rsid w:val="009B3C46"/>
    <w:rsid w:val="009B411D"/>
    <w:rsid w:val="009B45E7"/>
    <w:rsid w:val="009B46E7"/>
    <w:rsid w:val="009B4A00"/>
    <w:rsid w:val="009B4A7B"/>
    <w:rsid w:val="009B5A79"/>
    <w:rsid w:val="009B5E2D"/>
    <w:rsid w:val="009B5E67"/>
    <w:rsid w:val="009B654E"/>
    <w:rsid w:val="009B6696"/>
    <w:rsid w:val="009B6F7A"/>
    <w:rsid w:val="009B7315"/>
    <w:rsid w:val="009B771F"/>
    <w:rsid w:val="009B7954"/>
    <w:rsid w:val="009B7B01"/>
    <w:rsid w:val="009B7DEC"/>
    <w:rsid w:val="009C0FF1"/>
    <w:rsid w:val="009C1732"/>
    <w:rsid w:val="009C1B9B"/>
    <w:rsid w:val="009C1E59"/>
    <w:rsid w:val="009C1ED7"/>
    <w:rsid w:val="009C1EFE"/>
    <w:rsid w:val="009C313D"/>
    <w:rsid w:val="009C3207"/>
    <w:rsid w:val="009C3444"/>
    <w:rsid w:val="009C4199"/>
    <w:rsid w:val="009C5C51"/>
    <w:rsid w:val="009C5CF8"/>
    <w:rsid w:val="009C6471"/>
    <w:rsid w:val="009C6715"/>
    <w:rsid w:val="009C6783"/>
    <w:rsid w:val="009C74FD"/>
    <w:rsid w:val="009C7984"/>
    <w:rsid w:val="009C7E80"/>
    <w:rsid w:val="009C7EF4"/>
    <w:rsid w:val="009C7F15"/>
    <w:rsid w:val="009D02F1"/>
    <w:rsid w:val="009D0386"/>
    <w:rsid w:val="009D0717"/>
    <w:rsid w:val="009D0A41"/>
    <w:rsid w:val="009D0BBB"/>
    <w:rsid w:val="009D0DF2"/>
    <w:rsid w:val="009D0F02"/>
    <w:rsid w:val="009D0FCA"/>
    <w:rsid w:val="009D1660"/>
    <w:rsid w:val="009D1FF1"/>
    <w:rsid w:val="009D2787"/>
    <w:rsid w:val="009D2A96"/>
    <w:rsid w:val="009D2B84"/>
    <w:rsid w:val="009D2ECB"/>
    <w:rsid w:val="009D3318"/>
    <w:rsid w:val="009D3360"/>
    <w:rsid w:val="009D3586"/>
    <w:rsid w:val="009D35D4"/>
    <w:rsid w:val="009D3664"/>
    <w:rsid w:val="009D3D10"/>
    <w:rsid w:val="009D4077"/>
    <w:rsid w:val="009D4457"/>
    <w:rsid w:val="009D4D04"/>
    <w:rsid w:val="009D54ED"/>
    <w:rsid w:val="009D5512"/>
    <w:rsid w:val="009D6378"/>
    <w:rsid w:val="009D63A4"/>
    <w:rsid w:val="009D6484"/>
    <w:rsid w:val="009D6867"/>
    <w:rsid w:val="009D68EB"/>
    <w:rsid w:val="009D6D8C"/>
    <w:rsid w:val="009D7095"/>
    <w:rsid w:val="009D7F47"/>
    <w:rsid w:val="009E0140"/>
    <w:rsid w:val="009E03F9"/>
    <w:rsid w:val="009E048E"/>
    <w:rsid w:val="009E1497"/>
    <w:rsid w:val="009E17C6"/>
    <w:rsid w:val="009E27FB"/>
    <w:rsid w:val="009E2A6E"/>
    <w:rsid w:val="009E2B03"/>
    <w:rsid w:val="009E2B34"/>
    <w:rsid w:val="009E2E97"/>
    <w:rsid w:val="009E2ECA"/>
    <w:rsid w:val="009E377E"/>
    <w:rsid w:val="009E399A"/>
    <w:rsid w:val="009E3A9F"/>
    <w:rsid w:val="009E40BE"/>
    <w:rsid w:val="009E46C3"/>
    <w:rsid w:val="009E5062"/>
    <w:rsid w:val="009E53F6"/>
    <w:rsid w:val="009E55CE"/>
    <w:rsid w:val="009E5793"/>
    <w:rsid w:val="009E5856"/>
    <w:rsid w:val="009E5AD4"/>
    <w:rsid w:val="009E6068"/>
    <w:rsid w:val="009E6665"/>
    <w:rsid w:val="009E7064"/>
    <w:rsid w:val="009E7550"/>
    <w:rsid w:val="009E75F0"/>
    <w:rsid w:val="009E7642"/>
    <w:rsid w:val="009E76F3"/>
    <w:rsid w:val="009E7782"/>
    <w:rsid w:val="009E7BAF"/>
    <w:rsid w:val="009E7D38"/>
    <w:rsid w:val="009E7E3F"/>
    <w:rsid w:val="009F04C9"/>
    <w:rsid w:val="009F04EB"/>
    <w:rsid w:val="009F0566"/>
    <w:rsid w:val="009F05F4"/>
    <w:rsid w:val="009F0890"/>
    <w:rsid w:val="009F0AC0"/>
    <w:rsid w:val="009F1080"/>
    <w:rsid w:val="009F1351"/>
    <w:rsid w:val="009F270F"/>
    <w:rsid w:val="009F291C"/>
    <w:rsid w:val="009F2A69"/>
    <w:rsid w:val="009F2D64"/>
    <w:rsid w:val="009F2ED6"/>
    <w:rsid w:val="009F315D"/>
    <w:rsid w:val="009F3993"/>
    <w:rsid w:val="009F3CA2"/>
    <w:rsid w:val="009F4790"/>
    <w:rsid w:val="009F4822"/>
    <w:rsid w:val="009F4F12"/>
    <w:rsid w:val="009F5927"/>
    <w:rsid w:val="009F5A05"/>
    <w:rsid w:val="009F5CE9"/>
    <w:rsid w:val="009F61B5"/>
    <w:rsid w:val="009F61C0"/>
    <w:rsid w:val="009F61CC"/>
    <w:rsid w:val="009F69C0"/>
    <w:rsid w:val="009F6DAE"/>
    <w:rsid w:val="009F7038"/>
    <w:rsid w:val="009F7609"/>
    <w:rsid w:val="009F7E14"/>
    <w:rsid w:val="009F7E86"/>
    <w:rsid w:val="00A00165"/>
    <w:rsid w:val="00A00B92"/>
    <w:rsid w:val="00A00ED6"/>
    <w:rsid w:val="00A00F12"/>
    <w:rsid w:val="00A00FFD"/>
    <w:rsid w:val="00A012CB"/>
    <w:rsid w:val="00A02C73"/>
    <w:rsid w:val="00A02E92"/>
    <w:rsid w:val="00A03033"/>
    <w:rsid w:val="00A030B2"/>
    <w:rsid w:val="00A03477"/>
    <w:rsid w:val="00A03B01"/>
    <w:rsid w:val="00A04591"/>
    <w:rsid w:val="00A055DB"/>
    <w:rsid w:val="00A05EC5"/>
    <w:rsid w:val="00A06157"/>
    <w:rsid w:val="00A0634A"/>
    <w:rsid w:val="00A066A1"/>
    <w:rsid w:val="00A066D6"/>
    <w:rsid w:val="00A06BCA"/>
    <w:rsid w:val="00A07355"/>
    <w:rsid w:val="00A07781"/>
    <w:rsid w:val="00A079B0"/>
    <w:rsid w:val="00A106CC"/>
    <w:rsid w:val="00A1078F"/>
    <w:rsid w:val="00A10C4C"/>
    <w:rsid w:val="00A1194F"/>
    <w:rsid w:val="00A11AE4"/>
    <w:rsid w:val="00A11D30"/>
    <w:rsid w:val="00A11E1D"/>
    <w:rsid w:val="00A11FDC"/>
    <w:rsid w:val="00A12655"/>
    <w:rsid w:val="00A12AFE"/>
    <w:rsid w:val="00A1353A"/>
    <w:rsid w:val="00A137B5"/>
    <w:rsid w:val="00A13C79"/>
    <w:rsid w:val="00A13CB8"/>
    <w:rsid w:val="00A13DC2"/>
    <w:rsid w:val="00A144E3"/>
    <w:rsid w:val="00A147A1"/>
    <w:rsid w:val="00A14BA5"/>
    <w:rsid w:val="00A14D16"/>
    <w:rsid w:val="00A150A3"/>
    <w:rsid w:val="00A15505"/>
    <w:rsid w:val="00A15791"/>
    <w:rsid w:val="00A16A8C"/>
    <w:rsid w:val="00A16AD5"/>
    <w:rsid w:val="00A177DE"/>
    <w:rsid w:val="00A17D63"/>
    <w:rsid w:val="00A201FB"/>
    <w:rsid w:val="00A20456"/>
    <w:rsid w:val="00A20A27"/>
    <w:rsid w:val="00A20CCB"/>
    <w:rsid w:val="00A20FE6"/>
    <w:rsid w:val="00A2128A"/>
    <w:rsid w:val="00A214AC"/>
    <w:rsid w:val="00A214F7"/>
    <w:rsid w:val="00A2196E"/>
    <w:rsid w:val="00A219C6"/>
    <w:rsid w:val="00A22019"/>
    <w:rsid w:val="00A2249F"/>
    <w:rsid w:val="00A22CCF"/>
    <w:rsid w:val="00A22D9F"/>
    <w:rsid w:val="00A22F59"/>
    <w:rsid w:val="00A2300A"/>
    <w:rsid w:val="00A23097"/>
    <w:rsid w:val="00A230FC"/>
    <w:rsid w:val="00A231F5"/>
    <w:rsid w:val="00A233ED"/>
    <w:rsid w:val="00A23409"/>
    <w:rsid w:val="00A23865"/>
    <w:rsid w:val="00A23959"/>
    <w:rsid w:val="00A23CEE"/>
    <w:rsid w:val="00A23F20"/>
    <w:rsid w:val="00A2420F"/>
    <w:rsid w:val="00A24D16"/>
    <w:rsid w:val="00A24DF5"/>
    <w:rsid w:val="00A25556"/>
    <w:rsid w:val="00A25948"/>
    <w:rsid w:val="00A25F95"/>
    <w:rsid w:val="00A26407"/>
    <w:rsid w:val="00A26C51"/>
    <w:rsid w:val="00A26F8F"/>
    <w:rsid w:val="00A27080"/>
    <w:rsid w:val="00A27221"/>
    <w:rsid w:val="00A27BCC"/>
    <w:rsid w:val="00A27DB0"/>
    <w:rsid w:val="00A30284"/>
    <w:rsid w:val="00A30B15"/>
    <w:rsid w:val="00A30B37"/>
    <w:rsid w:val="00A3117A"/>
    <w:rsid w:val="00A311F4"/>
    <w:rsid w:val="00A3168A"/>
    <w:rsid w:val="00A316AB"/>
    <w:rsid w:val="00A31B28"/>
    <w:rsid w:val="00A31B75"/>
    <w:rsid w:val="00A31E35"/>
    <w:rsid w:val="00A32827"/>
    <w:rsid w:val="00A32A3A"/>
    <w:rsid w:val="00A32C17"/>
    <w:rsid w:val="00A32EF2"/>
    <w:rsid w:val="00A3385A"/>
    <w:rsid w:val="00A33DDB"/>
    <w:rsid w:val="00A33FB2"/>
    <w:rsid w:val="00A34DE4"/>
    <w:rsid w:val="00A34F03"/>
    <w:rsid w:val="00A350F8"/>
    <w:rsid w:val="00A3560B"/>
    <w:rsid w:val="00A36069"/>
    <w:rsid w:val="00A36423"/>
    <w:rsid w:val="00A36460"/>
    <w:rsid w:val="00A36910"/>
    <w:rsid w:val="00A3721C"/>
    <w:rsid w:val="00A379EF"/>
    <w:rsid w:val="00A37B42"/>
    <w:rsid w:val="00A40421"/>
    <w:rsid w:val="00A40461"/>
    <w:rsid w:val="00A404B1"/>
    <w:rsid w:val="00A40942"/>
    <w:rsid w:val="00A409FB"/>
    <w:rsid w:val="00A41785"/>
    <w:rsid w:val="00A41A64"/>
    <w:rsid w:val="00A41CD8"/>
    <w:rsid w:val="00A42139"/>
    <w:rsid w:val="00A42231"/>
    <w:rsid w:val="00A4232D"/>
    <w:rsid w:val="00A42541"/>
    <w:rsid w:val="00A42FBC"/>
    <w:rsid w:val="00A431BB"/>
    <w:rsid w:val="00A43848"/>
    <w:rsid w:val="00A43C78"/>
    <w:rsid w:val="00A43ED6"/>
    <w:rsid w:val="00A4488B"/>
    <w:rsid w:val="00A449F7"/>
    <w:rsid w:val="00A44E77"/>
    <w:rsid w:val="00A458E4"/>
    <w:rsid w:val="00A45CBB"/>
    <w:rsid w:val="00A45DFB"/>
    <w:rsid w:val="00A46391"/>
    <w:rsid w:val="00A46DDF"/>
    <w:rsid w:val="00A46EC8"/>
    <w:rsid w:val="00A4749D"/>
    <w:rsid w:val="00A476FB"/>
    <w:rsid w:val="00A4777B"/>
    <w:rsid w:val="00A47EDF"/>
    <w:rsid w:val="00A5094E"/>
    <w:rsid w:val="00A50DBF"/>
    <w:rsid w:val="00A5105E"/>
    <w:rsid w:val="00A514DF"/>
    <w:rsid w:val="00A51928"/>
    <w:rsid w:val="00A51E68"/>
    <w:rsid w:val="00A5201B"/>
    <w:rsid w:val="00A523E8"/>
    <w:rsid w:val="00A52A7F"/>
    <w:rsid w:val="00A52F74"/>
    <w:rsid w:val="00A52FFD"/>
    <w:rsid w:val="00A54358"/>
    <w:rsid w:val="00A54453"/>
    <w:rsid w:val="00A54465"/>
    <w:rsid w:val="00A54860"/>
    <w:rsid w:val="00A5489C"/>
    <w:rsid w:val="00A54A4E"/>
    <w:rsid w:val="00A55318"/>
    <w:rsid w:val="00A557E3"/>
    <w:rsid w:val="00A55F10"/>
    <w:rsid w:val="00A5646C"/>
    <w:rsid w:val="00A5656E"/>
    <w:rsid w:val="00A565EE"/>
    <w:rsid w:val="00A56612"/>
    <w:rsid w:val="00A5683D"/>
    <w:rsid w:val="00A568A1"/>
    <w:rsid w:val="00A569BF"/>
    <w:rsid w:val="00A56AB4"/>
    <w:rsid w:val="00A56FFA"/>
    <w:rsid w:val="00A57413"/>
    <w:rsid w:val="00A57662"/>
    <w:rsid w:val="00A6011D"/>
    <w:rsid w:val="00A60391"/>
    <w:rsid w:val="00A6098D"/>
    <w:rsid w:val="00A60995"/>
    <w:rsid w:val="00A60B87"/>
    <w:rsid w:val="00A60DE6"/>
    <w:rsid w:val="00A6102A"/>
    <w:rsid w:val="00A619AB"/>
    <w:rsid w:val="00A61B1E"/>
    <w:rsid w:val="00A61E91"/>
    <w:rsid w:val="00A61F55"/>
    <w:rsid w:val="00A62265"/>
    <w:rsid w:val="00A62551"/>
    <w:rsid w:val="00A63330"/>
    <w:rsid w:val="00A63627"/>
    <w:rsid w:val="00A63B47"/>
    <w:rsid w:val="00A63CE6"/>
    <w:rsid w:val="00A63E41"/>
    <w:rsid w:val="00A64087"/>
    <w:rsid w:val="00A643EF"/>
    <w:rsid w:val="00A6454B"/>
    <w:rsid w:val="00A65164"/>
    <w:rsid w:val="00A651B8"/>
    <w:rsid w:val="00A65514"/>
    <w:rsid w:val="00A65A3C"/>
    <w:rsid w:val="00A65D3D"/>
    <w:rsid w:val="00A65EBE"/>
    <w:rsid w:val="00A65EE9"/>
    <w:rsid w:val="00A6605D"/>
    <w:rsid w:val="00A668F3"/>
    <w:rsid w:val="00A66B03"/>
    <w:rsid w:val="00A66F66"/>
    <w:rsid w:val="00A67562"/>
    <w:rsid w:val="00A67BCA"/>
    <w:rsid w:val="00A67C4F"/>
    <w:rsid w:val="00A67C59"/>
    <w:rsid w:val="00A70027"/>
    <w:rsid w:val="00A70055"/>
    <w:rsid w:val="00A7011D"/>
    <w:rsid w:val="00A703C9"/>
    <w:rsid w:val="00A70411"/>
    <w:rsid w:val="00A7061A"/>
    <w:rsid w:val="00A70681"/>
    <w:rsid w:val="00A70C71"/>
    <w:rsid w:val="00A70E3A"/>
    <w:rsid w:val="00A710BC"/>
    <w:rsid w:val="00A714C7"/>
    <w:rsid w:val="00A71BCF"/>
    <w:rsid w:val="00A71EDE"/>
    <w:rsid w:val="00A729D0"/>
    <w:rsid w:val="00A72AD2"/>
    <w:rsid w:val="00A73ADC"/>
    <w:rsid w:val="00A73D15"/>
    <w:rsid w:val="00A73EE0"/>
    <w:rsid w:val="00A74AD3"/>
    <w:rsid w:val="00A7573F"/>
    <w:rsid w:val="00A758FF"/>
    <w:rsid w:val="00A75949"/>
    <w:rsid w:val="00A760F7"/>
    <w:rsid w:val="00A76117"/>
    <w:rsid w:val="00A76683"/>
    <w:rsid w:val="00A769EE"/>
    <w:rsid w:val="00A76A70"/>
    <w:rsid w:val="00A76AE2"/>
    <w:rsid w:val="00A76D3F"/>
    <w:rsid w:val="00A76DF6"/>
    <w:rsid w:val="00A77019"/>
    <w:rsid w:val="00A7759E"/>
    <w:rsid w:val="00A77B1A"/>
    <w:rsid w:val="00A807DE"/>
    <w:rsid w:val="00A80908"/>
    <w:rsid w:val="00A80938"/>
    <w:rsid w:val="00A81525"/>
    <w:rsid w:val="00A8172D"/>
    <w:rsid w:val="00A82116"/>
    <w:rsid w:val="00A828B5"/>
    <w:rsid w:val="00A8297C"/>
    <w:rsid w:val="00A82CE5"/>
    <w:rsid w:val="00A837B4"/>
    <w:rsid w:val="00A8381F"/>
    <w:rsid w:val="00A83AFC"/>
    <w:rsid w:val="00A83DD4"/>
    <w:rsid w:val="00A83E13"/>
    <w:rsid w:val="00A83EB0"/>
    <w:rsid w:val="00A84591"/>
    <w:rsid w:val="00A848FA"/>
    <w:rsid w:val="00A8494E"/>
    <w:rsid w:val="00A84AEF"/>
    <w:rsid w:val="00A85046"/>
    <w:rsid w:val="00A850C9"/>
    <w:rsid w:val="00A857A3"/>
    <w:rsid w:val="00A858EE"/>
    <w:rsid w:val="00A85A20"/>
    <w:rsid w:val="00A85AB5"/>
    <w:rsid w:val="00A86169"/>
    <w:rsid w:val="00A8638B"/>
    <w:rsid w:val="00A86920"/>
    <w:rsid w:val="00A86F52"/>
    <w:rsid w:val="00A86F61"/>
    <w:rsid w:val="00A87E13"/>
    <w:rsid w:val="00A903A6"/>
    <w:rsid w:val="00A906B1"/>
    <w:rsid w:val="00A9097A"/>
    <w:rsid w:val="00A91050"/>
    <w:rsid w:val="00A91A0E"/>
    <w:rsid w:val="00A91AB7"/>
    <w:rsid w:val="00A91B38"/>
    <w:rsid w:val="00A92324"/>
    <w:rsid w:val="00A9237A"/>
    <w:rsid w:val="00A9292F"/>
    <w:rsid w:val="00A92EB7"/>
    <w:rsid w:val="00A92F0B"/>
    <w:rsid w:val="00A933EB"/>
    <w:rsid w:val="00A93619"/>
    <w:rsid w:val="00A95460"/>
    <w:rsid w:val="00A954F0"/>
    <w:rsid w:val="00A959EE"/>
    <w:rsid w:val="00A95A07"/>
    <w:rsid w:val="00A95A49"/>
    <w:rsid w:val="00A9641F"/>
    <w:rsid w:val="00A96B09"/>
    <w:rsid w:val="00A96F2B"/>
    <w:rsid w:val="00A974BD"/>
    <w:rsid w:val="00A974F0"/>
    <w:rsid w:val="00A97BE4"/>
    <w:rsid w:val="00A97CDD"/>
    <w:rsid w:val="00AA0578"/>
    <w:rsid w:val="00AA089C"/>
    <w:rsid w:val="00AA091C"/>
    <w:rsid w:val="00AA0B7E"/>
    <w:rsid w:val="00AA140B"/>
    <w:rsid w:val="00AA165E"/>
    <w:rsid w:val="00AA1744"/>
    <w:rsid w:val="00AA2DB0"/>
    <w:rsid w:val="00AA3199"/>
    <w:rsid w:val="00AA374D"/>
    <w:rsid w:val="00AA3799"/>
    <w:rsid w:val="00AA37D8"/>
    <w:rsid w:val="00AA3906"/>
    <w:rsid w:val="00AA3A1C"/>
    <w:rsid w:val="00AA48F2"/>
    <w:rsid w:val="00AA520A"/>
    <w:rsid w:val="00AA536F"/>
    <w:rsid w:val="00AA57A9"/>
    <w:rsid w:val="00AA5B6C"/>
    <w:rsid w:val="00AA62E5"/>
    <w:rsid w:val="00AA65D4"/>
    <w:rsid w:val="00AA6B8B"/>
    <w:rsid w:val="00AA6BC8"/>
    <w:rsid w:val="00AA6BD2"/>
    <w:rsid w:val="00AA6D0B"/>
    <w:rsid w:val="00AA6D4E"/>
    <w:rsid w:val="00AA7468"/>
    <w:rsid w:val="00AA7FF8"/>
    <w:rsid w:val="00AB0A6C"/>
    <w:rsid w:val="00AB10ED"/>
    <w:rsid w:val="00AB120D"/>
    <w:rsid w:val="00AB129F"/>
    <w:rsid w:val="00AB130E"/>
    <w:rsid w:val="00AB1479"/>
    <w:rsid w:val="00AB16C9"/>
    <w:rsid w:val="00AB1703"/>
    <w:rsid w:val="00AB1A73"/>
    <w:rsid w:val="00AB1F09"/>
    <w:rsid w:val="00AB28BC"/>
    <w:rsid w:val="00AB2A63"/>
    <w:rsid w:val="00AB2CF0"/>
    <w:rsid w:val="00AB329F"/>
    <w:rsid w:val="00AB331C"/>
    <w:rsid w:val="00AB38F8"/>
    <w:rsid w:val="00AB39A5"/>
    <w:rsid w:val="00AB3B66"/>
    <w:rsid w:val="00AB3B6F"/>
    <w:rsid w:val="00AB3DDF"/>
    <w:rsid w:val="00AB40AC"/>
    <w:rsid w:val="00AB42A3"/>
    <w:rsid w:val="00AB4B51"/>
    <w:rsid w:val="00AB5029"/>
    <w:rsid w:val="00AB51A2"/>
    <w:rsid w:val="00AB5616"/>
    <w:rsid w:val="00AB570C"/>
    <w:rsid w:val="00AB5B64"/>
    <w:rsid w:val="00AB5FCC"/>
    <w:rsid w:val="00AB6C7F"/>
    <w:rsid w:val="00AB6D5E"/>
    <w:rsid w:val="00AB7525"/>
    <w:rsid w:val="00AB76E8"/>
    <w:rsid w:val="00AB7B9B"/>
    <w:rsid w:val="00AB7C88"/>
    <w:rsid w:val="00AC071A"/>
    <w:rsid w:val="00AC07BC"/>
    <w:rsid w:val="00AC0977"/>
    <w:rsid w:val="00AC0AD4"/>
    <w:rsid w:val="00AC1B6B"/>
    <w:rsid w:val="00AC2257"/>
    <w:rsid w:val="00AC24C8"/>
    <w:rsid w:val="00AC2A70"/>
    <w:rsid w:val="00AC2F17"/>
    <w:rsid w:val="00AC38B8"/>
    <w:rsid w:val="00AC3AA7"/>
    <w:rsid w:val="00AC3ABB"/>
    <w:rsid w:val="00AC3E95"/>
    <w:rsid w:val="00AC3FE7"/>
    <w:rsid w:val="00AC43EA"/>
    <w:rsid w:val="00AC5645"/>
    <w:rsid w:val="00AC5FFC"/>
    <w:rsid w:val="00AC6CBF"/>
    <w:rsid w:val="00AC7710"/>
    <w:rsid w:val="00AC7D1B"/>
    <w:rsid w:val="00AC7D73"/>
    <w:rsid w:val="00AD01DF"/>
    <w:rsid w:val="00AD0679"/>
    <w:rsid w:val="00AD09F1"/>
    <w:rsid w:val="00AD0A60"/>
    <w:rsid w:val="00AD0B23"/>
    <w:rsid w:val="00AD0D01"/>
    <w:rsid w:val="00AD0D54"/>
    <w:rsid w:val="00AD12AA"/>
    <w:rsid w:val="00AD1BF6"/>
    <w:rsid w:val="00AD2646"/>
    <w:rsid w:val="00AD2A48"/>
    <w:rsid w:val="00AD32A6"/>
    <w:rsid w:val="00AD3487"/>
    <w:rsid w:val="00AD3B47"/>
    <w:rsid w:val="00AD3E40"/>
    <w:rsid w:val="00AD3EE7"/>
    <w:rsid w:val="00AD3F3A"/>
    <w:rsid w:val="00AD4F20"/>
    <w:rsid w:val="00AD5145"/>
    <w:rsid w:val="00AD54C2"/>
    <w:rsid w:val="00AD57DB"/>
    <w:rsid w:val="00AD5C9F"/>
    <w:rsid w:val="00AD5E83"/>
    <w:rsid w:val="00AD6028"/>
    <w:rsid w:val="00AD6BB7"/>
    <w:rsid w:val="00AD6C7C"/>
    <w:rsid w:val="00AE1955"/>
    <w:rsid w:val="00AE1A0F"/>
    <w:rsid w:val="00AE1A4B"/>
    <w:rsid w:val="00AE23E9"/>
    <w:rsid w:val="00AE28AE"/>
    <w:rsid w:val="00AE2EED"/>
    <w:rsid w:val="00AE31D0"/>
    <w:rsid w:val="00AE35CA"/>
    <w:rsid w:val="00AE3659"/>
    <w:rsid w:val="00AE393F"/>
    <w:rsid w:val="00AE4204"/>
    <w:rsid w:val="00AE432D"/>
    <w:rsid w:val="00AE46D9"/>
    <w:rsid w:val="00AE4DBF"/>
    <w:rsid w:val="00AE4F70"/>
    <w:rsid w:val="00AE4FD5"/>
    <w:rsid w:val="00AE6033"/>
    <w:rsid w:val="00AE66E5"/>
    <w:rsid w:val="00AE67BC"/>
    <w:rsid w:val="00AE702F"/>
    <w:rsid w:val="00AE7036"/>
    <w:rsid w:val="00AE716D"/>
    <w:rsid w:val="00AE73D8"/>
    <w:rsid w:val="00AE7765"/>
    <w:rsid w:val="00AE7F0E"/>
    <w:rsid w:val="00AF01C6"/>
    <w:rsid w:val="00AF0254"/>
    <w:rsid w:val="00AF0263"/>
    <w:rsid w:val="00AF0DE9"/>
    <w:rsid w:val="00AF0FA4"/>
    <w:rsid w:val="00AF2482"/>
    <w:rsid w:val="00AF24BA"/>
    <w:rsid w:val="00AF2701"/>
    <w:rsid w:val="00AF2947"/>
    <w:rsid w:val="00AF3E0B"/>
    <w:rsid w:val="00AF4178"/>
    <w:rsid w:val="00AF4B9E"/>
    <w:rsid w:val="00AF5055"/>
    <w:rsid w:val="00AF5282"/>
    <w:rsid w:val="00AF52BE"/>
    <w:rsid w:val="00AF53A3"/>
    <w:rsid w:val="00AF5716"/>
    <w:rsid w:val="00AF5BC7"/>
    <w:rsid w:val="00AF5CB5"/>
    <w:rsid w:val="00AF5EEC"/>
    <w:rsid w:val="00AF5F5C"/>
    <w:rsid w:val="00AF61C9"/>
    <w:rsid w:val="00AF627E"/>
    <w:rsid w:val="00AF6291"/>
    <w:rsid w:val="00AF6453"/>
    <w:rsid w:val="00AF695B"/>
    <w:rsid w:val="00AF6AFB"/>
    <w:rsid w:val="00AF6CC6"/>
    <w:rsid w:val="00AF6F41"/>
    <w:rsid w:val="00AF6F5F"/>
    <w:rsid w:val="00AF7FA0"/>
    <w:rsid w:val="00B0020E"/>
    <w:rsid w:val="00B003CE"/>
    <w:rsid w:val="00B00463"/>
    <w:rsid w:val="00B00538"/>
    <w:rsid w:val="00B00860"/>
    <w:rsid w:val="00B00880"/>
    <w:rsid w:val="00B00B99"/>
    <w:rsid w:val="00B01137"/>
    <w:rsid w:val="00B015D4"/>
    <w:rsid w:val="00B01CCE"/>
    <w:rsid w:val="00B01EDB"/>
    <w:rsid w:val="00B01F79"/>
    <w:rsid w:val="00B022BF"/>
    <w:rsid w:val="00B0235A"/>
    <w:rsid w:val="00B02837"/>
    <w:rsid w:val="00B02958"/>
    <w:rsid w:val="00B02999"/>
    <w:rsid w:val="00B02DAD"/>
    <w:rsid w:val="00B0338A"/>
    <w:rsid w:val="00B03928"/>
    <w:rsid w:val="00B03A80"/>
    <w:rsid w:val="00B03B79"/>
    <w:rsid w:val="00B0436C"/>
    <w:rsid w:val="00B04370"/>
    <w:rsid w:val="00B04494"/>
    <w:rsid w:val="00B04813"/>
    <w:rsid w:val="00B0504D"/>
    <w:rsid w:val="00B054DF"/>
    <w:rsid w:val="00B0564F"/>
    <w:rsid w:val="00B057FC"/>
    <w:rsid w:val="00B05E44"/>
    <w:rsid w:val="00B05F45"/>
    <w:rsid w:val="00B066E7"/>
    <w:rsid w:val="00B06AA1"/>
    <w:rsid w:val="00B06DA6"/>
    <w:rsid w:val="00B0702D"/>
    <w:rsid w:val="00B070FC"/>
    <w:rsid w:val="00B07115"/>
    <w:rsid w:val="00B07EBB"/>
    <w:rsid w:val="00B07EC5"/>
    <w:rsid w:val="00B07EF1"/>
    <w:rsid w:val="00B1009B"/>
    <w:rsid w:val="00B10180"/>
    <w:rsid w:val="00B10992"/>
    <w:rsid w:val="00B10F4C"/>
    <w:rsid w:val="00B1189B"/>
    <w:rsid w:val="00B11A90"/>
    <w:rsid w:val="00B1247C"/>
    <w:rsid w:val="00B124B1"/>
    <w:rsid w:val="00B132B8"/>
    <w:rsid w:val="00B13E4E"/>
    <w:rsid w:val="00B14271"/>
    <w:rsid w:val="00B144F2"/>
    <w:rsid w:val="00B14692"/>
    <w:rsid w:val="00B14863"/>
    <w:rsid w:val="00B14C46"/>
    <w:rsid w:val="00B1552E"/>
    <w:rsid w:val="00B1617D"/>
    <w:rsid w:val="00B166FC"/>
    <w:rsid w:val="00B1730A"/>
    <w:rsid w:val="00B179F3"/>
    <w:rsid w:val="00B17B1E"/>
    <w:rsid w:val="00B20CD0"/>
    <w:rsid w:val="00B20EDB"/>
    <w:rsid w:val="00B20F62"/>
    <w:rsid w:val="00B210C8"/>
    <w:rsid w:val="00B21245"/>
    <w:rsid w:val="00B21D35"/>
    <w:rsid w:val="00B21E50"/>
    <w:rsid w:val="00B22427"/>
    <w:rsid w:val="00B225B0"/>
    <w:rsid w:val="00B23272"/>
    <w:rsid w:val="00B23931"/>
    <w:rsid w:val="00B239CC"/>
    <w:rsid w:val="00B23AA4"/>
    <w:rsid w:val="00B23C56"/>
    <w:rsid w:val="00B24EC8"/>
    <w:rsid w:val="00B25341"/>
    <w:rsid w:val="00B253F8"/>
    <w:rsid w:val="00B256F7"/>
    <w:rsid w:val="00B25B11"/>
    <w:rsid w:val="00B25CF5"/>
    <w:rsid w:val="00B25E04"/>
    <w:rsid w:val="00B25F17"/>
    <w:rsid w:val="00B26524"/>
    <w:rsid w:val="00B265E1"/>
    <w:rsid w:val="00B270AA"/>
    <w:rsid w:val="00B2740B"/>
    <w:rsid w:val="00B279B2"/>
    <w:rsid w:val="00B27FCE"/>
    <w:rsid w:val="00B303B2"/>
    <w:rsid w:val="00B304FD"/>
    <w:rsid w:val="00B30A11"/>
    <w:rsid w:val="00B30D87"/>
    <w:rsid w:val="00B30DB1"/>
    <w:rsid w:val="00B311CF"/>
    <w:rsid w:val="00B31339"/>
    <w:rsid w:val="00B3135D"/>
    <w:rsid w:val="00B3167D"/>
    <w:rsid w:val="00B31764"/>
    <w:rsid w:val="00B31FD0"/>
    <w:rsid w:val="00B326A3"/>
    <w:rsid w:val="00B3285A"/>
    <w:rsid w:val="00B333A1"/>
    <w:rsid w:val="00B33E50"/>
    <w:rsid w:val="00B34125"/>
    <w:rsid w:val="00B3440F"/>
    <w:rsid w:val="00B3488F"/>
    <w:rsid w:val="00B35219"/>
    <w:rsid w:val="00B35315"/>
    <w:rsid w:val="00B356E7"/>
    <w:rsid w:val="00B35A52"/>
    <w:rsid w:val="00B35A95"/>
    <w:rsid w:val="00B35DC0"/>
    <w:rsid w:val="00B360FB"/>
    <w:rsid w:val="00B362AA"/>
    <w:rsid w:val="00B3631F"/>
    <w:rsid w:val="00B366E7"/>
    <w:rsid w:val="00B369FC"/>
    <w:rsid w:val="00B36AE5"/>
    <w:rsid w:val="00B36C2B"/>
    <w:rsid w:val="00B36C5A"/>
    <w:rsid w:val="00B36DBC"/>
    <w:rsid w:val="00B36F96"/>
    <w:rsid w:val="00B375EE"/>
    <w:rsid w:val="00B379D6"/>
    <w:rsid w:val="00B37C06"/>
    <w:rsid w:val="00B37EC3"/>
    <w:rsid w:val="00B37F79"/>
    <w:rsid w:val="00B4044D"/>
    <w:rsid w:val="00B404D5"/>
    <w:rsid w:val="00B40816"/>
    <w:rsid w:val="00B408B9"/>
    <w:rsid w:val="00B40AD6"/>
    <w:rsid w:val="00B40E51"/>
    <w:rsid w:val="00B4115B"/>
    <w:rsid w:val="00B412A1"/>
    <w:rsid w:val="00B4153A"/>
    <w:rsid w:val="00B41703"/>
    <w:rsid w:val="00B41D6D"/>
    <w:rsid w:val="00B41FAC"/>
    <w:rsid w:val="00B42962"/>
    <w:rsid w:val="00B42A58"/>
    <w:rsid w:val="00B437C3"/>
    <w:rsid w:val="00B437E1"/>
    <w:rsid w:val="00B43DB9"/>
    <w:rsid w:val="00B44027"/>
    <w:rsid w:val="00B44101"/>
    <w:rsid w:val="00B45747"/>
    <w:rsid w:val="00B46054"/>
    <w:rsid w:val="00B4647B"/>
    <w:rsid w:val="00B4655E"/>
    <w:rsid w:val="00B46560"/>
    <w:rsid w:val="00B468E3"/>
    <w:rsid w:val="00B46E1C"/>
    <w:rsid w:val="00B4704A"/>
    <w:rsid w:val="00B470E7"/>
    <w:rsid w:val="00B471AF"/>
    <w:rsid w:val="00B47679"/>
    <w:rsid w:val="00B47A1B"/>
    <w:rsid w:val="00B47F78"/>
    <w:rsid w:val="00B503D2"/>
    <w:rsid w:val="00B50C6C"/>
    <w:rsid w:val="00B5145C"/>
    <w:rsid w:val="00B5157D"/>
    <w:rsid w:val="00B52F18"/>
    <w:rsid w:val="00B5302D"/>
    <w:rsid w:val="00B53250"/>
    <w:rsid w:val="00B53D56"/>
    <w:rsid w:val="00B53E1C"/>
    <w:rsid w:val="00B542D1"/>
    <w:rsid w:val="00B542D7"/>
    <w:rsid w:val="00B5489E"/>
    <w:rsid w:val="00B54948"/>
    <w:rsid w:val="00B54D69"/>
    <w:rsid w:val="00B55199"/>
    <w:rsid w:val="00B5563E"/>
    <w:rsid w:val="00B5596F"/>
    <w:rsid w:val="00B55A06"/>
    <w:rsid w:val="00B55E5F"/>
    <w:rsid w:val="00B5645E"/>
    <w:rsid w:val="00B5649F"/>
    <w:rsid w:val="00B56E7C"/>
    <w:rsid w:val="00B56E84"/>
    <w:rsid w:val="00B57766"/>
    <w:rsid w:val="00B57CC2"/>
    <w:rsid w:val="00B57EA1"/>
    <w:rsid w:val="00B600AB"/>
    <w:rsid w:val="00B611F9"/>
    <w:rsid w:val="00B613BF"/>
    <w:rsid w:val="00B6190B"/>
    <w:rsid w:val="00B61B00"/>
    <w:rsid w:val="00B61F52"/>
    <w:rsid w:val="00B6203B"/>
    <w:rsid w:val="00B621E2"/>
    <w:rsid w:val="00B621FB"/>
    <w:rsid w:val="00B629AE"/>
    <w:rsid w:val="00B62ABA"/>
    <w:rsid w:val="00B62B64"/>
    <w:rsid w:val="00B62B93"/>
    <w:rsid w:val="00B62DD2"/>
    <w:rsid w:val="00B63362"/>
    <w:rsid w:val="00B639D4"/>
    <w:rsid w:val="00B63CFC"/>
    <w:rsid w:val="00B646A2"/>
    <w:rsid w:val="00B64B00"/>
    <w:rsid w:val="00B64C81"/>
    <w:rsid w:val="00B6548D"/>
    <w:rsid w:val="00B657B2"/>
    <w:rsid w:val="00B65930"/>
    <w:rsid w:val="00B65FC6"/>
    <w:rsid w:val="00B6627B"/>
    <w:rsid w:val="00B66C0A"/>
    <w:rsid w:val="00B67BD1"/>
    <w:rsid w:val="00B67BDB"/>
    <w:rsid w:val="00B67D34"/>
    <w:rsid w:val="00B70213"/>
    <w:rsid w:val="00B70321"/>
    <w:rsid w:val="00B70434"/>
    <w:rsid w:val="00B708C5"/>
    <w:rsid w:val="00B712DE"/>
    <w:rsid w:val="00B714E7"/>
    <w:rsid w:val="00B715E6"/>
    <w:rsid w:val="00B71F90"/>
    <w:rsid w:val="00B7226D"/>
    <w:rsid w:val="00B73410"/>
    <w:rsid w:val="00B7498F"/>
    <w:rsid w:val="00B75005"/>
    <w:rsid w:val="00B753DD"/>
    <w:rsid w:val="00B75452"/>
    <w:rsid w:val="00B75632"/>
    <w:rsid w:val="00B75D30"/>
    <w:rsid w:val="00B77091"/>
    <w:rsid w:val="00B771EF"/>
    <w:rsid w:val="00B77414"/>
    <w:rsid w:val="00B777EE"/>
    <w:rsid w:val="00B77804"/>
    <w:rsid w:val="00B77C14"/>
    <w:rsid w:val="00B80495"/>
    <w:rsid w:val="00B8058E"/>
    <w:rsid w:val="00B80CF4"/>
    <w:rsid w:val="00B80DD0"/>
    <w:rsid w:val="00B810D5"/>
    <w:rsid w:val="00B810FD"/>
    <w:rsid w:val="00B811FC"/>
    <w:rsid w:val="00B813E4"/>
    <w:rsid w:val="00B81487"/>
    <w:rsid w:val="00B817B6"/>
    <w:rsid w:val="00B818FE"/>
    <w:rsid w:val="00B81C74"/>
    <w:rsid w:val="00B8274A"/>
    <w:rsid w:val="00B82885"/>
    <w:rsid w:val="00B82BCB"/>
    <w:rsid w:val="00B82DD4"/>
    <w:rsid w:val="00B835B8"/>
    <w:rsid w:val="00B836C2"/>
    <w:rsid w:val="00B8379B"/>
    <w:rsid w:val="00B83F9C"/>
    <w:rsid w:val="00B84247"/>
    <w:rsid w:val="00B84279"/>
    <w:rsid w:val="00B8436B"/>
    <w:rsid w:val="00B84A93"/>
    <w:rsid w:val="00B84CBA"/>
    <w:rsid w:val="00B85579"/>
    <w:rsid w:val="00B8580F"/>
    <w:rsid w:val="00B85827"/>
    <w:rsid w:val="00B86259"/>
    <w:rsid w:val="00B86AB7"/>
    <w:rsid w:val="00B86AE1"/>
    <w:rsid w:val="00B86AEB"/>
    <w:rsid w:val="00B870F2"/>
    <w:rsid w:val="00B90742"/>
    <w:rsid w:val="00B90B74"/>
    <w:rsid w:val="00B90E9F"/>
    <w:rsid w:val="00B914B5"/>
    <w:rsid w:val="00B91A4C"/>
    <w:rsid w:val="00B91C4A"/>
    <w:rsid w:val="00B92080"/>
    <w:rsid w:val="00B92381"/>
    <w:rsid w:val="00B9262F"/>
    <w:rsid w:val="00B9283C"/>
    <w:rsid w:val="00B92A8E"/>
    <w:rsid w:val="00B938D3"/>
    <w:rsid w:val="00B94777"/>
    <w:rsid w:val="00B94A95"/>
    <w:rsid w:val="00B94C63"/>
    <w:rsid w:val="00B94E29"/>
    <w:rsid w:val="00B95DAB"/>
    <w:rsid w:val="00B95F43"/>
    <w:rsid w:val="00B96101"/>
    <w:rsid w:val="00B962CF"/>
    <w:rsid w:val="00B96834"/>
    <w:rsid w:val="00B96851"/>
    <w:rsid w:val="00B968CC"/>
    <w:rsid w:val="00B96A1C"/>
    <w:rsid w:val="00B96BAA"/>
    <w:rsid w:val="00B96BB3"/>
    <w:rsid w:val="00B97453"/>
    <w:rsid w:val="00B97813"/>
    <w:rsid w:val="00B97E51"/>
    <w:rsid w:val="00BA1050"/>
    <w:rsid w:val="00BA11A2"/>
    <w:rsid w:val="00BA1213"/>
    <w:rsid w:val="00BA12B5"/>
    <w:rsid w:val="00BA15BD"/>
    <w:rsid w:val="00BA1757"/>
    <w:rsid w:val="00BA1990"/>
    <w:rsid w:val="00BA22FD"/>
    <w:rsid w:val="00BA2310"/>
    <w:rsid w:val="00BA2EA5"/>
    <w:rsid w:val="00BA2F82"/>
    <w:rsid w:val="00BA33CF"/>
    <w:rsid w:val="00BA35C4"/>
    <w:rsid w:val="00BA382D"/>
    <w:rsid w:val="00BA39A1"/>
    <w:rsid w:val="00BA40C2"/>
    <w:rsid w:val="00BA4660"/>
    <w:rsid w:val="00BA4759"/>
    <w:rsid w:val="00BA4FBE"/>
    <w:rsid w:val="00BA50DD"/>
    <w:rsid w:val="00BA5202"/>
    <w:rsid w:val="00BA554E"/>
    <w:rsid w:val="00BA5894"/>
    <w:rsid w:val="00BA59F5"/>
    <w:rsid w:val="00BA64FC"/>
    <w:rsid w:val="00BA658F"/>
    <w:rsid w:val="00BA66AC"/>
    <w:rsid w:val="00BA6D6E"/>
    <w:rsid w:val="00BA7107"/>
    <w:rsid w:val="00BA7132"/>
    <w:rsid w:val="00BA726E"/>
    <w:rsid w:val="00BA74A9"/>
    <w:rsid w:val="00BA79CF"/>
    <w:rsid w:val="00BA7F8A"/>
    <w:rsid w:val="00BA7FC4"/>
    <w:rsid w:val="00BA7FDC"/>
    <w:rsid w:val="00BB06B6"/>
    <w:rsid w:val="00BB07B6"/>
    <w:rsid w:val="00BB08C7"/>
    <w:rsid w:val="00BB0ABB"/>
    <w:rsid w:val="00BB0C65"/>
    <w:rsid w:val="00BB1467"/>
    <w:rsid w:val="00BB18A0"/>
    <w:rsid w:val="00BB1CE8"/>
    <w:rsid w:val="00BB1E30"/>
    <w:rsid w:val="00BB20BE"/>
    <w:rsid w:val="00BB2A2E"/>
    <w:rsid w:val="00BB2AC8"/>
    <w:rsid w:val="00BB2CD3"/>
    <w:rsid w:val="00BB2F28"/>
    <w:rsid w:val="00BB3896"/>
    <w:rsid w:val="00BB3A12"/>
    <w:rsid w:val="00BB42EC"/>
    <w:rsid w:val="00BB438F"/>
    <w:rsid w:val="00BB45F4"/>
    <w:rsid w:val="00BB48BC"/>
    <w:rsid w:val="00BB5CE2"/>
    <w:rsid w:val="00BB620E"/>
    <w:rsid w:val="00BB6222"/>
    <w:rsid w:val="00BB664D"/>
    <w:rsid w:val="00BB67E7"/>
    <w:rsid w:val="00BB6A6E"/>
    <w:rsid w:val="00BB6D9B"/>
    <w:rsid w:val="00BB6E72"/>
    <w:rsid w:val="00BB6E99"/>
    <w:rsid w:val="00BB709E"/>
    <w:rsid w:val="00BB7366"/>
    <w:rsid w:val="00BB7605"/>
    <w:rsid w:val="00BB77F3"/>
    <w:rsid w:val="00BB7B3C"/>
    <w:rsid w:val="00BC0000"/>
    <w:rsid w:val="00BC0313"/>
    <w:rsid w:val="00BC045A"/>
    <w:rsid w:val="00BC1779"/>
    <w:rsid w:val="00BC179B"/>
    <w:rsid w:val="00BC17AE"/>
    <w:rsid w:val="00BC2994"/>
    <w:rsid w:val="00BC2C3B"/>
    <w:rsid w:val="00BC2E9B"/>
    <w:rsid w:val="00BC3F51"/>
    <w:rsid w:val="00BC4044"/>
    <w:rsid w:val="00BC44D9"/>
    <w:rsid w:val="00BC4754"/>
    <w:rsid w:val="00BC4BCD"/>
    <w:rsid w:val="00BC4CC7"/>
    <w:rsid w:val="00BC593A"/>
    <w:rsid w:val="00BC5E60"/>
    <w:rsid w:val="00BC5F92"/>
    <w:rsid w:val="00BC621B"/>
    <w:rsid w:val="00BC6F27"/>
    <w:rsid w:val="00BC70F7"/>
    <w:rsid w:val="00BC7125"/>
    <w:rsid w:val="00BD04AD"/>
    <w:rsid w:val="00BD0A1D"/>
    <w:rsid w:val="00BD0A30"/>
    <w:rsid w:val="00BD0AE5"/>
    <w:rsid w:val="00BD1315"/>
    <w:rsid w:val="00BD2634"/>
    <w:rsid w:val="00BD2B88"/>
    <w:rsid w:val="00BD2C40"/>
    <w:rsid w:val="00BD306A"/>
    <w:rsid w:val="00BD365C"/>
    <w:rsid w:val="00BD3663"/>
    <w:rsid w:val="00BD3BAB"/>
    <w:rsid w:val="00BD3C98"/>
    <w:rsid w:val="00BD41B6"/>
    <w:rsid w:val="00BD446E"/>
    <w:rsid w:val="00BD49EE"/>
    <w:rsid w:val="00BD4FE7"/>
    <w:rsid w:val="00BD5745"/>
    <w:rsid w:val="00BD58C5"/>
    <w:rsid w:val="00BD59E3"/>
    <w:rsid w:val="00BD674E"/>
    <w:rsid w:val="00BD6A39"/>
    <w:rsid w:val="00BD6D10"/>
    <w:rsid w:val="00BE009C"/>
    <w:rsid w:val="00BE02DC"/>
    <w:rsid w:val="00BE099E"/>
    <w:rsid w:val="00BE0AF2"/>
    <w:rsid w:val="00BE0E5B"/>
    <w:rsid w:val="00BE1444"/>
    <w:rsid w:val="00BE14D0"/>
    <w:rsid w:val="00BE18BF"/>
    <w:rsid w:val="00BE1DC8"/>
    <w:rsid w:val="00BE21F2"/>
    <w:rsid w:val="00BE2305"/>
    <w:rsid w:val="00BE26D5"/>
    <w:rsid w:val="00BE26F5"/>
    <w:rsid w:val="00BE29FA"/>
    <w:rsid w:val="00BE2B54"/>
    <w:rsid w:val="00BE2B89"/>
    <w:rsid w:val="00BE30B9"/>
    <w:rsid w:val="00BE33CD"/>
    <w:rsid w:val="00BE342B"/>
    <w:rsid w:val="00BE3AFE"/>
    <w:rsid w:val="00BE3C61"/>
    <w:rsid w:val="00BE40D1"/>
    <w:rsid w:val="00BE41C8"/>
    <w:rsid w:val="00BE4470"/>
    <w:rsid w:val="00BE497E"/>
    <w:rsid w:val="00BE4C56"/>
    <w:rsid w:val="00BE4D9A"/>
    <w:rsid w:val="00BE4E45"/>
    <w:rsid w:val="00BE55EB"/>
    <w:rsid w:val="00BE563D"/>
    <w:rsid w:val="00BE5B22"/>
    <w:rsid w:val="00BE5D7B"/>
    <w:rsid w:val="00BE5F2B"/>
    <w:rsid w:val="00BE62FB"/>
    <w:rsid w:val="00BE65A7"/>
    <w:rsid w:val="00BE6671"/>
    <w:rsid w:val="00BE6768"/>
    <w:rsid w:val="00BE6773"/>
    <w:rsid w:val="00BE6965"/>
    <w:rsid w:val="00BE746C"/>
    <w:rsid w:val="00BE7C61"/>
    <w:rsid w:val="00BE7EBF"/>
    <w:rsid w:val="00BF054B"/>
    <w:rsid w:val="00BF0A43"/>
    <w:rsid w:val="00BF0B9F"/>
    <w:rsid w:val="00BF0FDD"/>
    <w:rsid w:val="00BF11FE"/>
    <w:rsid w:val="00BF13E9"/>
    <w:rsid w:val="00BF1623"/>
    <w:rsid w:val="00BF202A"/>
    <w:rsid w:val="00BF281F"/>
    <w:rsid w:val="00BF35B4"/>
    <w:rsid w:val="00BF3C67"/>
    <w:rsid w:val="00BF4064"/>
    <w:rsid w:val="00BF458F"/>
    <w:rsid w:val="00BF4622"/>
    <w:rsid w:val="00BF4A7C"/>
    <w:rsid w:val="00BF52CE"/>
    <w:rsid w:val="00BF5429"/>
    <w:rsid w:val="00BF5D2F"/>
    <w:rsid w:val="00BF621C"/>
    <w:rsid w:val="00BF6736"/>
    <w:rsid w:val="00BF69AC"/>
    <w:rsid w:val="00BF6EE4"/>
    <w:rsid w:val="00BF6FFA"/>
    <w:rsid w:val="00BF74DE"/>
    <w:rsid w:val="00BF7AAD"/>
    <w:rsid w:val="00BF7D54"/>
    <w:rsid w:val="00BF7E4A"/>
    <w:rsid w:val="00BF7E51"/>
    <w:rsid w:val="00C00309"/>
    <w:rsid w:val="00C00798"/>
    <w:rsid w:val="00C00811"/>
    <w:rsid w:val="00C00B81"/>
    <w:rsid w:val="00C0171D"/>
    <w:rsid w:val="00C01FB9"/>
    <w:rsid w:val="00C0204B"/>
    <w:rsid w:val="00C021D4"/>
    <w:rsid w:val="00C023AC"/>
    <w:rsid w:val="00C02463"/>
    <w:rsid w:val="00C02CD1"/>
    <w:rsid w:val="00C02F7E"/>
    <w:rsid w:val="00C02FE0"/>
    <w:rsid w:val="00C0326A"/>
    <w:rsid w:val="00C03276"/>
    <w:rsid w:val="00C03AB9"/>
    <w:rsid w:val="00C03D13"/>
    <w:rsid w:val="00C03E64"/>
    <w:rsid w:val="00C03F4D"/>
    <w:rsid w:val="00C04285"/>
    <w:rsid w:val="00C0497B"/>
    <w:rsid w:val="00C05F6E"/>
    <w:rsid w:val="00C06201"/>
    <w:rsid w:val="00C068BF"/>
    <w:rsid w:val="00C0788F"/>
    <w:rsid w:val="00C109CD"/>
    <w:rsid w:val="00C10A5B"/>
    <w:rsid w:val="00C11406"/>
    <w:rsid w:val="00C11BA8"/>
    <w:rsid w:val="00C11CBA"/>
    <w:rsid w:val="00C1234C"/>
    <w:rsid w:val="00C12379"/>
    <w:rsid w:val="00C123C2"/>
    <w:rsid w:val="00C12572"/>
    <w:rsid w:val="00C12786"/>
    <w:rsid w:val="00C12F37"/>
    <w:rsid w:val="00C13231"/>
    <w:rsid w:val="00C136F5"/>
    <w:rsid w:val="00C13AE9"/>
    <w:rsid w:val="00C13DE4"/>
    <w:rsid w:val="00C14115"/>
    <w:rsid w:val="00C14911"/>
    <w:rsid w:val="00C1559F"/>
    <w:rsid w:val="00C15748"/>
    <w:rsid w:val="00C15816"/>
    <w:rsid w:val="00C15ADC"/>
    <w:rsid w:val="00C15FEA"/>
    <w:rsid w:val="00C167E3"/>
    <w:rsid w:val="00C167FD"/>
    <w:rsid w:val="00C16AEA"/>
    <w:rsid w:val="00C16EE3"/>
    <w:rsid w:val="00C17585"/>
    <w:rsid w:val="00C2045C"/>
    <w:rsid w:val="00C20662"/>
    <w:rsid w:val="00C206AE"/>
    <w:rsid w:val="00C20846"/>
    <w:rsid w:val="00C20A44"/>
    <w:rsid w:val="00C20B3F"/>
    <w:rsid w:val="00C20C35"/>
    <w:rsid w:val="00C20C9C"/>
    <w:rsid w:val="00C20EBE"/>
    <w:rsid w:val="00C20F06"/>
    <w:rsid w:val="00C2115D"/>
    <w:rsid w:val="00C21354"/>
    <w:rsid w:val="00C215BC"/>
    <w:rsid w:val="00C220B1"/>
    <w:rsid w:val="00C226ED"/>
    <w:rsid w:val="00C22906"/>
    <w:rsid w:val="00C22FEA"/>
    <w:rsid w:val="00C23171"/>
    <w:rsid w:val="00C23335"/>
    <w:rsid w:val="00C23969"/>
    <w:rsid w:val="00C23EB5"/>
    <w:rsid w:val="00C23F98"/>
    <w:rsid w:val="00C24603"/>
    <w:rsid w:val="00C2466D"/>
    <w:rsid w:val="00C247A6"/>
    <w:rsid w:val="00C249BC"/>
    <w:rsid w:val="00C24E02"/>
    <w:rsid w:val="00C24F71"/>
    <w:rsid w:val="00C250E8"/>
    <w:rsid w:val="00C25850"/>
    <w:rsid w:val="00C265A1"/>
    <w:rsid w:val="00C26D24"/>
    <w:rsid w:val="00C26FA4"/>
    <w:rsid w:val="00C2781A"/>
    <w:rsid w:val="00C278B7"/>
    <w:rsid w:val="00C3002B"/>
    <w:rsid w:val="00C30043"/>
    <w:rsid w:val="00C30679"/>
    <w:rsid w:val="00C307FA"/>
    <w:rsid w:val="00C30A99"/>
    <w:rsid w:val="00C30EFC"/>
    <w:rsid w:val="00C311E2"/>
    <w:rsid w:val="00C312E5"/>
    <w:rsid w:val="00C31680"/>
    <w:rsid w:val="00C316DC"/>
    <w:rsid w:val="00C3171D"/>
    <w:rsid w:val="00C31AF3"/>
    <w:rsid w:val="00C31E30"/>
    <w:rsid w:val="00C321AD"/>
    <w:rsid w:val="00C32248"/>
    <w:rsid w:val="00C32407"/>
    <w:rsid w:val="00C32695"/>
    <w:rsid w:val="00C32699"/>
    <w:rsid w:val="00C33186"/>
    <w:rsid w:val="00C33384"/>
    <w:rsid w:val="00C336EE"/>
    <w:rsid w:val="00C33C75"/>
    <w:rsid w:val="00C33E61"/>
    <w:rsid w:val="00C343F1"/>
    <w:rsid w:val="00C348E9"/>
    <w:rsid w:val="00C34965"/>
    <w:rsid w:val="00C34FDF"/>
    <w:rsid w:val="00C35263"/>
    <w:rsid w:val="00C35F9B"/>
    <w:rsid w:val="00C35FB0"/>
    <w:rsid w:val="00C36086"/>
    <w:rsid w:val="00C3660F"/>
    <w:rsid w:val="00C36B18"/>
    <w:rsid w:val="00C36EC1"/>
    <w:rsid w:val="00C36F3A"/>
    <w:rsid w:val="00C372FE"/>
    <w:rsid w:val="00C37352"/>
    <w:rsid w:val="00C373D1"/>
    <w:rsid w:val="00C37AE0"/>
    <w:rsid w:val="00C37C4C"/>
    <w:rsid w:val="00C37D6E"/>
    <w:rsid w:val="00C400B3"/>
    <w:rsid w:val="00C40171"/>
    <w:rsid w:val="00C404CA"/>
    <w:rsid w:val="00C4069D"/>
    <w:rsid w:val="00C40BD6"/>
    <w:rsid w:val="00C40EE6"/>
    <w:rsid w:val="00C417D8"/>
    <w:rsid w:val="00C41FC4"/>
    <w:rsid w:val="00C42457"/>
    <w:rsid w:val="00C42A2A"/>
    <w:rsid w:val="00C430B4"/>
    <w:rsid w:val="00C430DC"/>
    <w:rsid w:val="00C43C73"/>
    <w:rsid w:val="00C4443A"/>
    <w:rsid w:val="00C446C0"/>
    <w:rsid w:val="00C45028"/>
    <w:rsid w:val="00C4503E"/>
    <w:rsid w:val="00C45957"/>
    <w:rsid w:val="00C46D68"/>
    <w:rsid w:val="00C47288"/>
    <w:rsid w:val="00C479F2"/>
    <w:rsid w:val="00C47A9C"/>
    <w:rsid w:val="00C47DA8"/>
    <w:rsid w:val="00C47F86"/>
    <w:rsid w:val="00C500B1"/>
    <w:rsid w:val="00C5011E"/>
    <w:rsid w:val="00C50644"/>
    <w:rsid w:val="00C5072D"/>
    <w:rsid w:val="00C50760"/>
    <w:rsid w:val="00C52B3E"/>
    <w:rsid w:val="00C52EA8"/>
    <w:rsid w:val="00C535B1"/>
    <w:rsid w:val="00C53616"/>
    <w:rsid w:val="00C53BF2"/>
    <w:rsid w:val="00C53D69"/>
    <w:rsid w:val="00C5430E"/>
    <w:rsid w:val="00C5435B"/>
    <w:rsid w:val="00C54437"/>
    <w:rsid w:val="00C54B92"/>
    <w:rsid w:val="00C54C88"/>
    <w:rsid w:val="00C54FFC"/>
    <w:rsid w:val="00C555A8"/>
    <w:rsid w:val="00C55991"/>
    <w:rsid w:val="00C56143"/>
    <w:rsid w:val="00C569EA"/>
    <w:rsid w:val="00C571A5"/>
    <w:rsid w:val="00C57A78"/>
    <w:rsid w:val="00C600FE"/>
    <w:rsid w:val="00C605B6"/>
    <w:rsid w:val="00C60A89"/>
    <w:rsid w:val="00C6105B"/>
    <w:rsid w:val="00C612BF"/>
    <w:rsid w:val="00C6154A"/>
    <w:rsid w:val="00C61C21"/>
    <w:rsid w:val="00C62248"/>
    <w:rsid w:val="00C62335"/>
    <w:rsid w:val="00C62891"/>
    <w:rsid w:val="00C62AB9"/>
    <w:rsid w:val="00C62D48"/>
    <w:rsid w:val="00C63000"/>
    <w:rsid w:val="00C6392D"/>
    <w:rsid w:val="00C63F30"/>
    <w:rsid w:val="00C6487F"/>
    <w:rsid w:val="00C64FBE"/>
    <w:rsid w:val="00C65C57"/>
    <w:rsid w:val="00C65CE5"/>
    <w:rsid w:val="00C65DDE"/>
    <w:rsid w:val="00C65E7F"/>
    <w:rsid w:val="00C6611A"/>
    <w:rsid w:val="00C66476"/>
    <w:rsid w:val="00C66C45"/>
    <w:rsid w:val="00C6759C"/>
    <w:rsid w:val="00C676BD"/>
    <w:rsid w:val="00C678A6"/>
    <w:rsid w:val="00C67A78"/>
    <w:rsid w:val="00C67D65"/>
    <w:rsid w:val="00C70112"/>
    <w:rsid w:val="00C7076A"/>
    <w:rsid w:val="00C7083F"/>
    <w:rsid w:val="00C7086B"/>
    <w:rsid w:val="00C70B3E"/>
    <w:rsid w:val="00C70C3F"/>
    <w:rsid w:val="00C70F98"/>
    <w:rsid w:val="00C71176"/>
    <w:rsid w:val="00C718CF"/>
    <w:rsid w:val="00C71A16"/>
    <w:rsid w:val="00C7271A"/>
    <w:rsid w:val="00C72D1E"/>
    <w:rsid w:val="00C73186"/>
    <w:rsid w:val="00C73759"/>
    <w:rsid w:val="00C73949"/>
    <w:rsid w:val="00C739C0"/>
    <w:rsid w:val="00C74295"/>
    <w:rsid w:val="00C74355"/>
    <w:rsid w:val="00C7490D"/>
    <w:rsid w:val="00C74D70"/>
    <w:rsid w:val="00C74F00"/>
    <w:rsid w:val="00C753DB"/>
    <w:rsid w:val="00C756F5"/>
    <w:rsid w:val="00C761D6"/>
    <w:rsid w:val="00C7678D"/>
    <w:rsid w:val="00C76F3F"/>
    <w:rsid w:val="00C76F40"/>
    <w:rsid w:val="00C77609"/>
    <w:rsid w:val="00C77BC9"/>
    <w:rsid w:val="00C77BFC"/>
    <w:rsid w:val="00C77CD7"/>
    <w:rsid w:val="00C80754"/>
    <w:rsid w:val="00C808C5"/>
    <w:rsid w:val="00C80AEB"/>
    <w:rsid w:val="00C80B79"/>
    <w:rsid w:val="00C80C89"/>
    <w:rsid w:val="00C80E2B"/>
    <w:rsid w:val="00C81185"/>
    <w:rsid w:val="00C813EF"/>
    <w:rsid w:val="00C81723"/>
    <w:rsid w:val="00C82831"/>
    <w:rsid w:val="00C8288D"/>
    <w:rsid w:val="00C829CF"/>
    <w:rsid w:val="00C833BF"/>
    <w:rsid w:val="00C838FF"/>
    <w:rsid w:val="00C839C1"/>
    <w:rsid w:val="00C83B07"/>
    <w:rsid w:val="00C84327"/>
    <w:rsid w:val="00C848B8"/>
    <w:rsid w:val="00C85579"/>
    <w:rsid w:val="00C85644"/>
    <w:rsid w:val="00C856AD"/>
    <w:rsid w:val="00C85B10"/>
    <w:rsid w:val="00C85D0B"/>
    <w:rsid w:val="00C861DC"/>
    <w:rsid w:val="00C86513"/>
    <w:rsid w:val="00C86A0E"/>
    <w:rsid w:val="00C86E21"/>
    <w:rsid w:val="00C86E6D"/>
    <w:rsid w:val="00C86F3B"/>
    <w:rsid w:val="00C86FDA"/>
    <w:rsid w:val="00C87801"/>
    <w:rsid w:val="00C87F46"/>
    <w:rsid w:val="00C87FCA"/>
    <w:rsid w:val="00C9015B"/>
    <w:rsid w:val="00C9065C"/>
    <w:rsid w:val="00C90800"/>
    <w:rsid w:val="00C90B9A"/>
    <w:rsid w:val="00C9140A"/>
    <w:rsid w:val="00C91509"/>
    <w:rsid w:val="00C91BD9"/>
    <w:rsid w:val="00C91DBE"/>
    <w:rsid w:val="00C91F96"/>
    <w:rsid w:val="00C92162"/>
    <w:rsid w:val="00C92999"/>
    <w:rsid w:val="00C92D8B"/>
    <w:rsid w:val="00C930BD"/>
    <w:rsid w:val="00C93485"/>
    <w:rsid w:val="00C939CD"/>
    <w:rsid w:val="00C9456B"/>
    <w:rsid w:val="00C94961"/>
    <w:rsid w:val="00C94ACE"/>
    <w:rsid w:val="00C94BBB"/>
    <w:rsid w:val="00C94F32"/>
    <w:rsid w:val="00C95CC2"/>
    <w:rsid w:val="00C97AE3"/>
    <w:rsid w:val="00CA0A59"/>
    <w:rsid w:val="00CA146E"/>
    <w:rsid w:val="00CA15E9"/>
    <w:rsid w:val="00CA1619"/>
    <w:rsid w:val="00CA1C01"/>
    <w:rsid w:val="00CA1E8F"/>
    <w:rsid w:val="00CA2ACF"/>
    <w:rsid w:val="00CA3008"/>
    <w:rsid w:val="00CA3021"/>
    <w:rsid w:val="00CA3279"/>
    <w:rsid w:val="00CA3697"/>
    <w:rsid w:val="00CA3F4C"/>
    <w:rsid w:val="00CA4156"/>
    <w:rsid w:val="00CA4A5A"/>
    <w:rsid w:val="00CA4E73"/>
    <w:rsid w:val="00CA4F7C"/>
    <w:rsid w:val="00CA5456"/>
    <w:rsid w:val="00CA5528"/>
    <w:rsid w:val="00CA5E5B"/>
    <w:rsid w:val="00CA63A6"/>
    <w:rsid w:val="00CA7073"/>
    <w:rsid w:val="00CA7849"/>
    <w:rsid w:val="00CA7EBE"/>
    <w:rsid w:val="00CB04E1"/>
    <w:rsid w:val="00CB05F3"/>
    <w:rsid w:val="00CB08CD"/>
    <w:rsid w:val="00CB096D"/>
    <w:rsid w:val="00CB0FD9"/>
    <w:rsid w:val="00CB1520"/>
    <w:rsid w:val="00CB1CF2"/>
    <w:rsid w:val="00CB1F2C"/>
    <w:rsid w:val="00CB1FF9"/>
    <w:rsid w:val="00CB2130"/>
    <w:rsid w:val="00CB2D46"/>
    <w:rsid w:val="00CB3357"/>
    <w:rsid w:val="00CB3875"/>
    <w:rsid w:val="00CB3B14"/>
    <w:rsid w:val="00CB3EF9"/>
    <w:rsid w:val="00CB437A"/>
    <w:rsid w:val="00CB463F"/>
    <w:rsid w:val="00CB4931"/>
    <w:rsid w:val="00CB61EE"/>
    <w:rsid w:val="00CB6511"/>
    <w:rsid w:val="00CB652C"/>
    <w:rsid w:val="00CB684E"/>
    <w:rsid w:val="00CB68B9"/>
    <w:rsid w:val="00CB6A51"/>
    <w:rsid w:val="00CB6D0F"/>
    <w:rsid w:val="00CB7170"/>
    <w:rsid w:val="00CB7CB2"/>
    <w:rsid w:val="00CC056B"/>
    <w:rsid w:val="00CC06DF"/>
    <w:rsid w:val="00CC099F"/>
    <w:rsid w:val="00CC0A89"/>
    <w:rsid w:val="00CC0B19"/>
    <w:rsid w:val="00CC0C47"/>
    <w:rsid w:val="00CC0CA5"/>
    <w:rsid w:val="00CC116F"/>
    <w:rsid w:val="00CC1234"/>
    <w:rsid w:val="00CC1984"/>
    <w:rsid w:val="00CC1D1E"/>
    <w:rsid w:val="00CC1DB7"/>
    <w:rsid w:val="00CC200C"/>
    <w:rsid w:val="00CC2013"/>
    <w:rsid w:val="00CC2CB6"/>
    <w:rsid w:val="00CC2DAB"/>
    <w:rsid w:val="00CC2EFF"/>
    <w:rsid w:val="00CC2F52"/>
    <w:rsid w:val="00CC3111"/>
    <w:rsid w:val="00CC34D0"/>
    <w:rsid w:val="00CC4649"/>
    <w:rsid w:val="00CC476F"/>
    <w:rsid w:val="00CC5404"/>
    <w:rsid w:val="00CC552B"/>
    <w:rsid w:val="00CC555C"/>
    <w:rsid w:val="00CC570A"/>
    <w:rsid w:val="00CC58F6"/>
    <w:rsid w:val="00CC5BB6"/>
    <w:rsid w:val="00CC5E3C"/>
    <w:rsid w:val="00CC605D"/>
    <w:rsid w:val="00CC6334"/>
    <w:rsid w:val="00CC6820"/>
    <w:rsid w:val="00CC69BF"/>
    <w:rsid w:val="00CC6AC6"/>
    <w:rsid w:val="00CC6B1B"/>
    <w:rsid w:val="00CC6B29"/>
    <w:rsid w:val="00CC743B"/>
    <w:rsid w:val="00CC7C64"/>
    <w:rsid w:val="00CC7CDC"/>
    <w:rsid w:val="00CC7FD1"/>
    <w:rsid w:val="00CD0174"/>
    <w:rsid w:val="00CD0665"/>
    <w:rsid w:val="00CD1418"/>
    <w:rsid w:val="00CD1783"/>
    <w:rsid w:val="00CD18F5"/>
    <w:rsid w:val="00CD1F30"/>
    <w:rsid w:val="00CD2994"/>
    <w:rsid w:val="00CD2C07"/>
    <w:rsid w:val="00CD2F59"/>
    <w:rsid w:val="00CD38D2"/>
    <w:rsid w:val="00CD3A30"/>
    <w:rsid w:val="00CD3BC0"/>
    <w:rsid w:val="00CD3DE0"/>
    <w:rsid w:val="00CD440D"/>
    <w:rsid w:val="00CD45D4"/>
    <w:rsid w:val="00CD4E53"/>
    <w:rsid w:val="00CD5081"/>
    <w:rsid w:val="00CD54BF"/>
    <w:rsid w:val="00CD5F7E"/>
    <w:rsid w:val="00CD6206"/>
    <w:rsid w:val="00CD67EA"/>
    <w:rsid w:val="00CD6AF6"/>
    <w:rsid w:val="00CD6BB1"/>
    <w:rsid w:val="00CD6F1E"/>
    <w:rsid w:val="00CD6FED"/>
    <w:rsid w:val="00CD734D"/>
    <w:rsid w:val="00CD76A9"/>
    <w:rsid w:val="00CD7799"/>
    <w:rsid w:val="00CE0D8A"/>
    <w:rsid w:val="00CE0FA6"/>
    <w:rsid w:val="00CE121F"/>
    <w:rsid w:val="00CE1ED5"/>
    <w:rsid w:val="00CE25FC"/>
    <w:rsid w:val="00CE27ED"/>
    <w:rsid w:val="00CE30BA"/>
    <w:rsid w:val="00CE3427"/>
    <w:rsid w:val="00CE35F9"/>
    <w:rsid w:val="00CE3A2D"/>
    <w:rsid w:val="00CE3FFB"/>
    <w:rsid w:val="00CE429B"/>
    <w:rsid w:val="00CE4300"/>
    <w:rsid w:val="00CE43DD"/>
    <w:rsid w:val="00CE4576"/>
    <w:rsid w:val="00CE475B"/>
    <w:rsid w:val="00CE4830"/>
    <w:rsid w:val="00CE489D"/>
    <w:rsid w:val="00CE4A28"/>
    <w:rsid w:val="00CE4B6D"/>
    <w:rsid w:val="00CE5038"/>
    <w:rsid w:val="00CE5198"/>
    <w:rsid w:val="00CE569F"/>
    <w:rsid w:val="00CE5AC5"/>
    <w:rsid w:val="00CE5AF9"/>
    <w:rsid w:val="00CE5AFC"/>
    <w:rsid w:val="00CE5F0B"/>
    <w:rsid w:val="00CE66F1"/>
    <w:rsid w:val="00CE671C"/>
    <w:rsid w:val="00CE6BCD"/>
    <w:rsid w:val="00CE6CEA"/>
    <w:rsid w:val="00CE7580"/>
    <w:rsid w:val="00CE7CCA"/>
    <w:rsid w:val="00CE7DA1"/>
    <w:rsid w:val="00CF0367"/>
    <w:rsid w:val="00CF037C"/>
    <w:rsid w:val="00CF0411"/>
    <w:rsid w:val="00CF0906"/>
    <w:rsid w:val="00CF0E8B"/>
    <w:rsid w:val="00CF1885"/>
    <w:rsid w:val="00CF18CB"/>
    <w:rsid w:val="00CF19DB"/>
    <w:rsid w:val="00CF1A7B"/>
    <w:rsid w:val="00CF1CB4"/>
    <w:rsid w:val="00CF1D85"/>
    <w:rsid w:val="00CF26BF"/>
    <w:rsid w:val="00CF292F"/>
    <w:rsid w:val="00CF2B6C"/>
    <w:rsid w:val="00CF36D5"/>
    <w:rsid w:val="00CF3A28"/>
    <w:rsid w:val="00CF3EC5"/>
    <w:rsid w:val="00CF3F00"/>
    <w:rsid w:val="00CF41AB"/>
    <w:rsid w:val="00CF4211"/>
    <w:rsid w:val="00CF43CF"/>
    <w:rsid w:val="00CF520F"/>
    <w:rsid w:val="00CF579B"/>
    <w:rsid w:val="00CF592F"/>
    <w:rsid w:val="00CF5D2A"/>
    <w:rsid w:val="00CF5FB8"/>
    <w:rsid w:val="00CF60AA"/>
    <w:rsid w:val="00CF649C"/>
    <w:rsid w:val="00CF6505"/>
    <w:rsid w:val="00CF655A"/>
    <w:rsid w:val="00CF68BA"/>
    <w:rsid w:val="00CF68E3"/>
    <w:rsid w:val="00CF6C45"/>
    <w:rsid w:val="00CF6F67"/>
    <w:rsid w:val="00CF7627"/>
    <w:rsid w:val="00CF7915"/>
    <w:rsid w:val="00CF7DDC"/>
    <w:rsid w:val="00D0028F"/>
    <w:rsid w:val="00D003A3"/>
    <w:rsid w:val="00D00E0F"/>
    <w:rsid w:val="00D01647"/>
    <w:rsid w:val="00D02978"/>
    <w:rsid w:val="00D029A4"/>
    <w:rsid w:val="00D02B55"/>
    <w:rsid w:val="00D02B69"/>
    <w:rsid w:val="00D02CC2"/>
    <w:rsid w:val="00D0343A"/>
    <w:rsid w:val="00D0346B"/>
    <w:rsid w:val="00D038E6"/>
    <w:rsid w:val="00D03ABE"/>
    <w:rsid w:val="00D04051"/>
    <w:rsid w:val="00D04330"/>
    <w:rsid w:val="00D0434B"/>
    <w:rsid w:val="00D043CC"/>
    <w:rsid w:val="00D04D14"/>
    <w:rsid w:val="00D05040"/>
    <w:rsid w:val="00D052D6"/>
    <w:rsid w:val="00D05AE7"/>
    <w:rsid w:val="00D060AD"/>
    <w:rsid w:val="00D06488"/>
    <w:rsid w:val="00D068C4"/>
    <w:rsid w:val="00D06D3E"/>
    <w:rsid w:val="00D06EFE"/>
    <w:rsid w:val="00D070D3"/>
    <w:rsid w:val="00D0737A"/>
    <w:rsid w:val="00D076BD"/>
    <w:rsid w:val="00D076FC"/>
    <w:rsid w:val="00D1185E"/>
    <w:rsid w:val="00D11BEE"/>
    <w:rsid w:val="00D11D75"/>
    <w:rsid w:val="00D11F0E"/>
    <w:rsid w:val="00D12C1C"/>
    <w:rsid w:val="00D12D2E"/>
    <w:rsid w:val="00D1310A"/>
    <w:rsid w:val="00D131D5"/>
    <w:rsid w:val="00D13654"/>
    <w:rsid w:val="00D13691"/>
    <w:rsid w:val="00D137CB"/>
    <w:rsid w:val="00D140BD"/>
    <w:rsid w:val="00D1439C"/>
    <w:rsid w:val="00D144BF"/>
    <w:rsid w:val="00D14E8D"/>
    <w:rsid w:val="00D14FA9"/>
    <w:rsid w:val="00D14FDE"/>
    <w:rsid w:val="00D150E6"/>
    <w:rsid w:val="00D1592C"/>
    <w:rsid w:val="00D159BE"/>
    <w:rsid w:val="00D15F3E"/>
    <w:rsid w:val="00D1602A"/>
    <w:rsid w:val="00D16275"/>
    <w:rsid w:val="00D16528"/>
    <w:rsid w:val="00D17B57"/>
    <w:rsid w:val="00D17B89"/>
    <w:rsid w:val="00D17BCA"/>
    <w:rsid w:val="00D200C5"/>
    <w:rsid w:val="00D20498"/>
    <w:rsid w:val="00D205B0"/>
    <w:rsid w:val="00D20D30"/>
    <w:rsid w:val="00D213A4"/>
    <w:rsid w:val="00D21780"/>
    <w:rsid w:val="00D21EEC"/>
    <w:rsid w:val="00D2217B"/>
    <w:rsid w:val="00D223D6"/>
    <w:rsid w:val="00D2267C"/>
    <w:rsid w:val="00D228C4"/>
    <w:rsid w:val="00D22A59"/>
    <w:rsid w:val="00D22CF8"/>
    <w:rsid w:val="00D22E4F"/>
    <w:rsid w:val="00D23169"/>
    <w:rsid w:val="00D233E4"/>
    <w:rsid w:val="00D23A85"/>
    <w:rsid w:val="00D23C0C"/>
    <w:rsid w:val="00D23F33"/>
    <w:rsid w:val="00D24269"/>
    <w:rsid w:val="00D24452"/>
    <w:rsid w:val="00D244F1"/>
    <w:rsid w:val="00D24DC5"/>
    <w:rsid w:val="00D24E72"/>
    <w:rsid w:val="00D2511E"/>
    <w:rsid w:val="00D25205"/>
    <w:rsid w:val="00D25CED"/>
    <w:rsid w:val="00D26456"/>
    <w:rsid w:val="00D265A0"/>
    <w:rsid w:val="00D26764"/>
    <w:rsid w:val="00D26A38"/>
    <w:rsid w:val="00D26D71"/>
    <w:rsid w:val="00D272D3"/>
    <w:rsid w:val="00D2783F"/>
    <w:rsid w:val="00D27AE9"/>
    <w:rsid w:val="00D27C64"/>
    <w:rsid w:val="00D27F29"/>
    <w:rsid w:val="00D3036A"/>
    <w:rsid w:val="00D30443"/>
    <w:rsid w:val="00D30508"/>
    <w:rsid w:val="00D30DAA"/>
    <w:rsid w:val="00D30E37"/>
    <w:rsid w:val="00D30F7F"/>
    <w:rsid w:val="00D31992"/>
    <w:rsid w:val="00D31A4A"/>
    <w:rsid w:val="00D31F5E"/>
    <w:rsid w:val="00D327BC"/>
    <w:rsid w:val="00D33288"/>
    <w:rsid w:val="00D33522"/>
    <w:rsid w:val="00D3352C"/>
    <w:rsid w:val="00D34477"/>
    <w:rsid w:val="00D347FE"/>
    <w:rsid w:val="00D34992"/>
    <w:rsid w:val="00D34DED"/>
    <w:rsid w:val="00D3564C"/>
    <w:rsid w:val="00D35981"/>
    <w:rsid w:val="00D35E82"/>
    <w:rsid w:val="00D35F99"/>
    <w:rsid w:val="00D36154"/>
    <w:rsid w:val="00D36171"/>
    <w:rsid w:val="00D363EA"/>
    <w:rsid w:val="00D364E4"/>
    <w:rsid w:val="00D36516"/>
    <w:rsid w:val="00D36FDA"/>
    <w:rsid w:val="00D377BC"/>
    <w:rsid w:val="00D37F62"/>
    <w:rsid w:val="00D37F6D"/>
    <w:rsid w:val="00D40163"/>
    <w:rsid w:val="00D405E4"/>
    <w:rsid w:val="00D40C9B"/>
    <w:rsid w:val="00D40CF0"/>
    <w:rsid w:val="00D41354"/>
    <w:rsid w:val="00D414F3"/>
    <w:rsid w:val="00D41AFF"/>
    <w:rsid w:val="00D41D6C"/>
    <w:rsid w:val="00D42009"/>
    <w:rsid w:val="00D426BF"/>
    <w:rsid w:val="00D4270B"/>
    <w:rsid w:val="00D4274D"/>
    <w:rsid w:val="00D42A49"/>
    <w:rsid w:val="00D43ED3"/>
    <w:rsid w:val="00D44451"/>
    <w:rsid w:val="00D44AAE"/>
    <w:rsid w:val="00D44D98"/>
    <w:rsid w:val="00D4511F"/>
    <w:rsid w:val="00D455D3"/>
    <w:rsid w:val="00D458AC"/>
    <w:rsid w:val="00D45C38"/>
    <w:rsid w:val="00D46007"/>
    <w:rsid w:val="00D4602C"/>
    <w:rsid w:val="00D46071"/>
    <w:rsid w:val="00D46332"/>
    <w:rsid w:val="00D4645D"/>
    <w:rsid w:val="00D46702"/>
    <w:rsid w:val="00D46763"/>
    <w:rsid w:val="00D46B60"/>
    <w:rsid w:val="00D46FDC"/>
    <w:rsid w:val="00D472A7"/>
    <w:rsid w:val="00D4757B"/>
    <w:rsid w:val="00D47588"/>
    <w:rsid w:val="00D477DD"/>
    <w:rsid w:val="00D502E5"/>
    <w:rsid w:val="00D50894"/>
    <w:rsid w:val="00D50BDC"/>
    <w:rsid w:val="00D51258"/>
    <w:rsid w:val="00D51305"/>
    <w:rsid w:val="00D5173B"/>
    <w:rsid w:val="00D528D6"/>
    <w:rsid w:val="00D53493"/>
    <w:rsid w:val="00D536E8"/>
    <w:rsid w:val="00D54B46"/>
    <w:rsid w:val="00D55AC3"/>
    <w:rsid w:val="00D560F5"/>
    <w:rsid w:val="00D56581"/>
    <w:rsid w:val="00D565EB"/>
    <w:rsid w:val="00D56CED"/>
    <w:rsid w:val="00D57035"/>
    <w:rsid w:val="00D57369"/>
    <w:rsid w:val="00D577C2"/>
    <w:rsid w:val="00D57977"/>
    <w:rsid w:val="00D57C4C"/>
    <w:rsid w:val="00D57F0C"/>
    <w:rsid w:val="00D60675"/>
    <w:rsid w:val="00D60DF9"/>
    <w:rsid w:val="00D62197"/>
    <w:rsid w:val="00D62482"/>
    <w:rsid w:val="00D624EB"/>
    <w:rsid w:val="00D6251F"/>
    <w:rsid w:val="00D62E07"/>
    <w:rsid w:val="00D62FB5"/>
    <w:rsid w:val="00D6344E"/>
    <w:rsid w:val="00D63EC8"/>
    <w:rsid w:val="00D64373"/>
    <w:rsid w:val="00D64454"/>
    <w:rsid w:val="00D6489A"/>
    <w:rsid w:val="00D64DAA"/>
    <w:rsid w:val="00D65299"/>
    <w:rsid w:val="00D66105"/>
    <w:rsid w:val="00D66107"/>
    <w:rsid w:val="00D66283"/>
    <w:rsid w:val="00D662AA"/>
    <w:rsid w:val="00D66DEC"/>
    <w:rsid w:val="00D66E15"/>
    <w:rsid w:val="00D67285"/>
    <w:rsid w:val="00D67AA9"/>
    <w:rsid w:val="00D67ED8"/>
    <w:rsid w:val="00D702AF"/>
    <w:rsid w:val="00D702D1"/>
    <w:rsid w:val="00D704F0"/>
    <w:rsid w:val="00D708D2"/>
    <w:rsid w:val="00D70DF5"/>
    <w:rsid w:val="00D710AE"/>
    <w:rsid w:val="00D71358"/>
    <w:rsid w:val="00D7150E"/>
    <w:rsid w:val="00D71CE4"/>
    <w:rsid w:val="00D729AA"/>
    <w:rsid w:val="00D72CA0"/>
    <w:rsid w:val="00D734AB"/>
    <w:rsid w:val="00D73A61"/>
    <w:rsid w:val="00D73C1E"/>
    <w:rsid w:val="00D73CFC"/>
    <w:rsid w:val="00D73D5A"/>
    <w:rsid w:val="00D744E3"/>
    <w:rsid w:val="00D746A4"/>
    <w:rsid w:val="00D7486E"/>
    <w:rsid w:val="00D74AC3"/>
    <w:rsid w:val="00D74B69"/>
    <w:rsid w:val="00D74F41"/>
    <w:rsid w:val="00D756B0"/>
    <w:rsid w:val="00D75F77"/>
    <w:rsid w:val="00D76019"/>
    <w:rsid w:val="00D76151"/>
    <w:rsid w:val="00D762A6"/>
    <w:rsid w:val="00D76613"/>
    <w:rsid w:val="00D7681E"/>
    <w:rsid w:val="00D76EDF"/>
    <w:rsid w:val="00D77398"/>
    <w:rsid w:val="00D7773C"/>
    <w:rsid w:val="00D77A81"/>
    <w:rsid w:val="00D77C83"/>
    <w:rsid w:val="00D80181"/>
    <w:rsid w:val="00D801F4"/>
    <w:rsid w:val="00D80830"/>
    <w:rsid w:val="00D80CF8"/>
    <w:rsid w:val="00D80DE4"/>
    <w:rsid w:val="00D811DD"/>
    <w:rsid w:val="00D81BA3"/>
    <w:rsid w:val="00D81D99"/>
    <w:rsid w:val="00D820E0"/>
    <w:rsid w:val="00D820E8"/>
    <w:rsid w:val="00D8270C"/>
    <w:rsid w:val="00D83727"/>
    <w:rsid w:val="00D837D5"/>
    <w:rsid w:val="00D83B98"/>
    <w:rsid w:val="00D83BDA"/>
    <w:rsid w:val="00D83BF4"/>
    <w:rsid w:val="00D83C97"/>
    <w:rsid w:val="00D83F5E"/>
    <w:rsid w:val="00D840DD"/>
    <w:rsid w:val="00D846B3"/>
    <w:rsid w:val="00D84FC5"/>
    <w:rsid w:val="00D85798"/>
    <w:rsid w:val="00D85D3D"/>
    <w:rsid w:val="00D86191"/>
    <w:rsid w:val="00D86759"/>
    <w:rsid w:val="00D869FD"/>
    <w:rsid w:val="00D86B28"/>
    <w:rsid w:val="00D877FC"/>
    <w:rsid w:val="00D87E7A"/>
    <w:rsid w:val="00D90D91"/>
    <w:rsid w:val="00D9116F"/>
    <w:rsid w:val="00D91226"/>
    <w:rsid w:val="00D912E5"/>
    <w:rsid w:val="00D91C2C"/>
    <w:rsid w:val="00D91EA7"/>
    <w:rsid w:val="00D9202D"/>
    <w:rsid w:val="00D92032"/>
    <w:rsid w:val="00D921EE"/>
    <w:rsid w:val="00D92314"/>
    <w:rsid w:val="00D92449"/>
    <w:rsid w:val="00D92B11"/>
    <w:rsid w:val="00D93298"/>
    <w:rsid w:val="00D934B6"/>
    <w:rsid w:val="00D93617"/>
    <w:rsid w:val="00D937AC"/>
    <w:rsid w:val="00D937E6"/>
    <w:rsid w:val="00D93808"/>
    <w:rsid w:val="00D93BBD"/>
    <w:rsid w:val="00D94215"/>
    <w:rsid w:val="00D948A4"/>
    <w:rsid w:val="00D94E61"/>
    <w:rsid w:val="00D950B0"/>
    <w:rsid w:val="00D9562F"/>
    <w:rsid w:val="00D95B9C"/>
    <w:rsid w:val="00D95FF0"/>
    <w:rsid w:val="00D9609F"/>
    <w:rsid w:val="00D960A1"/>
    <w:rsid w:val="00D963EC"/>
    <w:rsid w:val="00D966DF"/>
    <w:rsid w:val="00D96876"/>
    <w:rsid w:val="00D968DF"/>
    <w:rsid w:val="00D96A8A"/>
    <w:rsid w:val="00D97233"/>
    <w:rsid w:val="00D97654"/>
    <w:rsid w:val="00D9795F"/>
    <w:rsid w:val="00DA00DF"/>
    <w:rsid w:val="00DA0DB2"/>
    <w:rsid w:val="00DA0E01"/>
    <w:rsid w:val="00DA0EAC"/>
    <w:rsid w:val="00DA104D"/>
    <w:rsid w:val="00DA146D"/>
    <w:rsid w:val="00DA15BE"/>
    <w:rsid w:val="00DA1C4A"/>
    <w:rsid w:val="00DA1F3C"/>
    <w:rsid w:val="00DA1F6E"/>
    <w:rsid w:val="00DA24F7"/>
    <w:rsid w:val="00DA30EA"/>
    <w:rsid w:val="00DA336A"/>
    <w:rsid w:val="00DA3409"/>
    <w:rsid w:val="00DA3529"/>
    <w:rsid w:val="00DA36D2"/>
    <w:rsid w:val="00DA37D0"/>
    <w:rsid w:val="00DA3BF0"/>
    <w:rsid w:val="00DA4221"/>
    <w:rsid w:val="00DA4AAC"/>
    <w:rsid w:val="00DA51FD"/>
    <w:rsid w:val="00DA52BA"/>
    <w:rsid w:val="00DA538A"/>
    <w:rsid w:val="00DA5AF2"/>
    <w:rsid w:val="00DA5B03"/>
    <w:rsid w:val="00DA6016"/>
    <w:rsid w:val="00DA6303"/>
    <w:rsid w:val="00DA6CC9"/>
    <w:rsid w:val="00DA6D9B"/>
    <w:rsid w:val="00DA7190"/>
    <w:rsid w:val="00DA72FB"/>
    <w:rsid w:val="00DA75EC"/>
    <w:rsid w:val="00DA76B6"/>
    <w:rsid w:val="00DB0762"/>
    <w:rsid w:val="00DB0ED2"/>
    <w:rsid w:val="00DB0F1F"/>
    <w:rsid w:val="00DB12E8"/>
    <w:rsid w:val="00DB1564"/>
    <w:rsid w:val="00DB1B65"/>
    <w:rsid w:val="00DB1C38"/>
    <w:rsid w:val="00DB1CE3"/>
    <w:rsid w:val="00DB204A"/>
    <w:rsid w:val="00DB2279"/>
    <w:rsid w:val="00DB2A49"/>
    <w:rsid w:val="00DB3445"/>
    <w:rsid w:val="00DB3613"/>
    <w:rsid w:val="00DB3637"/>
    <w:rsid w:val="00DB37C8"/>
    <w:rsid w:val="00DB37ED"/>
    <w:rsid w:val="00DB3B60"/>
    <w:rsid w:val="00DB3EA8"/>
    <w:rsid w:val="00DB4715"/>
    <w:rsid w:val="00DB4C99"/>
    <w:rsid w:val="00DB51FF"/>
    <w:rsid w:val="00DB524A"/>
    <w:rsid w:val="00DB541F"/>
    <w:rsid w:val="00DB566A"/>
    <w:rsid w:val="00DB5CCC"/>
    <w:rsid w:val="00DB612A"/>
    <w:rsid w:val="00DB62D4"/>
    <w:rsid w:val="00DB67BB"/>
    <w:rsid w:val="00DB6C4F"/>
    <w:rsid w:val="00DB6CAE"/>
    <w:rsid w:val="00DB741F"/>
    <w:rsid w:val="00DB765B"/>
    <w:rsid w:val="00DB777D"/>
    <w:rsid w:val="00DB7881"/>
    <w:rsid w:val="00DB79C3"/>
    <w:rsid w:val="00DC019C"/>
    <w:rsid w:val="00DC030E"/>
    <w:rsid w:val="00DC03BC"/>
    <w:rsid w:val="00DC066D"/>
    <w:rsid w:val="00DC07D0"/>
    <w:rsid w:val="00DC084B"/>
    <w:rsid w:val="00DC094C"/>
    <w:rsid w:val="00DC0D4E"/>
    <w:rsid w:val="00DC101E"/>
    <w:rsid w:val="00DC1173"/>
    <w:rsid w:val="00DC14D4"/>
    <w:rsid w:val="00DC16A0"/>
    <w:rsid w:val="00DC1826"/>
    <w:rsid w:val="00DC1DF1"/>
    <w:rsid w:val="00DC1ECA"/>
    <w:rsid w:val="00DC212F"/>
    <w:rsid w:val="00DC2FB9"/>
    <w:rsid w:val="00DC32D1"/>
    <w:rsid w:val="00DC33FB"/>
    <w:rsid w:val="00DC35C3"/>
    <w:rsid w:val="00DC36EA"/>
    <w:rsid w:val="00DC3960"/>
    <w:rsid w:val="00DC4511"/>
    <w:rsid w:val="00DC47C2"/>
    <w:rsid w:val="00DC4CA0"/>
    <w:rsid w:val="00DC533C"/>
    <w:rsid w:val="00DC5708"/>
    <w:rsid w:val="00DC5AEE"/>
    <w:rsid w:val="00DC61D4"/>
    <w:rsid w:val="00DC61D7"/>
    <w:rsid w:val="00DC665C"/>
    <w:rsid w:val="00DC6AC0"/>
    <w:rsid w:val="00DC6B97"/>
    <w:rsid w:val="00DC6EE5"/>
    <w:rsid w:val="00DC6F56"/>
    <w:rsid w:val="00DC7215"/>
    <w:rsid w:val="00DC7446"/>
    <w:rsid w:val="00DC7D05"/>
    <w:rsid w:val="00DC7EEB"/>
    <w:rsid w:val="00DC7FA2"/>
    <w:rsid w:val="00DC7FA4"/>
    <w:rsid w:val="00DD0077"/>
    <w:rsid w:val="00DD04FD"/>
    <w:rsid w:val="00DD0CDA"/>
    <w:rsid w:val="00DD1086"/>
    <w:rsid w:val="00DD123B"/>
    <w:rsid w:val="00DD123F"/>
    <w:rsid w:val="00DD15E9"/>
    <w:rsid w:val="00DD1652"/>
    <w:rsid w:val="00DD19E4"/>
    <w:rsid w:val="00DD1D6B"/>
    <w:rsid w:val="00DD2351"/>
    <w:rsid w:val="00DD25C5"/>
    <w:rsid w:val="00DD2C22"/>
    <w:rsid w:val="00DD3273"/>
    <w:rsid w:val="00DD380F"/>
    <w:rsid w:val="00DD3D15"/>
    <w:rsid w:val="00DD4290"/>
    <w:rsid w:val="00DD42B6"/>
    <w:rsid w:val="00DD4EA8"/>
    <w:rsid w:val="00DD4F4E"/>
    <w:rsid w:val="00DD4FA1"/>
    <w:rsid w:val="00DD5945"/>
    <w:rsid w:val="00DD5DD2"/>
    <w:rsid w:val="00DD6377"/>
    <w:rsid w:val="00DD6667"/>
    <w:rsid w:val="00DD6BC1"/>
    <w:rsid w:val="00DD77AE"/>
    <w:rsid w:val="00DD7A57"/>
    <w:rsid w:val="00DD7F07"/>
    <w:rsid w:val="00DE0A0E"/>
    <w:rsid w:val="00DE0C82"/>
    <w:rsid w:val="00DE0CCA"/>
    <w:rsid w:val="00DE100E"/>
    <w:rsid w:val="00DE1330"/>
    <w:rsid w:val="00DE1959"/>
    <w:rsid w:val="00DE1A57"/>
    <w:rsid w:val="00DE250D"/>
    <w:rsid w:val="00DE263B"/>
    <w:rsid w:val="00DE2F10"/>
    <w:rsid w:val="00DE31A3"/>
    <w:rsid w:val="00DE31CE"/>
    <w:rsid w:val="00DE332C"/>
    <w:rsid w:val="00DE346B"/>
    <w:rsid w:val="00DE3631"/>
    <w:rsid w:val="00DE372F"/>
    <w:rsid w:val="00DE3A3A"/>
    <w:rsid w:val="00DE4712"/>
    <w:rsid w:val="00DE4D3A"/>
    <w:rsid w:val="00DE4FA0"/>
    <w:rsid w:val="00DE56F9"/>
    <w:rsid w:val="00DE56FC"/>
    <w:rsid w:val="00DE57DA"/>
    <w:rsid w:val="00DE5892"/>
    <w:rsid w:val="00DE58F3"/>
    <w:rsid w:val="00DE67C2"/>
    <w:rsid w:val="00DE6CA0"/>
    <w:rsid w:val="00DE719E"/>
    <w:rsid w:val="00DE72E8"/>
    <w:rsid w:val="00DE73B0"/>
    <w:rsid w:val="00DE7950"/>
    <w:rsid w:val="00DE7BB4"/>
    <w:rsid w:val="00DE7DB8"/>
    <w:rsid w:val="00DF05E1"/>
    <w:rsid w:val="00DF0A4A"/>
    <w:rsid w:val="00DF0BE1"/>
    <w:rsid w:val="00DF0EB4"/>
    <w:rsid w:val="00DF1407"/>
    <w:rsid w:val="00DF1E2C"/>
    <w:rsid w:val="00DF2165"/>
    <w:rsid w:val="00DF216E"/>
    <w:rsid w:val="00DF21B7"/>
    <w:rsid w:val="00DF22E3"/>
    <w:rsid w:val="00DF25A6"/>
    <w:rsid w:val="00DF28E9"/>
    <w:rsid w:val="00DF2929"/>
    <w:rsid w:val="00DF33F2"/>
    <w:rsid w:val="00DF3E27"/>
    <w:rsid w:val="00DF4AFC"/>
    <w:rsid w:val="00DF4BA1"/>
    <w:rsid w:val="00DF4C39"/>
    <w:rsid w:val="00DF4E32"/>
    <w:rsid w:val="00DF521C"/>
    <w:rsid w:val="00DF53C4"/>
    <w:rsid w:val="00DF552F"/>
    <w:rsid w:val="00DF58BB"/>
    <w:rsid w:val="00DF5A72"/>
    <w:rsid w:val="00DF5D2A"/>
    <w:rsid w:val="00DF5D8F"/>
    <w:rsid w:val="00DF63A3"/>
    <w:rsid w:val="00DF6863"/>
    <w:rsid w:val="00DF6B65"/>
    <w:rsid w:val="00DF6D34"/>
    <w:rsid w:val="00DF6D52"/>
    <w:rsid w:val="00DF7536"/>
    <w:rsid w:val="00DF760C"/>
    <w:rsid w:val="00DF779E"/>
    <w:rsid w:val="00DF7DB4"/>
    <w:rsid w:val="00E00283"/>
    <w:rsid w:val="00E005A3"/>
    <w:rsid w:val="00E00F47"/>
    <w:rsid w:val="00E00FB3"/>
    <w:rsid w:val="00E01ABF"/>
    <w:rsid w:val="00E01D51"/>
    <w:rsid w:val="00E02184"/>
    <w:rsid w:val="00E021FD"/>
    <w:rsid w:val="00E02201"/>
    <w:rsid w:val="00E02449"/>
    <w:rsid w:val="00E02E06"/>
    <w:rsid w:val="00E039D2"/>
    <w:rsid w:val="00E03A36"/>
    <w:rsid w:val="00E044A5"/>
    <w:rsid w:val="00E04D37"/>
    <w:rsid w:val="00E0536F"/>
    <w:rsid w:val="00E05928"/>
    <w:rsid w:val="00E05B68"/>
    <w:rsid w:val="00E06247"/>
    <w:rsid w:val="00E06306"/>
    <w:rsid w:val="00E0655A"/>
    <w:rsid w:val="00E06AE6"/>
    <w:rsid w:val="00E06E55"/>
    <w:rsid w:val="00E070D5"/>
    <w:rsid w:val="00E07D87"/>
    <w:rsid w:val="00E101A4"/>
    <w:rsid w:val="00E1062A"/>
    <w:rsid w:val="00E10A63"/>
    <w:rsid w:val="00E10F0C"/>
    <w:rsid w:val="00E11598"/>
    <w:rsid w:val="00E116E0"/>
    <w:rsid w:val="00E11735"/>
    <w:rsid w:val="00E1266B"/>
    <w:rsid w:val="00E1297C"/>
    <w:rsid w:val="00E12A22"/>
    <w:rsid w:val="00E12A2F"/>
    <w:rsid w:val="00E12DCB"/>
    <w:rsid w:val="00E12FA0"/>
    <w:rsid w:val="00E130FE"/>
    <w:rsid w:val="00E13150"/>
    <w:rsid w:val="00E13316"/>
    <w:rsid w:val="00E133E9"/>
    <w:rsid w:val="00E133FA"/>
    <w:rsid w:val="00E134D8"/>
    <w:rsid w:val="00E134D9"/>
    <w:rsid w:val="00E135FB"/>
    <w:rsid w:val="00E14666"/>
    <w:rsid w:val="00E146FB"/>
    <w:rsid w:val="00E147B7"/>
    <w:rsid w:val="00E14A94"/>
    <w:rsid w:val="00E14E15"/>
    <w:rsid w:val="00E15620"/>
    <w:rsid w:val="00E156DC"/>
    <w:rsid w:val="00E15790"/>
    <w:rsid w:val="00E15D94"/>
    <w:rsid w:val="00E161E2"/>
    <w:rsid w:val="00E1623D"/>
    <w:rsid w:val="00E165D7"/>
    <w:rsid w:val="00E169D6"/>
    <w:rsid w:val="00E16F94"/>
    <w:rsid w:val="00E170F2"/>
    <w:rsid w:val="00E1712F"/>
    <w:rsid w:val="00E17B18"/>
    <w:rsid w:val="00E20A47"/>
    <w:rsid w:val="00E20EA6"/>
    <w:rsid w:val="00E2106B"/>
    <w:rsid w:val="00E21510"/>
    <w:rsid w:val="00E218C8"/>
    <w:rsid w:val="00E21B50"/>
    <w:rsid w:val="00E21CE5"/>
    <w:rsid w:val="00E22060"/>
    <w:rsid w:val="00E221FD"/>
    <w:rsid w:val="00E2230D"/>
    <w:rsid w:val="00E22A84"/>
    <w:rsid w:val="00E22AD8"/>
    <w:rsid w:val="00E22F18"/>
    <w:rsid w:val="00E232AF"/>
    <w:rsid w:val="00E235DA"/>
    <w:rsid w:val="00E23629"/>
    <w:rsid w:val="00E23ECE"/>
    <w:rsid w:val="00E23EE2"/>
    <w:rsid w:val="00E23F6F"/>
    <w:rsid w:val="00E241F1"/>
    <w:rsid w:val="00E24336"/>
    <w:rsid w:val="00E24640"/>
    <w:rsid w:val="00E249BC"/>
    <w:rsid w:val="00E24AAD"/>
    <w:rsid w:val="00E24CA0"/>
    <w:rsid w:val="00E24E49"/>
    <w:rsid w:val="00E253A6"/>
    <w:rsid w:val="00E25465"/>
    <w:rsid w:val="00E25B1B"/>
    <w:rsid w:val="00E25BF8"/>
    <w:rsid w:val="00E25C78"/>
    <w:rsid w:val="00E25E40"/>
    <w:rsid w:val="00E26604"/>
    <w:rsid w:val="00E26A67"/>
    <w:rsid w:val="00E26D06"/>
    <w:rsid w:val="00E30220"/>
    <w:rsid w:val="00E30276"/>
    <w:rsid w:val="00E3043A"/>
    <w:rsid w:val="00E30523"/>
    <w:rsid w:val="00E316F8"/>
    <w:rsid w:val="00E31722"/>
    <w:rsid w:val="00E31B25"/>
    <w:rsid w:val="00E31C76"/>
    <w:rsid w:val="00E3205A"/>
    <w:rsid w:val="00E3215D"/>
    <w:rsid w:val="00E321C7"/>
    <w:rsid w:val="00E328F0"/>
    <w:rsid w:val="00E32DE3"/>
    <w:rsid w:val="00E334B2"/>
    <w:rsid w:val="00E33531"/>
    <w:rsid w:val="00E33564"/>
    <w:rsid w:val="00E33648"/>
    <w:rsid w:val="00E33925"/>
    <w:rsid w:val="00E34080"/>
    <w:rsid w:val="00E34D91"/>
    <w:rsid w:val="00E34E18"/>
    <w:rsid w:val="00E34E41"/>
    <w:rsid w:val="00E351D0"/>
    <w:rsid w:val="00E35893"/>
    <w:rsid w:val="00E366E9"/>
    <w:rsid w:val="00E3681E"/>
    <w:rsid w:val="00E36898"/>
    <w:rsid w:val="00E36ACC"/>
    <w:rsid w:val="00E370D2"/>
    <w:rsid w:val="00E37310"/>
    <w:rsid w:val="00E378AF"/>
    <w:rsid w:val="00E37C52"/>
    <w:rsid w:val="00E4016D"/>
    <w:rsid w:val="00E40173"/>
    <w:rsid w:val="00E4078C"/>
    <w:rsid w:val="00E4090D"/>
    <w:rsid w:val="00E40FAC"/>
    <w:rsid w:val="00E410A8"/>
    <w:rsid w:val="00E41121"/>
    <w:rsid w:val="00E41378"/>
    <w:rsid w:val="00E4165D"/>
    <w:rsid w:val="00E41B93"/>
    <w:rsid w:val="00E41F01"/>
    <w:rsid w:val="00E4215D"/>
    <w:rsid w:val="00E42446"/>
    <w:rsid w:val="00E42A92"/>
    <w:rsid w:val="00E42ED5"/>
    <w:rsid w:val="00E42FC9"/>
    <w:rsid w:val="00E43502"/>
    <w:rsid w:val="00E44C20"/>
    <w:rsid w:val="00E452E0"/>
    <w:rsid w:val="00E455CD"/>
    <w:rsid w:val="00E46124"/>
    <w:rsid w:val="00E46318"/>
    <w:rsid w:val="00E46417"/>
    <w:rsid w:val="00E465E5"/>
    <w:rsid w:val="00E46C71"/>
    <w:rsid w:val="00E46D90"/>
    <w:rsid w:val="00E47474"/>
    <w:rsid w:val="00E47D9B"/>
    <w:rsid w:val="00E501DC"/>
    <w:rsid w:val="00E50295"/>
    <w:rsid w:val="00E50648"/>
    <w:rsid w:val="00E50839"/>
    <w:rsid w:val="00E50B91"/>
    <w:rsid w:val="00E50BBE"/>
    <w:rsid w:val="00E50E00"/>
    <w:rsid w:val="00E512EA"/>
    <w:rsid w:val="00E514E3"/>
    <w:rsid w:val="00E51547"/>
    <w:rsid w:val="00E52294"/>
    <w:rsid w:val="00E52AFC"/>
    <w:rsid w:val="00E53142"/>
    <w:rsid w:val="00E53937"/>
    <w:rsid w:val="00E53CFE"/>
    <w:rsid w:val="00E544D6"/>
    <w:rsid w:val="00E546D1"/>
    <w:rsid w:val="00E5601E"/>
    <w:rsid w:val="00E563EF"/>
    <w:rsid w:val="00E56942"/>
    <w:rsid w:val="00E56E81"/>
    <w:rsid w:val="00E56EAE"/>
    <w:rsid w:val="00E5718B"/>
    <w:rsid w:val="00E57704"/>
    <w:rsid w:val="00E57FB1"/>
    <w:rsid w:val="00E6016C"/>
    <w:rsid w:val="00E60205"/>
    <w:rsid w:val="00E608C9"/>
    <w:rsid w:val="00E60976"/>
    <w:rsid w:val="00E609AE"/>
    <w:rsid w:val="00E610E1"/>
    <w:rsid w:val="00E61A2E"/>
    <w:rsid w:val="00E61E75"/>
    <w:rsid w:val="00E62437"/>
    <w:rsid w:val="00E627AC"/>
    <w:rsid w:val="00E62FBC"/>
    <w:rsid w:val="00E6342B"/>
    <w:rsid w:val="00E63DE7"/>
    <w:rsid w:val="00E63FBF"/>
    <w:rsid w:val="00E6417A"/>
    <w:rsid w:val="00E6420B"/>
    <w:rsid w:val="00E6423D"/>
    <w:rsid w:val="00E64465"/>
    <w:rsid w:val="00E645B2"/>
    <w:rsid w:val="00E645DE"/>
    <w:rsid w:val="00E6540E"/>
    <w:rsid w:val="00E65536"/>
    <w:rsid w:val="00E6557E"/>
    <w:rsid w:val="00E65612"/>
    <w:rsid w:val="00E658B2"/>
    <w:rsid w:val="00E65C90"/>
    <w:rsid w:val="00E66171"/>
    <w:rsid w:val="00E66BB4"/>
    <w:rsid w:val="00E676F2"/>
    <w:rsid w:val="00E70965"/>
    <w:rsid w:val="00E70AB1"/>
    <w:rsid w:val="00E7157A"/>
    <w:rsid w:val="00E715EE"/>
    <w:rsid w:val="00E71B5D"/>
    <w:rsid w:val="00E71B9C"/>
    <w:rsid w:val="00E71D56"/>
    <w:rsid w:val="00E7226C"/>
    <w:rsid w:val="00E72887"/>
    <w:rsid w:val="00E72F1B"/>
    <w:rsid w:val="00E7313C"/>
    <w:rsid w:val="00E732C8"/>
    <w:rsid w:val="00E7339F"/>
    <w:rsid w:val="00E7355E"/>
    <w:rsid w:val="00E741BD"/>
    <w:rsid w:val="00E74DCA"/>
    <w:rsid w:val="00E74FD8"/>
    <w:rsid w:val="00E750A9"/>
    <w:rsid w:val="00E77107"/>
    <w:rsid w:val="00E77195"/>
    <w:rsid w:val="00E772F3"/>
    <w:rsid w:val="00E77477"/>
    <w:rsid w:val="00E77B3D"/>
    <w:rsid w:val="00E77DF7"/>
    <w:rsid w:val="00E8004F"/>
    <w:rsid w:val="00E80273"/>
    <w:rsid w:val="00E80E12"/>
    <w:rsid w:val="00E80E33"/>
    <w:rsid w:val="00E81003"/>
    <w:rsid w:val="00E8104F"/>
    <w:rsid w:val="00E812B6"/>
    <w:rsid w:val="00E814C5"/>
    <w:rsid w:val="00E819C2"/>
    <w:rsid w:val="00E81FF3"/>
    <w:rsid w:val="00E8291C"/>
    <w:rsid w:val="00E83E34"/>
    <w:rsid w:val="00E841C8"/>
    <w:rsid w:val="00E84370"/>
    <w:rsid w:val="00E847EF"/>
    <w:rsid w:val="00E84BA5"/>
    <w:rsid w:val="00E852B8"/>
    <w:rsid w:val="00E85482"/>
    <w:rsid w:val="00E86019"/>
    <w:rsid w:val="00E86480"/>
    <w:rsid w:val="00E867EC"/>
    <w:rsid w:val="00E86C44"/>
    <w:rsid w:val="00E86D7E"/>
    <w:rsid w:val="00E87140"/>
    <w:rsid w:val="00E873C4"/>
    <w:rsid w:val="00E87A4F"/>
    <w:rsid w:val="00E90B1D"/>
    <w:rsid w:val="00E911F1"/>
    <w:rsid w:val="00E9155F"/>
    <w:rsid w:val="00E91E0A"/>
    <w:rsid w:val="00E91E95"/>
    <w:rsid w:val="00E921CB"/>
    <w:rsid w:val="00E922B8"/>
    <w:rsid w:val="00E92370"/>
    <w:rsid w:val="00E92602"/>
    <w:rsid w:val="00E92619"/>
    <w:rsid w:val="00E92FB3"/>
    <w:rsid w:val="00E9385F"/>
    <w:rsid w:val="00E938B6"/>
    <w:rsid w:val="00E93B47"/>
    <w:rsid w:val="00E94776"/>
    <w:rsid w:val="00E94D33"/>
    <w:rsid w:val="00E952E5"/>
    <w:rsid w:val="00E9530B"/>
    <w:rsid w:val="00E95529"/>
    <w:rsid w:val="00E955C1"/>
    <w:rsid w:val="00E95725"/>
    <w:rsid w:val="00E965D6"/>
    <w:rsid w:val="00E9662C"/>
    <w:rsid w:val="00E9771E"/>
    <w:rsid w:val="00E97F75"/>
    <w:rsid w:val="00EA0134"/>
    <w:rsid w:val="00EA0272"/>
    <w:rsid w:val="00EA0DE0"/>
    <w:rsid w:val="00EA0E3D"/>
    <w:rsid w:val="00EA0E56"/>
    <w:rsid w:val="00EA1925"/>
    <w:rsid w:val="00EA1A02"/>
    <w:rsid w:val="00EA1B46"/>
    <w:rsid w:val="00EA1B86"/>
    <w:rsid w:val="00EA227E"/>
    <w:rsid w:val="00EA2709"/>
    <w:rsid w:val="00EA379F"/>
    <w:rsid w:val="00EA37E8"/>
    <w:rsid w:val="00EA3C06"/>
    <w:rsid w:val="00EA3E43"/>
    <w:rsid w:val="00EA456F"/>
    <w:rsid w:val="00EA4F9E"/>
    <w:rsid w:val="00EA51CB"/>
    <w:rsid w:val="00EA52A3"/>
    <w:rsid w:val="00EA5AFF"/>
    <w:rsid w:val="00EA5DBD"/>
    <w:rsid w:val="00EA5FB9"/>
    <w:rsid w:val="00EA5FC7"/>
    <w:rsid w:val="00EA63ED"/>
    <w:rsid w:val="00EA6B37"/>
    <w:rsid w:val="00EA6F85"/>
    <w:rsid w:val="00EB02BE"/>
    <w:rsid w:val="00EB07C5"/>
    <w:rsid w:val="00EB097C"/>
    <w:rsid w:val="00EB0EF5"/>
    <w:rsid w:val="00EB0EFF"/>
    <w:rsid w:val="00EB106F"/>
    <w:rsid w:val="00EB1574"/>
    <w:rsid w:val="00EB1704"/>
    <w:rsid w:val="00EB1C92"/>
    <w:rsid w:val="00EB2668"/>
    <w:rsid w:val="00EB287A"/>
    <w:rsid w:val="00EB2AA2"/>
    <w:rsid w:val="00EB2F3B"/>
    <w:rsid w:val="00EB3224"/>
    <w:rsid w:val="00EB3998"/>
    <w:rsid w:val="00EB3CD5"/>
    <w:rsid w:val="00EB3E1B"/>
    <w:rsid w:val="00EB423F"/>
    <w:rsid w:val="00EB45D8"/>
    <w:rsid w:val="00EB4F86"/>
    <w:rsid w:val="00EB5D71"/>
    <w:rsid w:val="00EB6582"/>
    <w:rsid w:val="00EB6718"/>
    <w:rsid w:val="00EB7282"/>
    <w:rsid w:val="00EB73EF"/>
    <w:rsid w:val="00EB7BB2"/>
    <w:rsid w:val="00EB7C2D"/>
    <w:rsid w:val="00EB7E89"/>
    <w:rsid w:val="00EC02F7"/>
    <w:rsid w:val="00EC050A"/>
    <w:rsid w:val="00EC0892"/>
    <w:rsid w:val="00EC0E87"/>
    <w:rsid w:val="00EC14D6"/>
    <w:rsid w:val="00EC1AC0"/>
    <w:rsid w:val="00EC2360"/>
    <w:rsid w:val="00EC34A7"/>
    <w:rsid w:val="00EC34BB"/>
    <w:rsid w:val="00EC3877"/>
    <w:rsid w:val="00EC391B"/>
    <w:rsid w:val="00EC3C18"/>
    <w:rsid w:val="00EC3F44"/>
    <w:rsid w:val="00EC440C"/>
    <w:rsid w:val="00EC4DF0"/>
    <w:rsid w:val="00EC529A"/>
    <w:rsid w:val="00EC5576"/>
    <w:rsid w:val="00EC58DC"/>
    <w:rsid w:val="00EC5BF0"/>
    <w:rsid w:val="00EC67A9"/>
    <w:rsid w:val="00EC6B8F"/>
    <w:rsid w:val="00EC6D76"/>
    <w:rsid w:val="00EC6FBA"/>
    <w:rsid w:val="00EC7167"/>
    <w:rsid w:val="00EC72C3"/>
    <w:rsid w:val="00EC781C"/>
    <w:rsid w:val="00EC79C3"/>
    <w:rsid w:val="00EC7AB4"/>
    <w:rsid w:val="00EC7B36"/>
    <w:rsid w:val="00EC7C6A"/>
    <w:rsid w:val="00EC7F35"/>
    <w:rsid w:val="00ED01B0"/>
    <w:rsid w:val="00ED0456"/>
    <w:rsid w:val="00ED1120"/>
    <w:rsid w:val="00ED152E"/>
    <w:rsid w:val="00ED1D98"/>
    <w:rsid w:val="00ED2317"/>
    <w:rsid w:val="00ED24F5"/>
    <w:rsid w:val="00ED2A1F"/>
    <w:rsid w:val="00ED2BC1"/>
    <w:rsid w:val="00ED3575"/>
    <w:rsid w:val="00ED3661"/>
    <w:rsid w:val="00ED3A8F"/>
    <w:rsid w:val="00ED3DFB"/>
    <w:rsid w:val="00ED3E3E"/>
    <w:rsid w:val="00ED3FD8"/>
    <w:rsid w:val="00ED41EB"/>
    <w:rsid w:val="00ED4317"/>
    <w:rsid w:val="00ED43CA"/>
    <w:rsid w:val="00ED467D"/>
    <w:rsid w:val="00ED4714"/>
    <w:rsid w:val="00ED4F39"/>
    <w:rsid w:val="00ED69F0"/>
    <w:rsid w:val="00ED6AE1"/>
    <w:rsid w:val="00ED6E3E"/>
    <w:rsid w:val="00ED6E8E"/>
    <w:rsid w:val="00ED7209"/>
    <w:rsid w:val="00ED7680"/>
    <w:rsid w:val="00ED77E0"/>
    <w:rsid w:val="00ED7A84"/>
    <w:rsid w:val="00ED7B7C"/>
    <w:rsid w:val="00ED7E01"/>
    <w:rsid w:val="00ED7E45"/>
    <w:rsid w:val="00ED7E72"/>
    <w:rsid w:val="00EE02D3"/>
    <w:rsid w:val="00EE0411"/>
    <w:rsid w:val="00EE05DA"/>
    <w:rsid w:val="00EE0D26"/>
    <w:rsid w:val="00EE0E75"/>
    <w:rsid w:val="00EE114B"/>
    <w:rsid w:val="00EE15EB"/>
    <w:rsid w:val="00EE1A22"/>
    <w:rsid w:val="00EE1CAE"/>
    <w:rsid w:val="00EE279B"/>
    <w:rsid w:val="00EE2D2C"/>
    <w:rsid w:val="00EE2E0B"/>
    <w:rsid w:val="00EE2E67"/>
    <w:rsid w:val="00EE2F70"/>
    <w:rsid w:val="00EE3054"/>
    <w:rsid w:val="00EE35ED"/>
    <w:rsid w:val="00EE3986"/>
    <w:rsid w:val="00EE3A0B"/>
    <w:rsid w:val="00EE4121"/>
    <w:rsid w:val="00EE43A1"/>
    <w:rsid w:val="00EE4861"/>
    <w:rsid w:val="00EE4A20"/>
    <w:rsid w:val="00EE4B43"/>
    <w:rsid w:val="00EE4B86"/>
    <w:rsid w:val="00EE4F54"/>
    <w:rsid w:val="00EE4F83"/>
    <w:rsid w:val="00EE5028"/>
    <w:rsid w:val="00EE661C"/>
    <w:rsid w:val="00EE68C1"/>
    <w:rsid w:val="00EE6DC7"/>
    <w:rsid w:val="00EE71DA"/>
    <w:rsid w:val="00EE721C"/>
    <w:rsid w:val="00EE7E18"/>
    <w:rsid w:val="00EE7E4F"/>
    <w:rsid w:val="00EF0196"/>
    <w:rsid w:val="00EF044C"/>
    <w:rsid w:val="00EF0895"/>
    <w:rsid w:val="00EF091C"/>
    <w:rsid w:val="00EF0F5C"/>
    <w:rsid w:val="00EF106F"/>
    <w:rsid w:val="00EF10FF"/>
    <w:rsid w:val="00EF169A"/>
    <w:rsid w:val="00EF1759"/>
    <w:rsid w:val="00EF17E5"/>
    <w:rsid w:val="00EF1845"/>
    <w:rsid w:val="00EF1A5D"/>
    <w:rsid w:val="00EF1CCD"/>
    <w:rsid w:val="00EF1D5A"/>
    <w:rsid w:val="00EF20B6"/>
    <w:rsid w:val="00EF2D92"/>
    <w:rsid w:val="00EF3002"/>
    <w:rsid w:val="00EF33D3"/>
    <w:rsid w:val="00EF37DE"/>
    <w:rsid w:val="00EF3B2B"/>
    <w:rsid w:val="00EF3DD5"/>
    <w:rsid w:val="00EF3F36"/>
    <w:rsid w:val="00EF40A4"/>
    <w:rsid w:val="00EF4756"/>
    <w:rsid w:val="00EF5529"/>
    <w:rsid w:val="00EF5718"/>
    <w:rsid w:val="00EF5A4A"/>
    <w:rsid w:val="00EF6720"/>
    <w:rsid w:val="00EF6BF1"/>
    <w:rsid w:val="00EF6E07"/>
    <w:rsid w:val="00EF754B"/>
    <w:rsid w:val="00F0014A"/>
    <w:rsid w:val="00F00450"/>
    <w:rsid w:val="00F005F6"/>
    <w:rsid w:val="00F00847"/>
    <w:rsid w:val="00F00A95"/>
    <w:rsid w:val="00F00DC2"/>
    <w:rsid w:val="00F0264E"/>
    <w:rsid w:val="00F028DD"/>
    <w:rsid w:val="00F02A59"/>
    <w:rsid w:val="00F02CC8"/>
    <w:rsid w:val="00F03818"/>
    <w:rsid w:val="00F03A2C"/>
    <w:rsid w:val="00F03C6E"/>
    <w:rsid w:val="00F03E1F"/>
    <w:rsid w:val="00F03EA2"/>
    <w:rsid w:val="00F044F5"/>
    <w:rsid w:val="00F048AA"/>
    <w:rsid w:val="00F04BC1"/>
    <w:rsid w:val="00F04F33"/>
    <w:rsid w:val="00F056E2"/>
    <w:rsid w:val="00F058DA"/>
    <w:rsid w:val="00F05B40"/>
    <w:rsid w:val="00F05B5E"/>
    <w:rsid w:val="00F05F50"/>
    <w:rsid w:val="00F05FAC"/>
    <w:rsid w:val="00F060DF"/>
    <w:rsid w:val="00F071A7"/>
    <w:rsid w:val="00F07B3A"/>
    <w:rsid w:val="00F10195"/>
    <w:rsid w:val="00F10543"/>
    <w:rsid w:val="00F10FCC"/>
    <w:rsid w:val="00F113FE"/>
    <w:rsid w:val="00F114E2"/>
    <w:rsid w:val="00F12415"/>
    <w:rsid w:val="00F127C4"/>
    <w:rsid w:val="00F12C9D"/>
    <w:rsid w:val="00F12F0C"/>
    <w:rsid w:val="00F132DD"/>
    <w:rsid w:val="00F1340A"/>
    <w:rsid w:val="00F139EC"/>
    <w:rsid w:val="00F13D53"/>
    <w:rsid w:val="00F14149"/>
    <w:rsid w:val="00F147AB"/>
    <w:rsid w:val="00F14806"/>
    <w:rsid w:val="00F14EA4"/>
    <w:rsid w:val="00F14F28"/>
    <w:rsid w:val="00F1512B"/>
    <w:rsid w:val="00F15222"/>
    <w:rsid w:val="00F15757"/>
    <w:rsid w:val="00F15C21"/>
    <w:rsid w:val="00F15D00"/>
    <w:rsid w:val="00F15D7A"/>
    <w:rsid w:val="00F15EFC"/>
    <w:rsid w:val="00F16120"/>
    <w:rsid w:val="00F161D3"/>
    <w:rsid w:val="00F165B0"/>
    <w:rsid w:val="00F168AF"/>
    <w:rsid w:val="00F16ED1"/>
    <w:rsid w:val="00F1739A"/>
    <w:rsid w:val="00F1761F"/>
    <w:rsid w:val="00F17C67"/>
    <w:rsid w:val="00F17D05"/>
    <w:rsid w:val="00F17D8C"/>
    <w:rsid w:val="00F203AF"/>
    <w:rsid w:val="00F20483"/>
    <w:rsid w:val="00F2062A"/>
    <w:rsid w:val="00F2077C"/>
    <w:rsid w:val="00F20B28"/>
    <w:rsid w:val="00F20CF3"/>
    <w:rsid w:val="00F20E89"/>
    <w:rsid w:val="00F212CC"/>
    <w:rsid w:val="00F21741"/>
    <w:rsid w:val="00F21A4C"/>
    <w:rsid w:val="00F21B52"/>
    <w:rsid w:val="00F228CA"/>
    <w:rsid w:val="00F23393"/>
    <w:rsid w:val="00F23618"/>
    <w:rsid w:val="00F236D0"/>
    <w:rsid w:val="00F23885"/>
    <w:rsid w:val="00F24459"/>
    <w:rsid w:val="00F2462B"/>
    <w:rsid w:val="00F24CA4"/>
    <w:rsid w:val="00F24D66"/>
    <w:rsid w:val="00F24F6B"/>
    <w:rsid w:val="00F25190"/>
    <w:rsid w:val="00F25314"/>
    <w:rsid w:val="00F25689"/>
    <w:rsid w:val="00F259E8"/>
    <w:rsid w:val="00F25AE1"/>
    <w:rsid w:val="00F25B0F"/>
    <w:rsid w:val="00F25D89"/>
    <w:rsid w:val="00F26134"/>
    <w:rsid w:val="00F26319"/>
    <w:rsid w:val="00F26683"/>
    <w:rsid w:val="00F26CEF"/>
    <w:rsid w:val="00F27513"/>
    <w:rsid w:val="00F27518"/>
    <w:rsid w:val="00F27855"/>
    <w:rsid w:val="00F27967"/>
    <w:rsid w:val="00F27A3A"/>
    <w:rsid w:val="00F27ABF"/>
    <w:rsid w:val="00F30027"/>
    <w:rsid w:val="00F30109"/>
    <w:rsid w:val="00F301C7"/>
    <w:rsid w:val="00F3037B"/>
    <w:rsid w:val="00F3055A"/>
    <w:rsid w:val="00F306EC"/>
    <w:rsid w:val="00F3090D"/>
    <w:rsid w:val="00F31531"/>
    <w:rsid w:val="00F31763"/>
    <w:rsid w:val="00F31E17"/>
    <w:rsid w:val="00F322D7"/>
    <w:rsid w:val="00F32592"/>
    <w:rsid w:val="00F32A85"/>
    <w:rsid w:val="00F32C89"/>
    <w:rsid w:val="00F3328B"/>
    <w:rsid w:val="00F33FF6"/>
    <w:rsid w:val="00F34018"/>
    <w:rsid w:val="00F340FF"/>
    <w:rsid w:val="00F34109"/>
    <w:rsid w:val="00F346C8"/>
    <w:rsid w:val="00F34D2A"/>
    <w:rsid w:val="00F34E29"/>
    <w:rsid w:val="00F34F2A"/>
    <w:rsid w:val="00F35203"/>
    <w:rsid w:val="00F354F6"/>
    <w:rsid w:val="00F35FB6"/>
    <w:rsid w:val="00F362C3"/>
    <w:rsid w:val="00F36395"/>
    <w:rsid w:val="00F36782"/>
    <w:rsid w:val="00F367F7"/>
    <w:rsid w:val="00F3711C"/>
    <w:rsid w:val="00F371D3"/>
    <w:rsid w:val="00F379BE"/>
    <w:rsid w:val="00F37CCD"/>
    <w:rsid w:val="00F37D61"/>
    <w:rsid w:val="00F4007F"/>
    <w:rsid w:val="00F40242"/>
    <w:rsid w:val="00F40597"/>
    <w:rsid w:val="00F4067F"/>
    <w:rsid w:val="00F40FDB"/>
    <w:rsid w:val="00F41543"/>
    <w:rsid w:val="00F41627"/>
    <w:rsid w:val="00F4184C"/>
    <w:rsid w:val="00F42048"/>
    <w:rsid w:val="00F421DE"/>
    <w:rsid w:val="00F42216"/>
    <w:rsid w:val="00F4239F"/>
    <w:rsid w:val="00F4265D"/>
    <w:rsid w:val="00F42863"/>
    <w:rsid w:val="00F42A4C"/>
    <w:rsid w:val="00F42FCE"/>
    <w:rsid w:val="00F43264"/>
    <w:rsid w:val="00F43BBE"/>
    <w:rsid w:val="00F43EA0"/>
    <w:rsid w:val="00F4478C"/>
    <w:rsid w:val="00F44838"/>
    <w:rsid w:val="00F44A2D"/>
    <w:rsid w:val="00F44A8D"/>
    <w:rsid w:val="00F44B3B"/>
    <w:rsid w:val="00F44D52"/>
    <w:rsid w:val="00F4512A"/>
    <w:rsid w:val="00F451D4"/>
    <w:rsid w:val="00F45B11"/>
    <w:rsid w:val="00F46C0C"/>
    <w:rsid w:val="00F47196"/>
    <w:rsid w:val="00F4746D"/>
    <w:rsid w:val="00F4768B"/>
    <w:rsid w:val="00F47A4E"/>
    <w:rsid w:val="00F47DE7"/>
    <w:rsid w:val="00F47EDA"/>
    <w:rsid w:val="00F503AA"/>
    <w:rsid w:val="00F5040F"/>
    <w:rsid w:val="00F505AF"/>
    <w:rsid w:val="00F509A1"/>
    <w:rsid w:val="00F51338"/>
    <w:rsid w:val="00F5156B"/>
    <w:rsid w:val="00F51A98"/>
    <w:rsid w:val="00F52042"/>
    <w:rsid w:val="00F5219E"/>
    <w:rsid w:val="00F52BFA"/>
    <w:rsid w:val="00F52F17"/>
    <w:rsid w:val="00F54572"/>
    <w:rsid w:val="00F5465C"/>
    <w:rsid w:val="00F54A1D"/>
    <w:rsid w:val="00F54A20"/>
    <w:rsid w:val="00F54B5A"/>
    <w:rsid w:val="00F54BF1"/>
    <w:rsid w:val="00F55B98"/>
    <w:rsid w:val="00F56E40"/>
    <w:rsid w:val="00F56F24"/>
    <w:rsid w:val="00F5726D"/>
    <w:rsid w:val="00F5791B"/>
    <w:rsid w:val="00F57AE4"/>
    <w:rsid w:val="00F57C1E"/>
    <w:rsid w:val="00F57C99"/>
    <w:rsid w:val="00F57D38"/>
    <w:rsid w:val="00F60217"/>
    <w:rsid w:val="00F6025C"/>
    <w:rsid w:val="00F604F3"/>
    <w:rsid w:val="00F6052B"/>
    <w:rsid w:val="00F60D43"/>
    <w:rsid w:val="00F60E7C"/>
    <w:rsid w:val="00F610EA"/>
    <w:rsid w:val="00F612AC"/>
    <w:rsid w:val="00F61ACC"/>
    <w:rsid w:val="00F61B1E"/>
    <w:rsid w:val="00F61B2E"/>
    <w:rsid w:val="00F61B7E"/>
    <w:rsid w:val="00F61C8A"/>
    <w:rsid w:val="00F61F8D"/>
    <w:rsid w:val="00F623F7"/>
    <w:rsid w:val="00F624D0"/>
    <w:rsid w:val="00F627DA"/>
    <w:rsid w:val="00F62F1D"/>
    <w:rsid w:val="00F637E2"/>
    <w:rsid w:val="00F63912"/>
    <w:rsid w:val="00F640F6"/>
    <w:rsid w:val="00F648BE"/>
    <w:rsid w:val="00F64DF5"/>
    <w:rsid w:val="00F6502F"/>
    <w:rsid w:val="00F65162"/>
    <w:rsid w:val="00F65893"/>
    <w:rsid w:val="00F667EC"/>
    <w:rsid w:val="00F66D83"/>
    <w:rsid w:val="00F67239"/>
    <w:rsid w:val="00F67265"/>
    <w:rsid w:val="00F67534"/>
    <w:rsid w:val="00F6779C"/>
    <w:rsid w:val="00F6787B"/>
    <w:rsid w:val="00F70160"/>
    <w:rsid w:val="00F704D7"/>
    <w:rsid w:val="00F708A4"/>
    <w:rsid w:val="00F70AD5"/>
    <w:rsid w:val="00F70D8D"/>
    <w:rsid w:val="00F712C9"/>
    <w:rsid w:val="00F713DC"/>
    <w:rsid w:val="00F714C2"/>
    <w:rsid w:val="00F7195A"/>
    <w:rsid w:val="00F7270B"/>
    <w:rsid w:val="00F729E3"/>
    <w:rsid w:val="00F72FB9"/>
    <w:rsid w:val="00F730E2"/>
    <w:rsid w:val="00F73275"/>
    <w:rsid w:val="00F734D9"/>
    <w:rsid w:val="00F7386F"/>
    <w:rsid w:val="00F75121"/>
    <w:rsid w:val="00F754CA"/>
    <w:rsid w:val="00F75D09"/>
    <w:rsid w:val="00F75E8C"/>
    <w:rsid w:val="00F75F85"/>
    <w:rsid w:val="00F76579"/>
    <w:rsid w:val="00F76C71"/>
    <w:rsid w:val="00F76CEF"/>
    <w:rsid w:val="00F77064"/>
    <w:rsid w:val="00F7728B"/>
    <w:rsid w:val="00F777CE"/>
    <w:rsid w:val="00F77B77"/>
    <w:rsid w:val="00F8029C"/>
    <w:rsid w:val="00F8049D"/>
    <w:rsid w:val="00F807F3"/>
    <w:rsid w:val="00F80E0A"/>
    <w:rsid w:val="00F810AF"/>
    <w:rsid w:val="00F81DE3"/>
    <w:rsid w:val="00F8216A"/>
    <w:rsid w:val="00F82CEC"/>
    <w:rsid w:val="00F82D2F"/>
    <w:rsid w:val="00F8302C"/>
    <w:rsid w:val="00F83308"/>
    <w:rsid w:val="00F83BD2"/>
    <w:rsid w:val="00F83D9C"/>
    <w:rsid w:val="00F84061"/>
    <w:rsid w:val="00F84426"/>
    <w:rsid w:val="00F8467C"/>
    <w:rsid w:val="00F848ED"/>
    <w:rsid w:val="00F84B0A"/>
    <w:rsid w:val="00F84EA3"/>
    <w:rsid w:val="00F84F8B"/>
    <w:rsid w:val="00F8508C"/>
    <w:rsid w:val="00F85186"/>
    <w:rsid w:val="00F85F35"/>
    <w:rsid w:val="00F87642"/>
    <w:rsid w:val="00F8797F"/>
    <w:rsid w:val="00F87EA9"/>
    <w:rsid w:val="00F9048B"/>
    <w:rsid w:val="00F9057D"/>
    <w:rsid w:val="00F90C77"/>
    <w:rsid w:val="00F913B8"/>
    <w:rsid w:val="00F9160B"/>
    <w:rsid w:val="00F91669"/>
    <w:rsid w:val="00F91A6A"/>
    <w:rsid w:val="00F91BDE"/>
    <w:rsid w:val="00F9286E"/>
    <w:rsid w:val="00F92CB3"/>
    <w:rsid w:val="00F93286"/>
    <w:rsid w:val="00F93708"/>
    <w:rsid w:val="00F938A0"/>
    <w:rsid w:val="00F93A53"/>
    <w:rsid w:val="00F93A89"/>
    <w:rsid w:val="00F93D69"/>
    <w:rsid w:val="00F93D9D"/>
    <w:rsid w:val="00F943A1"/>
    <w:rsid w:val="00F947FD"/>
    <w:rsid w:val="00F948A0"/>
    <w:rsid w:val="00F94B95"/>
    <w:rsid w:val="00F94C3F"/>
    <w:rsid w:val="00F94C93"/>
    <w:rsid w:val="00F94DE8"/>
    <w:rsid w:val="00F9537A"/>
    <w:rsid w:val="00F95AD6"/>
    <w:rsid w:val="00F96921"/>
    <w:rsid w:val="00F96E16"/>
    <w:rsid w:val="00F96F5D"/>
    <w:rsid w:val="00F96FF4"/>
    <w:rsid w:val="00F97015"/>
    <w:rsid w:val="00F97134"/>
    <w:rsid w:val="00F97B6B"/>
    <w:rsid w:val="00FA0239"/>
    <w:rsid w:val="00FA02E9"/>
    <w:rsid w:val="00FA0490"/>
    <w:rsid w:val="00FA0CA3"/>
    <w:rsid w:val="00FA110C"/>
    <w:rsid w:val="00FA125F"/>
    <w:rsid w:val="00FA19EE"/>
    <w:rsid w:val="00FA1BBB"/>
    <w:rsid w:val="00FA2840"/>
    <w:rsid w:val="00FA2F60"/>
    <w:rsid w:val="00FA3453"/>
    <w:rsid w:val="00FA3954"/>
    <w:rsid w:val="00FA3A8C"/>
    <w:rsid w:val="00FA3F03"/>
    <w:rsid w:val="00FA3F77"/>
    <w:rsid w:val="00FA44CF"/>
    <w:rsid w:val="00FA460D"/>
    <w:rsid w:val="00FA4ABA"/>
    <w:rsid w:val="00FA4AFC"/>
    <w:rsid w:val="00FA4B71"/>
    <w:rsid w:val="00FA4E57"/>
    <w:rsid w:val="00FA4F29"/>
    <w:rsid w:val="00FA5103"/>
    <w:rsid w:val="00FA5135"/>
    <w:rsid w:val="00FA5698"/>
    <w:rsid w:val="00FA62C5"/>
    <w:rsid w:val="00FA6CCA"/>
    <w:rsid w:val="00FA6D36"/>
    <w:rsid w:val="00FA6DE8"/>
    <w:rsid w:val="00FA7263"/>
    <w:rsid w:val="00FB018B"/>
    <w:rsid w:val="00FB03BC"/>
    <w:rsid w:val="00FB0571"/>
    <w:rsid w:val="00FB0AF7"/>
    <w:rsid w:val="00FB1551"/>
    <w:rsid w:val="00FB1BB0"/>
    <w:rsid w:val="00FB1E5C"/>
    <w:rsid w:val="00FB1EC2"/>
    <w:rsid w:val="00FB23D1"/>
    <w:rsid w:val="00FB24D6"/>
    <w:rsid w:val="00FB2660"/>
    <w:rsid w:val="00FB27E0"/>
    <w:rsid w:val="00FB2953"/>
    <w:rsid w:val="00FB2D0D"/>
    <w:rsid w:val="00FB3563"/>
    <w:rsid w:val="00FB375A"/>
    <w:rsid w:val="00FB3763"/>
    <w:rsid w:val="00FB37D1"/>
    <w:rsid w:val="00FB38B5"/>
    <w:rsid w:val="00FB3FBB"/>
    <w:rsid w:val="00FB48AC"/>
    <w:rsid w:val="00FB5651"/>
    <w:rsid w:val="00FB5B75"/>
    <w:rsid w:val="00FB5DA4"/>
    <w:rsid w:val="00FB6429"/>
    <w:rsid w:val="00FB64F1"/>
    <w:rsid w:val="00FB72D4"/>
    <w:rsid w:val="00FB7389"/>
    <w:rsid w:val="00FB78B4"/>
    <w:rsid w:val="00FC027E"/>
    <w:rsid w:val="00FC060C"/>
    <w:rsid w:val="00FC08E7"/>
    <w:rsid w:val="00FC12EB"/>
    <w:rsid w:val="00FC1B85"/>
    <w:rsid w:val="00FC1F07"/>
    <w:rsid w:val="00FC250F"/>
    <w:rsid w:val="00FC2767"/>
    <w:rsid w:val="00FC2B5D"/>
    <w:rsid w:val="00FC2C26"/>
    <w:rsid w:val="00FC362D"/>
    <w:rsid w:val="00FC3C99"/>
    <w:rsid w:val="00FC3DA3"/>
    <w:rsid w:val="00FC3EBB"/>
    <w:rsid w:val="00FC40A3"/>
    <w:rsid w:val="00FC4641"/>
    <w:rsid w:val="00FC4A77"/>
    <w:rsid w:val="00FC4BED"/>
    <w:rsid w:val="00FC4CC8"/>
    <w:rsid w:val="00FC4F33"/>
    <w:rsid w:val="00FC51DE"/>
    <w:rsid w:val="00FC5757"/>
    <w:rsid w:val="00FC5C2E"/>
    <w:rsid w:val="00FC6137"/>
    <w:rsid w:val="00FC665B"/>
    <w:rsid w:val="00FC6796"/>
    <w:rsid w:val="00FC6B3E"/>
    <w:rsid w:val="00FC6BEC"/>
    <w:rsid w:val="00FC6C1B"/>
    <w:rsid w:val="00FC6EBB"/>
    <w:rsid w:val="00FC749C"/>
    <w:rsid w:val="00FC791F"/>
    <w:rsid w:val="00FC7A0C"/>
    <w:rsid w:val="00FC7A0F"/>
    <w:rsid w:val="00FD0CA5"/>
    <w:rsid w:val="00FD1135"/>
    <w:rsid w:val="00FD1ED7"/>
    <w:rsid w:val="00FD21DD"/>
    <w:rsid w:val="00FD22F7"/>
    <w:rsid w:val="00FD2465"/>
    <w:rsid w:val="00FD2A72"/>
    <w:rsid w:val="00FD2B13"/>
    <w:rsid w:val="00FD2C47"/>
    <w:rsid w:val="00FD2E03"/>
    <w:rsid w:val="00FD34A6"/>
    <w:rsid w:val="00FD3B20"/>
    <w:rsid w:val="00FD3B9E"/>
    <w:rsid w:val="00FD3E46"/>
    <w:rsid w:val="00FD432B"/>
    <w:rsid w:val="00FD4DD2"/>
    <w:rsid w:val="00FD4F20"/>
    <w:rsid w:val="00FD5BA3"/>
    <w:rsid w:val="00FD659C"/>
    <w:rsid w:val="00FD6667"/>
    <w:rsid w:val="00FD66A0"/>
    <w:rsid w:val="00FD6960"/>
    <w:rsid w:val="00FD6E12"/>
    <w:rsid w:val="00FD717E"/>
    <w:rsid w:val="00FD76DB"/>
    <w:rsid w:val="00FD7AEA"/>
    <w:rsid w:val="00FE006A"/>
    <w:rsid w:val="00FE0A93"/>
    <w:rsid w:val="00FE1369"/>
    <w:rsid w:val="00FE13EF"/>
    <w:rsid w:val="00FE1839"/>
    <w:rsid w:val="00FE18D4"/>
    <w:rsid w:val="00FE21B3"/>
    <w:rsid w:val="00FE2895"/>
    <w:rsid w:val="00FE354E"/>
    <w:rsid w:val="00FE3A0D"/>
    <w:rsid w:val="00FE3FB1"/>
    <w:rsid w:val="00FE41A3"/>
    <w:rsid w:val="00FE470A"/>
    <w:rsid w:val="00FE48E4"/>
    <w:rsid w:val="00FE4E81"/>
    <w:rsid w:val="00FE58B9"/>
    <w:rsid w:val="00FE5E96"/>
    <w:rsid w:val="00FE6521"/>
    <w:rsid w:val="00FE680A"/>
    <w:rsid w:val="00FE6D77"/>
    <w:rsid w:val="00FE7467"/>
    <w:rsid w:val="00FE7BF4"/>
    <w:rsid w:val="00FE7E89"/>
    <w:rsid w:val="00FE7F31"/>
    <w:rsid w:val="00FF0599"/>
    <w:rsid w:val="00FF060F"/>
    <w:rsid w:val="00FF0820"/>
    <w:rsid w:val="00FF08F4"/>
    <w:rsid w:val="00FF0B93"/>
    <w:rsid w:val="00FF128A"/>
    <w:rsid w:val="00FF16FC"/>
    <w:rsid w:val="00FF1D3C"/>
    <w:rsid w:val="00FF210A"/>
    <w:rsid w:val="00FF2190"/>
    <w:rsid w:val="00FF22A8"/>
    <w:rsid w:val="00FF2533"/>
    <w:rsid w:val="00FF2A36"/>
    <w:rsid w:val="00FF2A85"/>
    <w:rsid w:val="00FF2EE7"/>
    <w:rsid w:val="00FF2F55"/>
    <w:rsid w:val="00FF3122"/>
    <w:rsid w:val="00FF33D4"/>
    <w:rsid w:val="00FF34CA"/>
    <w:rsid w:val="00FF3D16"/>
    <w:rsid w:val="00FF3EAF"/>
    <w:rsid w:val="00FF3F7D"/>
    <w:rsid w:val="00FF4256"/>
    <w:rsid w:val="00FF44BF"/>
    <w:rsid w:val="00FF4870"/>
    <w:rsid w:val="00FF4B6B"/>
    <w:rsid w:val="00FF4DDB"/>
    <w:rsid w:val="00FF4E8B"/>
    <w:rsid w:val="00FF4F7D"/>
    <w:rsid w:val="00FF516E"/>
    <w:rsid w:val="00FF55A9"/>
    <w:rsid w:val="00FF5DB9"/>
    <w:rsid w:val="00FF61A3"/>
    <w:rsid w:val="00FF61D2"/>
    <w:rsid w:val="00FF61D5"/>
    <w:rsid w:val="00FF636B"/>
    <w:rsid w:val="00FF63BA"/>
    <w:rsid w:val="00FF650C"/>
    <w:rsid w:val="00FF6905"/>
    <w:rsid w:val="00FF694E"/>
    <w:rsid w:val="00FF73BC"/>
    <w:rsid w:val="00FF7A5F"/>
    <w:rsid w:val="00FF7D79"/>
    <w:rsid w:val="00FF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E71510"/>
  <w15:docId w15:val="{5E616AEB-E138-43E6-9F11-82F3CC12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82CFB"/>
    <w:rPr>
      <w:rFonts w:ascii="Garamond" w:hAnsi="Garamond"/>
      <w:sz w:val="20"/>
    </w:rPr>
  </w:style>
  <w:style w:type="paragraph" w:styleId="Heading1">
    <w:name w:val="heading 1"/>
    <w:aliases w:val="Dev-Update Section Heading"/>
    <w:basedOn w:val="Normal"/>
    <w:next w:val="Normal"/>
    <w:link w:val="Heading1Char"/>
    <w:uiPriority w:val="9"/>
    <w:qFormat/>
    <w:rsid w:val="00FF650C"/>
    <w:pPr>
      <w:keepNext/>
      <w:keepLines/>
      <w:spacing w:before="120" w:after="200"/>
      <w:ind w:left="-360" w:hanging="360"/>
      <w:outlineLvl w:val="0"/>
    </w:pPr>
    <w:rPr>
      <w:rFonts w:eastAsiaTheme="majorEastAsia" w:cstheme="majorBidi"/>
      <w:b/>
      <w:bCs/>
      <w:color w:val="0C4DA2"/>
      <w:sz w:val="24"/>
      <w:szCs w:val="28"/>
    </w:rPr>
  </w:style>
  <w:style w:type="paragraph" w:styleId="Heading2">
    <w:name w:val="heading 2"/>
    <w:aliases w:val="Dev-Update-Sub section"/>
    <w:basedOn w:val="Normal"/>
    <w:next w:val="Normal"/>
    <w:link w:val="Heading2Char"/>
    <w:uiPriority w:val="9"/>
    <w:unhideWhenUsed/>
    <w:qFormat/>
    <w:rsid w:val="003170A4"/>
    <w:pPr>
      <w:keepNext/>
      <w:keepLines/>
      <w:spacing w:before="120" w:after="200"/>
      <w:ind w:left="-360"/>
      <w:outlineLvl w:val="1"/>
    </w:pPr>
    <w:rPr>
      <w:rFonts w:eastAsiaTheme="majorEastAsia" w:cstheme="majorBidi"/>
      <w:b/>
      <w:bCs/>
      <w:color w:val="0C4DA2"/>
      <w:szCs w:val="26"/>
    </w:rPr>
  </w:style>
  <w:style w:type="paragraph" w:styleId="Heading3">
    <w:name w:val="heading 3"/>
    <w:aliases w:val="Heading 3-Dev-Update"/>
    <w:basedOn w:val="Normal"/>
    <w:next w:val="Normal"/>
    <w:link w:val="Heading3Char"/>
    <w:uiPriority w:val="9"/>
    <w:unhideWhenUsed/>
    <w:qFormat/>
    <w:rsid w:val="006A3906"/>
    <w:pPr>
      <w:keepNext/>
      <w:keepLines/>
      <w:spacing w:before="200" w:after="120"/>
      <w:outlineLvl w:val="2"/>
    </w:pPr>
    <w:rPr>
      <w:rFonts w:eastAsiaTheme="majorEastAsia" w:cstheme="majorBidi"/>
      <w:b/>
      <w:bCs/>
      <w:color w:val="4F81BD" w:themeColor="accent1"/>
      <w:sz w:val="18"/>
    </w:rPr>
  </w:style>
  <w:style w:type="paragraph" w:styleId="Heading4">
    <w:name w:val="heading 4"/>
    <w:basedOn w:val="Normal"/>
    <w:next w:val="Normal"/>
    <w:link w:val="Heading4Char"/>
    <w:uiPriority w:val="9"/>
    <w:unhideWhenUsed/>
    <w:qFormat/>
    <w:rsid w:val="00B3167D"/>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9C7F1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E6F9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ace-TOC-Annex">
    <w:name w:val="Preface-TOC-Annex"/>
    <w:basedOn w:val="IEQ-Chapterheading"/>
    <w:qFormat/>
    <w:rsid w:val="00154397"/>
    <w:pPr>
      <w:shd w:val="clear" w:color="auto" w:fill="0C4DA2"/>
      <w:spacing w:after="120"/>
      <w:ind w:left="-2160"/>
    </w:pPr>
    <w:rPr>
      <w:bCs w:val="0"/>
      <w:color w:val="FFFFFF"/>
      <w:spacing w:val="20"/>
      <w:sz w:val="24"/>
    </w:rPr>
  </w:style>
  <w:style w:type="table" w:styleId="TableGrid">
    <w:name w:val="Table Grid"/>
    <w:basedOn w:val="TableNormal"/>
    <w:uiPriority w:val="39"/>
    <w:rsid w:val="00564DBE"/>
    <w:pPr>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Q-Chapterheading">
    <w:name w:val="IEQ-Chapter heading"/>
    <w:basedOn w:val="Normal"/>
    <w:next w:val="Normal"/>
    <w:qFormat/>
    <w:rsid w:val="00BD41B6"/>
    <w:pPr>
      <w:keepNext/>
      <w:keepLines/>
      <w:tabs>
        <w:tab w:val="left" w:pos="-1872"/>
      </w:tabs>
      <w:spacing w:before="240" w:after="240" w:line="220" w:lineRule="atLeast"/>
      <w:outlineLvl w:val="2"/>
    </w:pPr>
    <w:rPr>
      <w:rFonts w:eastAsia="Times New Roman" w:cs="Times New Roman"/>
      <w:b/>
      <w:bCs/>
      <w:color w:val="0C4DA2"/>
      <w:spacing w:val="10"/>
      <w:kern w:val="28"/>
      <w:sz w:val="40"/>
      <w:szCs w:val="20"/>
    </w:rPr>
  </w:style>
  <w:style w:type="character" w:customStyle="1" w:styleId="Heading1Char">
    <w:name w:val="Heading 1 Char"/>
    <w:aliases w:val="Dev-Update Section Heading Char"/>
    <w:basedOn w:val="DefaultParagraphFont"/>
    <w:link w:val="Heading1"/>
    <w:uiPriority w:val="9"/>
    <w:rsid w:val="00FF650C"/>
    <w:rPr>
      <w:rFonts w:ascii="Garamond" w:eastAsiaTheme="majorEastAsia" w:hAnsi="Garamond" w:cstheme="majorBidi"/>
      <w:b/>
      <w:bCs/>
      <w:color w:val="0C4DA2"/>
      <w:sz w:val="24"/>
      <w:szCs w:val="28"/>
    </w:rPr>
  </w:style>
  <w:style w:type="character" w:customStyle="1" w:styleId="Heading2Char">
    <w:name w:val="Heading 2 Char"/>
    <w:aliases w:val="Dev-Update-Sub section Char"/>
    <w:basedOn w:val="DefaultParagraphFont"/>
    <w:link w:val="Heading2"/>
    <w:uiPriority w:val="9"/>
    <w:rsid w:val="003170A4"/>
    <w:rPr>
      <w:rFonts w:ascii="Arial" w:eastAsiaTheme="majorEastAsia" w:hAnsi="Arial" w:cstheme="majorBidi"/>
      <w:b/>
      <w:bCs/>
      <w:color w:val="0C4DA2"/>
      <w:sz w:val="20"/>
      <w:szCs w:val="26"/>
    </w:rPr>
  </w:style>
  <w:style w:type="paragraph" w:styleId="NoSpacing">
    <w:name w:val="No Spacing"/>
    <w:aliases w:val="KMstd"/>
    <w:link w:val="NoSpacingChar"/>
    <w:qFormat/>
    <w:rsid w:val="007229A4"/>
    <w:pPr>
      <w:spacing w:after="200"/>
    </w:pPr>
    <w:rPr>
      <w:rFonts w:ascii="Garamond" w:hAnsi="Garamond"/>
    </w:rPr>
  </w:style>
  <w:style w:type="paragraph" w:styleId="Title">
    <w:name w:val="Title"/>
    <w:basedOn w:val="Normal"/>
    <w:next w:val="Normal"/>
    <w:link w:val="TitleChar"/>
    <w:uiPriority w:val="10"/>
    <w:qFormat/>
    <w:rsid w:val="000A2889"/>
    <w:pPr>
      <w:contextualSpacing/>
    </w:pPr>
    <w:rPr>
      <w:rFonts w:eastAsiaTheme="majorEastAsia" w:cstheme="majorBidi"/>
      <w:b/>
      <w:caps/>
      <w:color w:val="0C4DA2"/>
      <w:spacing w:val="30"/>
      <w:kern w:val="28"/>
      <w:sz w:val="32"/>
      <w:szCs w:val="52"/>
    </w:rPr>
  </w:style>
  <w:style w:type="character" w:customStyle="1" w:styleId="TitleChar">
    <w:name w:val="Title Char"/>
    <w:basedOn w:val="DefaultParagraphFont"/>
    <w:link w:val="Title"/>
    <w:uiPriority w:val="10"/>
    <w:rsid w:val="000A2889"/>
    <w:rPr>
      <w:rFonts w:ascii="Garamond" w:eastAsiaTheme="majorEastAsia" w:hAnsi="Garamond" w:cstheme="majorBidi"/>
      <w:b/>
      <w:caps/>
      <w:color w:val="0C4DA2"/>
      <w:spacing w:val="30"/>
      <w:kern w:val="28"/>
      <w:sz w:val="32"/>
      <w:szCs w:val="52"/>
    </w:rPr>
  </w:style>
  <w:style w:type="paragraph" w:styleId="Subtitle">
    <w:name w:val="Subtitle"/>
    <w:basedOn w:val="Normal"/>
    <w:next w:val="Normal"/>
    <w:link w:val="SubtitleChar"/>
    <w:uiPriority w:val="11"/>
    <w:qFormat/>
    <w:rsid w:val="00F6052B"/>
    <w:pPr>
      <w:numPr>
        <w:ilvl w:val="1"/>
      </w:numPr>
    </w:pPr>
    <w:rPr>
      <w:rFonts w:eastAsiaTheme="majorEastAsia" w:cstheme="majorBidi"/>
      <w:b/>
      <w:i/>
      <w:iCs/>
      <w:color w:val="00B0F0"/>
      <w:spacing w:val="15"/>
      <w:sz w:val="32"/>
      <w:szCs w:val="24"/>
    </w:rPr>
  </w:style>
  <w:style w:type="character" w:customStyle="1" w:styleId="SubtitleChar">
    <w:name w:val="Subtitle Char"/>
    <w:basedOn w:val="DefaultParagraphFont"/>
    <w:link w:val="Subtitle"/>
    <w:uiPriority w:val="11"/>
    <w:rsid w:val="00F6052B"/>
    <w:rPr>
      <w:rFonts w:ascii="Garamond" w:eastAsiaTheme="majorEastAsia" w:hAnsi="Garamond" w:cstheme="majorBidi"/>
      <w:b/>
      <w:i/>
      <w:iCs/>
      <w:color w:val="00B0F0"/>
      <w:spacing w:val="15"/>
      <w:sz w:val="32"/>
      <w:szCs w:val="24"/>
    </w:rPr>
  </w:style>
  <w:style w:type="character" w:styleId="BookTitle">
    <w:name w:val="Book Title"/>
    <w:basedOn w:val="DefaultParagraphFont"/>
    <w:uiPriority w:val="33"/>
    <w:qFormat/>
    <w:rsid w:val="00F5465C"/>
    <w:rPr>
      <w:rFonts w:ascii="Garamond" w:hAnsi="Garamond"/>
      <w:b/>
      <w:bCs/>
      <w:smallCaps/>
      <w:spacing w:val="5"/>
      <w:sz w:val="40"/>
    </w:rPr>
  </w:style>
  <w:style w:type="paragraph" w:styleId="BalloonText">
    <w:name w:val="Balloon Text"/>
    <w:basedOn w:val="Normal"/>
    <w:link w:val="BalloonTextChar"/>
    <w:uiPriority w:val="99"/>
    <w:semiHidden/>
    <w:unhideWhenUsed/>
    <w:rsid w:val="00F6052B"/>
    <w:rPr>
      <w:rFonts w:ascii="Tahoma" w:hAnsi="Tahoma" w:cs="Tahoma"/>
      <w:sz w:val="16"/>
      <w:szCs w:val="16"/>
    </w:rPr>
  </w:style>
  <w:style w:type="character" w:customStyle="1" w:styleId="BalloonTextChar">
    <w:name w:val="Balloon Text Char"/>
    <w:basedOn w:val="DefaultParagraphFont"/>
    <w:link w:val="BalloonText"/>
    <w:uiPriority w:val="99"/>
    <w:semiHidden/>
    <w:rsid w:val="00F6052B"/>
    <w:rPr>
      <w:rFonts w:ascii="Tahoma" w:hAnsi="Tahoma" w:cs="Tahoma"/>
      <w:sz w:val="16"/>
      <w:szCs w:val="16"/>
    </w:rPr>
  </w:style>
  <w:style w:type="paragraph" w:styleId="Header">
    <w:name w:val="header"/>
    <w:aliases w:val="Dev-Update-Header-footer"/>
    <w:basedOn w:val="FootnoteText"/>
    <w:link w:val="HeaderChar"/>
    <w:uiPriority w:val="99"/>
    <w:unhideWhenUsed/>
    <w:qFormat/>
    <w:rsid w:val="0054438D"/>
    <w:pPr>
      <w:jc w:val="right"/>
    </w:pPr>
    <w:rPr>
      <w:color w:val="0C4DA2"/>
      <w:spacing w:val="20"/>
      <w:kern w:val="0"/>
      <w:sz w:val="16"/>
    </w:rPr>
  </w:style>
  <w:style w:type="character" w:customStyle="1" w:styleId="HeaderChar">
    <w:name w:val="Header Char"/>
    <w:aliases w:val="Dev-Update-Header-footer Char"/>
    <w:basedOn w:val="DefaultParagraphFont"/>
    <w:link w:val="Header"/>
    <w:uiPriority w:val="99"/>
    <w:rsid w:val="0054438D"/>
    <w:rPr>
      <w:rFonts w:ascii="Arial" w:eastAsia="Times New Roman" w:hAnsi="Arial" w:cs="Arial"/>
      <w:color w:val="0C4DA2"/>
      <w:spacing w:val="20"/>
      <w:sz w:val="16"/>
      <w:szCs w:val="20"/>
    </w:rPr>
  </w:style>
  <w:style w:type="paragraph" w:styleId="Footer">
    <w:name w:val="footer"/>
    <w:basedOn w:val="Normal"/>
    <w:link w:val="FooterChar"/>
    <w:uiPriority w:val="99"/>
    <w:unhideWhenUsed/>
    <w:rsid w:val="00AB6C7F"/>
    <w:pPr>
      <w:tabs>
        <w:tab w:val="center" w:pos="4680"/>
        <w:tab w:val="right" w:pos="9360"/>
      </w:tabs>
      <w:ind w:right="-720"/>
    </w:pPr>
    <w:rPr>
      <w:b/>
      <w:color w:val="0C4DA2"/>
      <w:spacing w:val="20"/>
    </w:rPr>
  </w:style>
  <w:style w:type="character" w:customStyle="1" w:styleId="FooterChar">
    <w:name w:val="Footer Char"/>
    <w:basedOn w:val="DefaultParagraphFont"/>
    <w:link w:val="Footer"/>
    <w:uiPriority w:val="99"/>
    <w:rsid w:val="00AB6C7F"/>
    <w:rPr>
      <w:rFonts w:ascii="Garamond" w:hAnsi="Garamond"/>
      <w:b/>
      <w:color w:val="0C4DA2"/>
      <w:spacing w:val="20"/>
      <w:sz w:val="20"/>
    </w:rPr>
  </w:style>
  <w:style w:type="paragraph" w:styleId="BodyText">
    <w:name w:val="Body Text"/>
    <w:basedOn w:val="Normal"/>
    <w:link w:val="BodyTextChar"/>
    <w:qFormat/>
    <w:rsid w:val="00F62F1D"/>
    <w:rPr>
      <w:rFonts w:eastAsia="Times New Roman" w:cs="Arial"/>
      <w:kern w:val="28"/>
      <w:sz w:val="22"/>
      <w:szCs w:val="20"/>
    </w:rPr>
  </w:style>
  <w:style w:type="character" w:customStyle="1" w:styleId="BodyTextChar">
    <w:name w:val="Body Text Char"/>
    <w:basedOn w:val="DefaultParagraphFont"/>
    <w:link w:val="BodyText"/>
    <w:rsid w:val="00F62F1D"/>
    <w:rPr>
      <w:rFonts w:ascii="Garamond" w:eastAsia="Times New Roman" w:hAnsi="Garamond" w:cs="Arial"/>
      <w:kern w:val="28"/>
      <w:szCs w:val="20"/>
    </w:rPr>
  </w:style>
  <w:style w:type="paragraph" w:customStyle="1" w:styleId="Boxcaption-Dev-Update">
    <w:name w:val="Box caption-Dev-Update"/>
    <w:basedOn w:val="BodyText"/>
    <w:link w:val="Boxcaption-Dev-UpdateChar"/>
    <w:qFormat/>
    <w:rsid w:val="00FF650C"/>
    <w:rPr>
      <w:b/>
      <w:color w:val="FFFFFF" w:themeColor="background1"/>
      <w:sz w:val="20"/>
    </w:rPr>
  </w:style>
  <w:style w:type="character" w:customStyle="1" w:styleId="Boxcaption-Dev-UpdateChar">
    <w:name w:val="Box caption-Dev-Update Char"/>
    <w:basedOn w:val="BodyTextChar"/>
    <w:link w:val="Boxcaption-Dev-Update"/>
    <w:locked/>
    <w:rsid w:val="00FF650C"/>
    <w:rPr>
      <w:rFonts w:ascii="Garamond" w:eastAsia="Times New Roman" w:hAnsi="Garamond" w:cs="Arial"/>
      <w:b/>
      <w:color w:val="FFFFFF" w:themeColor="background1"/>
      <w:kern w:val="28"/>
      <w:sz w:val="20"/>
      <w:szCs w:val="20"/>
    </w:rPr>
  </w:style>
  <w:style w:type="character" w:styleId="Hyperlink">
    <w:name w:val="Hyperlink"/>
    <w:basedOn w:val="DefaultParagraphFont"/>
    <w:uiPriority w:val="99"/>
    <w:rsid w:val="00DE3631"/>
    <w:rPr>
      <w:rFonts w:cs="Times New Roman"/>
      <w:color w:val="0000FF"/>
      <w:u w:val="single"/>
    </w:rPr>
  </w:style>
  <w:style w:type="paragraph" w:styleId="Caption">
    <w:name w:val="caption"/>
    <w:aliases w:val="Dev-Update- Table-Figure,IEQ Figure-Table Caption"/>
    <w:basedOn w:val="Normal"/>
    <w:next w:val="BodyText"/>
    <w:link w:val="CaptionChar"/>
    <w:uiPriority w:val="35"/>
    <w:qFormat/>
    <w:rsid w:val="00F62F1D"/>
    <w:pPr>
      <w:keepNext/>
      <w:keepLines/>
    </w:pPr>
    <w:rPr>
      <w:rFonts w:eastAsia="Times New Roman" w:cs="Arial"/>
      <w:b/>
      <w:color w:val="0C4DA2"/>
      <w:szCs w:val="20"/>
    </w:rPr>
  </w:style>
  <w:style w:type="paragraph" w:customStyle="1" w:styleId="Dev-Updates-Sources-notes">
    <w:name w:val="Dev-Updates-Sources-notes"/>
    <w:basedOn w:val="BodyText"/>
    <w:link w:val="Dev-Updates-Sources-notesChar"/>
    <w:qFormat/>
    <w:rsid w:val="00F62F1D"/>
    <w:rPr>
      <w:b/>
      <w:color w:val="808080"/>
      <w:sz w:val="18"/>
    </w:rPr>
  </w:style>
  <w:style w:type="character" w:customStyle="1" w:styleId="CaptionChar">
    <w:name w:val="Caption Char"/>
    <w:aliases w:val="Dev-Update- Table-Figure Char,IEQ Figure-Table Caption Char"/>
    <w:basedOn w:val="DefaultParagraphFont"/>
    <w:link w:val="Caption"/>
    <w:uiPriority w:val="35"/>
    <w:locked/>
    <w:rsid w:val="00F62F1D"/>
    <w:rPr>
      <w:rFonts w:ascii="Garamond" w:eastAsia="Times New Roman" w:hAnsi="Garamond" w:cs="Arial"/>
      <w:b/>
      <w:color w:val="0C4DA2"/>
      <w:sz w:val="20"/>
      <w:szCs w:val="20"/>
    </w:rPr>
  </w:style>
  <w:style w:type="character" w:customStyle="1" w:styleId="Dev-Updates-Sources-notesChar">
    <w:name w:val="Dev-Updates-Sources-notes Char"/>
    <w:basedOn w:val="BodyTextChar"/>
    <w:link w:val="Dev-Updates-Sources-notes"/>
    <w:locked/>
    <w:rsid w:val="00F62F1D"/>
    <w:rPr>
      <w:rFonts w:ascii="Garamond" w:eastAsia="Times New Roman" w:hAnsi="Garamond" w:cs="Arial"/>
      <w:b/>
      <w:color w:val="808080"/>
      <w:kern w:val="28"/>
      <w:sz w:val="18"/>
      <w:szCs w:val="20"/>
    </w:rPr>
  </w:style>
  <w:style w:type="paragraph" w:customStyle="1" w:styleId="Dev-Update-chart-subcaption">
    <w:name w:val="Dev-Update-chart-sub caption"/>
    <w:basedOn w:val="BodyText"/>
    <w:qFormat/>
    <w:rsid w:val="00F62F1D"/>
    <w:rPr>
      <w:i/>
      <w:sz w:val="20"/>
    </w:rPr>
  </w:style>
  <w:style w:type="paragraph" w:styleId="TOCHeading">
    <w:name w:val="TOC Heading"/>
    <w:basedOn w:val="Heading1"/>
    <w:next w:val="Normal"/>
    <w:uiPriority w:val="39"/>
    <w:semiHidden/>
    <w:unhideWhenUsed/>
    <w:qFormat/>
    <w:rsid w:val="00B1009B"/>
    <w:pPr>
      <w:spacing w:before="480" w:after="0" w:line="276" w:lineRule="auto"/>
      <w:ind w:left="0"/>
      <w:outlineLvl w:val="9"/>
    </w:pPr>
    <w:rPr>
      <w:rFonts w:asciiTheme="majorHAnsi" w:hAnsiTheme="majorHAnsi"/>
      <w:color w:val="365F91" w:themeColor="accent1" w:themeShade="BF"/>
      <w:sz w:val="28"/>
      <w:lang w:eastAsia="ja-JP"/>
    </w:rPr>
  </w:style>
  <w:style w:type="paragraph" w:styleId="FootnoteText">
    <w:name w:val="footnote text"/>
    <w:aliases w:val="Dev-Update Footnote,FOOTNOTES,fn,single space,ft,ALTS FOOTNOTE,ALTS FOOTNOTE Char,Footnote Text Char Char,footnote text,Footnote Text Char1 Char Char,Char Char Char Char Char,Char Char Char,Footnote Text Char2 Char,FN,Char,ADB,f,ft Car,ft1"/>
    <w:basedOn w:val="Boxcaption-Dev-Update"/>
    <w:link w:val="FootnoteTextChar1"/>
    <w:unhideWhenUsed/>
    <w:qFormat/>
    <w:rsid w:val="00556DF3"/>
    <w:pPr>
      <w:ind w:left="144" w:hanging="144"/>
      <w:jc w:val="both"/>
    </w:pPr>
    <w:rPr>
      <w:b w:val="0"/>
      <w:color w:val="auto"/>
      <w:sz w:val="18"/>
      <w:szCs w:val="22"/>
    </w:rPr>
  </w:style>
  <w:style w:type="character" w:customStyle="1" w:styleId="FootnoteTextChar">
    <w:name w:val="Footnote Text Char"/>
    <w:aliases w:val="FOOTNOTES Char,fn Char,single space Char,ft Char,ALTS FOOTNOTE Char1,ALTS FOOTNOTE Char Char,Footnote Text Char Char Char,footnote text Char,Footnote Text Char1 Char Char Char, Char Char Char Char Char Char, Char Char Char Char"/>
    <w:basedOn w:val="DefaultParagraphFont"/>
    <w:rsid w:val="001E662A"/>
    <w:rPr>
      <w:rFonts w:ascii="Garamond" w:hAnsi="Garamond"/>
      <w:sz w:val="20"/>
      <w:szCs w:val="20"/>
    </w:rPr>
  </w:style>
  <w:style w:type="character" w:customStyle="1" w:styleId="FootnoteTextChar1">
    <w:name w:val="Footnote Text Char1"/>
    <w:aliases w:val="Dev-Update Footnote Char,FOOTNOTES Char1,fn Char1,single space Char1,ft Char1,ALTS FOOTNOTE Char2,ALTS FOOTNOTE Char Char1,Footnote Text Char Char Char1,footnote text Char1,Footnote Text Char1 Char Char Char1,Char Char Char Char"/>
    <w:basedOn w:val="DefaultParagraphFont"/>
    <w:link w:val="FootnoteText"/>
    <w:rsid w:val="00556DF3"/>
    <w:rPr>
      <w:rFonts w:ascii="Garamond" w:eastAsia="Times New Roman" w:hAnsi="Garamond" w:cs="Arial"/>
      <w:kern w:val="28"/>
      <w:sz w:val="18"/>
    </w:rPr>
  </w:style>
  <w:style w:type="paragraph" w:styleId="TOC3">
    <w:name w:val="toc 3"/>
    <w:basedOn w:val="Normal"/>
    <w:next w:val="Normal"/>
    <w:uiPriority w:val="39"/>
    <w:unhideWhenUsed/>
    <w:qFormat/>
    <w:rsid w:val="0042145E"/>
    <w:pPr>
      <w:tabs>
        <w:tab w:val="right" w:leader="dot" w:pos="9350"/>
      </w:tabs>
      <w:ind w:left="720"/>
    </w:pPr>
    <w:rPr>
      <w:rFonts w:cs="Arial"/>
      <w:b/>
      <w:noProof/>
      <w:color w:val="7F7F7F" w:themeColor="text1" w:themeTint="80"/>
      <w:sz w:val="16"/>
    </w:rPr>
  </w:style>
  <w:style w:type="paragraph" w:styleId="TOC1">
    <w:name w:val="toc 1"/>
    <w:basedOn w:val="Normal"/>
    <w:next w:val="Normal"/>
    <w:uiPriority w:val="39"/>
    <w:unhideWhenUsed/>
    <w:qFormat/>
    <w:rsid w:val="00EB2F3B"/>
    <w:pPr>
      <w:tabs>
        <w:tab w:val="right" w:leader="dot" w:pos="9350"/>
      </w:tabs>
      <w:spacing w:before="120" w:after="240"/>
    </w:pPr>
    <w:rPr>
      <w:rFonts w:cs="Arial"/>
      <w:b/>
      <w:caps/>
      <w:noProof/>
      <w:color w:val="0C4DA2"/>
      <w:sz w:val="24"/>
    </w:rPr>
  </w:style>
  <w:style w:type="paragraph" w:styleId="TOC2">
    <w:name w:val="toc 2"/>
    <w:basedOn w:val="Normal"/>
    <w:next w:val="Normal"/>
    <w:uiPriority w:val="39"/>
    <w:unhideWhenUsed/>
    <w:qFormat/>
    <w:rsid w:val="00981B7A"/>
    <w:pPr>
      <w:tabs>
        <w:tab w:val="right" w:leader="dot" w:pos="9350"/>
      </w:tabs>
      <w:ind w:left="1080" w:hanging="792"/>
    </w:pPr>
    <w:rPr>
      <w:rFonts w:cs="Arial"/>
      <w:b/>
      <w:noProof/>
      <w:sz w:val="22"/>
    </w:rPr>
  </w:style>
  <w:style w:type="character" w:customStyle="1" w:styleId="Heading3Char">
    <w:name w:val="Heading 3 Char"/>
    <w:aliases w:val="Heading 3-Dev-Update Char"/>
    <w:basedOn w:val="DefaultParagraphFont"/>
    <w:link w:val="Heading3"/>
    <w:uiPriority w:val="9"/>
    <w:rsid w:val="006A3906"/>
    <w:rPr>
      <w:rFonts w:ascii="Arial" w:eastAsiaTheme="majorEastAsia" w:hAnsi="Arial" w:cstheme="majorBidi"/>
      <w:b/>
      <w:bCs/>
      <w:color w:val="4F81BD" w:themeColor="accent1"/>
      <w:sz w:val="18"/>
    </w:rPr>
  </w:style>
  <w:style w:type="paragraph" w:customStyle="1" w:styleId="Default">
    <w:name w:val="Default"/>
    <w:rsid w:val="00B82BCB"/>
    <w:pPr>
      <w:autoSpaceDE w:val="0"/>
      <w:autoSpaceDN w:val="0"/>
      <w:adjustRightInd w:val="0"/>
    </w:pPr>
    <w:rPr>
      <w:rFonts w:ascii="Times New Roman" w:hAnsi="Times New Roman" w:cs="Times New Roman"/>
      <w:color w:val="000000"/>
      <w:sz w:val="24"/>
      <w:szCs w:val="24"/>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Times 10 Point,Exposant 3 Point,fr"/>
    <w:basedOn w:val="DefaultParagraphFont"/>
    <w:uiPriority w:val="99"/>
    <w:unhideWhenUsed/>
    <w:qFormat/>
    <w:rsid w:val="0004238A"/>
    <w:rPr>
      <w:vertAlign w:val="superscript"/>
    </w:rPr>
  </w:style>
  <w:style w:type="paragraph" w:styleId="ListParagraph">
    <w:name w:val="List Paragraph"/>
    <w:aliases w:val="Bullets,References,List_Paragraph,Multilevel para_II,List Paragraph1,List Paragraph (numbered (a)),Numbered List Paragraph,Normal 2,Bullit,Main numbered paragraph,Colorful List - Accent 12,Liste 1,ReferencesCxSpLast,Source,Citation List"/>
    <w:basedOn w:val="Normal"/>
    <w:link w:val="ListParagraphChar"/>
    <w:uiPriority w:val="34"/>
    <w:qFormat/>
    <w:rsid w:val="001A1351"/>
    <w:pPr>
      <w:spacing w:after="160" w:line="259" w:lineRule="auto"/>
      <w:ind w:left="720"/>
      <w:contextualSpacing/>
    </w:pPr>
    <w:rPr>
      <w:sz w:val="16"/>
    </w:rPr>
  </w:style>
  <w:style w:type="character" w:customStyle="1" w:styleId="ListParagraphChar">
    <w:name w:val="List Paragraph Char"/>
    <w:aliases w:val="Bullets Char,References Char,List_Paragraph Char,Multilevel para_II Char,List Paragraph1 Char,List Paragraph (numbered (a)) Char,Numbered List Paragraph Char,Normal 2 Char,Bullit Char,Main numbered paragraph Char,Liste 1 Char"/>
    <w:basedOn w:val="DefaultParagraphFont"/>
    <w:link w:val="ListParagraph"/>
    <w:uiPriority w:val="34"/>
    <w:qFormat/>
    <w:rsid w:val="001A1351"/>
    <w:rPr>
      <w:rFonts w:ascii="Arial" w:hAnsi="Arial"/>
      <w:sz w:val="16"/>
    </w:rPr>
  </w:style>
  <w:style w:type="character" w:styleId="IntenseReference">
    <w:name w:val="Intense Reference"/>
    <w:basedOn w:val="DefaultParagraphFont"/>
    <w:uiPriority w:val="32"/>
    <w:qFormat/>
    <w:rsid w:val="004968B5"/>
    <w:rPr>
      <w:b/>
      <w:bCs/>
      <w:smallCaps/>
      <w:color w:val="4F81BD" w:themeColor="accent1"/>
      <w:spacing w:val="5"/>
    </w:rPr>
  </w:style>
  <w:style w:type="paragraph" w:styleId="Bibliography">
    <w:name w:val="Bibliography"/>
    <w:basedOn w:val="Normal"/>
    <w:next w:val="Normal"/>
    <w:uiPriority w:val="37"/>
    <w:unhideWhenUsed/>
    <w:rsid w:val="00AA5B6C"/>
  </w:style>
  <w:style w:type="paragraph" w:styleId="TableofFigures">
    <w:name w:val="table of figures"/>
    <w:aliases w:val="Table of Boxes"/>
    <w:basedOn w:val="Normal"/>
    <w:next w:val="Normal"/>
    <w:uiPriority w:val="99"/>
    <w:unhideWhenUsed/>
    <w:rsid w:val="000B2E73"/>
  </w:style>
  <w:style w:type="character" w:customStyle="1" w:styleId="Heading4Char">
    <w:name w:val="Heading 4 Char"/>
    <w:basedOn w:val="DefaultParagraphFont"/>
    <w:link w:val="Heading4"/>
    <w:uiPriority w:val="9"/>
    <w:rsid w:val="00B3167D"/>
    <w:rPr>
      <w:rFonts w:ascii="Garamond" w:eastAsiaTheme="majorEastAsia" w:hAnsi="Garamond" w:cstheme="majorBidi"/>
      <w:b/>
      <w:bCs/>
      <w:i/>
      <w:iCs/>
      <w:color w:val="4F81BD" w:themeColor="accent1"/>
      <w:sz w:val="20"/>
    </w:rPr>
  </w:style>
  <w:style w:type="character" w:customStyle="1" w:styleId="Heading5Char">
    <w:name w:val="Heading 5 Char"/>
    <w:basedOn w:val="DefaultParagraphFont"/>
    <w:link w:val="Heading5"/>
    <w:uiPriority w:val="9"/>
    <w:rsid w:val="009C7F15"/>
    <w:rPr>
      <w:rFonts w:asciiTheme="majorHAnsi" w:eastAsiaTheme="majorEastAsia" w:hAnsiTheme="majorHAnsi" w:cstheme="majorBidi"/>
      <w:color w:val="243F60" w:themeColor="accent1" w:themeShade="7F"/>
      <w:sz w:val="20"/>
    </w:rPr>
  </w:style>
  <w:style w:type="character" w:customStyle="1" w:styleId="NoSpacingChar">
    <w:name w:val="No Spacing Char"/>
    <w:aliases w:val="KMstd Char"/>
    <w:basedOn w:val="DefaultParagraphFont"/>
    <w:link w:val="NoSpacing"/>
    <w:locked/>
    <w:rsid w:val="00F8049D"/>
    <w:rPr>
      <w:rFonts w:ascii="Garamond" w:hAnsi="Garamond"/>
    </w:rPr>
  </w:style>
  <w:style w:type="table" w:customStyle="1" w:styleId="GridTable4-Accent11">
    <w:name w:val="Grid Table 4 - Accent 11"/>
    <w:basedOn w:val="TableNormal"/>
    <w:uiPriority w:val="49"/>
    <w:rsid w:val="00953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4">
    <w:name w:val="toc 4"/>
    <w:basedOn w:val="Normal"/>
    <w:next w:val="Normal"/>
    <w:autoRedefine/>
    <w:uiPriority w:val="39"/>
    <w:unhideWhenUsed/>
    <w:rsid w:val="00EB2F3B"/>
    <w:pPr>
      <w:spacing w:after="100"/>
      <w:ind w:left="600"/>
    </w:pPr>
  </w:style>
  <w:style w:type="paragraph" w:styleId="NormalWeb">
    <w:name w:val="Normal (Web)"/>
    <w:basedOn w:val="Normal"/>
    <w:uiPriority w:val="99"/>
    <w:unhideWhenUsed/>
    <w:rsid w:val="007331F8"/>
    <w:pPr>
      <w:spacing w:before="100" w:beforeAutospacing="1" w:after="100" w:afterAutospacing="1"/>
    </w:pPr>
    <w:rPr>
      <w:rFonts w:ascii="Times New Roman" w:eastAsiaTheme="minorEastAsia" w:hAnsi="Times New Roman" w:cs="Times New Roman"/>
      <w:sz w:val="24"/>
      <w:szCs w:val="24"/>
    </w:rPr>
  </w:style>
  <w:style w:type="character" w:customStyle="1" w:styleId="Heading6Char">
    <w:name w:val="Heading 6 Char"/>
    <w:basedOn w:val="DefaultParagraphFont"/>
    <w:link w:val="Heading6"/>
    <w:uiPriority w:val="9"/>
    <w:rsid w:val="006E6F9E"/>
    <w:rPr>
      <w:rFonts w:asciiTheme="majorHAnsi" w:eastAsiaTheme="majorEastAsia" w:hAnsiTheme="majorHAnsi" w:cstheme="majorBidi"/>
      <w:color w:val="243F60" w:themeColor="accent1" w:themeShade="7F"/>
      <w:sz w:val="20"/>
    </w:rPr>
  </w:style>
  <w:style w:type="character" w:styleId="CommentReference">
    <w:name w:val="annotation reference"/>
    <w:basedOn w:val="DefaultParagraphFont"/>
    <w:uiPriority w:val="99"/>
    <w:semiHidden/>
    <w:unhideWhenUsed/>
    <w:rsid w:val="00FD3B9E"/>
    <w:rPr>
      <w:sz w:val="16"/>
      <w:szCs w:val="16"/>
    </w:rPr>
  </w:style>
  <w:style w:type="paragraph" w:styleId="CommentText">
    <w:name w:val="annotation text"/>
    <w:basedOn w:val="Normal"/>
    <w:link w:val="CommentTextChar"/>
    <w:uiPriority w:val="99"/>
    <w:unhideWhenUsed/>
    <w:rsid w:val="00FD3B9E"/>
    <w:rPr>
      <w:szCs w:val="20"/>
    </w:rPr>
  </w:style>
  <w:style w:type="character" w:customStyle="1" w:styleId="CommentTextChar">
    <w:name w:val="Comment Text Char"/>
    <w:basedOn w:val="DefaultParagraphFont"/>
    <w:link w:val="CommentText"/>
    <w:uiPriority w:val="99"/>
    <w:rsid w:val="00FD3B9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D3B9E"/>
    <w:rPr>
      <w:b/>
      <w:bCs/>
    </w:rPr>
  </w:style>
  <w:style w:type="character" w:customStyle="1" w:styleId="CommentSubjectChar">
    <w:name w:val="Comment Subject Char"/>
    <w:basedOn w:val="CommentTextChar"/>
    <w:link w:val="CommentSubject"/>
    <w:uiPriority w:val="99"/>
    <w:semiHidden/>
    <w:rsid w:val="00FD3B9E"/>
    <w:rPr>
      <w:rFonts w:ascii="Arial" w:hAnsi="Arial"/>
      <w:b/>
      <w:bCs/>
      <w:sz w:val="20"/>
      <w:szCs w:val="20"/>
    </w:rPr>
  </w:style>
  <w:style w:type="character" w:styleId="FollowedHyperlink">
    <w:name w:val="FollowedHyperlink"/>
    <w:basedOn w:val="DefaultParagraphFont"/>
    <w:uiPriority w:val="99"/>
    <w:semiHidden/>
    <w:unhideWhenUsed/>
    <w:rsid w:val="00D472A7"/>
    <w:rPr>
      <w:color w:val="800080" w:themeColor="followedHyperlink"/>
      <w:u w:val="single"/>
    </w:rPr>
  </w:style>
  <w:style w:type="table" w:styleId="GridTable5Dark-Accent5">
    <w:name w:val="Grid Table 5 Dark Accent 5"/>
    <w:basedOn w:val="TableNormal"/>
    <w:uiPriority w:val="50"/>
    <w:rsid w:val="005413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1">
    <w:name w:val="Grid Table 5 Dark Accent 1"/>
    <w:basedOn w:val="TableNormal"/>
    <w:uiPriority w:val="50"/>
    <w:rsid w:val="005413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IEQSources-notes">
    <w:name w:val="IEQ Sources-notes"/>
    <w:basedOn w:val="BodyText"/>
    <w:link w:val="IEQSources-notesChar"/>
    <w:qFormat/>
    <w:rsid w:val="00ED3A8F"/>
    <w:pPr>
      <w:ind w:left="72"/>
    </w:pPr>
    <w:rPr>
      <w:b/>
      <w:color w:val="808080"/>
      <w:sz w:val="16"/>
    </w:rPr>
  </w:style>
  <w:style w:type="character" w:customStyle="1" w:styleId="IEQSources-notesChar">
    <w:name w:val="IEQ Sources-notes Char"/>
    <w:basedOn w:val="DefaultParagraphFont"/>
    <w:link w:val="IEQSources-notes"/>
    <w:locked/>
    <w:rsid w:val="00ED3A8F"/>
    <w:rPr>
      <w:rFonts w:ascii="Garamond" w:eastAsia="Times New Roman" w:hAnsi="Garamond" w:cs="Arial"/>
      <w:b/>
      <w:color w:val="808080"/>
      <w:kern w:val="28"/>
      <w:sz w:val="16"/>
      <w:szCs w:val="20"/>
    </w:rPr>
  </w:style>
  <w:style w:type="paragraph" w:customStyle="1" w:styleId="IEQ-chart-subcaption">
    <w:name w:val="IEQ-chart-sub caption"/>
    <w:basedOn w:val="BodyText"/>
    <w:qFormat/>
    <w:rsid w:val="00ED3A8F"/>
    <w:pPr>
      <w:ind w:left="72"/>
    </w:pPr>
    <w:rPr>
      <w:i/>
      <w:sz w:val="20"/>
    </w:rPr>
  </w:style>
  <w:style w:type="table" w:customStyle="1" w:styleId="ListTable6Colorful-Accent11">
    <w:name w:val="List Table 6 Colorful - Accent 11"/>
    <w:basedOn w:val="TableNormal"/>
    <w:uiPriority w:val="51"/>
    <w:rsid w:val="00691606"/>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semiHidden/>
    <w:unhideWhenUsed/>
    <w:rsid w:val="00B61F52"/>
    <w:rPr>
      <w:rFonts w:ascii="Arial" w:eastAsia="Arial" w:hAnsi="Arial" w:cs="Arial"/>
      <w:color w:val="000000"/>
      <w:szCs w:val="20"/>
    </w:rPr>
  </w:style>
  <w:style w:type="character" w:customStyle="1" w:styleId="EndnoteTextChar">
    <w:name w:val="Endnote Text Char"/>
    <w:basedOn w:val="DefaultParagraphFont"/>
    <w:link w:val="EndnoteText"/>
    <w:uiPriority w:val="99"/>
    <w:semiHidden/>
    <w:rsid w:val="00B61F52"/>
    <w:rPr>
      <w:rFonts w:ascii="Arial" w:eastAsia="Arial" w:hAnsi="Arial" w:cs="Arial"/>
      <w:color w:val="000000"/>
      <w:sz w:val="20"/>
      <w:szCs w:val="20"/>
    </w:rPr>
  </w:style>
  <w:style w:type="paragraph" w:styleId="Revision">
    <w:name w:val="Revision"/>
    <w:hidden/>
    <w:uiPriority w:val="99"/>
    <w:semiHidden/>
    <w:rsid w:val="00D77C83"/>
    <w:rPr>
      <w:rFonts w:ascii="Garamond" w:hAnsi="Garamond"/>
      <w:sz w:val="20"/>
    </w:rPr>
  </w:style>
  <w:style w:type="table" w:styleId="PlainTable3">
    <w:name w:val="Plain Table 3"/>
    <w:basedOn w:val="TableNormal"/>
    <w:uiPriority w:val="99"/>
    <w:rsid w:val="00A316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DefaultParagraphFont"/>
    <w:uiPriority w:val="99"/>
    <w:semiHidden/>
    <w:unhideWhenUsed/>
    <w:rsid w:val="004B1D8B"/>
    <w:rPr>
      <w:color w:val="808080"/>
      <w:shd w:val="clear" w:color="auto" w:fill="E6E6E6"/>
    </w:rPr>
  </w:style>
  <w:style w:type="paragraph" w:styleId="PlainText">
    <w:name w:val="Plain Text"/>
    <w:basedOn w:val="Normal"/>
    <w:link w:val="PlainTextChar"/>
    <w:uiPriority w:val="99"/>
    <w:semiHidden/>
    <w:unhideWhenUsed/>
    <w:rsid w:val="00E039D2"/>
    <w:rPr>
      <w:rFonts w:ascii="Calibri" w:hAnsi="Calibri"/>
      <w:sz w:val="22"/>
      <w:szCs w:val="21"/>
    </w:rPr>
  </w:style>
  <w:style w:type="character" w:customStyle="1" w:styleId="PlainTextChar">
    <w:name w:val="Plain Text Char"/>
    <w:basedOn w:val="DefaultParagraphFont"/>
    <w:link w:val="PlainText"/>
    <w:uiPriority w:val="99"/>
    <w:semiHidden/>
    <w:rsid w:val="00E039D2"/>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702">
      <w:bodyDiv w:val="1"/>
      <w:marLeft w:val="0"/>
      <w:marRight w:val="0"/>
      <w:marTop w:val="0"/>
      <w:marBottom w:val="0"/>
      <w:divBdr>
        <w:top w:val="none" w:sz="0" w:space="0" w:color="auto"/>
        <w:left w:val="none" w:sz="0" w:space="0" w:color="auto"/>
        <w:bottom w:val="none" w:sz="0" w:space="0" w:color="auto"/>
        <w:right w:val="none" w:sz="0" w:space="0" w:color="auto"/>
      </w:divBdr>
    </w:div>
    <w:div w:id="27878025">
      <w:bodyDiv w:val="1"/>
      <w:marLeft w:val="0"/>
      <w:marRight w:val="0"/>
      <w:marTop w:val="0"/>
      <w:marBottom w:val="0"/>
      <w:divBdr>
        <w:top w:val="none" w:sz="0" w:space="0" w:color="auto"/>
        <w:left w:val="none" w:sz="0" w:space="0" w:color="auto"/>
        <w:bottom w:val="none" w:sz="0" w:space="0" w:color="auto"/>
        <w:right w:val="none" w:sz="0" w:space="0" w:color="auto"/>
      </w:divBdr>
    </w:div>
    <w:div w:id="113602166">
      <w:bodyDiv w:val="1"/>
      <w:marLeft w:val="0"/>
      <w:marRight w:val="0"/>
      <w:marTop w:val="0"/>
      <w:marBottom w:val="0"/>
      <w:divBdr>
        <w:top w:val="none" w:sz="0" w:space="0" w:color="auto"/>
        <w:left w:val="none" w:sz="0" w:space="0" w:color="auto"/>
        <w:bottom w:val="none" w:sz="0" w:space="0" w:color="auto"/>
        <w:right w:val="none" w:sz="0" w:space="0" w:color="auto"/>
      </w:divBdr>
    </w:div>
    <w:div w:id="240143649">
      <w:bodyDiv w:val="1"/>
      <w:marLeft w:val="0"/>
      <w:marRight w:val="0"/>
      <w:marTop w:val="0"/>
      <w:marBottom w:val="0"/>
      <w:divBdr>
        <w:top w:val="none" w:sz="0" w:space="0" w:color="auto"/>
        <w:left w:val="none" w:sz="0" w:space="0" w:color="auto"/>
        <w:bottom w:val="none" w:sz="0" w:space="0" w:color="auto"/>
        <w:right w:val="none" w:sz="0" w:space="0" w:color="auto"/>
      </w:divBdr>
    </w:div>
    <w:div w:id="257294780">
      <w:bodyDiv w:val="1"/>
      <w:marLeft w:val="0"/>
      <w:marRight w:val="0"/>
      <w:marTop w:val="0"/>
      <w:marBottom w:val="0"/>
      <w:divBdr>
        <w:top w:val="none" w:sz="0" w:space="0" w:color="auto"/>
        <w:left w:val="none" w:sz="0" w:space="0" w:color="auto"/>
        <w:bottom w:val="none" w:sz="0" w:space="0" w:color="auto"/>
        <w:right w:val="none" w:sz="0" w:space="0" w:color="auto"/>
      </w:divBdr>
    </w:div>
    <w:div w:id="260845835">
      <w:bodyDiv w:val="1"/>
      <w:marLeft w:val="0"/>
      <w:marRight w:val="0"/>
      <w:marTop w:val="0"/>
      <w:marBottom w:val="0"/>
      <w:divBdr>
        <w:top w:val="none" w:sz="0" w:space="0" w:color="auto"/>
        <w:left w:val="none" w:sz="0" w:space="0" w:color="auto"/>
        <w:bottom w:val="none" w:sz="0" w:space="0" w:color="auto"/>
        <w:right w:val="none" w:sz="0" w:space="0" w:color="auto"/>
      </w:divBdr>
    </w:div>
    <w:div w:id="314720070">
      <w:bodyDiv w:val="1"/>
      <w:marLeft w:val="0"/>
      <w:marRight w:val="0"/>
      <w:marTop w:val="0"/>
      <w:marBottom w:val="0"/>
      <w:divBdr>
        <w:top w:val="none" w:sz="0" w:space="0" w:color="auto"/>
        <w:left w:val="none" w:sz="0" w:space="0" w:color="auto"/>
        <w:bottom w:val="none" w:sz="0" w:space="0" w:color="auto"/>
        <w:right w:val="none" w:sz="0" w:space="0" w:color="auto"/>
      </w:divBdr>
    </w:div>
    <w:div w:id="335617529">
      <w:bodyDiv w:val="1"/>
      <w:marLeft w:val="0"/>
      <w:marRight w:val="0"/>
      <w:marTop w:val="0"/>
      <w:marBottom w:val="0"/>
      <w:divBdr>
        <w:top w:val="none" w:sz="0" w:space="0" w:color="auto"/>
        <w:left w:val="none" w:sz="0" w:space="0" w:color="auto"/>
        <w:bottom w:val="none" w:sz="0" w:space="0" w:color="auto"/>
        <w:right w:val="none" w:sz="0" w:space="0" w:color="auto"/>
      </w:divBdr>
    </w:div>
    <w:div w:id="356853060">
      <w:bodyDiv w:val="1"/>
      <w:marLeft w:val="0"/>
      <w:marRight w:val="0"/>
      <w:marTop w:val="0"/>
      <w:marBottom w:val="0"/>
      <w:divBdr>
        <w:top w:val="none" w:sz="0" w:space="0" w:color="auto"/>
        <w:left w:val="none" w:sz="0" w:space="0" w:color="auto"/>
        <w:bottom w:val="none" w:sz="0" w:space="0" w:color="auto"/>
        <w:right w:val="none" w:sz="0" w:space="0" w:color="auto"/>
      </w:divBdr>
    </w:div>
    <w:div w:id="521745462">
      <w:bodyDiv w:val="1"/>
      <w:marLeft w:val="0"/>
      <w:marRight w:val="0"/>
      <w:marTop w:val="0"/>
      <w:marBottom w:val="0"/>
      <w:divBdr>
        <w:top w:val="none" w:sz="0" w:space="0" w:color="auto"/>
        <w:left w:val="none" w:sz="0" w:space="0" w:color="auto"/>
        <w:bottom w:val="none" w:sz="0" w:space="0" w:color="auto"/>
        <w:right w:val="none" w:sz="0" w:space="0" w:color="auto"/>
      </w:divBdr>
    </w:div>
    <w:div w:id="526909856">
      <w:bodyDiv w:val="1"/>
      <w:marLeft w:val="0"/>
      <w:marRight w:val="0"/>
      <w:marTop w:val="0"/>
      <w:marBottom w:val="0"/>
      <w:divBdr>
        <w:top w:val="none" w:sz="0" w:space="0" w:color="auto"/>
        <w:left w:val="none" w:sz="0" w:space="0" w:color="auto"/>
        <w:bottom w:val="none" w:sz="0" w:space="0" w:color="auto"/>
        <w:right w:val="none" w:sz="0" w:space="0" w:color="auto"/>
      </w:divBdr>
    </w:div>
    <w:div w:id="532033193">
      <w:bodyDiv w:val="1"/>
      <w:marLeft w:val="0"/>
      <w:marRight w:val="0"/>
      <w:marTop w:val="0"/>
      <w:marBottom w:val="0"/>
      <w:divBdr>
        <w:top w:val="none" w:sz="0" w:space="0" w:color="auto"/>
        <w:left w:val="none" w:sz="0" w:space="0" w:color="auto"/>
        <w:bottom w:val="none" w:sz="0" w:space="0" w:color="auto"/>
        <w:right w:val="none" w:sz="0" w:space="0" w:color="auto"/>
      </w:divBdr>
    </w:div>
    <w:div w:id="549147252">
      <w:bodyDiv w:val="1"/>
      <w:marLeft w:val="0"/>
      <w:marRight w:val="0"/>
      <w:marTop w:val="0"/>
      <w:marBottom w:val="0"/>
      <w:divBdr>
        <w:top w:val="none" w:sz="0" w:space="0" w:color="auto"/>
        <w:left w:val="none" w:sz="0" w:space="0" w:color="auto"/>
        <w:bottom w:val="none" w:sz="0" w:space="0" w:color="auto"/>
        <w:right w:val="none" w:sz="0" w:space="0" w:color="auto"/>
      </w:divBdr>
    </w:div>
    <w:div w:id="557477169">
      <w:bodyDiv w:val="1"/>
      <w:marLeft w:val="0"/>
      <w:marRight w:val="0"/>
      <w:marTop w:val="0"/>
      <w:marBottom w:val="0"/>
      <w:divBdr>
        <w:top w:val="none" w:sz="0" w:space="0" w:color="auto"/>
        <w:left w:val="none" w:sz="0" w:space="0" w:color="auto"/>
        <w:bottom w:val="none" w:sz="0" w:space="0" w:color="auto"/>
        <w:right w:val="none" w:sz="0" w:space="0" w:color="auto"/>
      </w:divBdr>
    </w:div>
    <w:div w:id="571236703">
      <w:bodyDiv w:val="1"/>
      <w:marLeft w:val="0"/>
      <w:marRight w:val="0"/>
      <w:marTop w:val="0"/>
      <w:marBottom w:val="0"/>
      <w:divBdr>
        <w:top w:val="none" w:sz="0" w:space="0" w:color="auto"/>
        <w:left w:val="none" w:sz="0" w:space="0" w:color="auto"/>
        <w:bottom w:val="none" w:sz="0" w:space="0" w:color="auto"/>
        <w:right w:val="none" w:sz="0" w:space="0" w:color="auto"/>
      </w:divBdr>
    </w:div>
    <w:div w:id="703603166">
      <w:bodyDiv w:val="1"/>
      <w:marLeft w:val="0"/>
      <w:marRight w:val="0"/>
      <w:marTop w:val="0"/>
      <w:marBottom w:val="0"/>
      <w:divBdr>
        <w:top w:val="none" w:sz="0" w:space="0" w:color="auto"/>
        <w:left w:val="none" w:sz="0" w:space="0" w:color="auto"/>
        <w:bottom w:val="none" w:sz="0" w:space="0" w:color="auto"/>
        <w:right w:val="none" w:sz="0" w:space="0" w:color="auto"/>
      </w:divBdr>
    </w:div>
    <w:div w:id="798110234">
      <w:bodyDiv w:val="1"/>
      <w:marLeft w:val="0"/>
      <w:marRight w:val="0"/>
      <w:marTop w:val="0"/>
      <w:marBottom w:val="0"/>
      <w:divBdr>
        <w:top w:val="none" w:sz="0" w:space="0" w:color="auto"/>
        <w:left w:val="none" w:sz="0" w:space="0" w:color="auto"/>
        <w:bottom w:val="none" w:sz="0" w:space="0" w:color="auto"/>
        <w:right w:val="none" w:sz="0" w:space="0" w:color="auto"/>
      </w:divBdr>
    </w:div>
    <w:div w:id="887297029">
      <w:bodyDiv w:val="1"/>
      <w:marLeft w:val="0"/>
      <w:marRight w:val="0"/>
      <w:marTop w:val="0"/>
      <w:marBottom w:val="0"/>
      <w:divBdr>
        <w:top w:val="none" w:sz="0" w:space="0" w:color="auto"/>
        <w:left w:val="none" w:sz="0" w:space="0" w:color="auto"/>
        <w:bottom w:val="none" w:sz="0" w:space="0" w:color="auto"/>
        <w:right w:val="none" w:sz="0" w:space="0" w:color="auto"/>
      </w:divBdr>
    </w:div>
    <w:div w:id="903950646">
      <w:bodyDiv w:val="1"/>
      <w:marLeft w:val="0"/>
      <w:marRight w:val="0"/>
      <w:marTop w:val="0"/>
      <w:marBottom w:val="0"/>
      <w:divBdr>
        <w:top w:val="none" w:sz="0" w:space="0" w:color="auto"/>
        <w:left w:val="none" w:sz="0" w:space="0" w:color="auto"/>
        <w:bottom w:val="none" w:sz="0" w:space="0" w:color="auto"/>
        <w:right w:val="none" w:sz="0" w:space="0" w:color="auto"/>
      </w:divBdr>
    </w:div>
    <w:div w:id="938678907">
      <w:bodyDiv w:val="1"/>
      <w:marLeft w:val="0"/>
      <w:marRight w:val="0"/>
      <w:marTop w:val="0"/>
      <w:marBottom w:val="0"/>
      <w:divBdr>
        <w:top w:val="none" w:sz="0" w:space="0" w:color="auto"/>
        <w:left w:val="none" w:sz="0" w:space="0" w:color="auto"/>
        <w:bottom w:val="none" w:sz="0" w:space="0" w:color="auto"/>
        <w:right w:val="none" w:sz="0" w:space="0" w:color="auto"/>
      </w:divBdr>
    </w:div>
    <w:div w:id="946617853">
      <w:bodyDiv w:val="1"/>
      <w:marLeft w:val="0"/>
      <w:marRight w:val="0"/>
      <w:marTop w:val="0"/>
      <w:marBottom w:val="0"/>
      <w:divBdr>
        <w:top w:val="none" w:sz="0" w:space="0" w:color="auto"/>
        <w:left w:val="none" w:sz="0" w:space="0" w:color="auto"/>
        <w:bottom w:val="none" w:sz="0" w:space="0" w:color="auto"/>
        <w:right w:val="none" w:sz="0" w:space="0" w:color="auto"/>
      </w:divBdr>
    </w:div>
    <w:div w:id="987785962">
      <w:bodyDiv w:val="1"/>
      <w:marLeft w:val="0"/>
      <w:marRight w:val="0"/>
      <w:marTop w:val="0"/>
      <w:marBottom w:val="0"/>
      <w:divBdr>
        <w:top w:val="none" w:sz="0" w:space="0" w:color="auto"/>
        <w:left w:val="none" w:sz="0" w:space="0" w:color="auto"/>
        <w:bottom w:val="none" w:sz="0" w:space="0" w:color="auto"/>
        <w:right w:val="none" w:sz="0" w:space="0" w:color="auto"/>
      </w:divBdr>
    </w:div>
    <w:div w:id="1035154883">
      <w:bodyDiv w:val="1"/>
      <w:marLeft w:val="0"/>
      <w:marRight w:val="0"/>
      <w:marTop w:val="0"/>
      <w:marBottom w:val="0"/>
      <w:divBdr>
        <w:top w:val="none" w:sz="0" w:space="0" w:color="auto"/>
        <w:left w:val="none" w:sz="0" w:space="0" w:color="auto"/>
        <w:bottom w:val="none" w:sz="0" w:space="0" w:color="auto"/>
        <w:right w:val="none" w:sz="0" w:space="0" w:color="auto"/>
      </w:divBdr>
    </w:div>
    <w:div w:id="1058476994">
      <w:bodyDiv w:val="1"/>
      <w:marLeft w:val="0"/>
      <w:marRight w:val="0"/>
      <w:marTop w:val="0"/>
      <w:marBottom w:val="0"/>
      <w:divBdr>
        <w:top w:val="none" w:sz="0" w:space="0" w:color="auto"/>
        <w:left w:val="none" w:sz="0" w:space="0" w:color="auto"/>
        <w:bottom w:val="none" w:sz="0" w:space="0" w:color="auto"/>
        <w:right w:val="none" w:sz="0" w:space="0" w:color="auto"/>
      </w:divBdr>
    </w:div>
    <w:div w:id="1168255310">
      <w:bodyDiv w:val="1"/>
      <w:marLeft w:val="0"/>
      <w:marRight w:val="0"/>
      <w:marTop w:val="0"/>
      <w:marBottom w:val="0"/>
      <w:divBdr>
        <w:top w:val="none" w:sz="0" w:space="0" w:color="auto"/>
        <w:left w:val="none" w:sz="0" w:space="0" w:color="auto"/>
        <w:bottom w:val="none" w:sz="0" w:space="0" w:color="auto"/>
        <w:right w:val="none" w:sz="0" w:space="0" w:color="auto"/>
      </w:divBdr>
    </w:div>
    <w:div w:id="1258714154">
      <w:bodyDiv w:val="1"/>
      <w:marLeft w:val="0"/>
      <w:marRight w:val="0"/>
      <w:marTop w:val="0"/>
      <w:marBottom w:val="0"/>
      <w:divBdr>
        <w:top w:val="none" w:sz="0" w:space="0" w:color="auto"/>
        <w:left w:val="none" w:sz="0" w:space="0" w:color="auto"/>
        <w:bottom w:val="none" w:sz="0" w:space="0" w:color="auto"/>
        <w:right w:val="none" w:sz="0" w:space="0" w:color="auto"/>
      </w:divBdr>
    </w:div>
    <w:div w:id="1275673119">
      <w:bodyDiv w:val="1"/>
      <w:marLeft w:val="0"/>
      <w:marRight w:val="0"/>
      <w:marTop w:val="0"/>
      <w:marBottom w:val="0"/>
      <w:divBdr>
        <w:top w:val="none" w:sz="0" w:space="0" w:color="auto"/>
        <w:left w:val="none" w:sz="0" w:space="0" w:color="auto"/>
        <w:bottom w:val="none" w:sz="0" w:space="0" w:color="auto"/>
        <w:right w:val="none" w:sz="0" w:space="0" w:color="auto"/>
      </w:divBdr>
    </w:div>
    <w:div w:id="1293828969">
      <w:bodyDiv w:val="1"/>
      <w:marLeft w:val="0"/>
      <w:marRight w:val="0"/>
      <w:marTop w:val="0"/>
      <w:marBottom w:val="0"/>
      <w:divBdr>
        <w:top w:val="none" w:sz="0" w:space="0" w:color="auto"/>
        <w:left w:val="none" w:sz="0" w:space="0" w:color="auto"/>
        <w:bottom w:val="none" w:sz="0" w:space="0" w:color="auto"/>
        <w:right w:val="none" w:sz="0" w:space="0" w:color="auto"/>
      </w:divBdr>
    </w:div>
    <w:div w:id="1312632666">
      <w:bodyDiv w:val="1"/>
      <w:marLeft w:val="0"/>
      <w:marRight w:val="0"/>
      <w:marTop w:val="0"/>
      <w:marBottom w:val="0"/>
      <w:divBdr>
        <w:top w:val="none" w:sz="0" w:space="0" w:color="auto"/>
        <w:left w:val="none" w:sz="0" w:space="0" w:color="auto"/>
        <w:bottom w:val="none" w:sz="0" w:space="0" w:color="auto"/>
        <w:right w:val="none" w:sz="0" w:space="0" w:color="auto"/>
      </w:divBdr>
    </w:div>
    <w:div w:id="1488085248">
      <w:bodyDiv w:val="1"/>
      <w:marLeft w:val="0"/>
      <w:marRight w:val="0"/>
      <w:marTop w:val="0"/>
      <w:marBottom w:val="0"/>
      <w:divBdr>
        <w:top w:val="none" w:sz="0" w:space="0" w:color="auto"/>
        <w:left w:val="none" w:sz="0" w:space="0" w:color="auto"/>
        <w:bottom w:val="none" w:sz="0" w:space="0" w:color="auto"/>
        <w:right w:val="none" w:sz="0" w:space="0" w:color="auto"/>
      </w:divBdr>
    </w:div>
    <w:div w:id="1506284111">
      <w:bodyDiv w:val="1"/>
      <w:marLeft w:val="0"/>
      <w:marRight w:val="0"/>
      <w:marTop w:val="0"/>
      <w:marBottom w:val="0"/>
      <w:divBdr>
        <w:top w:val="none" w:sz="0" w:space="0" w:color="auto"/>
        <w:left w:val="none" w:sz="0" w:space="0" w:color="auto"/>
        <w:bottom w:val="none" w:sz="0" w:space="0" w:color="auto"/>
        <w:right w:val="none" w:sz="0" w:space="0" w:color="auto"/>
      </w:divBdr>
    </w:div>
    <w:div w:id="1577326387">
      <w:bodyDiv w:val="1"/>
      <w:marLeft w:val="0"/>
      <w:marRight w:val="0"/>
      <w:marTop w:val="0"/>
      <w:marBottom w:val="0"/>
      <w:divBdr>
        <w:top w:val="none" w:sz="0" w:space="0" w:color="auto"/>
        <w:left w:val="none" w:sz="0" w:space="0" w:color="auto"/>
        <w:bottom w:val="none" w:sz="0" w:space="0" w:color="auto"/>
        <w:right w:val="none" w:sz="0" w:space="0" w:color="auto"/>
      </w:divBdr>
    </w:div>
    <w:div w:id="1628318475">
      <w:bodyDiv w:val="1"/>
      <w:marLeft w:val="0"/>
      <w:marRight w:val="0"/>
      <w:marTop w:val="0"/>
      <w:marBottom w:val="0"/>
      <w:divBdr>
        <w:top w:val="none" w:sz="0" w:space="0" w:color="auto"/>
        <w:left w:val="none" w:sz="0" w:space="0" w:color="auto"/>
        <w:bottom w:val="none" w:sz="0" w:space="0" w:color="auto"/>
        <w:right w:val="none" w:sz="0" w:space="0" w:color="auto"/>
      </w:divBdr>
    </w:div>
    <w:div w:id="1659504791">
      <w:bodyDiv w:val="1"/>
      <w:marLeft w:val="0"/>
      <w:marRight w:val="0"/>
      <w:marTop w:val="0"/>
      <w:marBottom w:val="0"/>
      <w:divBdr>
        <w:top w:val="none" w:sz="0" w:space="0" w:color="auto"/>
        <w:left w:val="none" w:sz="0" w:space="0" w:color="auto"/>
        <w:bottom w:val="none" w:sz="0" w:space="0" w:color="auto"/>
        <w:right w:val="none" w:sz="0" w:space="0" w:color="auto"/>
      </w:divBdr>
    </w:div>
    <w:div w:id="1663462148">
      <w:bodyDiv w:val="1"/>
      <w:marLeft w:val="0"/>
      <w:marRight w:val="0"/>
      <w:marTop w:val="0"/>
      <w:marBottom w:val="0"/>
      <w:divBdr>
        <w:top w:val="none" w:sz="0" w:space="0" w:color="auto"/>
        <w:left w:val="none" w:sz="0" w:space="0" w:color="auto"/>
        <w:bottom w:val="none" w:sz="0" w:space="0" w:color="auto"/>
        <w:right w:val="none" w:sz="0" w:space="0" w:color="auto"/>
      </w:divBdr>
    </w:div>
    <w:div w:id="1760053228">
      <w:bodyDiv w:val="1"/>
      <w:marLeft w:val="0"/>
      <w:marRight w:val="0"/>
      <w:marTop w:val="0"/>
      <w:marBottom w:val="0"/>
      <w:divBdr>
        <w:top w:val="none" w:sz="0" w:space="0" w:color="auto"/>
        <w:left w:val="none" w:sz="0" w:space="0" w:color="auto"/>
        <w:bottom w:val="none" w:sz="0" w:space="0" w:color="auto"/>
        <w:right w:val="none" w:sz="0" w:space="0" w:color="auto"/>
      </w:divBdr>
    </w:div>
    <w:div w:id="1806771043">
      <w:bodyDiv w:val="1"/>
      <w:marLeft w:val="0"/>
      <w:marRight w:val="0"/>
      <w:marTop w:val="0"/>
      <w:marBottom w:val="0"/>
      <w:divBdr>
        <w:top w:val="none" w:sz="0" w:space="0" w:color="auto"/>
        <w:left w:val="none" w:sz="0" w:space="0" w:color="auto"/>
        <w:bottom w:val="none" w:sz="0" w:space="0" w:color="auto"/>
        <w:right w:val="none" w:sz="0" w:space="0" w:color="auto"/>
      </w:divBdr>
    </w:div>
    <w:div w:id="1818256505">
      <w:bodyDiv w:val="1"/>
      <w:marLeft w:val="0"/>
      <w:marRight w:val="0"/>
      <w:marTop w:val="0"/>
      <w:marBottom w:val="0"/>
      <w:divBdr>
        <w:top w:val="none" w:sz="0" w:space="0" w:color="auto"/>
        <w:left w:val="none" w:sz="0" w:space="0" w:color="auto"/>
        <w:bottom w:val="none" w:sz="0" w:space="0" w:color="auto"/>
        <w:right w:val="none" w:sz="0" w:space="0" w:color="auto"/>
      </w:divBdr>
    </w:div>
    <w:div w:id="1868835505">
      <w:bodyDiv w:val="1"/>
      <w:marLeft w:val="0"/>
      <w:marRight w:val="0"/>
      <w:marTop w:val="0"/>
      <w:marBottom w:val="0"/>
      <w:divBdr>
        <w:top w:val="none" w:sz="0" w:space="0" w:color="auto"/>
        <w:left w:val="none" w:sz="0" w:space="0" w:color="auto"/>
        <w:bottom w:val="none" w:sz="0" w:space="0" w:color="auto"/>
        <w:right w:val="none" w:sz="0" w:space="0" w:color="auto"/>
      </w:divBdr>
    </w:div>
    <w:div w:id="1875650342">
      <w:bodyDiv w:val="1"/>
      <w:marLeft w:val="0"/>
      <w:marRight w:val="0"/>
      <w:marTop w:val="0"/>
      <w:marBottom w:val="0"/>
      <w:divBdr>
        <w:top w:val="none" w:sz="0" w:space="0" w:color="auto"/>
        <w:left w:val="none" w:sz="0" w:space="0" w:color="auto"/>
        <w:bottom w:val="none" w:sz="0" w:space="0" w:color="auto"/>
        <w:right w:val="none" w:sz="0" w:space="0" w:color="auto"/>
      </w:divBdr>
    </w:div>
    <w:div w:id="1913655496">
      <w:bodyDiv w:val="1"/>
      <w:marLeft w:val="0"/>
      <w:marRight w:val="0"/>
      <w:marTop w:val="0"/>
      <w:marBottom w:val="0"/>
      <w:divBdr>
        <w:top w:val="none" w:sz="0" w:space="0" w:color="auto"/>
        <w:left w:val="none" w:sz="0" w:space="0" w:color="auto"/>
        <w:bottom w:val="none" w:sz="0" w:space="0" w:color="auto"/>
        <w:right w:val="none" w:sz="0" w:space="0" w:color="auto"/>
      </w:divBdr>
    </w:div>
    <w:div w:id="1940986989">
      <w:bodyDiv w:val="1"/>
      <w:marLeft w:val="0"/>
      <w:marRight w:val="0"/>
      <w:marTop w:val="0"/>
      <w:marBottom w:val="0"/>
      <w:divBdr>
        <w:top w:val="none" w:sz="0" w:space="0" w:color="auto"/>
        <w:left w:val="none" w:sz="0" w:space="0" w:color="auto"/>
        <w:bottom w:val="none" w:sz="0" w:space="0" w:color="auto"/>
        <w:right w:val="none" w:sz="0" w:space="0" w:color="auto"/>
      </w:divBdr>
    </w:div>
    <w:div w:id="1944848085">
      <w:bodyDiv w:val="1"/>
      <w:marLeft w:val="0"/>
      <w:marRight w:val="0"/>
      <w:marTop w:val="0"/>
      <w:marBottom w:val="0"/>
      <w:divBdr>
        <w:top w:val="none" w:sz="0" w:space="0" w:color="auto"/>
        <w:left w:val="none" w:sz="0" w:space="0" w:color="auto"/>
        <w:bottom w:val="none" w:sz="0" w:space="0" w:color="auto"/>
        <w:right w:val="none" w:sz="0" w:space="0" w:color="auto"/>
      </w:divBdr>
    </w:div>
    <w:div w:id="2104105877">
      <w:bodyDiv w:val="1"/>
      <w:marLeft w:val="0"/>
      <w:marRight w:val="0"/>
      <w:marTop w:val="0"/>
      <w:marBottom w:val="0"/>
      <w:divBdr>
        <w:top w:val="none" w:sz="0" w:space="0" w:color="auto"/>
        <w:left w:val="none" w:sz="0" w:space="0" w:color="auto"/>
        <w:bottom w:val="none" w:sz="0" w:space="0" w:color="auto"/>
        <w:right w:val="none" w:sz="0" w:space="0" w:color="auto"/>
      </w:divBdr>
    </w:div>
    <w:div w:id="214669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en/country/srilanka" TargetMode="External"/><Relationship Id="rId18" Type="http://schemas.openxmlformats.org/officeDocument/2006/relationships/hyperlink" Target="http://www.facebook.com/worldbank" TargetMode="External"/><Relationship Id="rId26" Type="http://schemas.openxmlformats.org/officeDocument/2006/relationships/footer" Target="footer2.xml"/><Relationship Id="rId39" Type="http://schemas.openxmlformats.org/officeDocument/2006/relationships/image" Target="media/image19.emf"/><Relationship Id="rId21" Type="http://schemas.openxmlformats.org/officeDocument/2006/relationships/hyperlink" Target="https://instagram.com/worldbank/" TargetMode="External"/><Relationship Id="rId34" Type="http://schemas.openxmlformats.org/officeDocument/2006/relationships/hyperlink" Target="https://openknowledge.worldbank.org/handle/10986/24689" TargetMode="External"/><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hyperlink" Target="https://mobile.twitter.com/wb_research" TargetMode="External"/><Relationship Id="rId55" Type="http://schemas.openxmlformats.org/officeDocument/2006/relationships/chart" Target="charts/chart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worldbanksasia" TargetMode="External"/><Relationship Id="rId29" Type="http://schemas.openxmlformats.org/officeDocument/2006/relationships/chart" Target="charts/chart2.xml"/><Relationship Id="rId11" Type="http://schemas.openxmlformats.org/officeDocument/2006/relationships/hyperlink" Target="mailto:infosrilanka@worldbank.org" TargetMode="External"/><Relationship Id="rId24" Type="http://schemas.openxmlformats.org/officeDocument/2006/relationships/header" Target="header1.xml"/><Relationship Id="rId32" Type="http://schemas.openxmlformats.org/officeDocument/2006/relationships/image" Target="media/image15.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eader" Target="header2.xm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hyperlink" Target="http://www.facebook.com/worldbanksrilanka" TargetMode="Externa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image" Target="media/image12.JPG"/><Relationship Id="rId30" Type="http://schemas.openxmlformats.org/officeDocument/2006/relationships/image" Target="media/image13.JPG"/><Relationship Id="rId35" Type="http://schemas.openxmlformats.org/officeDocument/2006/relationships/hyperlink" Target="http://crip.lk/" TargetMode="External"/><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1.emf"/><Relationship Id="rId8" Type="http://schemas.openxmlformats.org/officeDocument/2006/relationships/image" Target="media/image6.JPG"/><Relationship Id="rId51" Type="http://schemas.openxmlformats.org/officeDocument/2006/relationships/hyperlink" Target="http://blogs.worldbank.org/prospect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hyperlink" Target="http://www.dmc.gov.lk/attchments/20170602_SLA%202017%20flood%20%20Rapid%20Impact%20Assessment,v02.pdf" TargetMode="External"/><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image" Target="media/image32.JPG"/><Relationship Id="rId20" Type="http://schemas.openxmlformats.org/officeDocument/2006/relationships/image" Target="media/image10.png"/><Relationship Id="rId41" Type="http://schemas.openxmlformats.org/officeDocument/2006/relationships/image" Target="media/image21.emf"/><Relationship Id="rId54" Type="http://schemas.openxmlformats.org/officeDocument/2006/relationships/image" Target="media/image30.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worldbank" TargetMode="External"/><Relationship Id="rId23" Type="http://schemas.openxmlformats.org/officeDocument/2006/relationships/hyperlink" Target="http://www.linkedin.com/company/the-world-bank" TargetMode="External"/><Relationship Id="rId28" Type="http://schemas.openxmlformats.org/officeDocument/2006/relationships/chart" Target="charts/chart1.xml"/><Relationship Id="rId36" Type="http://schemas.openxmlformats.org/officeDocument/2006/relationships/image" Target="media/image16.emf"/><Relationship Id="rId49" Type="http://schemas.openxmlformats.org/officeDocument/2006/relationships/hyperlink" Target="http://www.worldbank.org/en/publication/global-economic-prospects" TargetMode="External"/><Relationship Id="rId57" Type="http://schemas.openxmlformats.org/officeDocument/2006/relationships/hyperlink" Target="https://openknowledge.worldbank.org/handle/10986/26373" TargetMode="External"/><Relationship Id="rId10" Type="http://schemas.openxmlformats.org/officeDocument/2006/relationships/image" Target="media/image70.jpeg"/><Relationship Id="rId31" Type="http://schemas.openxmlformats.org/officeDocument/2006/relationships/image" Target="media/image14.emf"/><Relationship Id="rId44" Type="http://schemas.openxmlformats.org/officeDocument/2006/relationships/image" Target="media/image24.emf"/><Relationship Id="rId52" Type="http://schemas.openxmlformats.org/officeDocument/2006/relationships/image" Target="media/image29.emf"/><Relationship Id="rId60"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worldbank.org/en/news/feature/2016/02/15/sri-lanka-a-systematic-country-diagnostic" TargetMode="External"/><Relationship Id="rId2" Type="http://schemas.openxmlformats.org/officeDocument/2006/relationships/hyperlink" Target="http://documents.worldbank.org/curated/en/2016/02/25918944/sri-lanka-poverty-welfare-recent-progress-remaining-challenges" TargetMode="External"/><Relationship Id="rId1" Type="http://schemas.openxmlformats.org/officeDocument/2006/relationships/hyperlink" Target="http://www.worldbank.org/en/news/loans-credits/2016/08/01/sri-lanka-dpf" TargetMode="External"/><Relationship Id="rId4" Type="http://schemas.openxmlformats.org/officeDocument/2006/relationships/hyperlink" Target="https://openknowledge.worldbank.org/handle/10986/2468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b411476\Box%20Sync\Sri%20Lanka\Data\Int%20comparisons\Weo%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b411476\Box%20Sync\Sri%20Lanka\Data\Int%20comparisons\Weo%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b411476\Box%20Sync\Sri%20Lanka\Data\Rebased%20National%20Accounts%20201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35205025601308"/>
          <c:y val="6.4046579330422126E-2"/>
          <c:w val="0.80507723419818411"/>
          <c:h val="0.7472878772249538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9"/>
            <c:marker>
              <c:symbol val="circle"/>
              <c:size val="5"/>
              <c:spPr>
                <a:solidFill>
                  <a:srgbClr val="C00000"/>
                </a:solidFill>
                <a:ln w="9525">
                  <a:noFill/>
                </a:ln>
                <a:effectLst/>
              </c:spPr>
            </c:marker>
            <c:bubble3D val="0"/>
            <c:extLst>
              <c:ext xmlns:c16="http://schemas.microsoft.com/office/drawing/2014/chart" uri="{C3380CC4-5D6E-409C-BE32-E72D297353CC}">
                <c16:uniqueId val="{00000000-162A-48D4-B099-72BA773A9520}"/>
              </c:ext>
            </c:extLst>
          </c:dPt>
          <c:dPt>
            <c:idx val="13"/>
            <c:marker>
              <c:symbol val="circle"/>
              <c:size val="5"/>
              <c:spPr>
                <a:solidFill>
                  <a:srgbClr val="C00000"/>
                </a:solidFill>
                <a:ln w="9525">
                  <a:noFill/>
                </a:ln>
                <a:effectLst/>
              </c:spPr>
            </c:marker>
            <c:bubble3D val="0"/>
            <c:extLst>
              <c:ext xmlns:c16="http://schemas.microsoft.com/office/drawing/2014/chart" uri="{C3380CC4-5D6E-409C-BE32-E72D297353CC}">
                <c16:uniqueId val="{00000001-162A-48D4-B099-72BA773A9520}"/>
              </c:ext>
            </c:extLst>
          </c:dPt>
          <c:dPt>
            <c:idx val="14"/>
            <c:marker>
              <c:symbol val="circle"/>
              <c:size val="5"/>
              <c:spPr>
                <a:solidFill>
                  <a:srgbClr val="C00000"/>
                </a:solidFill>
                <a:ln w="9525">
                  <a:noFill/>
                </a:ln>
                <a:effectLst/>
              </c:spPr>
            </c:marker>
            <c:bubble3D val="0"/>
            <c:extLst>
              <c:ext xmlns:c16="http://schemas.microsoft.com/office/drawing/2014/chart" uri="{C3380CC4-5D6E-409C-BE32-E72D297353CC}">
                <c16:uniqueId val="{00000002-162A-48D4-B099-72BA773A9520}"/>
              </c:ext>
            </c:extLst>
          </c:dPt>
          <c:dLbls>
            <c:dLbl>
              <c:idx val="0"/>
              <c:layout>
                <c:manualLayout>
                  <c:x val="-2.234636871508389E-2"/>
                  <c:y val="-3.3542972509553161E-2"/>
                </c:manualLayout>
              </c:layout>
              <c:tx>
                <c:rich>
                  <a:bodyPr/>
                  <a:lstStyle/>
                  <a:p>
                    <a:fld id="{98B65E64-75BD-4BC9-82C4-D9E6E417DF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62A-48D4-B099-72BA773A9520}"/>
                </c:ext>
              </c:extLst>
            </c:dLbl>
            <c:dLbl>
              <c:idx val="1"/>
              <c:tx>
                <c:rich>
                  <a:bodyPr/>
                  <a:lstStyle/>
                  <a:p>
                    <a:fld id="{E8EE827C-30D0-46CE-80C1-EB6630DE332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62A-48D4-B099-72BA773A9520}"/>
                </c:ext>
              </c:extLst>
            </c:dLbl>
            <c:dLbl>
              <c:idx val="2"/>
              <c:tx>
                <c:rich>
                  <a:bodyPr/>
                  <a:lstStyle/>
                  <a:p>
                    <a:fld id="{3F859EC0-C5A8-4ED9-88A3-9602582E42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62A-48D4-B099-72BA773A9520}"/>
                </c:ext>
              </c:extLst>
            </c:dLbl>
            <c:dLbl>
              <c:idx val="3"/>
              <c:tx>
                <c:rich>
                  <a:bodyPr/>
                  <a:lstStyle/>
                  <a:p>
                    <a:fld id="{9D57ED09-D176-4180-A982-DFBD7D8A80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62A-48D4-B099-72BA773A9520}"/>
                </c:ext>
              </c:extLst>
            </c:dLbl>
            <c:dLbl>
              <c:idx val="4"/>
              <c:tx>
                <c:rich>
                  <a:bodyPr/>
                  <a:lstStyle/>
                  <a:p>
                    <a:fld id="{A31880D7-B260-4B06-A5F9-1DB37F79D3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62A-48D4-B099-72BA773A9520}"/>
                </c:ext>
              </c:extLst>
            </c:dLbl>
            <c:dLbl>
              <c:idx val="5"/>
              <c:tx>
                <c:rich>
                  <a:bodyPr/>
                  <a:lstStyle/>
                  <a:p>
                    <a:fld id="{E3F32E84-FF94-46EA-97AA-B5FD024FDA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62A-48D4-B099-72BA773A9520}"/>
                </c:ext>
              </c:extLst>
            </c:dLbl>
            <c:dLbl>
              <c:idx val="6"/>
              <c:layout>
                <c:manualLayout>
                  <c:x val="-4.9658597144630758E-2"/>
                  <c:y val="-2.3480080756687199E-2"/>
                </c:manualLayout>
              </c:layout>
              <c:tx>
                <c:rich>
                  <a:bodyPr/>
                  <a:lstStyle/>
                  <a:p>
                    <a:fld id="{8C1E1277-EFAD-483E-BC18-CBDFD0CEA0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62A-48D4-B099-72BA773A9520}"/>
                </c:ext>
              </c:extLst>
            </c:dLbl>
            <c:dLbl>
              <c:idx val="7"/>
              <c:tx>
                <c:rich>
                  <a:bodyPr/>
                  <a:lstStyle/>
                  <a:p>
                    <a:fld id="{9BE66296-BACC-4667-91E2-888FEC6C53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62A-48D4-B099-72BA773A9520}"/>
                </c:ext>
              </c:extLst>
            </c:dLbl>
            <c:dLbl>
              <c:idx val="8"/>
              <c:tx>
                <c:rich>
                  <a:bodyPr/>
                  <a:lstStyle/>
                  <a:p>
                    <a:fld id="{06369C04-EA66-4DEB-ADBE-0BB4F547E3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62A-48D4-B099-72BA773A9520}"/>
                </c:ext>
              </c:extLst>
            </c:dLbl>
            <c:dLbl>
              <c:idx val="9"/>
              <c:tx>
                <c:rich>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fld id="{6659A5EB-1F8F-4FB6-96AB-A8C29B8E91B3}" type="CELLRANGE">
                      <a:rPr lang="en-US"/>
                      <a:pPr>
                        <a:defRPr sz="700">
                          <a:solidFill>
                            <a:srgbClr val="FF0000"/>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62A-48D4-B099-72BA773A9520}"/>
                </c:ext>
              </c:extLst>
            </c:dLbl>
            <c:dLbl>
              <c:idx val="10"/>
              <c:tx>
                <c:rich>
                  <a:bodyPr/>
                  <a:lstStyle/>
                  <a:p>
                    <a:fld id="{C31BF9D9-BDC3-45B2-86DA-E3AD1BBC02F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62A-48D4-B099-72BA773A9520}"/>
                </c:ext>
              </c:extLst>
            </c:dLbl>
            <c:dLbl>
              <c:idx val="11"/>
              <c:tx>
                <c:rich>
                  <a:bodyPr/>
                  <a:lstStyle/>
                  <a:p>
                    <a:fld id="{6B9D5AD6-317F-43B7-B72D-2F92FC9AFF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62A-48D4-B099-72BA773A9520}"/>
                </c:ext>
              </c:extLst>
            </c:dLbl>
            <c:dLbl>
              <c:idx val="12"/>
              <c:layout>
                <c:manualLayout>
                  <c:x val="-3.4761018001241463E-2"/>
                  <c:y val="2.0125783505731888E-2"/>
                </c:manualLayout>
              </c:layout>
              <c:tx>
                <c:rich>
                  <a:bodyPr/>
                  <a:lstStyle/>
                  <a:p>
                    <a:fld id="{643CC308-398E-4F98-9C76-21D6CF96FE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62A-48D4-B099-72BA773A9520}"/>
                </c:ext>
              </c:extLst>
            </c:dLbl>
            <c:dLbl>
              <c:idx val="13"/>
              <c:layout>
                <c:manualLayout>
                  <c:x val="0"/>
                  <c:y val="1.4391940513312544E-2"/>
                </c:manualLayout>
              </c:layout>
              <c:tx>
                <c:rich>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fld id="{8CAAD7FF-4CC6-4167-AF5C-9B4B68B7E73C}" type="CELLRANGE">
                      <a:rPr lang="en-US"/>
                      <a:pPr>
                        <a:defRPr sz="700">
                          <a:solidFill>
                            <a:srgbClr val="FF0000"/>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62A-48D4-B099-72BA773A9520}"/>
                </c:ext>
              </c:extLst>
            </c:dLbl>
            <c:dLbl>
              <c:idx val="14"/>
              <c:tx>
                <c:rich>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fld id="{C4983ED2-9B29-40E5-9402-D68495357804}" type="CELLRANGE">
                      <a:rPr lang="en-US"/>
                      <a:pPr>
                        <a:defRPr sz="700">
                          <a:solidFill>
                            <a:srgbClr val="FF0000"/>
                          </a:solidFill>
                        </a:defRPr>
                      </a:pPr>
                      <a:t>[CELLRANGE]</a:t>
                    </a:fld>
                    <a:endParaRPr lang="en-US"/>
                  </a:p>
                </c:rich>
              </c:tx>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FF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62A-48D4-B099-72BA773A952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'WEOApr2017all (2)'!$AO$8486:$AO$8500</c:f>
              <c:numCache>
                <c:formatCode>General</c:formatCode>
                <c:ptCount val="15"/>
                <c:pt idx="0">
                  <c:v>6.2732499999999991</c:v>
                </c:pt>
                <c:pt idx="1">
                  <c:v>6.1135000000000002</c:v>
                </c:pt>
                <c:pt idx="2">
                  <c:v>2.6256249999999999</c:v>
                </c:pt>
                <c:pt idx="3">
                  <c:v>7.4178750000000004</c:v>
                </c:pt>
                <c:pt idx="4">
                  <c:v>5.4669999999999996</c:v>
                </c:pt>
                <c:pt idx="5">
                  <c:v>3.1292499999999999</c:v>
                </c:pt>
                <c:pt idx="6">
                  <c:v>4.586875</c:v>
                </c:pt>
                <c:pt idx="7">
                  <c:v>5.6438749999999995</c:v>
                </c:pt>
                <c:pt idx="8">
                  <c:v>4.6542500000000002</c:v>
                </c:pt>
                <c:pt idx="9">
                  <c:v>5.8076249999999998</c:v>
                </c:pt>
                <c:pt idx="10">
                  <c:v>2.9097499999999998</c:v>
                </c:pt>
                <c:pt idx="11">
                  <c:v>3.0905</c:v>
                </c:pt>
                <c:pt idx="12">
                  <c:v>5.9504999999999999</c:v>
                </c:pt>
                <c:pt idx="13">
                  <c:v>7.2762500000000001</c:v>
                </c:pt>
                <c:pt idx="14">
                  <c:v>4.3389999999999995</c:v>
                </c:pt>
              </c:numCache>
            </c:numRef>
          </c:xVal>
          <c:yVal>
            <c:numRef>
              <c:f>'WEOApr2017all (2)'!$AP$8486:$AP$8500</c:f>
              <c:numCache>
                <c:formatCode>General</c:formatCode>
                <c:ptCount val="15"/>
                <c:pt idx="0">
                  <c:v>7.3792500000000008</c:v>
                </c:pt>
                <c:pt idx="1">
                  <c:v>2.8454999999999999</c:v>
                </c:pt>
                <c:pt idx="2">
                  <c:v>3.3293749999999998</c:v>
                </c:pt>
                <c:pt idx="3">
                  <c:v>8.0918749999999999</c:v>
                </c:pt>
                <c:pt idx="4">
                  <c:v>5.2761250000000004</c:v>
                </c:pt>
                <c:pt idx="5">
                  <c:v>2.020375</c:v>
                </c:pt>
                <c:pt idx="6">
                  <c:v>2.0747499999999999</c:v>
                </c:pt>
                <c:pt idx="7">
                  <c:v>3.2732499999999995</c:v>
                </c:pt>
                <c:pt idx="8">
                  <c:v>1.946625</c:v>
                </c:pt>
                <c:pt idx="9">
                  <c:v>4.8478750000000002</c:v>
                </c:pt>
                <c:pt idx="10">
                  <c:v>0.81574999999999998</c:v>
                </c:pt>
                <c:pt idx="11">
                  <c:v>1.578875</c:v>
                </c:pt>
                <c:pt idx="12">
                  <c:v>7.2101250000000006</c:v>
                </c:pt>
                <c:pt idx="13">
                  <c:v>5.9857499999999995</c:v>
                </c:pt>
                <c:pt idx="14">
                  <c:v>3.71</c:v>
                </c:pt>
              </c:numCache>
            </c:numRef>
          </c:yVal>
          <c:smooth val="0"/>
          <c:extLst>
            <c:ext xmlns:c15="http://schemas.microsoft.com/office/drawing/2012/chart" uri="{02D57815-91ED-43cb-92C2-25804820EDAC}">
              <c15:datalabelsRange>
                <c15:f>'WEOApr2017all (2)'!$AN$8486:$AN$8500</c15:f>
                <c15:dlblRangeCache>
                  <c:ptCount val="15"/>
                  <c:pt idx="0">
                    <c:v>Bangladesh</c:v>
                  </c:pt>
                  <c:pt idx="1">
                    <c:v>Cambodia</c:v>
                  </c:pt>
                  <c:pt idx="2">
                    <c:v>Hong Kong</c:v>
                  </c:pt>
                  <c:pt idx="3">
                    <c:v>India</c:v>
                  </c:pt>
                  <c:pt idx="4">
                    <c:v>Indonesia</c:v>
                  </c:pt>
                  <c:pt idx="5">
                    <c:v>Korea</c:v>
                  </c:pt>
                  <c:pt idx="6">
                    <c:v>Malaysia</c:v>
                  </c:pt>
                  <c:pt idx="7">
                    <c:v>Philippines</c:v>
                  </c:pt>
                  <c:pt idx="8">
                    <c:v>Singapore</c:v>
                  </c:pt>
                  <c:pt idx="9">
                    <c:v>Sri Lanka</c:v>
                  </c:pt>
                  <c:pt idx="10">
                    <c:v>Taiwan Province</c:v>
                  </c:pt>
                  <c:pt idx="11">
                    <c:v>Thailand</c:v>
                  </c:pt>
                  <c:pt idx="12">
                    <c:v>Vietnam</c:v>
                  </c:pt>
                  <c:pt idx="13">
                    <c:v>SL 2009-12</c:v>
                  </c:pt>
                  <c:pt idx="14">
                    <c:v>SL 2013-16</c:v>
                  </c:pt>
                </c15:dlblRangeCache>
              </c15:datalabelsRange>
            </c:ext>
            <c:ext xmlns:c16="http://schemas.microsoft.com/office/drawing/2014/chart" uri="{C3380CC4-5D6E-409C-BE32-E72D297353CC}">
              <c16:uniqueId val="{0000000F-162A-48D4-B099-72BA773A9520}"/>
            </c:ext>
          </c:extLst>
        </c:ser>
        <c:dLbls>
          <c:showLegendKey val="0"/>
          <c:showVal val="0"/>
          <c:showCatName val="0"/>
          <c:showSerName val="0"/>
          <c:showPercent val="0"/>
          <c:showBubbleSize val="0"/>
        </c:dLbls>
        <c:axId val="682594256"/>
        <c:axId val="682593472"/>
      </c:scatterChart>
      <c:valAx>
        <c:axId val="682594256"/>
        <c:scaling>
          <c:orientation val="minMax"/>
          <c:min val="2"/>
        </c:scaling>
        <c:delete val="0"/>
        <c:axPos val="b"/>
        <c:title>
          <c:tx>
            <c:strRef>
              <c:f>'WEOApr2017all (2)'!$AO$8485</c:f>
              <c:strCache>
                <c:ptCount val="1"/>
                <c:pt idx="0">
                  <c:v>Growth, average 2009-16 (%)</c:v>
                </c:pt>
              </c:strCache>
            </c:strRef>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93472"/>
        <c:crosses val="autoZero"/>
        <c:crossBetween val="midCat"/>
      </c:valAx>
      <c:valAx>
        <c:axId val="682593472"/>
        <c:scaling>
          <c:orientation val="minMax"/>
        </c:scaling>
        <c:delete val="0"/>
        <c:axPos val="l"/>
        <c:title>
          <c:tx>
            <c:strRef>
              <c:f>'WEOApr2017all (2)'!$AP$8485</c:f>
              <c:strCache>
                <c:ptCount val="1"/>
                <c:pt idx="0">
                  <c:v>Inflation, average 2009-2016, (%)</c:v>
                </c:pt>
              </c:strCache>
            </c:strRef>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94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94597403512479"/>
          <c:y val="6.0693681582485115E-2"/>
          <c:w val="0.75750004403811955"/>
          <c:h val="0.75072000422057794"/>
        </c:manualLayout>
      </c:layout>
      <c:scatterChart>
        <c:scatterStyle val="lineMarker"/>
        <c:varyColors val="0"/>
        <c:ser>
          <c:idx val="0"/>
          <c:order val="0"/>
          <c:spPr>
            <a:ln w="19050" cap="rnd">
              <a:noFill/>
              <a:round/>
            </a:ln>
            <a:effectLst/>
          </c:spPr>
          <c:marker>
            <c:symbol val="circle"/>
            <c:size val="5"/>
            <c:spPr>
              <a:solidFill>
                <a:srgbClr val="002060"/>
              </a:solidFill>
              <a:ln w="9525">
                <a:noFill/>
              </a:ln>
              <a:effectLst/>
            </c:spPr>
          </c:marker>
          <c:dPt>
            <c:idx val="9"/>
            <c:marker>
              <c:symbol val="circle"/>
              <c:size val="5"/>
              <c:spPr>
                <a:solidFill>
                  <a:srgbClr val="002060"/>
                </a:solidFill>
                <a:ln w="9525">
                  <a:noFill/>
                </a:ln>
                <a:effectLst/>
              </c:spPr>
            </c:marker>
            <c:bubble3D val="0"/>
            <c:extLst>
              <c:ext xmlns:c16="http://schemas.microsoft.com/office/drawing/2014/chart" uri="{C3380CC4-5D6E-409C-BE32-E72D297353CC}">
                <c16:uniqueId val="{00000000-516A-428C-A715-F0B88235269F}"/>
              </c:ext>
            </c:extLst>
          </c:dPt>
          <c:dPt>
            <c:idx val="10"/>
            <c:marker>
              <c:symbol val="circle"/>
              <c:size val="5"/>
              <c:spPr>
                <a:solidFill>
                  <a:srgbClr val="FF0000"/>
                </a:solidFill>
                <a:ln w="9525">
                  <a:noFill/>
                </a:ln>
                <a:effectLst/>
              </c:spPr>
            </c:marker>
            <c:bubble3D val="0"/>
            <c:extLst>
              <c:ext xmlns:c16="http://schemas.microsoft.com/office/drawing/2014/chart" uri="{C3380CC4-5D6E-409C-BE32-E72D297353CC}">
                <c16:uniqueId val="{00000001-516A-428C-A715-F0B88235269F}"/>
              </c:ext>
            </c:extLst>
          </c:dPt>
          <c:dPt>
            <c:idx val="13"/>
            <c:marker>
              <c:symbol val="circle"/>
              <c:size val="5"/>
              <c:spPr>
                <a:solidFill>
                  <a:srgbClr val="002060"/>
                </a:solidFill>
                <a:ln w="9525">
                  <a:noFill/>
                </a:ln>
                <a:effectLst/>
              </c:spPr>
            </c:marker>
            <c:bubble3D val="0"/>
            <c:extLst>
              <c:ext xmlns:c16="http://schemas.microsoft.com/office/drawing/2014/chart" uri="{C3380CC4-5D6E-409C-BE32-E72D297353CC}">
                <c16:uniqueId val="{00000002-516A-428C-A715-F0B88235269F}"/>
              </c:ext>
            </c:extLst>
          </c:dPt>
          <c:dPt>
            <c:idx val="14"/>
            <c:marker>
              <c:symbol val="circle"/>
              <c:size val="5"/>
              <c:spPr>
                <a:solidFill>
                  <a:srgbClr val="002060"/>
                </a:solidFill>
                <a:ln w="9525">
                  <a:noFill/>
                </a:ln>
                <a:effectLst/>
              </c:spPr>
            </c:marker>
            <c:bubble3D val="0"/>
            <c:extLst>
              <c:ext xmlns:c16="http://schemas.microsoft.com/office/drawing/2014/chart" uri="{C3380CC4-5D6E-409C-BE32-E72D297353CC}">
                <c16:uniqueId val="{00000003-516A-428C-A715-F0B88235269F}"/>
              </c:ext>
            </c:extLst>
          </c:dPt>
          <c:dLbls>
            <c:dLbl>
              <c:idx val="0"/>
              <c:layout>
                <c:manualLayout>
                  <c:x val="-2.234636871508389E-2"/>
                  <c:y val="-3.3542972509553161E-2"/>
                </c:manualLayout>
              </c:layout>
              <c:tx>
                <c:rich>
                  <a:bodyPr/>
                  <a:lstStyle/>
                  <a:p>
                    <a:fld id="{F67D4B6F-F014-44D9-BE9F-FA2D73B2867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516A-428C-A715-F0B88235269F}"/>
                </c:ext>
              </c:extLst>
            </c:dLbl>
            <c:dLbl>
              <c:idx val="1"/>
              <c:layout>
                <c:manualLayout>
                  <c:x val="-6.2639821029082943E-2"/>
                  <c:y val="2.6016260162601626E-2"/>
                </c:manualLayout>
              </c:layout>
              <c:tx>
                <c:rich>
                  <a:bodyPr/>
                  <a:lstStyle/>
                  <a:p>
                    <a:fld id="{7D02C09B-1696-44AD-992A-0BD2BE6E1D0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16A-428C-A715-F0B88235269F}"/>
                </c:ext>
              </c:extLst>
            </c:dLbl>
            <c:dLbl>
              <c:idx val="2"/>
              <c:layout>
                <c:manualLayout>
                  <c:x val="-0.1763631559477884"/>
                  <c:y val="-2.6425452915946512E-2"/>
                </c:manualLayout>
              </c:layout>
              <c:tx>
                <c:rich>
                  <a:bodyPr/>
                  <a:lstStyle/>
                  <a:p>
                    <a:fld id="{B3D8E9F6-7C45-4E8B-A7D6-30EA783B28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516A-428C-A715-F0B88235269F}"/>
                </c:ext>
              </c:extLst>
            </c:dLbl>
            <c:dLbl>
              <c:idx val="3"/>
              <c:tx>
                <c:rich>
                  <a:bodyPr/>
                  <a:lstStyle/>
                  <a:p>
                    <a:fld id="{471132F5-FC78-4AD6-A302-612F002FFA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16A-428C-A715-F0B88235269F}"/>
                </c:ext>
              </c:extLst>
            </c:dLbl>
            <c:dLbl>
              <c:idx val="4"/>
              <c:layout>
                <c:manualLayout>
                  <c:x val="-0.11674752065387808"/>
                  <c:y val="0"/>
                </c:manualLayout>
              </c:layout>
              <c:tx>
                <c:rich>
                  <a:bodyPr/>
                  <a:lstStyle/>
                  <a:p>
                    <a:fld id="{01B7B81C-5C95-45DE-B347-AA87E0954B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516A-428C-A715-F0B88235269F}"/>
                </c:ext>
              </c:extLst>
            </c:dLbl>
            <c:dLbl>
              <c:idx val="5"/>
              <c:tx>
                <c:rich>
                  <a:bodyPr/>
                  <a:lstStyle/>
                  <a:p>
                    <a:fld id="{F4A9181A-6694-4295-A250-DD8A7BCF21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16A-428C-A715-F0B88235269F}"/>
                </c:ext>
              </c:extLst>
            </c:dLbl>
            <c:dLbl>
              <c:idx val="6"/>
              <c:layout>
                <c:manualLayout>
                  <c:x val="-9.3649703183075264E-3"/>
                  <c:y val="-2.8961526150694576E-2"/>
                </c:manualLayout>
              </c:layout>
              <c:tx>
                <c:rich>
                  <a:bodyPr/>
                  <a:lstStyle/>
                  <a:p>
                    <a:fld id="{C0485C0A-8866-4FBB-BD18-29E4B75EA1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16A-428C-A715-F0B88235269F}"/>
                </c:ext>
              </c:extLst>
            </c:dLbl>
            <c:dLbl>
              <c:idx val="7"/>
              <c:tx>
                <c:rich>
                  <a:bodyPr/>
                  <a:lstStyle/>
                  <a:p>
                    <a:fld id="{8215E963-DC8E-4D1F-A934-F3452488F15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16A-428C-A715-F0B88235269F}"/>
                </c:ext>
              </c:extLst>
            </c:dLbl>
            <c:dLbl>
              <c:idx val="8"/>
              <c:layout>
                <c:manualLayout>
                  <c:x val="-5.1183216191935742E-2"/>
                  <c:y val="-5.2441713078548106E-2"/>
                </c:manualLayout>
              </c:layout>
              <c:tx>
                <c:rich>
                  <a:bodyPr/>
                  <a:lstStyle/>
                  <a:p>
                    <a:fld id="{F011E18C-B537-4087-AD3F-51F800B47C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516A-428C-A715-F0B88235269F}"/>
                </c:ext>
              </c:extLst>
            </c:dLbl>
            <c:dLbl>
              <c:idx val="9"/>
              <c:tx>
                <c:rich>
                  <a:bodyPr/>
                  <a:lstStyle/>
                  <a:p>
                    <a:fld id="{B5898BDF-7C28-4BC6-AFAF-387BE47B02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516A-428C-A715-F0B88235269F}"/>
                </c:ext>
              </c:extLst>
            </c:dLbl>
            <c:dLbl>
              <c:idx val="10"/>
              <c:layout>
                <c:manualLayout>
                  <c:x val="-1.1923056597791047E-2"/>
                  <c:y val="9.244990717623712E-3"/>
                </c:manualLayout>
              </c:layout>
              <c:tx>
                <c:rich>
                  <a:bodyPr/>
                  <a:lstStyle/>
                  <a:p>
                    <a:fld id="{CBDC7F3F-CCAB-475A-898A-D4C996BD9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16A-428C-A715-F0B88235269F}"/>
                </c:ext>
              </c:extLst>
            </c:dLbl>
            <c:dLbl>
              <c:idx val="11"/>
              <c:tx>
                <c:rich>
                  <a:bodyPr/>
                  <a:lstStyle/>
                  <a:p>
                    <a:fld id="{DABD3D5B-0BCA-483B-B1E8-BA4F3F7821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16A-428C-A715-F0B88235269F}"/>
                </c:ext>
              </c:extLst>
            </c:dLbl>
            <c:dLbl>
              <c:idx val="12"/>
              <c:layout>
                <c:manualLayout>
                  <c:x val="-4.8183691803625216E-2"/>
                  <c:y val="2.6629793227066129E-2"/>
                </c:manualLayout>
              </c:layout>
              <c:tx>
                <c:rich>
                  <a:bodyPr/>
                  <a:lstStyle/>
                  <a:p>
                    <a:fld id="{FEC3D67C-8653-4767-9613-4EA810F63F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516A-428C-A715-F0B88235269F}"/>
                </c:ext>
              </c:extLst>
            </c:dLbl>
            <c:dLbl>
              <c:idx val="13"/>
              <c:tx>
                <c:rich>
                  <a:bodyPr/>
                  <a:lstStyle/>
                  <a:p>
                    <a:fld id="{8199BBF3-1DBC-464A-A0B5-A6726C34C1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16A-428C-A715-F0B88235269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'WEOApr2017all (2)'!$BJ$8455:$BJ$8468</c:f>
              <c:numCache>
                <c:formatCode>General</c:formatCode>
                <c:ptCount val="14"/>
                <c:pt idx="0">
                  <c:v>33.905000000000001</c:v>
                </c:pt>
                <c:pt idx="1">
                  <c:v>94.35</c:v>
                </c:pt>
                <c:pt idx="2">
                  <c:v>32.536999999999999</c:v>
                </c:pt>
                <c:pt idx="3">
                  <c:v>6.2E-2</c:v>
                </c:pt>
                <c:pt idx="4">
                  <c:v>69.551000000000002</c:v>
                </c:pt>
                <c:pt idx="5">
                  <c:v>26.870999999999999</c:v>
                </c:pt>
                <c:pt idx="6">
                  <c:v>37.755000000000003</c:v>
                </c:pt>
                <c:pt idx="7">
                  <c:v>57.945999999999998</c:v>
                </c:pt>
                <c:pt idx="8">
                  <c:v>36.28</c:v>
                </c:pt>
                <c:pt idx="9">
                  <c:v>103.239</c:v>
                </c:pt>
                <c:pt idx="10">
                  <c:v>76.036000000000001</c:v>
                </c:pt>
                <c:pt idx="11">
                  <c:v>36.295000000000002</c:v>
                </c:pt>
                <c:pt idx="12">
                  <c:v>42.691000000000003</c:v>
                </c:pt>
                <c:pt idx="13">
                  <c:v>58.253</c:v>
                </c:pt>
              </c:numCache>
            </c:numRef>
          </c:xVal>
          <c:yVal>
            <c:numRef>
              <c:f>'WEOApr2017all (2)'!$BK$8455:$BK$8468</c:f>
              <c:numCache>
                <c:formatCode>General</c:formatCode>
                <c:ptCount val="14"/>
                <c:pt idx="0">
                  <c:v>-3.8810000000000002</c:v>
                </c:pt>
                <c:pt idx="1">
                  <c:v>-0.19500000000000028</c:v>
                </c:pt>
                <c:pt idx="2">
                  <c:v>-1.5519999999999996</c:v>
                </c:pt>
                <c:pt idx="3">
                  <c:v>0.59499999999999886</c:v>
                </c:pt>
                <c:pt idx="4">
                  <c:v>-7.0740000000000016</c:v>
                </c:pt>
                <c:pt idx="5">
                  <c:v>-2.4939999999999998</c:v>
                </c:pt>
                <c:pt idx="6">
                  <c:v>0.33800000000000097</c:v>
                </c:pt>
                <c:pt idx="7">
                  <c:v>-2.8509999999999991</c:v>
                </c:pt>
                <c:pt idx="8">
                  <c:v>0.61599999999999966</c:v>
                </c:pt>
                <c:pt idx="9">
                  <c:v>3.6859999999999999</c:v>
                </c:pt>
                <c:pt idx="10">
                  <c:v>-6.984</c:v>
                </c:pt>
                <c:pt idx="11">
                  <c:v>-1.7789999999999999</c:v>
                </c:pt>
                <c:pt idx="12">
                  <c:v>0.13299999999999912</c:v>
                </c:pt>
                <c:pt idx="13">
                  <c:v>-6.213000000000001</c:v>
                </c:pt>
              </c:numCache>
            </c:numRef>
          </c:yVal>
          <c:smooth val="0"/>
          <c:extLst>
            <c:ext xmlns:c15="http://schemas.microsoft.com/office/drawing/2012/chart" uri="{02D57815-91ED-43cb-92C2-25804820EDAC}">
              <c15:datalabelsRange>
                <c15:f>'WEOApr2017all (2)'!$BI$8455:$BI$8468</c15:f>
                <c15:dlblRangeCache>
                  <c:ptCount val="14"/>
                  <c:pt idx="0">
                    <c:v>Bangladesh</c:v>
                  </c:pt>
                  <c:pt idx="1">
                    <c:v>Bhutan</c:v>
                  </c:pt>
                  <c:pt idx="2">
                    <c:v>Cambodia</c:v>
                  </c:pt>
                  <c:pt idx="3">
                    <c:v>Hong Kong SAR</c:v>
                  </c:pt>
                  <c:pt idx="4">
                    <c:v>India</c:v>
                  </c:pt>
                  <c:pt idx="5">
                    <c:v>Indonesia</c:v>
                  </c:pt>
                  <c:pt idx="6">
                    <c:v>Korea</c:v>
                  </c:pt>
                  <c:pt idx="7">
                    <c:v>Malaysia</c:v>
                  </c:pt>
                  <c:pt idx="8">
                    <c:v>Philippines</c:v>
                  </c:pt>
                  <c:pt idx="9">
                    <c:v>Singapore</c:v>
                  </c:pt>
                  <c:pt idx="10">
                    <c:v>Sri Lanka</c:v>
                  </c:pt>
                  <c:pt idx="11">
                    <c:v>Taiwan</c:v>
                  </c:pt>
                  <c:pt idx="12">
                    <c:v>Thailand</c:v>
                  </c:pt>
                  <c:pt idx="13">
                    <c:v>Vietnam</c:v>
                  </c:pt>
                </c15:dlblRangeCache>
              </c15:datalabelsRange>
            </c:ext>
            <c:ext xmlns:c16="http://schemas.microsoft.com/office/drawing/2014/chart" uri="{C3380CC4-5D6E-409C-BE32-E72D297353CC}">
              <c16:uniqueId val="{0000000F-516A-428C-A715-F0B88235269F}"/>
            </c:ext>
          </c:extLst>
        </c:ser>
        <c:dLbls>
          <c:showLegendKey val="0"/>
          <c:showVal val="0"/>
          <c:showCatName val="0"/>
          <c:showSerName val="0"/>
          <c:showPercent val="0"/>
          <c:showBubbleSize val="0"/>
        </c:dLbls>
        <c:axId val="682594648"/>
        <c:axId val="688116800"/>
      </c:scatterChart>
      <c:valAx>
        <c:axId val="682594648"/>
        <c:scaling>
          <c:orientation val="minMax"/>
          <c:max val="100"/>
          <c:min val="0"/>
        </c:scaling>
        <c:delete val="0"/>
        <c:axPos val="b"/>
        <c:title>
          <c:tx>
            <c:strRef>
              <c:f>'WEOApr2017all (2)'!$BJ$8454</c:f>
              <c:strCache>
                <c:ptCount val="1"/>
                <c:pt idx="0">
                  <c:v>Gross debt, 2015 (% of GDP)</c:v>
                </c:pt>
              </c:strCache>
            </c:strRef>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116800"/>
        <c:crosses val="autoZero"/>
        <c:crossBetween val="midCat"/>
      </c:valAx>
      <c:valAx>
        <c:axId val="688116800"/>
        <c:scaling>
          <c:orientation val="minMax"/>
          <c:max val="2"/>
        </c:scaling>
        <c:delete val="0"/>
        <c:axPos val="l"/>
        <c:title>
          <c:tx>
            <c:strRef>
              <c:f>'WEOApr2017all (2)'!$BK$8454</c:f>
              <c:strCache>
                <c:ptCount val="1"/>
                <c:pt idx="0">
                  <c:v>Fiscal balance, 2015 (% of GDP)</c:v>
                </c:pt>
              </c:strCache>
            </c:strRef>
          </c:tx>
          <c:layout>
            <c:manualLayout>
              <c:xMode val="edge"/>
              <c:yMode val="edge"/>
              <c:x val="1.7837235228539576E-2"/>
              <c:y val="8.0469011725293138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5946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734152230971145E-2"/>
          <c:y val="2.8006900089569828E-2"/>
          <c:w val="0.88742618372703408"/>
          <c:h val="0.85809925551479349"/>
        </c:manualLayout>
      </c:layout>
      <c:bubbleChart>
        <c:varyColors val="0"/>
        <c:ser>
          <c:idx val="0"/>
          <c:order val="0"/>
          <c:tx>
            <c:strRef>
              <c:f>'Annual (P)'!$BB$296</c:f>
              <c:strCache>
                <c:ptCount val="1"/>
                <c:pt idx="0">
                  <c:v>Size</c:v>
                </c:pt>
              </c:strCache>
            </c:strRef>
          </c:tx>
          <c:spPr>
            <a:solidFill>
              <a:srgbClr val="002060"/>
            </a:solidFill>
            <a:ln w="25400">
              <a:noFill/>
            </a:ln>
            <a:effectLst/>
          </c:spPr>
          <c:invertIfNegative val="0"/>
          <c:dPt>
            <c:idx val="0"/>
            <c:invertIfNegative val="0"/>
            <c:bubble3D val="1"/>
            <c:spPr>
              <a:solidFill>
                <a:srgbClr val="00B050"/>
              </a:solidFill>
              <a:ln w="25400">
                <a:noFill/>
              </a:ln>
              <a:effectLst/>
            </c:spPr>
            <c:extLst>
              <c:ext xmlns:c16="http://schemas.microsoft.com/office/drawing/2014/chart" uri="{C3380CC4-5D6E-409C-BE32-E72D297353CC}">
                <c16:uniqueId val="{00000001-C0B4-465D-9D40-FEC159542FFD}"/>
              </c:ext>
            </c:extLst>
          </c:dPt>
          <c:dPt>
            <c:idx val="1"/>
            <c:invertIfNegative val="0"/>
            <c:bubble3D val="1"/>
            <c:spPr>
              <a:solidFill>
                <a:srgbClr val="7030A0"/>
              </a:solidFill>
              <a:ln w="25400">
                <a:noFill/>
              </a:ln>
              <a:effectLst/>
            </c:spPr>
            <c:extLst>
              <c:ext xmlns:c16="http://schemas.microsoft.com/office/drawing/2014/chart" uri="{C3380CC4-5D6E-409C-BE32-E72D297353CC}">
                <c16:uniqueId val="{00000003-C0B4-465D-9D40-FEC159542FFD}"/>
              </c:ext>
            </c:extLst>
          </c:dPt>
          <c:dPt>
            <c:idx val="2"/>
            <c:invertIfNegative val="0"/>
            <c:bubble3D val="1"/>
            <c:spPr>
              <a:solidFill>
                <a:srgbClr val="7030A0"/>
              </a:solidFill>
              <a:ln w="25400">
                <a:noFill/>
              </a:ln>
              <a:effectLst/>
            </c:spPr>
            <c:extLst>
              <c:ext xmlns:c16="http://schemas.microsoft.com/office/drawing/2014/chart" uri="{C3380CC4-5D6E-409C-BE32-E72D297353CC}">
                <c16:uniqueId val="{00000005-C0B4-465D-9D40-FEC159542FFD}"/>
              </c:ext>
            </c:extLst>
          </c:dPt>
          <c:dPt>
            <c:idx val="3"/>
            <c:invertIfNegative val="0"/>
            <c:bubble3D val="1"/>
            <c:spPr>
              <a:solidFill>
                <a:srgbClr val="7030A0"/>
              </a:solidFill>
              <a:ln w="25400">
                <a:noFill/>
              </a:ln>
              <a:effectLst/>
            </c:spPr>
            <c:extLst>
              <c:ext xmlns:c16="http://schemas.microsoft.com/office/drawing/2014/chart" uri="{C3380CC4-5D6E-409C-BE32-E72D297353CC}">
                <c16:uniqueId val="{00000007-C0B4-465D-9D40-FEC159542FFD}"/>
              </c:ext>
            </c:extLst>
          </c:dPt>
          <c:dPt>
            <c:idx val="4"/>
            <c:invertIfNegative val="0"/>
            <c:bubble3D val="1"/>
            <c:spPr>
              <a:solidFill>
                <a:srgbClr val="00B0F0"/>
              </a:solidFill>
              <a:ln w="25400">
                <a:noFill/>
              </a:ln>
              <a:effectLst/>
            </c:spPr>
            <c:extLst>
              <c:ext xmlns:c16="http://schemas.microsoft.com/office/drawing/2014/chart" uri="{C3380CC4-5D6E-409C-BE32-E72D297353CC}">
                <c16:uniqueId val="{00000009-C0B4-465D-9D40-FEC159542FFD}"/>
              </c:ext>
            </c:extLst>
          </c:dPt>
          <c:dPt>
            <c:idx val="5"/>
            <c:invertIfNegative val="0"/>
            <c:bubble3D val="1"/>
            <c:spPr>
              <a:solidFill>
                <a:srgbClr val="00B0F0"/>
              </a:solidFill>
              <a:ln w="25400">
                <a:noFill/>
              </a:ln>
              <a:effectLst/>
            </c:spPr>
            <c:extLst>
              <c:ext xmlns:c16="http://schemas.microsoft.com/office/drawing/2014/chart" uri="{C3380CC4-5D6E-409C-BE32-E72D297353CC}">
                <c16:uniqueId val="{0000000B-C0B4-465D-9D40-FEC159542FFD}"/>
              </c:ext>
            </c:extLst>
          </c:dPt>
          <c:dPt>
            <c:idx val="6"/>
            <c:invertIfNegative val="0"/>
            <c:bubble3D val="1"/>
            <c:spPr>
              <a:solidFill>
                <a:srgbClr val="00B0F0"/>
              </a:solidFill>
              <a:ln w="25400">
                <a:noFill/>
              </a:ln>
              <a:effectLst/>
            </c:spPr>
            <c:extLst>
              <c:ext xmlns:c16="http://schemas.microsoft.com/office/drawing/2014/chart" uri="{C3380CC4-5D6E-409C-BE32-E72D297353CC}">
                <c16:uniqueId val="{0000000D-C0B4-465D-9D40-FEC159542FFD}"/>
              </c:ext>
            </c:extLst>
          </c:dPt>
          <c:dPt>
            <c:idx val="7"/>
            <c:invertIfNegative val="0"/>
            <c:bubble3D val="1"/>
            <c:spPr>
              <a:solidFill>
                <a:srgbClr val="00B0F0"/>
              </a:solidFill>
              <a:ln w="25400">
                <a:noFill/>
              </a:ln>
              <a:effectLst/>
            </c:spPr>
            <c:extLst>
              <c:ext xmlns:c16="http://schemas.microsoft.com/office/drawing/2014/chart" uri="{C3380CC4-5D6E-409C-BE32-E72D297353CC}">
                <c16:uniqueId val="{0000000F-C0B4-465D-9D40-FEC159542FFD}"/>
              </c:ext>
            </c:extLst>
          </c:dPt>
          <c:dPt>
            <c:idx val="8"/>
            <c:invertIfNegative val="0"/>
            <c:bubble3D val="1"/>
            <c:spPr>
              <a:solidFill>
                <a:srgbClr val="00B0F0"/>
              </a:solidFill>
              <a:ln w="25400">
                <a:noFill/>
              </a:ln>
              <a:effectLst/>
            </c:spPr>
            <c:extLst>
              <c:ext xmlns:c16="http://schemas.microsoft.com/office/drawing/2014/chart" uri="{C3380CC4-5D6E-409C-BE32-E72D297353CC}">
                <c16:uniqueId val="{00000011-C0B4-465D-9D40-FEC159542FFD}"/>
              </c:ext>
            </c:extLst>
          </c:dPt>
          <c:dLbls>
            <c:dLbl>
              <c:idx val="0"/>
              <c:layout>
                <c:manualLayout>
                  <c:x val="-6.9496764259743424E-2"/>
                  <c:y val="-2.3736583763338686E-2"/>
                </c:manualLayout>
              </c:layout>
              <c:tx>
                <c:strRef>
                  <c:f>'Annual (P)'!$AZ$297</c:f>
                  <c:strCache>
                    <c:ptCount val="1"/>
                    <c:pt idx="0">
                      <c:v>Rice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{3BE5510F-05DB-4785-82D4-8B04197764D7}</c15:txfldGUID>
                      <c15:f>'Annual (P)'!$AZ$297</c15:f>
                      <c15:dlblFieldTableCache>
                        <c:ptCount val="1"/>
                        <c:pt idx="0">
                          <c:v>Rice </c:v>
                        </c:pt>
                      </c15:dlblFieldTableCache>
                    </c15:dlblFTEntry>
                  </c15:dlblFieldTable>
                  <c15:showDataLabelsRange val="0"/>
                </c:ext>
                <c:ext xmlns:c16="http://schemas.microsoft.com/office/drawing/2014/chart" uri="{C3380CC4-5D6E-409C-BE32-E72D297353CC}">
                  <c16:uniqueId val="{00000001-C0B4-465D-9D40-FEC159542FFD}"/>
                </c:ext>
              </c:extLst>
            </c:dLbl>
            <c:dLbl>
              <c:idx val="1"/>
              <c:layout>
                <c:manualLayout>
                  <c:x val="-6.8401049868766425E-2"/>
                  <c:y val="4.3038531972756935E-2"/>
                </c:manualLayout>
              </c:layout>
              <c:tx>
                <c:strRef>
                  <c:f>'Annual (P)'!$AZ$298</c:f>
                  <c:strCache>
                    <c:ptCount val="1"/>
                    <c:pt idx="0">
                      <c:v>Tea (Green leaves)</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{1EDBBD0B-4C9F-4EC6-988B-7D93745C29D5}</c15:txfldGUID>
                      <c15:f>'Annual (P)'!$AZ$298</c15:f>
                      <c15:dlblFieldTableCache>
                        <c:ptCount val="1"/>
                        <c:pt idx="0">
                          <c:v>Tea (Green leaves)</c:v>
                        </c:pt>
                      </c15:dlblFieldTableCache>
                    </c15:dlblFTEntry>
                  </c15:dlblFieldTable>
                  <c15:showDataLabelsRange val="0"/>
                </c:ext>
                <c:ext xmlns:c16="http://schemas.microsoft.com/office/drawing/2014/chart" uri="{C3380CC4-5D6E-409C-BE32-E72D297353CC}">
                  <c16:uniqueId val="{00000003-C0B4-465D-9D40-FEC159542FFD}"/>
                </c:ext>
              </c:extLst>
            </c:dLbl>
            <c:dLbl>
              <c:idx val="2"/>
              <c:layout>
                <c:manualLayout>
                  <c:x val="-1.2929292929292929E-2"/>
                  <c:y val="1.7935148902337029E-2"/>
                </c:manualLayout>
              </c:layout>
              <c:tx>
                <c:strRef>
                  <c:f>'Annual (P)'!$AZ$299</c:f>
                  <c:strCache>
                    <c:ptCount val="1"/>
                    <c:pt idx="0">
                      <c:v>Marine fishing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{2EDC0BBB-D421-4A2F-A63B-3F3F865F0050}</c15:txfldGUID>
                      <c15:f>'Annual (P)'!$AZ$299</c15:f>
                      <c15:dlblFieldTableCache>
                        <c:ptCount val="1"/>
                        <c:pt idx="0">
                          <c:v>Marine fishing </c:v>
                        </c:pt>
                      </c15:dlblFieldTableCache>
                    </c15:dlblFTEntry>
                  </c15:dlblFieldTable>
                  <c15:showDataLabelsRange val="0"/>
                </c:ext>
                <c:ext xmlns:c16="http://schemas.microsoft.com/office/drawing/2014/chart" uri="{C3380CC4-5D6E-409C-BE32-E72D297353CC}">
                  <c16:uniqueId val="{00000005-C0B4-465D-9D40-FEC159542FFD}"/>
                </c:ext>
              </c:extLst>
            </c:dLbl>
            <c:dLbl>
              <c:idx val="3"/>
              <c:layout>
                <c:manualLayout>
                  <c:x val="-0.11930876640419948"/>
                  <c:y val="-8.1935341619226748E-2"/>
                </c:manualLayout>
              </c:layout>
              <c:tx>
                <c:strRef>
                  <c:f>'Annual (P)'!$AZ$300</c:f>
                  <c:strCache>
                    <c:ptCount val="1"/>
                    <c:pt idx="0">
                      <c:v>Other agricultural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{27C124F3-3813-4ED3-B850-B16A4BD8CAAA}</c15:txfldGUID>
                      <c15:f>'Annual (P)'!$AZ$300</c15:f>
                      <c15:dlblFieldTableCache>
                        <c:ptCount val="1"/>
                        <c:pt idx="0">
                          <c:v>Other agricultural </c:v>
                        </c:pt>
                      </c15:dlblFieldTableCache>
                    </c15:dlblFTEntry>
                  </c15:dlblFieldTable>
                  <c15:showDataLabelsRange val="0"/>
                </c:ext>
                <c:ext xmlns:c16="http://schemas.microsoft.com/office/drawing/2014/chart" uri="{C3380CC4-5D6E-409C-BE32-E72D297353CC}">
                  <c16:uniqueId val="{00000007-C0B4-465D-9D40-FEC159542FFD}"/>
                </c:ext>
              </c:extLst>
            </c:dLbl>
            <c:dLbl>
              <c:idx val="4"/>
              <c:layout>
                <c:manualLayout>
                  <c:x val="1.3692250230579664E-2"/>
                  <c:y val="-2.9277842806766239E-2"/>
                </c:manualLayout>
              </c:layout>
              <c:tx>
                <c:strRef>
                  <c:f>'Annual (P)'!$AZ$301</c:f>
                  <c:strCache>
                    <c:ptCount val="1"/>
                    <c:pt idx="0">
                      <c:v>Mining &amp; quarrying</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{96EB3725-210D-41C6-9D46-DA9457743B4A}</c15:txfldGUID>
                      <c15:f>'Annual (P)'!$AZ$301</c15:f>
                      <c15:dlblFieldTableCache>
                        <c:ptCount val="1"/>
                        <c:pt idx="0">
                          <c:v>Mining &amp; quarrying</c:v>
                        </c:pt>
                      </c15:dlblFieldTableCache>
                    </c15:dlblFTEntry>
                  </c15:dlblFieldTable>
                  <c15:showDataLabelsRange val="0"/>
                </c:ext>
                <c:ext xmlns:c16="http://schemas.microsoft.com/office/drawing/2014/chart" uri="{C3380CC4-5D6E-409C-BE32-E72D297353CC}">
                  <c16:uniqueId val="{00000009-C0B4-465D-9D40-FEC159542FFD}"/>
                </c:ext>
              </c:extLst>
            </c:dLbl>
            <c:dLbl>
              <c:idx val="5"/>
              <c:layout>
                <c:manualLayout>
                  <c:x val="-0.21695361679790026"/>
                  <c:y val="-3.5589189765110659E-3"/>
                </c:manualLayout>
              </c:layout>
              <c:tx>
                <c:strRef>
                  <c:f>'Annual (P)'!$AZ$302</c:f>
                  <c:strCache>
                    <c:ptCount val="1"/>
                    <c:pt idx="0">
                      <c:v>F&amp; B and tobacco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{968AFAE2-685B-4E70-842A-4719AFE55313}</c15:txfldGUID>
                      <c15:f>'Annual (P)'!$AZ$302</c15:f>
                      <c15:dlblFieldTableCache>
                        <c:ptCount val="1"/>
                        <c:pt idx="0">
                          <c:v>F&amp; B and tobacco </c:v>
                        </c:pt>
                      </c15:dlblFieldTableCache>
                    </c15:dlblFTEntry>
                  </c15:dlblFieldTable>
                  <c15:showDataLabelsRange val="0"/>
                </c:ext>
                <c:ext xmlns:c16="http://schemas.microsoft.com/office/drawing/2014/chart" uri="{C3380CC4-5D6E-409C-BE32-E72D297353CC}">
                  <c16:uniqueId val="{0000000B-C0B4-465D-9D40-FEC159542FFD}"/>
                </c:ext>
              </c:extLst>
            </c:dLbl>
            <c:dLbl>
              <c:idx val="6"/>
              <c:layout>
                <c:manualLayout>
                  <c:x val="-7.2130692754314815E-2"/>
                  <c:y val="-4.2165252626104835E-2"/>
                </c:manualLayout>
              </c:layout>
              <c:tx>
                <c:strRef>
                  <c:f>'Annual (P)'!$AZ$303</c:f>
                  <c:strCache>
                    <c:ptCount val="1"/>
                    <c:pt idx="0">
                      <c:v>Textiles &amp; leather</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{70640C13-3ACA-418E-81CF-C6475705DA27}</c15:txfldGUID>
                      <c15:f>'Annual (P)'!$AZ$303</c15:f>
                      <c15:dlblFieldTableCache>
                        <c:ptCount val="1"/>
                        <c:pt idx="0">
                          <c:v>Textiles &amp; leather</c:v>
                        </c:pt>
                      </c15:dlblFieldTableCache>
                    </c15:dlblFTEntry>
                  </c15:dlblFieldTable>
                  <c15:showDataLabelsRange val="0"/>
                </c:ext>
                <c:ext xmlns:c16="http://schemas.microsoft.com/office/drawing/2014/chart" uri="{C3380CC4-5D6E-409C-BE32-E72D297353CC}">
                  <c16:uniqueId val="{0000000D-C0B4-465D-9D40-FEC159542FFD}"/>
                </c:ext>
              </c:extLst>
            </c:dLbl>
            <c:dLbl>
              <c:idx val="7"/>
              <c:tx>
                <c:strRef>
                  <c:f>'Annual (P)'!$AZ$304</c:f>
                  <c:strCache>
                    <c:ptCount val="1"/>
                    <c:pt idx="0">
                      <c:v>Construction</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{3D59D574-1848-42B9-8243-322B7B1BB12C}</c15:txfldGUID>
                      <c15:f>'Annual (P)'!$AZ$304</c15:f>
                      <c15:dlblFieldTableCache>
                        <c:ptCount val="1"/>
                        <c:pt idx="0">
                          <c:v>Construction</c:v>
                        </c:pt>
                      </c15:dlblFieldTableCache>
                    </c15:dlblFTEntry>
                  </c15:dlblFieldTable>
                  <c15:showDataLabelsRange val="0"/>
                </c:ext>
                <c:ext xmlns:c16="http://schemas.microsoft.com/office/drawing/2014/chart" uri="{C3380CC4-5D6E-409C-BE32-E72D297353CC}">
                  <c16:uniqueId val="{0000000F-C0B4-465D-9D40-FEC159542FFD}"/>
                </c:ext>
              </c:extLst>
            </c:dLbl>
            <c:dLbl>
              <c:idx val="8"/>
              <c:layout>
                <c:manualLayout>
                  <c:x val="-0.13808629921259843"/>
                  <c:y val="-7.656277977468566E-2"/>
                </c:manualLayout>
              </c:layout>
              <c:tx>
                <c:strRef>
                  <c:f>'Annual (P)'!$AZ$305</c:f>
                  <c:strCache>
                    <c:ptCount val="1"/>
                    <c:pt idx="0">
                      <c:v>Other industry</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{A2603476-CA05-4D02-B189-F43496639B1B}</c15:txfldGUID>
                      <c15:f>'Annual (P)'!$AZ$305</c15:f>
                      <c15:dlblFieldTableCache>
                        <c:ptCount val="1"/>
                        <c:pt idx="0">
                          <c:v>Other industry</c:v>
                        </c:pt>
                      </c15:dlblFieldTableCache>
                    </c15:dlblFTEntry>
                  </c15:dlblFieldTable>
                  <c15:showDataLabelsRange val="0"/>
                </c:ext>
                <c:ext xmlns:c16="http://schemas.microsoft.com/office/drawing/2014/chart" uri="{C3380CC4-5D6E-409C-BE32-E72D297353CC}">
                  <c16:uniqueId val="{00000011-C0B4-465D-9D40-FEC159542FFD}"/>
                </c:ext>
              </c:extLst>
            </c:dLbl>
            <c:dLbl>
              <c:idx val="9"/>
              <c:layout>
                <c:manualLayout>
                  <c:x val="-1.0666666666666666E-2"/>
                  <c:y val="4.1345611727118925E-2"/>
                </c:manualLayout>
              </c:layout>
              <c:tx>
                <c:strRef>
                  <c:f>'Annual (P)'!$AZ$306</c:f>
                  <c:strCache>
                    <c:ptCount val="1"/>
                    <c:pt idx="0">
                      <c:v>Wholesale &amp; retail trade</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{573B4A35-F050-4560-9CC5-F7C6DB0CD623}</c15:txfldGUID>
                      <c15:f>'Annual (P)'!$AZ$306</c15:f>
                      <c15:dlblFieldTableCache>
                        <c:ptCount val="1"/>
                        <c:pt idx="0">
                          <c:v>Wholesale &amp; retail trade</c:v>
                        </c:pt>
                      </c15:dlblFieldTableCache>
                    </c15:dlblFTEntry>
                  </c15:dlblFieldTable>
                  <c15:showDataLabelsRange val="0"/>
                </c:ext>
                <c:ext xmlns:c16="http://schemas.microsoft.com/office/drawing/2014/chart" uri="{C3380CC4-5D6E-409C-BE32-E72D297353CC}">
                  <c16:uniqueId val="{00000012-C0B4-465D-9D40-FEC159542FFD}"/>
                </c:ext>
              </c:extLst>
            </c:dLbl>
            <c:dLbl>
              <c:idx val="10"/>
              <c:layout>
                <c:manualLayout>
                  <c:x val="-0.26181818181818189"/>
                  <c:y val="-2.6902723353505669E-2"/>
                </c:manualLayout>
              </c:layout>
              <c:tx>
                <c:strRef>
                  <c:f>'Annual (P)'!$AZ$307</c:f>
                  <c:strCache>
                    <c:ptCount val="1"/>
                    <c:pt idx="0">
                      <c:v>Transportation &amp; warehousing</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{98DC760C-DF2A-42B4-8D30-85415DC91B04}</c15:txfldGUID>
                      <c15:f>'Annual (P)'!$AZ$307</c15:f>
                      <c15:dlblFieldTableCache>
                        <c:ptCount val="1"/>
                        <c:pt idx="0">
                          <c:v>Transportation &amp; warehousing</c:v>
                        </c:pt>
                      </c15:dlblFieldTableCache>
                    </c15:dlblFTEntry>
                  </c15:dlblFieldTable>
                  <c15:showDataLabelsRange val="0"/>
                </c:ext>
                <c:ext xmlns:c16="http://schemas.microsoft.com/office/drawing/2014/chart" uri="{C3380CC4-5D6E-409C-BE32-E72D297353CC}">
                  <c16:uniqueId val="{00000013-C0B4-465D-9D40-FEC159542FFD}"/>
                </c:ext>
              </c:extLst>
            </c:dLbl>
            <c:dLbl>
              <c:idx val="11"/>
              <c:layout>
                <c:manualLayout>
                  <c:x val="2.4184966956574766E-2"/>
                  <c:y val="1.9518561871177492E-2"/>
                </c:manualLayout>
              </c:layout>
              <c:tx>
                <c:strRef>
                  <c:f>'Annual (P)'!$AZ$308</c:f>
                  <c:strCache>
                    <c:ptCount val="1"/>
                    <c:pt idx="0">
                      <c:v>Accommodation, food &amp; beverage services</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{DB25DBD9-91E0-4112-B1E9-D825A770E5E4}</c15:txfldGUID>
                      <c15:f>'Annual (P)'!$AZ$308</c15:f>
                      <c15:dlblFieldTableCache>
                        <c:ptCount val="1"/>
                        <c:pt idx="0">
                          <c:v>Accommodation, food &amp; beverage services</c:v>
                        </c:pt>
                      </c15:dlblFieldTableCache>
                    </c15:dlblFTEntry>
                  </c15:dlblFieldTable>
                  <c15:showDataLabelsRange val="0"/>
                </c:ext>
                <c:ext xmlns:c16="http://schemas.microsoft.com/office/drawing/2014/chart" uri="{C3380CC4-5D6E-409C-BE32-E72D297353CC}">
                  <c16:uniqueId val="{00000014-C0B4-465D-9D40-FEC159542FFD}"/>
                </c:ext>
              </c:extLst>
            </c:dLbl>
            <c:dLbl>
              <c:idx val="12"/>
              <c:layout>
                <c:manualLayout>
                  <c:x val="-7.0192124459757324E-2"/>
                  <c:y val="7.3663555633820502E-2"/>
                </c:manualLayout>
              </c:layout>
              <c:tx>
                <c:strRef>
                  <c:f>'Annual (P)'!$AZ$309</c:f>
                  <c:strCache>
                    <c:ptCount val="1"/>
                    <c:pt idx="0">
                      <c:v>Financial services</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{D2E3371B-842F-4D34-A700-0E878F102FCB}</c15:txfldGUID>
                      <c15:f>'Annual (P)'!$AZ$309</c15:f>
                      <c15:dlblFieldTableCache>
                        <c:ptCount val="1"/>
                        <c:pt idx="0">
                          <c:v>Financial services</c:v>
                        </c:pt>
                      </c15:dlblFieldTableCache>
                    </c15:dlblFTEntry>
                  </c15:dlblFieldTable>
                  <c15:showDataLabelsRange val="0"/>
                </c:ext>
                <c:ext xmlns:c16="http://schemas.microsoft.com/office/drawing/2014/chart" uri="{C3380CC4-5D6E-409C-BE32-E72D297353CC}">
                  <c16:uniqueId val="{00000015-C0B4-465D-9D40-FEC159542FFD}"/>
                </c:ext>
              </c:extLst>
            </c:dLbl>
            <c:dLbl>
              <c:idx val="13"/>
              <c:layout>
                <c:manualLayout>
                  <c:x val="-1.1313131313131313E-2"/>
                  <c:y val="-1.5693255289544975E-2"/>
                </c:manualLayout>
              </c:layout>
              <c:tx>
                <c:strRef>
                  <c:f>'Annual (P)'!$AZ$310</c:f>
                  <c:strCache>
                    <c:ptCount val="1"/>
                    <c:pt idx="0">
                      <c:v>Real estate and ownership of dwelling</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{D1A5E23F-8854-42EA-9AFD-2F87D2A3C63E}</c15:txfldGUID>
                      <c15:f>'Annual (P)'!$AZ$310</c15:f>
                      <c15:dlblFieldTableCache>
                        <c:ptCount val="1"/>
                        <c:pt idx="0">
                          <c:v>Real estate and ownership of dwelling</c:v>
                        </c:pt>
                      </c15:dlblFieldTableCache>
                    </c15:dlblFTEntry>
                  </c15:dlblFieldTable>
                  <c15:showDataLabelsRange val="0"/>
                </c:ext>
                <c:ext xmlns:c16="http://schemas.microsoft.com/office/drawing/2014/chart" uri="{C3380CC4-5D6E-409C-BE32-E72D297353CC}">
                  <c16:uniqueId val="{00000016-C0B4-465D-9D40-FEC159542FFD}"/>
                </c:ext>
              </c:extLst>
            </c:dLbl>
            <c:dLbl>
              <c:idx val="14"/>
              <c:layout>
                <c:manualLayout>
                  <c:x val="-5.3457301837270418E-2"/>
                  <c:y val="-5.8162946696124554E-2"/>
                </c:manualLayout>
              </c:layout>
              <c:tx>
                <c:strRef>
                  <c:f>'Annual (P)'!$AZ$311</c:f>
                  <c:strCache>
                    <c:ptCount val="1"/>
                    <c:pt idx="0">
                      <c:v>Professional services</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{DA69CC96-BD0A-4101-8F22-DF82DD5D9ED8}</c15:txfldGUID>
                      <c15:f>'Annual (P)'!$AZ$311</c15:f>
                      <c15:dlblFieldTableCache>
                        <c:ptCount val="1"/>
                        <c:pt idx="0">
                          <c:v>Professional services</c:v>
                        </c:pt>
                      </c15:dlblFieldTableCache>
                    </c15:dlblFTEntry>
                  </c15:dlblFieldTable>
                  <c15:showDataLabelsRange val="0"/>
                </c:ext>
                <c:ext xmlns:c16="http://schemas.microsoft.com/office/drawing/2014/chart" uri="{C3380CC4-5D6E-409C-BE32-E72D297353CC}">
                  <c16:uniqueId val="{00000017-C0B4-465D-9D40-FEC159542FFD}"/>
                </c:ext>
              </c:extLst>
            </c:dLbl>
            <c:dLbl>
              <c:idx val="15"/>
              <c:layout>
                <c:manualLayout>
                  <c:x val="-4.2020283464566932E-2"/>
                  <c:y val="3.4028000775415054E-2"/>
                </c:manualLayout>
              </c:layout>
              <c:tx>
                <c:strRef>
                  <c:f>'Annual (P)'!$AZ$312</c:f>
                  <c:strCache>
                    <c:ptCount val="1"/>
                    <c:pt idx="0">
                      <c:v>Education</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{C7324794-173A-47D9-87B1-130B93A12B97}</c15:txfldGUID>
                      <c15:f>'Annual (P)'!$AZ$312</c15:f>
                      <c15:dlblFieldTableCache>
                        <c:ptCount val="1"/>
                        <c:pt idx="0">
                          <c:v>Education</c:v>
                        </c:pt>
                      </c15:dlblFieldTableCache>
                    </c15:dlblFTEntry>
                  </c15:dlblFieldTable>
                  <c15:showDataLabelsRange val="0"/>
                </c:ext>
                <c:ext xmlns:c16="http://schemas.microsoft.com/office/drawing/2014/chart" uri="{C3380CC4-5D6E-409C-BE32-E72D297353CC}">
                  <c16:uniqueId val="{00000018-C0B4-465D-9D40-FEC159542FFD}"/>
                </c:ext>
              </c:extLst>
            </c:dLbl>
            <c:dLbl>
              <c:idx val="16"/>
              <c:layout>
                <c:manualLayout>
                  <c:x val="-0.10801133858267717"/>
                  <c:y val="9.6875402320622347E-2"/>
                </c:manualLayout>
              </c:layout>
              <c:tx>
                <c:strRef>
                  <c:f>'Annual (P)'!$AZ$313</c:f>
                  <c:strCache>
                    <c:ptCount val="1"/>
                    <c:pt idx="0">
                      <c:v>Health, residential care &amp; social work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{BABF2429-B848-4682-83EF-FA5D037BC413}</c15:txfldGUID>
                      <c15:f>'Annual (P)'!$AZ$313</c15:f>
                      <c15:dlblFieldTableCache>
                        <c:ptCount val="1"/>
                        <c:pt idx="0">
                          <c:v>Health, residential care &amp; social work </c:v>
                        </c:pt>
                      </c15:dlblFieldTableCache>
                    </c15:dlblFTEntry>
                  </c15:dlblFieldTable>
                  <c15:showDataLabelsRange val="0"/>
                </c:ext>
                <c:ext xmlns:c16="http://schemas.microsoft.com/office/drawing/2014/chart" uri="{C3380CC4-5D6E-409C-BE32-E72D297353CC}">
                  <c16:uniqueId val="{00000019-C0B4-465D-9D40-FEC159542FFD}"/>
                </c:ext>
              </c:extLst>
            </c:dLbl>
            <c:dLbl>
              <c:idx val="17"/>
              <c:layout>
                <c:manualLayout>
                  <c:x val="-1.2929292929292929E-2"/>
                  <c:y val="-2.9144616966297828E-2"/>
                </c:manualLayout>
              </c:layout>
              <c:tx>
                <c:strRef>
                  <c:f>'Annual (P)'!$AZ$314</c:f>
                  <c:strCache>
                    <c:ptCount val="1"/>
                    <c:pt idx="0">
                      <c:v>Other personal services</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{0A601147-802A-4994-BF0C-BC7EBE3A350E}</c15:txfldGUID>
                      <c15:f>'Annual (P)'!$AZ$314</c15:f>
                      <c15:dlblFieldTableCache>
                        <c:ptCount val="1"/>
                        <c:pt idx="0">
                          <c:v>Other personal services</c:v>
                        </c:pt>
                      </c15:dlblFieldTableCache>
                    </c15:dlblFTEntry>
                  </c15:dlblFieldTable>
                  <c15:showDataLabelsRange val="0"/>
                </c:ext>
                <c:ext xmlns:c16="http://schemas.microsoft.com/office/drawing/2014/chart" uri="{C3380CC4-5D6E-409C-BE32-E72D297353CC}">
                  <c16:uniqueId val="{0000001A-C0B4-465D-9D40-FEC159542FFD}"/>
                </c:ext>
              </c:extLst>
            </c:dLbl>
            <c:dLbl>
              <c:idx val="18"/>
              <c:layout>
                <c:manualLayout>
                  <c:x val="8.2979947506561687E-3"/>
                  <c:y val="-2.2625253970673324E-2"/>
                </c:manualLayout>
              </c:layout>
              <c:tx>
                <c:strRef>
                  <c:f>'Annual (P)'!$AZ$315</c:f>
                  <c:strCache>
                    <c:ptCount val="1"/>
                    <c:pt idx="0">
                      <c:v>Other services </c:v>
                    </c:pt>
                  </c:strCache>
                </c:strRef>
              </c:tx>
              <c:showLegendKey val="0"/>
              <c:showVal val="1"/>
              <c:showCatName val="1"/>
              <c:showSerName val="0"/>
              <c:showPercent val="0"/>
              <c:showBubbleSize val="1"/>
              <c:extLst>
                <c:ext xmlns:c15="http://schemas.microsoft.com/office/drawing/2012/chart" uri="{CE6537A1-D6FC-4f65-9D91-7224C49458BB}">
                  <c15:dlblFieldTable>
                    <c15:dlblFTEntry>
                      <c15:txfldGUID>{58E17297-F0F1-4C81-B788-AD4C8FEAFB37}</c15:txfldGUID>
                      <c15:f>'Annual (P)'!$AZ$315</c15:f>
                      <c15:dlblFieldTableCache>
                        <c:ptCount val="1"/>
                        <c:pt idx="0">
                          <c:v>Other services </c:v>
                        </c:pt>
                      </c15:dlblFieldTableCache>
                    </c15:dlblFTEntry>
                  </c15:dlblFieldTable>
                  <c15:showDataLabelsRange val="0"/>
                </c:ext>
                <c:ext xmlns:c16="http://schemas.microsoft.com/office/drawing/2014/chart" uri="{C3380CC4-5D6E-409C-BE32-E72D297353CC}">
                  <c16:uniqueId val="{0000001B-C0B4-465D-9D40-FEC159542F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1"/>
            <c:showLeaderLines val="0"/>
            <c:extLst>
              <c:ext xmlns:c15="http://schemas.microsoft.com/office/drawing/2012/chart" uri="{CE6537A1-D6FC-4f65-9D91-7224C49458BB}">
                <c15:showLeaderLines val="1"/>
                <c15:leaderLines>
                  <c:spPr>
                    <a:ln w="9525" cap="flat" cmpd="sng" algn="ctr">
                      <a:solidFill>
                        <a:srgbClr val="7030A0"/>
                      </a:solidFill>
                      <a:round/>
                    </a:ln>
                    <a:effectLst/>
                  </c:spPr>
                </c15:leaderLines>
              </c:ext>
            </c:extLst>
          </c:dLbls>
          <c:xVal>
            <c:numRef>
              <c:f>'Annual (P)'!$BA$297:$BA$315</c:f>
              <c:numCache>
                <c:formatCode>_(* #,##0.0_);_(* \(#,##0.0\);_(* "-"??_);_(@_)</c:formatCode>
                <c:ptCount val="19"/>
                <c:pt idx="0">
                  <c:v>-12.377259261724859</c:v>
                </c:pt>
                <c:pt idx="1">
                  <c:v>-11.515344560159535</c:v>
                </c:pt>
                <c:pt idx="2">
                  <c:v>35.2363397311128</c:v>
                </c:pt>
                <c:pt idx="3">
                  <c:v>25.501426678287032</c:v>
                </c:pt>
                <c:pt idx="4">
                  <c:v>74.939564222019442</c:v>
                </c:pt>
                <c:pt idx="5">
                  <c:v>19.836825591501462</c:v>
                </c:pt>
                <c:pt idx="6">
                  <c:v>6.2573375360978511</c:v>
                </c:pt>
                <c:pt idx="7">
                  <c:v>103.22313091405282</c:v>
                </c:pt>
                <c:pt idx="8">
                  <c:v>29.868078493387529</c:v>
                </c:pt>
                <c:pt idx="9">
                  <c:v>34.978987727018975</c:v>
                </c:pt>
                <c:pt idx="10">
                  <c:v>46.253358362795318</c:v>
                </c:pt>
                <c:pt idx="11">
                  <c:v>58.970499355706842</c:v>
                </c:pt>
                <c:pt idx="12">
                  <c:v>101.44035092186097</c:v>
                </c:pt>
                <c:pt idx="13">
                  <c:v>66.060915887363564</c:v>
                </c:pt>
                <c:pt idx="14">
                  <c:v>33.302992986025593</c:v>
                </c:pt>
                <c:pt idx="15">
                  <c:v>23.928749287276354</c:v>
                </c:pt>
                <c:pt idx="16">
                  <c:v>18.794939007424549</c:v>
                </c:pt>
                <c:pt idx="17">
                  <c:v>48.831015293153968</c:v>
                </c:pt>
                <c:pt idx="18" formatCode="_(* #,##0.000_);_(* \(#,##0.000\);_(* &quot;-&quot;??_);_(@_)">
                  <c:v>41.020985639371489</c:v>
                </c:pt>
              </c:numCache>
            </c:numRef>
          </c:xVal>
          <c:yVal>
            <c:numRef>
              <c:f>'Annual (P)'!$BC$297:$BC$315</c:f>
              <c:numCache>
                <c:formatCode>_(* #,##0.0_);_(* \(#,##0.0\);_(* "-"??_);_(@_)</c:formatCode>
                <c:ptCount val="19"/>
                <c:pt idx="0">
                  <c:v>-0.31148942372571842</c:v>
                </c:pt>
                <c:pt idx="1">
                  <c:v>-0.34826335327139285</c:v>
                </c:pt>
                <c:pt idx="2">
                  <c:v>1.1449340980188569</c:v>
                </c:pt>
                <c:pt idx="3">
                  <c:v>3.5785891962550895</c:v>
                </c:pt>
                <c:pt idx="4">
                  <c:v>3.9211144762374661</c:v>
                </c:pt>
                <c:pt idx="5">
                  <c:v>3.6039288629693647</c:v>
                </c:pt>
                <c:pt idx="6">
                  <c:v>0.69426498422448679</c:v>
                </c:pt>
                <c:pt idx="7">
                  <c:v>14.543000157901725</c:v>
                </c:pt>
                <c:pt idx="8">
                  <c:v>6.8665051908621404</c:v>
                </c:pt>
                <c:pt idx="9">
                  <c:v>10.340008066809601</c:v>
                </c:pt>
                <c:pt idx="10">
                  <c:v>12.827651314458564</c:v>
                </c:pt>
                <c:pt idx="11">
                  <c:v>2.1659341897442621</c:v>
                </c:pt>
                <c:pt idx="12">
                  <c:v>11.681083750320933</c:v>
                </c:pt>
                <c:pt idx="13">
                  <c:v>8.4974164010888096</c:v>
                </c:pt>
                <c:pt idx="14">
                  <c:v>1.5631014244243391</c:v>
                </c:pt>
                <c:pt idx="15">
                  <c:v>1.3886137359422439</c:v>
                </c:pt>
                <c:pt idx="16">
                  <c:v>1.0751138923780377</c:v>
                </c:pt>
                <c:pt idx="17">
                  <c:v>12.109680129638573</c:v>
                </c:pt>
                <c:pt idx="18">
                  <c:v>4.6588129057226197</c:v>
                </c:pt>
              </c:numCache>
            </c:numRef>
          </c:yVal>
          <c:bubbleSize>
            <c:numRef>
              <c:f>'Annual (P)'!$BB$297:$BB$315</c:f>
              <c:numCache>
                <c:formatCode>_(* #,##0.0_);_(* \(#,##0.0\);_(* "-"??_);_(@_)</c:formatCode>
                <c:ptCount val="19"/>
                <c:pt idx="0">
                  <c:v>0.64634347405965054</c:v>
                </c:pt>
                <c:pt idx="1">
                  <c:v>0.78438001838768545</c:v>
                </c:pt>
                <c:pt idx="2">
                  <c:v>1.2879850629825493</c:v>
                </c:pt>
                <c:pt idx="3">
                  <c:v>5.1620683334910868</c:v>
                </c:pt>
                <c:pt idx="4">
                  <c:v>2.6829594966355739</c:v>
                </c:pt>
                <c:pt idx="5">
                  <c:v>6.3814893534220456</c:v>
                </c:pt>
                <c:pt idx="6">
                  <c:v>3.455590940412629</c:v>
                </c:pt>
                <c:pt idx="7">
                  <c:v>8.3922388695145838</c:v>
                </c:pt>
                <c:pt idx="8">
                  <c:v>8.7510184860199924</c:v>
                </c:pt>
                <c:pt idx="9">
                  <c:v>11.695196551689001</c:v>
                </c:pt>
                <c:pt idx="10">
                  <c:v>11.888784088820698</c:v>
                </c:pt>
                <c:pt idx="11">
                  <c:v>1.7114125310026713</c:v>
                </c:pt>
                <c:pt idx="12">
                  <c:v>6.7990241194431045</c:v>
                </c:pt>
                <c:pt idx="13">
                  <c:v>6.2609099387662317</c:v>
                </c:pt>
                <c:pt idx="14">
                  <c:v>1.8338825208831833</c:v>
                </c:pt>
                <c:pt idx="15">
                  <c:v>2.1079545461520715</c:v>
                </c:pt>
                <c:pt idx="16">
                  <c:v>1.9917701050705596</c:v>
                </c:pt>
                <c:pt idx="17">
                  <c:v>10.818276558991041</c:v>
                </c:pt>
                <c:pt idx="18">
                  <c:v>7.3487150042556344</c:v>
                </c:pt>
              </c:numCache>
            </c:numRef>
          </c:bubbleSize>
          <c:bubble3D val="1"/>
          <c:extLst>
            <c:ext xmlns:c16="http://schemas.microsoft.com/office/drawing/2014/chart" uri="{C3380CC4-5D6E-409C-BE32-E72D297353CC}">
              <c16:uniqueId val="{0000001C-C0B4-465D-9D40-FEC159542FFD}"/>
            </c:ext>
          </c:extLst>
        </c:ser>
        <c:dLbls>
          <c:showLegendKey val="0"/>
          <c:showVal val="0"/>
          <c:showCatName val="0"/>
          <c:showSerName val="0"/>
          <c:showPercent val="0"/>
          <c:showBubbleSize val="0"/>
        </c:dLbls>
        <c:bubbleScale val="36"/>
        <c:showNegBubbles val="0"/>
        <c:axId val="617686624"/>
        <c:axId val="617687016"/>
      </c:bubbleChart>
      <c:valAx>
        <c:axId val="6176866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Growth 2010-2016</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687016"/>
        <c:crosses val="autoZero"/>
        <c:crossBetween val="midCat"/>
      </c:valAx>
      <c:valAx>
        <c:axId val="61768701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0">
                    <a:solidFill>
                      <a:sysClr val="windowText" lastClr="000000"/>
                    </a:solidFill>
                  </a:rPr>
                  <a:t>Contribution to growth 2010-2016 (percent)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686624"/>
        <c:crosses val="autoZero"/>
        <c:crossBetween val="midCat"/>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050C-AAFC-48B8-AEFC-1E85F07D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38</Pages>
  <Words>14079</Words>
  <Characters>80251</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SRI LANKA DEVELOPMENT UPDATE</vt:lpstr>
    </vt:vector>
  </TitlesOfParts>
  <Company>The World Bank Group</Company>
  <LinksUpToDate>false</LinksUpToDate>
  <CharactersWithSpaces>94142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SRI LANKA DEVELOPMENT UPDATE</dc:title>
  <dc:subject>Towards a higher growth path</dc:subject>
  <dc:creator>Towards a higher growth pathApril 2015</dc:creator>
  <cp:keywords/>
  <dc:description/>
  <cp:lastModifiedBy>Ralph Van Doorn</cp:lastModifiedBy>
  <cp:revision>23</cp:revision>
  <cp:lastPrinted>2017-06-27T10:33:00Z</cp:lastPrinted>
  <dcterms:created xsi:type="dcterms:W3CDTF">2017-06-23T04:48:00Z</dcterms:created>
  <dcterms:modified xsi:type="dcterms:W3CDTF">2017-06-27T10:34:00Z</dcterms:modified>
</cp:coreProperties>
</file>