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78" w:rsidRDefault="00AF66B2" w:rsidP="006E3E78">
      <w:pPr>
        <w:pStyle w:val="Heading1"/>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4548116</wp:posOffset>
                </wp:positionH>
                <wp:positionV relativeFrom="paragraph">
                  <wp:posOffset>-620973</wp:posOffset>
                </wp:positionV>
                <wp:extent cx="1651380" cy="470848"/>
                <wp:effectExtent l="0" t="0" r="6350" b="5715"/>
                <wp:wrapNone/>
                <wp:docPr id="2" name="Text Box 2"/>
                <wp:cNvGraphicFramePr/>
                <a:graphic xmlns:a="http://schemas.openxmlformats.org/drawingml/2006/main">
                  <a:graphicData uri="http://schemas.microsoft.com/office/word/2010/wordprocessingShape">
                    <wps:wsp>
                      <wps:cNvSpPr txBox="1"/>
                      <wps:spPr>
                        <a:xfrm>
                          <a:off x="0" y="0"/>
                          <a:ext cx="1651380" cy="4708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6B2" w:rsidRPr="00AF66B2" w:rsidRDefault="00AF66B2">
                            <w:pPr>
                              <w:rPr>
                                <w:rFonts w:ascii="Arial" w:hAnsi="Arial" w:cs="Arial"/>
                                <w:sz w:val="44"/>
                                <w:szCs w:val="44"/>
                              </w:rPr>
                            </w:pPr>
                            <w:bookmarkStart w:id="0" w:name="_GoBack"/>
                            <w:r>
                              <w:rPr>
                                <w:rFonts w:ascii="Arial" w:hAnsi="Arial" w:cs="Arial"/>
                                <w:sz w:val="44"/>
                                <w:szCs w:val="44"/>
                              </w:rPr>
                              <w:t>86428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1pt;margin-top:-48.9pt;width:130.05pt;height:37.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6bjAIAAJEFAAAOAAAAZHJzL2Uyb0RvYy54bWysVEtPGzEQvlfqf7B8L5uEAGnEBqUgqkoI&#10;UKHi7HhtYtXrcW0nu+mvZ8a7eZRyoepld+z5ZsbzzeP8oq0tW6sQDbiSD48GnCknoTLuueQ/Hq8/&#10;TTiLSbhKWHCq5BsV+cXs44fzxk/VCJZgKxUYOnFx2viSL1Py06KIcqlqEY/AK4dKDaEWCY/huaiC&#10;aNB7bYvRYHBaNBAqH0CqGPH2qlPyWfavtZLpTuuoErMlx7el/A35u6BvMTsX0+cg/NLI/hniH15R&#10;C+Mw6M7VlUiCrYL5y1VtZIAIOh1JqAvQ2kiVc8BshoNX2TwshVc5FyQn+h1N8f+5lbfr+8BMVfIR&#10;Z07UWKJH1Sb2BVo2InYaH6cIevAISy1eY5W39xEvKelWh5r+mA5DPfK82XFLziQZnZ4Mjyeokqgb&#10;nw0m4wm5KfbWPsT0VUHNSCh5wNplSsX6JqYOuoVQsAjWVNfG2nygflGXNrC1wErblN+Izv9AWcea&#10;kp8enwyyYwdk3nm2jtyo3DF9OMq8yzBLaWMVYaz7rjQylhN9I7aQUrld/IwmlMZQ7zHs8ftXvce4&#10;ywMtcmRwaWdcGwchZ59HbE9Z9XNLme7wWJuDvElM7aLtW6VvjAVUG+yLAN1cRS+vDRbvRsR0LwIO&#10;EtYbl0O6w4+2gORDL3G2hPD7rXvCY3+jlrMGB7Pk8ddKBMWZ/eaw8z8Px2Oa5HwYn5yN8BAONYtD&#10;jVvVl4AdMcQ15GUWCZ/sVtQB6ifcIXOKiirhJMYuedqKl6lbF7iDpJrPMwhn14t04x68JNfEMrXm&#10;Y/skgu/7N2Hn38J2hMX0VRt3WLJ0MF8l0Cb3OPHcsdrzj3Ofp6TfUbRYDs8Ztd+ksxcAAAD//wMA&#10;UEsDBBQABgAIAAAAIQBK82+94gAAAAsBAAAPAAAAZHJzL2Rvd25yZXYueG1sTI9NT4QwEIbvJv6H&#10;Zky8mN2yEMFFysYYPxJvLn7EW5eOQKRTQruA/97xpMeZefLO8xa7xfZiwtF3jhRs1hEIpNqZjhoF&#10;L9X96gqED5qM7h2hgm/0sCtPTwqdGzfTM0770AgOIZ9rBW0IQy6lr1u02q/dgMS3TzdaHXgcG2lG&#10;PXO47WUcRam0uiP+0OoBb1usv/ZHq+Djonl/8svD65xcJsPd41Rlb6ZS6vxsubkGEXAJfzD86rM6&#10;lOx0cEcyXvQKsk0aM6pgtc24AxPbLE1AHHgTJxnIspD/O5Q/AAAA//8DAFBLAQItABQABgAIAAAA&#10;IQC2gziS/gAAAOEBAAATAAAAAAAAAAAAAAAAAAAAAABbQ29udGVudF9UeXBlc10ueG1sUEsBAi0A&#10;FAAGAAgAAAAhADj9If/WAAAAlAEAAAsAAAAAAAAAAAAAAAAALwEAAF9yZWxzLy5yZWxzUEsBAi0A&#10;FAAGAAgAAAAhAN0RfpuMAgAAkQUAAA4AAAAAAAAAAAAAAAAALgIAAGRycy9lMm9Eb2MueG1sUEsB&#10;Ai0AFAAGAAgAAAAhAErzb73iAAAACwEAAA8AAAAAAAAAAAAAAAAA5gQAAGRycy9kb3ducmV2Lnht&#10;bFBLBQYAAAAABAAEAPMAAAD1BQAAAAA=&#10;" fillcolor="white [3201]" stroked="f" strokeweight=".5pt">
                <v:textbox>
                  <w:txbxContent>
                    <w:p w:rsidR="00AF66B2" w:rsidRPr="00AF66B2" w:rsidRDefault="00AF66B2">
                      <w:pPr>
                        <w:rPr>
                          <w:rFonts w:ascii="Arial" w:hAnsi="Arial" w:cs="Arial"/>
                          <w:sz w:val="44"/>
                          <w:szCs w:val="44"/>
                        </w:rPr>
                      </w:pPr>
                      <w:bookmarkStart w:id="1" w:name="_GoBack"/>
                      <w:r>
                        <w:rPr>
                          <w:rFonts w:ascii="Arial" w:hAnsi="Arial" w:cs="Arial"/>
                          <w:sz w:val="44"/>
                          <w:szCs w:val="44"/>
                        </w:rPr>
                        <w:t>86428</w:t>
                      </w:r>
                      <w:bookmarkEnd w:id="1"/>
                    </w:p>
                  </w:txbxContent>
                </v:textbox>
              </v:shape>
            </w:pict>
          </mc:Fallback>
        </mc:AlternateContent>
      </w:r>
    </w:p>
    <w:p w:rsidR="006E3E78" w:rsidRDefault="006E3E78" w:rsidP="006E3E78">
      <w:pPr>
        <w:pStyle w:val="Heading1"/>
        <w:jc w:val="center"/>
        <w:rPr>
          <w:rFonts w:ascii="Times New Roman" w:hAnsi="Times New Roman" w:cs="Times New Roman"/>
        </w:rPr>
      </w:pPr>
    </w:p>
    <w:p w:rsidR="006E3E78" w:rsidRDefault="006E3E78" w:rsidP="006E3E78">
      <w:pPr>
        <w:pStyle w:val="Heading1"/>
        <w:jc w:val="center"/>
        <w:rPr>
          <w:rFonts w:ascii="Times New Roman" w:hAnsi="Times New Roman" w:cs="Times New Roman"/>
        </w:rPr>
      </w:pPr>
    </w:p>
    <w:p w:rsidR="006E3E78" w:rsidRPr="00085822" w:rsidRDefault="006E3E78" w:rsidP="006E3E78">
      <w:pPr>
        <w:pStyle w:val="Heading1"/>
        <w:jc w:val="center"/>
        <w:rPr>
          <w:rFonts w:ascii="Times New Roman" w:hAnsi="Times New Roman" w:cs="Times New Roman"/>
          <w:color w:val="000000" w:themeColor="text1"/>
        </w:rPr>
      </w:pPr>
      <w:r w:rsidRPr="00085822">
        <w:rPr>
          <w:rFonts w:ascii="Times New Roman" w:hAnsi="Times New Roman" w:cs="Times New Roman"/>
          <w:color w:val="000000" w:themeColor="text1"/>
        </w:rPr>
        <w:t xml:space="preserve">Pension Risk and </w:t>
      </w:r>
      <w:r w:rsidR="000315D5" w:rsidRPr="00085822">
        <w:rPr>
          <w:rFonts w:ascii="Times New Roman" w:hAnsi="Times New Roman" w:cs="Times New Roman"/>
          <w:color w:val="000000" w:themeColor="text1"/>
        </w:rPr>
        <w:t>Risk</w:t>
      </w:r>
      <w:r w:rsidRPr="00085822">
        <w:rPr>
          <w:rFonts w:ascii="Times New Roman" w:hAnsi="Times New Roman" w:cs="Times New Roman"/>
          <w:color w:val="000000" w:themeColor="text1"/>
        </w:rPr>
        <w:t xml:space="preserve"> B</w:t>
      </w:r>
      <w:r w:rsidR="000315D5" w:rsidRPr="00085822">
        <w:rPr>
          <w:rFonts w:ascii="Times New Roman" w:hAnsi="Times New Roman" w:cs="Times New Roman"/>
          <w:color w:val="000000" w:themeColor="text1"/>
        </w:rPr>
        <w:t>ased Supervision in Defined Contribution Pension Funds</w:t>
      </w:r>
      <w:r w:rsidRPr="00085822">
        <w:rPr>
          <w:rFonts w:ascii="Times New Roman" w:hAnsi="Times New Roman" w:cs="Times New Roman"/>
          <w:color w:val="000000" w:themeColor="text1"/>
        </w:rPr>
        <w:t xml:space="preserve">  </w:t>
      </w:r>
      <w:r w:rsidR="000315D5" w:rsidRPr="00085822">
        <w:rPr>
          <w:rFonts w:ascii="Times New Roman" w:hAnsi="Times New Roman" w:cs="Times New Roman"/>
          <w:color w:val="000000" w:themeColor="text1"/>
        </w:rPr>
        <w:t xml:space="preserve"> </w:t>
      </w:r>
    </w:p>
    <w:p w:rsidR="006E3E78" w:rsidRPr="00085822" w:rsidRDefault="006E3E78" w:rsidP="006E3E78">
      <w:pPr>
        <w:ind w:left="360"/>
        <w:jc w:val="center"/>
        <w:rPr>
          <w:rFonts w:ascii="Times New Roman" w:hAnsi="Times New Roman" w:cs="Times New Roman"/>
        </w:rPr>
      </w:pPr>
    </w:p>
    <w:p w:rsidR="006E3E78" w:rsidRPr="00085822" w:rsidRDefault="006E3E78" w:rsidP="006E3E78">
      <w:pPr>
        <w:ind w:left="360"/>
        <w:jc w:val="center"/>
        <w:rPr>
          <w:rFonts w:ascii="Times New Roman" w:hAnsi="Times New Roman" w:cs="Times New Roman"/>
        </w:rPr>
      </w:pPr>
    </w:p>
    <w:p w:rsidR="006E3E78" w:rsidRPr="00085822" w:rsidRDefault="006E3E78" w:rsidP="006E3E78">
      <w:pPr>
        <w:ind w:left="360"/>
        <w:jc w:val="center"/>
        <w:rPr>
          <w:rFonts w:ascii="Times New Roman" w:hAnsi="Times New Roman" w:cs="Times New Roman"/>
        </w:rPr>
      </w:pPr>
    </w:p>
    <w:p w:rsidR="006E3E78" w:rsidRPr="00085822" w:rsidRDefault="006E3E78" w:rsidP="006E3E78">
      <w:pPr>
        <w:ind w:left="360"/>
        <w:jc w:val="center"/>
        <w:rPr>
          <w:rFonts w:ascii="Times New Roman" w:hAnsi="Times New Roman" w:cs="Times New Roman"/>
        </w:rPr>
      </w:pPr>
    </w:p>
    <w:p w:rsidR="006E3E78" w:rsidRPr="001B71E5" w:rsidRDefault="006E3E78" w:rsidP="006E3E78">
      <w:pPr>
        <w:ind w:left="360"/>
        <w:jc w:val="center"/>
        <w:rPr>
          <w:rFonts w:ascii="Times New Roman" w:hAnsi="Times New Roman" w:cs="Times New Roman"/>
        </w:rPr>
      </w:pPr>
      <w:r w:rsidRPr="001B71E5">
        <w:rPr>
          <w:rFonts w:ascii="Times New Roman" w:hAnsi="Times New Roman" w:cs="Times New Roman"/>
        </w:rPr>
        <w:t xml:space="preserve">By </w:t>
      </w:r>
    </w:p>
    <w:p w:rsidR="006E3E78" w:rsidRPr="001B71E5" w:rsidRDefault="006E3E78" w:rsidP="006E3E78">
      <w:pPr>
        <w:ind w:left="360"/>
        <w:jc w:val="center"/>
        <w:rPr>
          <w:rFonts w:ascii="Times New Roman" w:hAnsi="Times New Roman" w:cs="Times New Roman"/>
        </w:rPr>
      </w:pPr>
      <w:r w:rsidRPr="001B71E5">
        <w:rPr>
          <w:rFonts w:ascii="Times New Roman" w:hAnsi="Times New Roman" w:cs="Times New Roman"/>
        </w:rPr>
        <w:t>Tony Randle and Heinz P. Rudolph</w:t>
      </w:r>
      <w:r w:rsidRPr="001B71E5">
        <w:rPr>
          <w:rStyle w:val="FootnoteReference"/>
          <w:rFonts w:ascii="Times New Roman" w:hAnsi="Times New Roman" w:cs="Times New Roman"/>
        </w:rPr>
        <w:footnoteReference w:id="1"/>
      </w:r>
    </w:p>
    <w:p w:rsidR="006E3E78" w:rsidRPr="001B71E5" w:rsidRDefault="006E4AFF" w:rsidP="006E3E78">
      <w:pPr>
        <w:ind w:left="360"/>
        <w:jc w:val="center"/>
        <w:rPr>
          <w:rFonts w:ascii="Times New Roman" w:hAnsi="Times New Roman" w:cs="Times New Roman"/>
        </w:rPr>
      </w:pPr>
      <w:r>
        <w:rPr>
          <w:rFonts w:ascii="Times New Roman" w:hAnsi="Times New Roman" w:cs="Times New Roman"/>
        </w:rPr>
        <w:t>March 1</w:t>
      </w:r>
      <w:r w:rsidR="0026287F">
        <w:rPr>
          <w:rFonts w:ascii="Times New Roman" w:hAnsi="Times New Roman" w:cs="Times New Roman"/>
        </w:rPr>
        <w:t>8</w:t>
      </w:r>
      <w:r w:rsidR="006E3E78" w:rsidRPr="001B71E5">
        <w:rPr>
          <w:rFonts w:ascii="Times New Roman" w:hAnsi="Times New Roman" w:cs="Times New Roman"/>
        </w:rPr>
        <w:t>, 201</w:t>
      </w:r>
      <w:r w:rsidR="00967BDF">
        <w:rPr>
          <w:rFonts w:ascii="Times New Roman" w:hAnsi="Times New Roman" w:cs="Times New Roman"/>
        </w:rPr>
        <w:t>4</w:t>
      </w:r>
    </w:p>
    <w:p w:rsidR="000315D5" w:rsidRPr="00967BDF" w:rsidRDefault="006E3E78" w:rsidP="00967BDF">
      <w:pPr>
        <w:spacing w:after="0" w:line="240" w:lineRule="auto"/>
        <w:rPr>
          <w:rFonts w:ascii="Times New Roman" w:hAnsi="Times New Roman" w:cs="Times New Roman"/>
        </w:rPr>
      </w:pPr>
      <w:r>
        <w:rPr>
          <w:rFonts w:eastAsiaTheme="majorEastAsia"/>
          <w:color w:val="365F91" w:themeColor="accent1" w:themeShade="BF"/>
          <w:sz w:val="28"/>
          <w:szCs w:val="28"/>
        </w:rPr>
        <w:br w:type="page"/>
      </w:r>
    </w:p>
    <w:p w:rsidR="000315D5" w:rsidRPr="00085822" w:rsidRDefault="000315D5" w:rsidP="003B0666">
      <w:pPr>
        <w:pStyle w:val="Heading2"/>
        <w:numPr>
          <w:ilvl w:val="0"/>
          <w:numId w:val="6"/>
        </w:numPr>
        <w:rPr>
          <w:rFonts w:ascii="Times New Roman" w:hAnsi="Times New Roman" w:cs="Times New Roman"/>
          <w:color w:val="000000" w:themeColor="text1"/>
        </w:rPr>
      </w:pPr>
      <w:r w:rsidRPr="00085822">
        <w:rPr>
          <w:rFonts w:ascii="Times New Roman" w:hAnsi="Times New Roman" w:cs="Times New Roman"/>
          <w:color w:val="000000" w:themeColor="text1"/>
        </w:rPr>
        <w:lastRenderedPageBreak/>
        <w:t xml:space="preserve">Introduction </w:t>
      </w:r>
    </w:p>
    <w:p w:rsidR="000315D5" w:rsidRPr="006E3E78" w:rsidRDefault="000315D5" w:rsidP="000315D5">
      <w:pPr>
        <w:pStyle w:val="ListParagraph"/>
        <w:numPr>
          <w:ilvl w:val="0"/>
          <w:numId w:val="1"/>
        </w:numPr>
        <w:spacing w:after="120" w:line="240" w:lineRule="auto"/>
        <w:jc w:val="both"/>
        <w:rPr>
          <w:rFonts w:ascii="Times New Roman" w:hAnsi="Times New Roman" w:cs="Times New Roman"/>
          <w:color w:val="4F81BD" w:themeColor="accent1"/>
        </w:rPr>
      </w:pPr>
      <w:r w:rsidRPr="007D64F9">
        <w:rPr>
          <w:rFonts w:ascii="Times New Roman" w:hAnsi="Times New Roman" w:cs="Times New Roman"/>
        </w:rPr>
        <w:t>The main goal of any pension system is to ensure that members receive an adequate pension income when they retire. Whilst traditional</w:t>
      </w:r>
      <w:r w:rsidRPr="006E3E78">
        <w:rPr>
          <w:rFonts w:ascii="Times New Roman" w:hAnsi="Times New Roman" w:cs="Times New Roman"/>
        </w:rPr>
        <w:t xml:space="preserve"> defined benefit (DB) pension plans set out what that pension income will be in advance and then strive to deliver it, the growing number of defined contribution (DC) plans accumulate a sum of assets which can then be turned into a pension income on retirement. However, the amount of this retirement income is not set in advance. </w:t>
      </w:r>
      <w:r w:rsidR="0008388D">
        <w:rPr>
          <w:rFonts w:ascii="Times New Roman" w:hAnsi="Times New Roman" w:cs="Times New Roman"/>
        </w:rPr>
        <w:t>In the absence of a proper regulatory framework, feature n DC plans</w:t>
      </w:r>
      <w:r w:rsidRPr="006E3E78">
        <w:rPr>
          <w:rFonts w:ascii="Times New Roman" w:hAnsi="Times New Roman" w:cs="Times New Roman"/>
        </w:rPr>
        <w:t xml:space="preserve"> leads to a focus by not only pension providers, but also regulators and pension plan members themselves on the short-term accumulation of pension assets rather than the longer-term goal of securing an adequate retirement income.  </w:t>
      </w:r>
    </w:p>
    <w:p w:rsidR="000315D5" w:rsidRPr="006B4FDF" w:rsidRDefault="000315D5" w:rsidP="000315D5">
      <w:pPr>
        <w:pStyle w:val="ListParagraph"/>
        <w:numPr>
          <w:ilvl w:val="0"/>
          <w:numId w:val="1"/>
        </w:numPr>
        <w:spacing w:after="120" w:line="240" w:lineRule="auto"/>
        <w:jc w:val="both"/>
        <w:rPr>
          <w:rFonts w:ascii="Times New Roman" w:hAnsi="Times New Roman" w:cs="Times New Roman"/>
        </w:rPr>
      </w:pPr>
      <w:r w:rsidRPr="006B4FDF">
        <w:rPr>
          <w:rFonts w:ascii="Times New Roman" w:hAnsi="Times New Roman" w:cs="Times New Roman"/>
        </w:rPr>
        <w:t xml:space="preserve">Risk-based supervision (RBS) </w:t>
      </w:r>
      <w:r w:rsidR="006B4FDF" w:rsidRPr="006B4FDF">
        <w:rPr>
          <w:rFonts w:ascii="Times New Roman" w:hAnsi="Times New Roman" w:cs="Times New Roman"/>
        </w:rPr>
        <w:t xml:space="preserve">for pension funds </w:t>
      </w:r>
      <w:r w:rsidRPr="006B4FDF">
        <w:rPr>
          <w:rFonts w:ascii="Times New Roman" w:hAnsi="Times New Roman" w:cs="Times New Roman"/>
        </w:rPr>
        <w:t xml:space="preserve">is </w:t>
      </w:r>
      <w:r w:rsidR="006B4FDF" w:rsidRPr="006B4FDF">
        <w:rPr>
          <w:rFonts w:ascii="Times New Roman" w:hAnsi="Times New Roman" w:cs="Times New Roman"/>
        </w:rPr>
        <w:t xml:space="preserve">currently defined as </w:t>
      </w:r>
      <w:r w:rsidRPr="006B4FDF">
        <w:rPr>
          <w:rFonts w:ascii="Times New Roman" w:hAnsi="Times New Roman" w:cs="Times New Roman"/>
        </w:rPr>
        <w:t xml:space="preserve">an approach by which the supervisory authority directs its scare resources towards the main risks posed to pension fund members - as opposed to rules or compliance-based supervision which involves rigorously checking compliance with a set of rules, irrespective of their relative importance to meeting the </w:t>
      </w:r>
      <w:r w:rsidR="002D3042">
        <w:rPr>
          <w:rFonts w:ascii="Times New Roman" w:hAnsi="Times New Roman" w:cs="Times New Roman"/>
        </w:rPr>
        <w:t>contributor’s</w:t>
      </w:r>
      <w:r w:rsidRPr="006B4FDF">
        <w:rPr>
          <w:rFonts w:ascii="Times New Roman" w:hAnsi="Times New Roman" w:cs="Times New Roman"/>
        </w:rPr>
        <w:t xml:space="preserve"> objective. </w:t>
      </w:r>
    </w:p>
    <w:p w:rsidR="000301FB" w:rsidRPr="00967BDF" w:rsidRDefault="003B0666" w:rsidP="000315D5">
      <w:pPr>
        <w:pStyle w:val="ListParagraph"/>
        <w:numPr>
          <w:ilvl w:val="0"/>
          <w:numId w:val="1"/>
        </w:numPr>
        <w:spacing w:after="120" w:line="240" w:lineRule="auto"/>
        <w:jc w:val="both"/>
        <w:rPr>
          <w:rFonts w:ascii="Times New Roman" w:hAnsi="Times New Roman" w:cs="Times New Roman"/>
        </w:rPr>
      </w:pPr>
      <w:r w:rsidRPr="005E4D8B">
        <w:rPr>
          <w:rFonts w:ascii="Times New Roman" w:hAnsi="Times New Roman" w:cs="Times New Roman"/>
        </w:rPr>
        <w:t xml:space="preserve">This paper first look at how </w:t>
      </w:r>
      <w:r w:rsidR="006A6BC1">
        <w:rPr>
          <w:rFonts w:ascii="Times New Roman" w:hAnsi="Times New Roman" w:cs="Times New Roman"/>
        </w:rPr>
        <w:t xml:space="preserve">the </w:t>
      </w:r>
      <w:r w:rsidRPr="005E4D8B">
        <w:rPr>
          <w:rFonts w:ascii="Times New Roman" w:hAnsi="Times New Roman" w:cs="Times New Roman"/>
        </w:rPr>
        <w:t>RBS</w:t>
      </w:r>
      <w:r w:rsidR="000301FB" w:rsidRPr="005E4D8B">
        <w:rPr>
          <w:rFonts w:ascii="Times New Roman" w:hAnsi="Times New Roman" w:cs="Times New Roman"/>
        </w:rPr>
        <w:t xml:space="preserve"> approach was adopted from the banking and insurance sectors, </w:t>
      </w:r>
      <w:r w:rsidR="000301FB" w:rsidRPr="006A6BC1">
        <w:rPr>
          <w:rFonts w:ascii="Times New Roman" w:hAnsi="Times New Roman" w:cs="Times New Roman"/>
        </w:rPr>
        <w:t>but has had to be adapted for DC pension funds. The capital requirements which are at the core of RBS in the banking and insurance sectors are not appropriate for, and indeed can introduce mi</w:t>
      </w:r>
      <w:r w:rsidRPr="006A6BC1">
        <w:rPr>
          <w:rFonts w:ascii="Times New Roman" w:hAnsi="Times New Roman" w:cs="Times New Roman"/>
        </w:rPr>
        <w:t>s</w:t>
      </w:r>
      <w:r w:rsidR="000301FB" w:rsidRPr="006A6BC1">
        <w:rPr>
          <w:rFonts w:ascii="Times New Roman" w:hAnsi="Times New Roman" w:cs="Times New Roman"/>
        </w:rPr>
        <w:t>aligned incentives into DC pension systems.</w:t>
      </w:r>
      <w:r w:rsidR="0013146A">
        <w:rPr>
          <w:rStyle w:val="FootnoteReference"/>
          <w:rFonts w:ascii="Times New Roman" w:hAnsi="Times New Roman" w:cs="Times New Roman"/>
        </w:rPr>
        <w:footnoteReference w:id="2"/>
      </w:r>
      <w:r w:rsidR="00967BDF">
        <w:rPr>
          <w:rFonts w:ascii="Times New Roman" w:hAnsi="Times New Roman" w:cs="Times New Roman"/>
        </w:rPr>
        <w:t xml:space="preserve"> In the absence of a capital adequacy tool in defined contribution systems, RBS</w:t>
      </w:r>
      <w:r w:rsidR="0022340B">
        <w:rPr>
          <w:rFonts w:ascii="Times New Roman" w:hAnsi="Times New Roman" w:cs="Times New Roman"/>
        </w:rPr>
        <w:t xml:space="preserve"> faces limitations in helping to ensure adequate pensions for individuals.</w:t>
      </w:r>
      <w:r w:rsidR="00967BDF">
        <w:rPr>
          <w:rFonts w:ascii="Times New Roman" w:hAnsi="Times New Roman" w:cs="Times New Roman"/>
        </w:rPr>
        <w:t xml:space="preserve">  </w:t>
      </w:r>
      <w:r w:rsidR="000301FB" w:rsidRPr="00967BDF">
        <w:rPr>
          <w:rFonts w:ascii="Times New Roman" w:hAnsi="Times New Roman" w:cs="Times New Roman"/>
        </w:rPr>
        <w:t xml:space="preserve"> </w:t>
      </w:r>
    </w:p>
    <w:p w:rsidR="003B0666" w:rsidRPr="006E3E78" w:rsidRDefault="003B0666" w:rsidP="000315D5">
      <w:pPr>
        <w:pStyle w:val="ListParagraph"/>
        <w:numPr>
          <w:ilvl w:val="0"/>
          <w:numId w:val="1"/>
        </w:numPr>
        <w:spacing w:after="120" w:line="240" w:lineRule="auto"/>
        <w:jc w:val="both"/>
        <w:rPr>
          <w:rFonts w:ascii="Times New Roman" w:hAnsi="Times New Roman" w:cs="Times New Roman"/>
        </w:rPr>
      </w:pPr>
      <w:r w:rsidRPr="005E4D8B">
        <w:rPr>
          <w:rFonts w:ascii="Times New Roman" w:hAnsi="Times New Roman" w:cs="Times New Roman"/>
        </w:rPr>
        <w:t>The paper goes on to argue that, a</w:t>
      </w:r>
      <w:r w:rsidR="000301FB" w:rsidRPr="005E4D8B">
        <w:rPr>
          <w:rFonts w:ascii="Times New Roman" w:hAnsi="Times New Roman" w:cs="Times New Roman"/>
        </w:rPr>
        <w:t>s a consequence, RBS for pensions has been defined as a much less specific way</w:t>
      </w:r>
      <w:r w:rsidR="00B0687A" w:rsidRPr="006A6BC1">
        <w:rPr>
          <w:rFonts w:ascii="Times New Roman" w:hAnsi="Times New Roman" w:cs="Times New Roman"/>
        </w:rPr>
        <w:t xml:space="preserve"> </w:t>
      </w:r>
      <w:r w:rsidR="006A6BC1">
        <w:rPr>
          <w:rFonts w:ascii="Times New Roman" w:hAnsi="Times New Roman" w:cs="Times New Roman"/>
        </w:rPr>
        <w:t>compared with banks and insurers</w:t>
      </w:r>
      <w:r w:rsidR="00B0687A" w:rsidRPr="006A6BC1">
        <w:rPr>
          <w:rFonts w:ascii="Times New Roman" w:hAnsi="Times New Roman" w:cs="Times New Roman"/>
        </w:rPr>
        <w:t>-</w:t>
      </w:r>
      <w:r w:rsidR="000301FB" w:rsidRPr="006A6BC1">
        <w:rPr>
          <w:rFonts w:ascii="Times New Roman" w:hAnsi="Times New Roman" w:cs="Times New Roman"/>
        </w:rPr>
        <w:t xml:space="preserve"> as a process for </w:t>
      </w:r>
      <w:r w:rsidR="00B0687A" w:rsidRPr="006A6BC1">
        <w:rPr>
          <w:rFonts w:ascii="Times New Roman" w:hAnsi="Times New Roman" w:cs="Times New Roman"/>
        </w:rPr>
        <w:t xml:space="preserve">the </w:t>
      </w:r>
      <w:r w:rsidR="000301FB" w:rsidRPr="006A6BC1">
        <w:rPr>
          <w:rFonts w:ascii="Times New Roman" w:hAnsi="Times New Roman" w:cs="Times New Roman"/>
        </w:rPr>
        <w:t xml:space="preserve">allocation </w:t>
      </w:r>
      <w:r w:rsidR="00B0687A" w:rsidRPr="006A6BC1">
        <w:rPr>
          <w:rFonts w:ascii="Times New Roman" w:hAnsi="Times New Roman" w:cs="Times New Roman"/>
        </w:rPr>
        <w:t xml:space="preserve">of </w:t>
      </w:r>
      <w:r w:rsidR="000301FB" w:rsidRPr="006A6BC1">
        <w:rPr>
          <w:rFonts w:ascii="Times New Roman" w:hAnsi="Times New Roman" w:cs="Times New Roman"/>
        </w:rPr>
        <w:t>supervisor</w:t>
      </w:r>
      <w:r w:rsidR="006A6BC1">
        <w:rPr>
          <w:rFonts w:ascii="Times New Roman" w:hAnsi="Times New Roman" w:cs="Times New Roman"/>
        </w:rPr>
        <w:t>y</w:t>
      </w:r>
      <w:r w:rsidR="000301FB" w:rsidRPr="006A6BC1">
        <w:rPr>
          <w:rFonts w:ascii="Times New Roman" w:hAnsi="Times New Roman" w:cs="Times New Roman"/>
        </w:rPr>
        <w:t xml:space="preserve"> resources towards the greatest potential risk. However, b</w:t>
      </w:r>
      <w:r w:rsidR="000315D5" w:rsidRPr="006A6BC1">
        <w:rPr>
          <w:rFonts w:ascii="Times New Roman" w:hAnsi="Times New Roman" w:cs="Times New Roman"/>
        </w:rPr>
        <w:t>ased on the examination of World Bank case studies from a number of countries,</w:t>
      </w:r>
      <w:r w:rsidR="000315D5" w:rsidRPr="007D64F9">
        <w:rPr>
          <w:rStyle w:val="FootnoteReference"/>
          <w:rFonts w:ascii="Times New Roman" w:hAnsi="Times New Roman" w:cs="Times New Roman"/>
        </w:rPr>
        <w:footnoteReference w:id="3"/>
      </w:r>
      <w:r w:rsidRPr="007D64F9">
        <w:rPr>
          <w:rFonts w:ascii="Times New Roman" w:hAnsi="Times New Roman" w:cs="Times New Roman"/>
        </w:rPr>
        <w:t xml:space="preserve"> this paper argues that pension supervisors have not properly defined the objectives of DC pension systems. </w:t>
      </w:r>
      <w:r w:rsidR="00C8404D">
        <w:rPr>
          <w:rFonts w:ascii="Times New Roman" w:hAnsi="Times New Roman" w:cs="Times New Roman"/>
        </w:rPr>
        <w:t>Ultimately they should be concerned with delivering adequate pensions, and therefore on the risk of individuals receiving pensions different than a target– which is termed ‘pension risk’.</w:t>
      </w:r>
    </w:p>
    <w:p w:rsidR="000315D5" w:rsidRPr="005E4D8B" w:rsidRDefault="003B0666" w:rsidP="000315D5">
      <w:pPr>
        <w:pStyle w:val="ListParagraph"/>
        <w:numPr>
          <w:ilvl w:val="0"/>
          <w:numId w:val="1"/>
        </w:numPr>
        <w:spacing w:after="120" w:line="240" w:lineRule="auto"/>
        <w:jc w:val="both"/>
        <w:rPr>
          <w:rFonts w:ascii="Times New Roman" w:hAnsi="Times New Roman" w:cs="Times New Roman"/>
        </w:rPr>
      </w:pPr>
      <w:r w:rsidRPr="006E3E78">
        <w:rPr>
          <w:rFonts w:ascii="Times New Roman" w:hAnsi="Times New Roman" w:cs="Times New Roman"/>
        </w:rPr>
        <w:t xml:space="preserve">The paper discusses how, by focusing on processes rather than outcomes, operational rather than investment risk and </w:t>
      </w:r>
      <w:r w:rsidR="000315D5" w:rsidRPr="006E3E78">
        <w:rPr>
          <w:rFonts w:ascii="Times New Roman" w:hAnsi="Times New Roman" w:cs="Times New Roman"/>
        </w:rPr>
        <w:t xml:space="preserve">the short-term accumulation of assets rather than the long-term delivery of an adequate retirement income, RBS </w:t>
      </w:r>
      <w:r w:rsidR="00B0687A" w:rsidRPr="006E3E78">
        <w:rPr>
          <w:rFonts w:ascii="Times New Roman" w:hAnsi="Times New Roman" w:cs="Times New Roman"/>
        </w:rPr>
        <w:t xml:space="preserve">has </w:t>
      </w:r>
      <w:r w:rsidRPr="006E3E78">
        <w:rPr>
          <w:rFonts w:ascii="Times New Roman" w:hAnsi="Times New Roman" w:cs="Times New Roman"/>
        </w:rPr>
        <w:t>failed to fix many of the problems associated with DC pension systems, and indeed may even be contributing to them.  A solution for realigning interests, and anchoring RBS to the outcome objectives and minimizing pension</w:t>
      </w:r>
      <w:r w:rsidRPr="005E4D8B">
        <w:rPr>
          <w:rFonts w:ascii="Times New Roman" w:hAnsi="Times New Roman" w:cs="Times New Roman"/>
        </w:rPr>
        <w:t xml:space="preserve"> risk through the use of benchmarks is proposed. </w:t>
      </w:r>
      <w:r w:rsidR="00185F6B">
        <w:rPr>
          <w:rFonts w:ascii="Times New Roman" w:hAnsi="Times New Roman" w:cs="Times New Roman"/>
        </w:rPr>
        <w:t xml:space="preserve">In this context, it is essential to reconnect the role of supervision with the replacement rate objectives of the pension system. </w:t>
      </w:r>
      <w:r w:rsidR="00C8404D">
        <w:rPr>
          <w:rFonts w:ascii="Times New Roman" w:eastAsiaTheme="minorEastAsia" w:hAnsi="Times New Roman" w:cs="Times New Roman"/>
          <w:color w:val="000000"/>
        </w:rPr>
        <w:t>The paper explores how the institutional design of the pension fund management industry and the use of market surveillance (basic package of regulation) are efficient in mitigating operational risks in most of the emerging economies with funded pension schemes.</w:t>
      </w:r>
    </w:p>
    <w:p w:rsidR="003B0666" w:rsidRDefault="003B0666" w:rsidP="000315D5">
      <w:pPr>
        <w:pStyle w:val="ListParagraph"/>
        <w:numPr>
          <w:ilvl w:val="0"/>
          <w:numId w:val="1"/>
        </w:numPr>
        <w:spacing w:after="120" w:line="240" w:lineRule="auto"/>
        <w:jc w:val="both"/>
        <w:rPr>
          <w:rFonts w:ascii="Times New Roman" w:hAnsi="Times New Roman" w:cs="Times New Roman"/>
        </w:rPr>
      </w:pPr>
      <w:r w:rsidRPr="007D64F9">
        <w:rPr>
          <w:rFonts w:ascii="Times New Roman" w:hAnsi="Times New Roman" w:cs="Times New Roman"/>
        </w:rPr>
        <w:t>Finally, the paper also acknowledges that RBS does not come without costs, and discusses, in the absence of a proper, outcome focused pension objective, whether the benefits of introducing RBS outweigh these costs and whethe</w:t>
      </w:r>
      <w:r w:rsidR="00B0687A" w:rsidRPr="007D64F9">
        <w:rPr>
          <w:rFonts w:ascii="Times New Roman" w:hAnsi="Times New Roman" w:cs="Times New Roman"/>
        </w:rPr>
        <w:t>r</w:t>
      </w:r>
      <w:r w:rsidRPr="007D64F9">
        <w:rPr>
          <w:rFonts w:ascii="Times New Roman" w:hAnsi="Times New Roman" w:cs="Times New Roman"/>
        </w:rPr>
        <w:t xml:space="preserve"> a slower </w:t>
      </w:r>
      <w:r w:rsidR="00B0687A" w:rsidRPr="007D64F9">
        <w:rPr>
          <w:rFonts w:ascii="Times New Roman" w:hAnsi="Times New Roman" w:cs="Times New Roman"/>
        </w:rPr>
        <w:t xml:space="preserve">path </w:t>
      </w:r>
      <w:r w:rsidRPr="007D64F9">
        <w:rPr>
          <w:rFonts w:ascii="Times New Roman" w:hAnsi="Times New Roman" w:cs="Times New Roman"/>
        </w:rPr>
        <w:t xml:space="preserve">towards this more challenging supervisory approach is appropriate in some circumstances. </w:t>
      </w:r>
    </w:p>
    <w:p w:rsidR="00145119" w:rsidRPr="007D64F9" w:rsidRDefault="00145119" w:rsidP="000315D5">
      <w:pPr>
        <w:pStyle w:val="ListParagraph"/>
        <w:numPr>
          <w:ilvl w:val="0"/>
          <w:numId w:val="1"/>
        </w:numPr>
        <w:spacing w:after="120" w:line="240" w:lineRule="auto"/>
        <w:jc w:val="both"/>
        <w:rPr>
          <w:rFonts w:ascii="Times New Roman" w:hAnsi="Times New Roman" w:cs="Times New Roman"/>
        </w:rPr>
      </w:pPr>
      <w:r>
        <w:rPr>
          <w:rFonts w:ascii="Times New Roman" w:hAnsi="Times New Roman" w:cs="Times New Roman"/>
        </w:rPr>
        <w:lastRenderedPageBreak/>
        <w:t xml:space="preserve">The paper is organized as follows: Chapter 2 discusses the origins of risks based supervision and discusses the role of capital in the alignment of incentives in financial institutions. </w:t>
      </w:r>
      <w:r w:rsidR="004100B4">
        <w:rPr>
          <w:rFonts w:ascii="Times New Roman" w:hAnsi="Times New Roman" w:cs="Times New Roman"/>
        </w:rPr>
        <w:t>Chapter</w:t>
      </w:r>
      <w:r>
        <w:rPr>
          <w:rFonts w:ascii="Times New Roman" w:hAnsi="Times New Roman" w:cs="Times New Roman"/>
        </w:rPr>
        <w:t xml:space="preserve"> 3 discusses the </w:t>
      </w:r>
      <w:r w:rsidR="004100B4">
        <w:rPr>
          <w:rFonts w:ascii="Times New Roman" w:hAnsi="Times New Roman" w:cs="Times New Roman"/>
        </w:rPr>
        <w:t>concept of risk based supervision for pension funds, and its limitations in the case of DC pension schemes. Chapter 4 discusses the effectiveness of RBS schemes in DC systems in emerging economies, and the last section provides some lessons learned.</w:t>
      </w:r>
    </w:p>
    <w:p w:rsidR="003B0666" w:rsidRPr="007D64F9" w:rsidRDefault="003B0666" w:rsidP="003B0666">
      <w:pPr>
        <w:pStyle w:val="ListParagraph"/>
        <w:spacing w:after="120" w:line="240" w:lineRule="auto"/>
        <w:jc w:val="both"/>
        <w:rPr>
          <w:rFonts w:ascii="Times New Roman" w:hAnsi="Times New Roman" w:cs="Times New Roman"/>
        </w:rPr>
      </w:pPr>
    </w:p>
    <w:p w:rsidR="003969C9" w:rsidRPr="007D64F9" w:rsidRDefault="003969C9" w:rsidP="003B0666">
      <w:pPr>
        <w:pStyle w:val="ListParagraph"/>
        <w:spacing w:after="120" w:line="240" w:lineRule="auto"/>
        <w:jc w:val="both"/>
        <w:rPr>
          <w:rFonts w:ascii="Times New Roman" w:hAnsi="Times New Roman" w:cs="Times New Roman"/>
        </w:rPr>
      </w:pPr>
    </w:p>
    <w:p w:rsidR="00B50439" w:rsidRPr="00085822" w:rsidRDefault="00B50439" w:rsidP="003B0666">
      <w:pPr>
        <w:pStyle w:val="Heading2"/>
        <w:numPr>
          <w:ilvl w:val="0"/>
          <w:numId w:val="6"/>
        </w:numPr>
        <w:rPr>
          <w:rFonts w:ascii="Times New Roman" w:hAnsi="Times New Roman" w:cs="Times New Roman"/>
          <w:color w:val="000000" w:themeColor="text1"/>
        </w:rPr>
      </w:pPr>
      <w:r w:rsidRPr="00085822">
        <w:rPr>
          <w:rFonts w:ascii="Times New Roman" w:hAnsi="Times New Roman" w:cs="Times New Roman"/>
          <w:color w:val="000000" w:themeColor="text1"/>
        </w:rPr>
        <w:t>Origins of RBS</w:t>
      </w:r>
    </w:p>
    <w:p w:rsidR="00724452" w:rsidRPr="007D64F9" w:rsidRDefault="00135ACB" w:rsidP="0022340B">
      <w:pPr>
        <w:pStyle w:val="ListParagraph"/>
        <w:numPr>
          <w:ilvl w:val="0"/>
          <w:numId w:val="1"/>
        </w:numPr>
        <w:rPr>
          <w:rFonts w:ascii="Times New Roman" w:hAnsi="Times New Roman" w:cs="Times New Roman"/>
        </w:rPr>
      </w:pPr>
      <w:r w:rsidRPr="007D64F9">
        <w:rPr>
          <w:rFonts w:ascii="Times New Roman" w:hAnsi="Times New Roman" w:cs="Times New Roman"/>
        </w:rPr>
        <w:t xml:space="preserve">In its </w:t>
      </w:r>
      <w:r w:rsidR="002F32D0" w:rsidRPr="007D64F9">
        <w:rPr>
          <w:rFonts w:ascii="Times New Roman" w:hAnsi="Times New Roman" w:cs="Times New Roman"/>
        </w:rPr>
        <w:t>original</w:t>
      </w:r>
      <w:r w:rsidR="00B0687A" w:rsidRPr="007D64F9">
        <w:rPr>
          <w:rFonts w:ascii="Times New Roman" w:hAnsi="Times New Roman" w:cs="Times New Roman"/>
        </w:rPr>
        <w:t xml:space="preserve"> </w:t>
      </w:r>
      <w:r w:rsidRPr="007D64F9">
        <w:rPr>
          <w:rFonts w:ascii="Times New Roman" w:hAnsi="Times New Roman" w:cs="Times New Roman"/>
        </w:rPr>
        <w:t>sense, RBS in a bank or an insurer is the process of the supervisor ensuring that the supervised en</w:t>
      </w:r>
      <w:r w:rsidRPr="006E3E78">
        <w:rPr>
          <w:rFonts w:ascii="Times New Roman" w:hAnsi="Times New Roman" w:cs="Times New Roman"/>
        </w:rPr>
        <w:t xml:space="preserve">tity has aligned its capital, risk management and mitigation to the risks that it faces, so that if a risk event occurs, the entity will be able to absorb the </w:t>
      </w:r>
      <w:r w:rsidRPr="0022340B">
        <w:rPr>
          <w:rFonts w:ascii="Times New Roman" w:hAnsi="Times New Roman" w:cs="Times New Roman"/>
        </w:rPr>
        <w:t xml:space="preserve">impact. </w:t>
      </w:r>
      <w:r w:rsidR="00E427BE">
        <w:rPr>
          <w:rFonts w:ascii="Times New Roman" w:hAnsi="Times New Roman" w:cs="Times New Roman"/>
        </w:rPr>
        <w:t xml:space="preserve">The benefit from the perspective of the supervisor is the ability target attention and supervisory resources at those entities which, in the supervisor’s assessment pose the greatest risk. </w:t>
      </w:r>
      <w:r w:rsidR="00D66B29" w:rsidRPr="0022340B">
        <w:rPr>
          <w:rFonts w:ascii="Times New Roman" w:hAnsi="Times New Roman" w:cs="Times New Roman"/>
        </w:rPr>
        <w:t>This approach</w:t>
      </w:r>
      <w:r w:rsidR="00724452" w:rsidRPr="005E4D8B">
        <w:rPr>
          <w:rFonts w:ascii="Times New Roman" w:hAnsi="Times New Roman" w:cs="Times New Roman"/>
        </w:rPr>
        <w:t xml:space="preserve"> replaces</w:t>
      </w:r>
      <w:r w:rsidR="00D66B29" w:rsidRPr="005E4D8B">
        <w:rPr>
          <w:rFonts w:ascii="Times New Roman" w:hAnsi="Times New Roman" w:cs="Times New Roman"/>
        </w:rPr>
        <w:t xml:space="preserve"> so called rules or compliance-based supervision, with supervisors </w:t>
      </w:r>
      <w:r w:rsidR="00D66B29" w:rsidRPr="007D64F9">
        <w:rPr>
          <w:rFonts w:ascii="Times New Roman" w:hAnsi="Times New Roman" w:cs="Times New Roman"/>
        </w:rPr>
        <w:t>checking retrospectively that all institutions had complied with necessary rules and regulations (thereby treating all in the same way).</w:t>
      </w:r>
      <w:r w:rsidRPr="007D64F9">
        <w:rPr>
          <w:rFonts w:ascii="Times New Roman" w:hAnsi="Times New Roman" w:cs="Times New Roman"/>
        </w:rPr>
        <w:t xml:space="preserve"> </w:t>
      </w:r>
    </w:p>
    <w:p w:rsidR="00135ACB" w:rsidRPr="007D64F9" w:rsidRDefault="00135ACB" w:rsidP="005E4D8B">
      <w:pPr>
        <w:pStyle w:val="ListParagraph"/>
        <w:numPr>
          <w:ilvl w:val="0"/>
          <w:numId w:val="1"/>
        </w:numPr>
        <w:rPr>
          <w:rFonts w:ascii="Times New Roman" w:hAnsi="Times New Roman" w:cs="Times New Roman"/>
        </w:rPr>
      </w:pPr>
      <w:r w:rsidRPr="007D64F9">
        <w:rPr>
          <w:rFonts w:ascii="Times New Roman" w:hAnsi="Times New Roman" w:cs="Times New Roman"/>
        </w:rPr>
        <w:t xml:space="preserve">As a process, </w:t>
      </w:r>
      <w:r w:rsidR="00D66B29" w:rsidRPr="007D64F9">
        <w:rPr>
          <w:rFonts w:ascii="Times New Roman" w:hAnsi="Times New Roman" w:cs="Times New Roman"/>
        </w:rPr>
        <w:t>RBS</w:t>
      </w:r>
      <w:r w:rsidRPr="007D64F9">
        <w:rPr>
          <w:rFonts w:ascii="Times New Roman" w:hAnsi="Times New Roman" w:cs="Times New Roman"/>
        </w:rPr>
        <w:t xml:space="preserve"> requires the supervisor to be confident that the entity has identified its risks both in terms of probability of occurrence and outcome and has robust policies, procedures and systems to measure, monitor and mitigate those risks. One of the key roles of the supervisor is to assure itself that the entity has sufficient capital or access to capital that is consistent with its residual risk. </w:t>
      </w:r>
    </w:p>
    <w:p w:rsidR="00135ACB" w:rsidRPr="007D64F9" w:rsidRDefault="00724452">
      <w:pPr>
        <w:pStyle w:val="ListParagraph"/>
        <w:widowControl w:val="0"/>
        <w:numPr>
          <w:ilvl w:val="0"/>
          <w:numId w:val="1"/>
        </w:numPr>
        <w:autoSpaceDE w:val="0"/>
        <w:autoSpaceDN w:val="0"/>
        <w:adjustRightInd w:val="0"/>
        <w:spacing w:after="240"/>
        <w:rPr>
          <w:rFonts w:ascii="Times New Roman" w:hAnsi="Times New Roman" w:cs="Times New Roman"/>
        </w:rPr>
      </w:pPr>
      <w:r w:rsidRPr="007D64F9">
        <w:rPr>
          <w:rFonts w:ascii="Times New Roman" w:hAnsi="Times New Roman" w:cs="Times New Roman"/>
        </w:rPr>
        <w:t>Before examining RBS as applied to the pension sector, i</w:t>
      </w:r>
      <w:r w:rsidR="00135ACB" w:rsidRPr="007D64F9">
        <w:rPr>
          <w:rFonts w:ascii="Times New Roman" w:hAnsi="Times New Roman" w:cs="Times New Roman"/>
        </w:rPr>
        <w:t xml:space="preserve">t is helpful to consider the evolution of RBS for banks within the risk based capital requirements that have evolved and are evolving under the framework of the Basel Capital Accords and the Solvency II for the insurance sector.  </w:t>
      </w:r>
    </w:p>
    <w:p w:rsidR="00135ACB" w:rsidRPr="006E3E78" w:rsidRDefault="00135ACB">
      <w:pPr>
        <w:pStyle w:val="ListParagraph"/>
        <w:numPr>
          <w:ilvl w:val="0"/>
          <w:numId w:val="1"/>
        </w:numPr>
        <w:rPr>
          <w:rFonts w:ascii="Times New Roman" w:hAnsi="Times New Roman" w:cs="Times New Roman"/>
        </w:rPr>
      </w:pPr>
      <w:r w:rsidRPr="007D64F9">
        <w:rPr>
          <w:rFonts w:ascii="Times New Roman" w:hAnsi="Times New Roman" w:cs="Times New Roman"/>
        </w:rPr>
        <w:t>RBS is traditionally based on three key elements: capital requirements, supervisory review, and market discipline.</w:t>
      </w:r>
      <w:r w:rsidRPr="007D64F9">
        <w:rPr>
          <w:rStyle w:val="FootnoteReference"/>
          <w:rFonts w:ascii="Times New Roman" w:hAnsi="Times New Roman" w:cs="Times New Roman"/>
        </w:rPr>
        <w:footnoteReference w:id="4"/>
      </w:r>
      <w:r w:rsidRPr="007D64F9">
        <w:rPr>
          <w:rFonts w:ascii="Times New Roman" w:hAnsi="Times New Roman" w:cs="Times New Roman"/>
        </w:rPr>
        <w:t xml:space="preserve"> These elements reflect the three Pillars of the Basel II Capital Accord.</w:t>
      </w:r>
      <w:r w:rsidRPr="006E3E78">
        <w:rPr>
          <w:rFonts w:ascii="Times New Roman" w:hAnsi="Times New Roman" w:cs="Times New Roman"/>
        </w:rPr>
        <w:t xml:space="preserve"> The movement toward RBS approaches can be traced back to the development of early warning systems for banks, which subsequently put additional emphasis on risk management processes.</w:t>
      </w:r>
    </w:p>
    <w:p w:rsidR="00135ACB" w:rsidRPr="007D64F9" w:rsidRDefault="00135ACB">
      <w:pPr>
        <w:pStyle w:val="ListParagraph"/>
        <w:numPr>
          <w:ilvl w:val="0"/>
          <w:numId w:val="1"/>
        </w:numPr>
        <w:rPr>
          <w:rFonts w:ascii="Times New Roman" w:hAnsi="Times New Roman" w:cs="Times New Roman"/>
        </w:rPr>
      </w:pPr>
      <w:r w:rsidRPr="006E3E78">
        <w:rPr>
          <w:rFonts w:ascii="Times New Roman" w:hAnsi="Times New Roman" w:cs="Times New Roman"/>
        </w:rPr>
        <w:t>In 1999</w:t>
      </w:r>
      <w:r w:rsidR="00B0687A" w:rsidRPr="006E3E78">
        <w:rPr>
          <w:rFonts w:ascii="Times New Roman" w:hAnsi="Times New Roman" w:cs="Times New Roman"/>
        </w:rPr>
        <w:t>,</w:t>
      </w:r>
      <w:r w:rsidRPr="006E3E78">
        <w:rPr>
          <w:rFonts w:ascii="Times New Roman" w:hAnsi="Times New Roman" w:cs="Times New Roman"/>
        </w:rPr>
        <w:t xml:space="preserve"> the Basel Committee began the process of replacing the Basel I accord with a more sophisticated framework that required banks to improve risk management and corporate governance in conjunction with improved supervision and transparency. The revised framework, known as Basel II, was designed to encourage good risk manag</w:t>
      </w:r>
      <w:r w:rsidRPr="0022340B">
        <w:rPr>
          <w:rFonts w:ascii="Times New Roman" w:hAnsi="Times New Roman" w:cs="Times New Roman"/>
        </w:rPr>
        <w:t xml:space="preserve">ement by tying regulatory capital requirements to the results of an assessment by supervisors of the adequacy of internal systems, processes and controls.  Linking </w:t>
      </w:r>
      <w:r w:rsidRPr="005E4D8B">
        <w:rPr>
          <w:rFonts w:ascii="Times New Roman" w:hAnsi="Times New Roman" w:cs="Times New Roman"/>
        </w:rPr>
        <w:t>regulatory capital requirements to the adequacy of systems, processes and controls incentivi</w:t>
      </w:r>
      <w:r w:rsidRPr="007D64F9">
        <w:rPr>
          <w:rFonts w:ascii="Times New Roman" w:hAnsi="Times New Roman" w:cs="Times New Roman"/>
        </w:rPr>
        <w:t xml:space="preserve">zed boards and management to improve their overall risk management.  While creating the linkage between risk management and capital requirements was an important initiative, the </w:t>
      </w:r>
      <w:r w:rsidRPr="007D64F9">
        <w:rPr>
          <w:rFonts w:ascii="Times New Roman" w:hAnsi="Times New Roman" w:cs="Times New Roman"/>
        </w:rPr>
        <w:lastRenderedPageBreak/>
        <w:t>framework went further enhancing the role of supervisors and adding another pillar: market discipline. Basel II was therefore based on three pillars:</w:t>
      </w:r>
      <w:r w:rsidRPr="007D64F9">
        <w:rPr>
          <w:rStyle w:val="FootnoteReference"/>
          <w:rFonts w:ascii="Times New Roman" w:hAnsi="Times New Roman" w:cs="Times New Roman"/>
        </w:rPr>
        <w:footnoteReference w:id="5"/>
      </w:r>
    </w:p>
    <w:p w:rsidR="00135ACB" w:rsidRPr="007D64F9" w:rsidRDefault="00135ACB">
      <w:pPr>
        <w:pStyle w:val="ListParagraph"/>
        <w:numPr>
          <w:ilvl w:val="0"/>
          <w:numId w:val="1"/>
        </w:numPr>
        <w:rPr>
          <w:rFonts w:ascii="Times New Roman" w:hAnsi="Times New Roman" w:cs="Times New Roman"/>
        </w:rPr>
      </w:pPr>
      <w:r w:rsidRPr="006E3E78">
        <w:rPr>
          <w:rFonts w:ascii="Times New Roman" w:hAnsi="Times New Roman" w:cs="Times New Roman"/>
        </w:rPr>
        <w:t>Pillar one—regulatory capital —focuses on the relationship between capital and risk and reinforces that the responsibility for the proper management of both risk and capital belongs t</w:t>
      </w:r>
      <w:r w:rsidRPr="0022340B">
        <w:rPr>
          <w:rFonts w:ascii="Times New Roman" w:hAnsi="Times New Roman" w:cs="Times New Roman"/>
        </w:rPr>
        <w:t xml:space="preserve">o the board and management of the bank. Pillar one requires the measurement of credit, market and operational risk using either prescribed methods or internal methods approved by the supervisor. Importantly, it requires the </w:t>
      </w:r>
      <w:r w:rsidRPr="005E4D8B">
        <w:rPr>
          <w:rFonts w:ascii="Times New Roman" w:hAnsi="Times New Roman" w:cs="Times New Roman"/>
        </w:rPr>
        <w:t xml:space="preserve">implementation of an effective and comprehensive risk management system that includes a proper organizational structure; policies; procedures; and limits for credit, market, and operational risk. </w:t>
      </w:r>
      <w:r w:rsidRPr="007D64F9">
        <w:rPr>
          <w:rFonts w:ascii="Times New Roman" w:hAnsi="Times New Roman" w:cs="Times New Roman"/>
        </w:rPr>
        <w:t>Under the Pillar, banks need to assess formally their own capital requirements. Banks are required to have an integrated approach to risk management that covers the risks in particular business segments as well as the bank as a whole.</w:t>
      </w:r>
    </w:p>
    <w:p w:rsidR="00135ACB" w:rsidRPr="007D64F9" w:rsidRDefault="00135ACB">
      <w:pPr>
        <w:pStyle w:val="ListParagraph"/>
        <w:numPr>
          <w:ilvl w:val="0"/>
          <w:numId w:val="1"/>
        </w:numPr>
        <w:rPr>
          <w:rFonts w:ascii="Times New Roman" w:hAnsi="Times New Roman" w:cs="Times New Roman"/>
        </w:rPr>
      </w:pPr>
      <w:r w:rsidRPr="007D64F9">
        <w:rPr>
          <w:rFonts w:ascii="Times New Roman" w:hAnsi="Times New Roman" w:cs="Times New Roman"/>
        </w:rPr>
        <w:t>Pillar two––supervisory review––requires supervisors to evaluate a bank’s assessment of its own risks and to assure themselves that the bank’s processes are robust. Supervisors have the opportunity to assess whether a bank understands its risk profile and is sufficiently capitalized to cover its risks. This pillar encourages the adoption of risk-focused internal audits, strengthened management information systems, and the development of risk management units.</w:t>
      </w:r>
    </w:p>
    <w:p w:rsidR="00135ACB" w:rsidRPr="0022340B" w:rsidRDefault="00135ACB" w:rsidP="0022340B">
      <w:pPr>
        <w:pStyle w:val="ListParagraph"/>
        <w:numPr>
          <w:ilvl w:val="0"/>
          <w:numId w:val="1"/>
        </w:numPr>
        <w:rPr>
          <w:rFonts w:ascii="Times New Roman" w:hAnsi="Times New Roman" w:cs="Times New Roman"/>
        </w:rPr>
      </w:pPr>
      <w:r w:rsidRPr="0022340B">
        <w:rPr>
          <w:rFonts w:ascii="Times New Roman" w:hAnsi="Times New Roman" w:cs="Times New Roman"/>
        </w:rPr>
        <w:t>Pillar three––market discipline––ensures that the market is provided with sufficient information to allow it to undertake its own assessment of a bank’s risks. It is intended to strengthen incentives for improved risk management through greater transparency. This should allow market participants to understand better the risks inherent in each bank and ultimately support banks that are well managed at the expense of those that are poorly managed.</w:t>
      </w:r>
    </w:p>
    <w:p w:rsidR="00135ACB" w:rsidRPr="0022340B" w:rsidRDefault="00135ACB" w:rsidP="0022340B">
      <w:pPr>
        <w:pStyle w:val="ListParagraph"/>
        <w:numPr>
          <w:ilvl w:val="0"/>
          <w:numId w:val="1"/>
        </w:numPr>
        <w:rPr>
          <w:rFonts w:ascii="Times New Roman" w:hAnsi="Times New Roman" w:cs="Times New Roman"/>
        </w:rPr>
      </w:pPr>
      <w:r w:rsidRPr="0022340B">
        <w:rPr>
          <w:rFonts w:ascii="Times New Roman" w:hAnsi="Times New Roman" w:cs="Times New Roman"/>
        </w:rPr>
        <w:t xml:space="preserve">The Basel III agreement builds on the three pillars scheme, putting greater emphasis on capital requirements associated with liquidity risk and </w:t>
      </w:r>
      <w:r w:rsidR="00B0687A" w:rsidRPr="0022340B">
        <w:rPr>
          <w:rFonts w:ascii="Times New Roman" w:hAnsi="Times New Roman" w:cs="Times New Roman"/>
        </w:rPr>
        <w:t xml:space="preserve">the </w:t>
      </w:r>
      <w:r w:rsidRPr="0022340B">
        <w:rPr>
          <w:rFonts w:ascii="Times New Roman" w:hAnsi="Times New Roman" w:cs="Times New Roman"/>
        </w:rPr>
        <w:t>leverage of banks.</w:t>
      </w:r>
    </w:p>
    <w:p w:rsidR="00A90B59" w:rsidRPr="006B4FDF" w:rsidRDefault="00135ACB" w:rsidP="0022340B">
      <w:pPr>
        <w:pStyle w:val="ListParagraph"/>
        <w:widowControl w:val="0"/>
        <w:numPr>
          <w:ilvl w:val="0"/>
          <w:numId w:val="1"/>
        </w:numPr>
        <w:autoSpaceDE w:val="0"/>
        <w:autoSpaceDN w:val="0"/>
        <w:adjustRightInd w:val="0"/>
        <w:spacing w:after="0"/>
        <w:rPr>
          <w:rFonts w:ascii="Times New Roman" w:eastAsiaTheme="minorEastAsia" w:hAnsi="Times New Roman" w:cs="Times New Roman"/>
          <w:sz w:val="26"/>
          <w:szCs w:val="26"/>
        </w:rPr>
      </w:pPr>
      <w:r w:rsidRPr="0022340B">
        <w:rPr>
          <w:rFonts w:ascii="Times New Roman" w:hAnsi="Times New Roman" w:cs="Times New Roman"/>
        </w:rPr>
        <w:t xml:space="preserve">With a few nuances, this three-pillar scheme was replicated in the insurance sector.  At a regional level, Europe is expected to introduce, officially in 2014, the new rules on insurance sector regulation, known as Solvency II. </w:t>
      </w:r>
      <w:r w:rsidR="00156EFD" w:rsidRPr="0022340B">
        <w:rPr>
          <w:rFonts w:ascii="Times New Roman" w:hAnsi="Times New Roman" w:cs="Times New Roman"/>
        </w:rPr>
        <w:t>Solvency II also revolves around a three-pillar process. Pillar 1; contains quantitative requirements - the quantification and modeling of risk and capital adequacy. Pillar 2 relates to supervisory review - governance and risk management requirements. Pillar 3</w:t>
      </w:r>
      <w:r w:rsidR="00A90B59" w:rsidRPr="0022340B">
        <w:rPr>
          <w:rFonts w:ascii="Times New Roman" w:hAnsi="Times New Roman" w:cs="Times New Roman"/>
        </w:rPr>
        <w:t xml:space="preserve"> is concerned with </w:t>
      </w:r>
      <w:r w:rsidR="00156EFD" w:rsidRPr="0022340B">
        <w:rPr>
          <w:rFonts w:ascii="Times New Roman" w:hAnsi="Times New Roman" w:cs="Times New Roman"/>
        </w:rPr>
        <w:t xml:space="preserve">market discipline </w:t>
      </w:r>
      <w:r w:rsidR="00B0687A" w:rsidRPr="0022340B">
        <w:rPr>
          <w:rFonts w:ascii="Times New Roman" w:hAnsi="Times New Roman" w:cs="Times New Roman"/>
        </w:rPr>
        <w:t>–</w:t>
      </w:r>
      <w:r w:rsidR="00156EFD" w:rsidRPr="0022340B">
        <w:rPr>
          <w:rFonts w:ascii="Times New Roman" w:hAnsi="Times New Roman" w:cs="Times New Roman"/>
        </w:rPr>
        <w:t xml:space="preserve"> </w:t>
      </w:r>
      <w:r w:rsidR="00B0687A" w:rsidRPr="0022340B">
        <w:rPr>
          <w:rFonts w:ascii="Times New Roman" w:hAnsi="Times New Roman" w:cs="Times New Roman"/>
        </w:rPr>
        <w:t xml:space="preserve">making </w:t>
      </w:r>
      <w:r w:rsidR="00156EFD" w:rsidRPr="0022340B">
        <w:rPr>
          <w:rFonts w:ascii="Times New Roman" w:hAnsi="Times New Roman" w:cs="Times New Roman"/>
        </w:rPr>
        <w:t xml:space="preserve">disclosure to the public and regulators </w:t>
      </w:r>
      <w:r w:rsidR="00B0687A" w:rsidRPr="0022340B">
        <w:rPr>
          <w:rFonts w:ascii="Times New Roman" w:hAnsi="Times New Roman" w:cs="Times New Roman"/>
        </w:rPr>
        <w:t xml:space="preserve">about the insurer’s </w:t>
      </w:r>
      <w:r w:rsidR="00156EFD" w:rsidRPr="0022340B">
        <w:rPr>
          <w:rFonts w:ascii="Times New Roman" w:hAnsi="Times New Roman" w:cs="Times New Roman"/>
        </w:rPr>
        <w:t xml:space="preserve">capital, risk and management practices. </w:t>
      </w:r>
    </w:p>
    <w:p w:rsidR="00A90B59" w:rsidRPr="006B4FDF" w:rsidRDefault="00A90B59" w:rsidP="0022340B">
      <w:pPr>
        <w:pStyle w:val="ListParagraph"/>
        <w:widowControl w:val="0"/>
        <w:numPr>
          <w:ilvl w:val="0"/>
          <w:numId w:val="1"/>
        </w:numPr>
        <w:autoSpaceDE w:val="0"/>
        <w:autoSpaceDN w:val="0"/>
        <w:adjustRightInd w:val="0"/>
        <w:spacing w:after="0"/>
        <w:rPr>
          <w:rFonts w:ascii="Times New Roman" w:eastAsiaTheme="minorEastAsia" w:hAnsi="Times New Roman" w:cs="Times New Roman"/>
          <w:sz w:val="26"/>
          <w:szCs w:val="26"/>
        </w:rPr>
      </w:pPr>
      <w:r w:rsidRPr="007D64F9">
        <w:rPr>
          <w:rFonts w:ascii="Times New Roman" w:hAnsi="Times New Roman" w:cs="Times New Roman"/>
        </w:rPr>
        <w:t xml:space="preserve">For </w:t>
      </w:r>
      <w:r w:rsidR="00156EFD" w:rsidRPr="007D64F9">
        <w:rPr>
          <w:rFonts w:ascii="Times New Roman" w:hAnsi="Times New Roman" w:cs="Times New Roman"/>
        </w:rPr>
        <w:t>Pillar I there are two capital requirements, the Solvency Capital Requirement (SCR) and the Minimum Capital Requirement (MCR) that is a function of SCR. The SCR is to be calculated at l</w:t>
      </w:r>
      <w:r w:rsidR="00156EFD" w:rsidRPr="006E3E78">
        <w:rPr>
          <w:rFonts w:ascii="Times New Roman" w:hAnsi="Times New Roman" w:cs="Times New Roman"/>
        </w:rPr>
        <w:t>east annually under either a standard European-wide formula or subject to regulatory approval, an internal or partially internally designed model. The capital position of the company must be monitored against SCR</w:t>
      </w:r>
      <w:r w:rsidR="00244A0F" w:rsidRPr="006E3E78">
        <w:rPr>
          <w:rFonts w:ascii="Times New Roman" w:hAnsi="Times New Roman" w:cs="Times New Roman"/>
        </w:rPr>
        <w:t>. This</w:t>
      </w:r>
      <w:r w:rsidR="00156EFD" w:rsidRPr="006E3E78">
        <w:rPr>
          <w:rFonts w:ascii="Times New Roman" w:hAnsi="Times New Roman" w:cs="Times New Roman"/>
        </w:rPr>
        <w:t xml:space="preserve"> gives the supervisor additional supervisory tools – if </w:t>
      </w:r>
      <w:r w:rsidR="00244A0F" w:rsidRPr="006E3E78">
        <w:rPr>
          <w:rFonts w:ascii="Times New Roman" w:hAnsi="Times New Roman" w:cs="Times New Roman"/>
        </w:rPr>
        <w:t xml:space="preserve">the capital falls below </w:t>
      </w:r>
      <w:r w:rsidR="00156EFD" w:rsidRPr="006E3E78">
        <w:rPr>
          <w:rFonts w:ascii="Times New Roman" w:hAnsi="Times New Roman" w:cs="Times New Roman"/>
        </w:rPr>
        <w:t>the SCR</w:t>
      </w:r>
      <w:r w:rsidR="00244A0F" w:rsidRPr="006E3E78">
        <w:rPr>
          <w:rFonts w:ascii="Times New Roman" w:hAnsi="Times New Roman" w:cs="Times New Roman"/>
        </w:rPr>
        <w:t xml:space="preserve">, the supervisor can demand a remedial plan. </w:t>
      </w:r>
      <w:r w:rsidR="00156EFD" w:rsidRPr="006B4FDF">
        <w:rPr>
          <w:rFonts w:ascii="Times New Roman" w:eastAsiaTheme="minorEastAsia" w:hAnsi="Times New Roman" w:cs="Times New Roman"/>
          <w:sz w:val="26"/>
          <w:szCs w:val="26"/>
        </w:rPr>
        <w:t xml:space="preserve"> </w:t>
      </w:r>
      <w:r w:rsidR="00244A0F" w:rsidRPr="007D64F9">
        <w:rPr>
          <w:rFonts w:ascii="Times New Roman" w:hAnsi="Times New Roman" w:cs="Times New Roman"/>
        </w:rPr>
        <w:t xml:space="preserve">If the capital position falls below the MCR, the supervisor can withdraw the licensee’s authority unless it is satisfied that a very rapid recovery will be </w:t>
      </w:r>
      <w:r w:rsidR="00244A0F" w:rsidRPr="007D64F9">
        <w:rPr>
          <w:rFonts w:ascii="Times New Roman" w:hAnsi="Times New Roman" w:cs="Times New Roman"/>
        </w:rPr>
        <w:lastRenderedPageBreak/>
        <w:t>made</w:t>
      </w:r>
      <w:r w:rsidR="00156EFD" w:rsidRPr="007D64F9">
        <w:rPr>
          <w:rFonts w:ascii="Times New Roman" w:hAnsi="Times New Roman" w:cs="Times New Roman"/>
        </w:rPr>
        <w:t>.</w:t>
      </w:r>
      <w:r w:rsidRPr="006E3E78">
        <w:rPr>
          <w:rFonts w:ascii="Times New Roman" w:hAnsi="Times New Roman" w:cs="Times New Roman"/>
        </w:rPr>
        <w:t xml:space="preserve"> </w:t>
      </w:r>
    </w:p>
    <w:p w:rsidR="000315D5" w:rsidRPr="006B4FDF" w:rsidRDefault="00156EFD" w:rsidP="0022340B">
      <w:pPr>
        <w:pStyle w:val="ListParagraph"/>
        <w:widowControl w:val="0"/>
        <w:numPr>
          <w:ilvl w:val="0"/>
          <w:numId w:val="1"/>
        </w:numPr>
        <w:autoSpaceDE w:val="0"/>
        <w:autoSpaceDN w:val="0"/>
        <w:adjustRightInd w:val="0"/>
        <w:spacing w:after="0"/>
        <w:rPr>
          <w:rFonts w:ascii="Times New Roman" w:eastAsiaTheme="minorEastAsia" w:hAnsi="Times New Roman" w:cs="Times New Roman"/>
          <w:sz w:val="26"/>
          <w:szCs w:val="26"/>
        </w:rPr>
      </w:pPr>
      <w:r w:rsidRPr="007D64F9">
        <w:rPr>
          <w:rFonts w:ascii="Times New Roman" w:hAnsi="Times New Roman" w:cs="Times New Roman"/>
        </w:rPr>
        <w:t xml:space="preserve">Pillar 2 </w:t>
      </w:r>
      <w:r w:rsidR="00244A0F" w:rsidRPr="007D64F9">
        <w:rPr>
          <w:rFonts w:ascii="Times New Roman" w:hAnsi="Times New Roman" w:cs="Times New Roman"/>
        </w:rPr>
        <w:t xml:space="preserve">mandates that </w:t>
      </w:r>
      <w:r w:rsidRPr="006E3E78">
        <w:rPr>
          <w:rFonts w:ascii="Times New Roman" w:hAnsi="Times New Roman" w:cs="Times New Roman"/>
        </w:rPr>
        <w:t xml:space="preserve">companies must demonstrate to the </w:t>
      </w:r>
      <w:r w:rsidR="00244A0F" w:rsidRPr="006E3E78">
        <w:rPr>
          <w:rFonts w:ascii="Times New Roman" w:hAnsi="Times New Roman" w:cs="Times New Roman"/>
        </w:rPr>
        <w:t xml:space="preserve">supervisor </w:t>
      </w:r>
      <w:r w:rsidRPr="006E3E78">
        <w:rPr>
          <w:rFonts w:ascii="Times New Roman" w:hAnsi="Times New Roman" w:cs="Times New Roman"/>
        </w:rPr>
        <w:t xml:space="preserve">that they have an adequate system of governance </w:t>
      </w:r>
      <w:r w:rsidR="00244A0F" w:rsidRPr="006E3E78">
        <w:rPr>
          <w:rFonts w:ascii="Times New Roman" w:hAnsi="Times New Roman" w:cs="Times New Roman"/>
        </w:rPr>
        <w:t>that</w:t>
      </w:r>
      <w:r w:rsidRPr="006E3E78">
        <w:rPr>
          <w:rFonts w:ascii="Times New Roman" w:hAnsi="Times New Roman" w:cs="Times New Roman"/>
        </w:rPr>
        <w:t xml:space="preserve"> includes </w:t>
      </w:r>
      <w:r w:rsidR="00244A0F" w:rsidRPr="006E3E78">
        <w:rPr>
          <w:rFonts w:ascii="Times New Roman" w:hAnsi="Times New Roman" w:cs="Times New Roman"/>
        </w:rPr>
        <w:t>effective</w:t>
      </w:r>
      <w:r w:rsidRPr="006E3E78">
        <w:rPr>
          <w:rFonts w:ascii="Times New Roman" w:hAnsi="Times New Roman" w:cs="Times New Roman"/>
        </w:rPr>
        <w:t xml:space="preserve"> risk management system</w:t>
      </w:r>
      <w:r w:rsidR="00244A0F" w:rsidRPr="006E3E78">
        <w:rPr>
          <w:rFonts w:ascii="Times New Roman" w:hAnsi="Times New Roman" w:cs="Times New Roman"/>
        </w:rPr>
        <w:t>s</w:t>
      </w:r>
      <w:r w:rsidRPr="006E3E78">
        <w:rPr>
          <w:rFonts w:ascii="Times New Roman" w:hAnsi="Times New Roman" w:cs="Times New Roman"/>
        </w:rPr>
        <w:t xml:space="preserve"> and risk </w:t>
      </w:r>
      <w:r w:rsidR="00244A0F" w:rsidRPr="006B4FDF">
        <w:rPr>
          <w:rFonts w:ascii="Times New Roman" w:hAnsi="Times New Roman" w:cs="Times New Roman"/>
        </w:rPr>
        <w:t>identification. Each</w:t>
      </w:r>
      <w:r w:rsidRPr="006B4FDF">
        <w:rPr>
          <w:rFonts w:ascii="Times New Roman" w:hAnsi="Times New Roman" w:cs="Times New Roman"/>
        </w:rPr>
        <w:t xml:space="preserve"> company </w:t>
      </w:r>
      <w:r w:rsidR="00244A0F" w:rsidRPr="006B4FDF">
        <w:rPr>
          <w:rFonts w:ascii="Times New Roman" w:hAnsi="Times New Roman" w:cs="Times New Roman"/>
        </w:rPr>
        <w:t>must assess</w:t>
      </w:r>
      <w:r w:rsidRPr="006B4FDF">
        <w:rPr>
          <w:rFonts w:ascii="Times New Roman" w:hAnsi="Times New Roman" w:cs="Times New Roman"/>
        </w:rPr>
        <w:t xml:space="preserve"> its risk profile, risk appetite and business strategy and ensure the three are aligned. Through the S</w:t>
      </w:r>
      <w:r w:rsidR="00244A0F" w:rsidRPr="0022340B">
        <w:rPr>
          <w:rFonts w:ascii="Times New Roman" w:hAnsi="Times New Roman" w:cs="Times New Roman"/>
        </w:rPr>
        <w:t xml:space="preserve">upervisory </w:t>
      </w:r>
      <w:r w:rsidRPr="0022340B">
        <w:rPr>
          <w:rFonts w:ascii="Times New Roman" w:hAnsi="Times New Roman" w:cs="Times New Roman"/>
        </w:rPr>
        <w:t>R</w:t>
      </w:r>
      <w:r w:rsidR="00244A0F" w:rsidRPr="0022340B">
        <w:rPr>
          <w:rFonts w:ascii="Times New Roman" w:hAnsi="Times New Roman" w:cs="Times New Roman"/>
        </w:rPr>
        <w:t xml:space="preserve">eview </w:t>
      </w:r>
      <w:r w:rsidRPr="0022340B">
        <w:rPr>
          <w:rFonts w:ascii="Times New Roman" w:hAnsi="Times New Roman" w:cs="Times New Roman"/>
        </w:rPr>
        <w:t>P</w:t>
      </w:r>
      <w:r w:rsidR="00244A0F" w:rsidRPr="0022340B">
        <w:rPr>
          <w:rFonts w:ascii="Times New Roman" w:hAnsi="Times New Roman" w:cs="Times New Roman"/>
        </w:rPr>
        <w:t>rocess,</w:t>
      </w:r>
      <w:r w:rsidRPr="0022340B">
        <w:rPr>
          <w:rFonts w:ascii="Times New Roman" w:hAnsi="Times New Roman" w:cs="Times New Roman"/>
        </w:rPr>
        <w:t xml:space="preserve"> the </w:t>
      </w:r>
      <w:r w:rsidR="00244A0F" w:rsidRPr="0022340B">
        <w:rPr>
          <w:rFonts w:ascii="Times New Roman" w:hAnsi="Times New Roman" w:cs="Times New Roman"/>
        </w:rPr>
        <w:t>supervisor</w:t>
      </w:r>
      <w:r w:rsidRPr="0022340B">
        <w:rPr>
          <w:rFonts w:ascii="Times New Roman" w:hAnsi="Times New Roman" w:cs="Times New Roman"/>
        </w:rPr>
        <w:t xml:space="preserve"> will evaluate the system of governance and risk management and </w:t>
      </w:r>
      <w:r w:rsidR="00244A0F" w:rsidRPr="0022340B">
        <w:rPr>
          <w:rFonts w:ascii="Times New Roman" w:hAnsi="Times New Roman" w:cs="Times New Roman"/>
        </w:rPr>
        <w:t>will have the power</w:t>
      </w:r>
      <w:r w:rsidRPr="0022340B">
        <w:rPr>
          <w:rFonts w:ascii="Times New Roman" w:hAnsi="Times New Roman" w:cs="Times New Roman"/>
        </w:rPr>
        <w:t xml:space="preserve"> to require companies to remedy any deficiencies</w:t>
      </w:r>
      <w:r w:rsidR="00244A0F" w:rsidRPr="0022340B">
        <w:rPr>
          <w:rFonts w:ascii="Times New Roman" w:hAnsi="Times New Roman" w:cs="Times New Roman"/>
        </w:rPr>
        <w:t xml:space="preserve"> that it has identified.</w:t>
      </w:r>
    </w:p>
    <w:p w:rsidR="000315D5" w:rsidRPr="006B4FDF" w:rsidRDefault="00244A0F" w:rsidP="0022340B">
      <w:pPr>
        <w:pStyle w:val="ListParagraph"/>
        <w:widowControl w:val="0"/>
        <w:numPr>
          <w:ilvl w:val="0"/>
          <w:numId w:val="1"/>
        </w:numPr>
        <w:autoSpaceDE w:val="0"/>
        <w:autoSpaceDN w:val="0"/>
        <w:adjustRightInd w:val="0"/>
        <w:spacing w:after="0"/>
        <w:rPr>
          <w:rFonts w:ascii="Times New Roman" w:eastAsiaTheme="minorEastAsia" w:hAnsi="Times New Roman" w:cs="Times New Roman"/>
          <w:sz w:val="26"/>
          <w:szCs w:val="26"/>
        </w:rPr>
      </w:pPr>
      <w:r w:rsidRPr="007D64F9">
        <w:rPr>
          <w:rFonts w:ascii="Times New Roman" w:hAnsi="Times New Roman" w:cs="Times New Roman"/>
        </w:rPr>
        <w:t xml:space="preserve"> </w:t>
      </w:r>
      <w:r w:rsidR="00156EFD" w:rsidRPr="007D64F9">
        <w:rPr>
          <w:rFonts w:ascii="Times New Roman" w:hAnsi="Times New Roman" w:cs="Times New Roman"/>
        </w:rPr>
        <w:t>Pil</w:t>
      </w:r>
      <w:r w:rsidRPr="006E3E78">
        <w:rPr>
          <w:rFonts w:ascii="Times New Roman" w:hAnsi="Times New Roman" w:cs="Times New Roman"/>
        </w:rPr>
        <w:t>lar 3 requires market disclosure</w:t>
      </w:r>
      <w:r w:rsidR="00156EFD" w:rsidRPr="006E3E78">
        <w:rPr>
          <w:rFonts w:ascii="Times New Roman" w:hAnsi="Times New Roman" w:cs="Times New Roman"/>
        </w:rPr>
        <w:t xml:space="preserve"> </w:t>
      </w:r>
      <w:r w:rsidRPr="006E3E78">
        <w:rPr>
          <w:rFonts w:ascii="Times New Roman" w:hAnsi="Times New Roman" w:cs="Times New Roman"/>
        </w:rPr>
        <w:t xml:space="preserve">under which insurers </w:t>
      </w:r>
      <w:r w:rsidR="00A90B59" w:rsidRPr="006E3E78">
        <w:rPr>
          <w:rFonts w:ascii="Times New Roman" w:hAnsi="Times New Roman" w:cs="Times New Roman"/>
        </w:rPr>
        <w:t>companies will</w:t>
      </w:r>
      <w:r w:rsidRPr="006E3E78">
        <w:rPr>
          <w:rFonts w:ascii="Times New Roman" w:hAnsi="Times New Roman" w:cs="Times New Roman"/>
        </w:rPr>
        <w:t xml:space="preserve"> be required </w:t>
      </w:r>
      <w:r w:rsidR="00156EFD" w:rsidRPr="006E3E78">
        <w:rPr>
          <w:rFonts w:ascii="Times New Roman" w:hAnsi="Times New Roman" w:cs="Times New Roman"/>
        </w:rPr>
        <w:t xml:space="preserve">to publish details of the risks facing them, </w:t>
      </w:r>
      <w:r w:rsidR="00B0687A" w:rsidRPr="006E3E78">
        <w:rPr>
          <w:rFonts w:ascii="Times New Roman" w:hAnsi="Times New Roman" w:cs="Times New Roman"/>
        </w:rPr>
        <w:t xml:space="preserve">the adequacy of their </w:t>
      </w:r>
      <w:r w:rsidR="00156EFD" w:rsidRPr="006E3E78">
        <w:rPr>
          <w:rFonts w:ascii="Times New Roman" w:hAnsi="Times New Roman" w:cs="Times New Roman"/>
        </w:rPr>
        <w:t xml:space="preserve">capital and </w:t>
      </w:r>
      <w:r w:rsidR="00B0687A" w:rsidRPr="006E3E78">
        <w:rPr>
          <w:rFonts w:ascii="Times New Roman" w:hAnsi="Times New Roman" w:cs="Times New Roman"/>
        </w:rPr>
        <w:t xml:space="preserve">their </w:t>
      </w:r>
      <w:r w:rsidR="00156EFD" w:rsidRPr="006E3E78">
        <w:rPr>
          <w:rFonts w:ascii="Times New Roman" w:hAnsi="Times New Roman" w:cs="Times New Roman"/>
        </w:rPr>
        <w:t>risk management</w:t>
      </w:r>
      <w:r w:rsidR="00B0687A" w:rsidRPr="006E3E78">
        <w:rPr>
          <w:rFonts w:ascii="Times New Roman" w:hAnsi="Times New Roman" w:cs="Times New Roman"/>
        </w:rPr>
        <w:t xml:space="preserve"> practices</w:t>
      </w:r>
      <w:r w:rsidR="00156EFD" w:rsidRPr="006E3E78">
        <w:rPr>
          <w:rFonts w:ascii="Times New Roman" w:hAnsi="Times New Roman" w:cs="Times New Roman"/>
        </w:rPr>
        <w:t xml:space="preserve">. </w:t>
      </w:r>
    </w:p>
    <w:p w:rsidR="00B50439" w:rsidRPr="00085822" w:rsidRDefault="00B50439" w:rsidP="0022340B">
      <w:pPr>
        <w:pStyle w:val="Heading3"/>
        <w:ind w:left="720"/>
        <w:rPr>
          <w:rFonts w:ascii="Times New Roman" w:hAnsi="Times New Roman" w:cs="Times New Roman"/>
          <w:i/>
          <w:color w:val="000000" w:themeColor="text1"/>
        </w:rPr>
      </w:pPr>
      <w:r w:rsidRPr="00085822">
        <w:rPr>
          <w:rFonts w:ascii="Times New Roman" w:hAnsi="Times New Roman" w:cs="Times New Roman"/>
          <w:i/>
          <w:color w:val="000000" w:themeColor="text1"/>
        </w:rPr>
        <w:t xml:space="preserve">Cost and Benefits of RBS </w:t>
      </w:r>
    </w:p>
    <w:p w:rsidR="00135ACB" w:rsidRPr="006B4FDF" w:rsidRDefault="00135ACB" w:rsidP="00EB1C3C">
      <w:pPr>
        <w:pStyle w:val="ListParagraph"/>
        <w:widowControl w:val="0"/>
        <w:numPr>
          <w:ilvl w:val="0"/>
          <w:numId w:val="1"/>
        </w:numPr>
        <w:autoSpaceDE w:val="0"/>
        <w:autoSpaceDN w:val="0"/>
        <w:adjustRightInd w:val="0"/>
        <w:spacing w:after="0"/>
        <w:rPr>
          <w:rFonts w:ascii="Times New Roman" w:eastAsiaTheme="minorEastAsia" w:hAnsi="Times New Roman" w:cs="Times New Roman"/>
          <w:sz w:val="26"/>
          <w:szCs w:val="26"/>
        </w:rPr>
      </w:pPr>
      <w:r w:rsidRPr="007D64F9">
        <w:rPr>
          <w:rFonts w:ascii="Times New Roman" w:hAnsi="Times New Roman" w:cs="Times New Roman"/>
        </w:rPr>
        <w:t>There are a number of benefits to employing RBS.  RBS focuses the attention of an entity on managing its risks. It provides the supervisor of banks and insurance companies with another tool</w:t>
      </w:r>
      <w:r w:rsidR="00E55AA1">
        <w:rPr>
          <w:rFonts w:ascii="Times New Roman" w:hAnsi="Times New Roman" w:cs="Times New Roman"/>
        </w:rPr>
        <w:t xml:space="preserve"> for incentivizing improvement</w:t>
      </w:r>
      <w:r w:rsidRPr="007D64F9">
        <w:rPr>
          <w:rFonts w:ascii="Times New Roman" w:hAnsi="Times New Roman" w:cs="Times New Roman"/>
        </w:rPr>
        <w:t>, in addition to the conventional tools of fines, sanctions, directions and administration.  A s</w:t>
      </w:r>
      <w:r w:rsidRPr="006E3E78">
        <w:rPr>
          <w:rFonts w:ascii="Times New Roman" w:hAnsi="Times New Roman" w:cs="Times New Roman"/>
        </w:rPr>
        <w:t xml:space="preserve">upervisor </w:t>
      </w:r>
      <w:r w:rsidR="00E427BE">
        <w:rPr>
          <w:rFonts w:ascii="Times New Roman" w:hAnsi="Times New Roman" w:cs="Times New Roman"/>
        </w:rPr>
        <w:t xml:space="preserve">can focus more attention on those entities that pose the greatest risk and </w:t>
      </w:r>
      <w:r w:rsidRPr="006E3E78">
        <w:rPr>
          <w:rFonts w:ascii="Times New Roman" w:hAnsi="Times New Roman" w:cs="Times New Roman"/>
        </w:rPr>
        <w:t xml:space="preserve">can require that shareholders subscribe additional capital, if it is of the view that the current capital is not aligned with the risks. It is forward looking in that it anticipates the possibility of one or more risk events occurring.  It can be more flexible than compliance-based approaches.  From the perspective of the supervisor, it enables supervisory efforts to be targeted at the areas of greatest perceived need and, in this way, assists the supervisor to ration its scarce resources, particularly important in countries with large numbers of supervised entities. </w:t>
      </w:r>
    </w:p>
    <w:p w:rsidR="001515A6" w:rsidRPr="007D64F9" w:rsidRDefault="00135ACB" w:rsidP="00E55AA1">
      <w:pPr>
        <w:pStyle w:val="ListParagraph"/>
        <w:numPr>
          <w:ilvl w:val="0"/>
          <w:numId w:val="1"/>
        </w:numPr>
        <w:rPr>
          <w:rFonts w:ascii="Times New Roman" w:hAnsi="Times New Roman" w:cs="Times New Roman"/>
        </w:rPr>
      </w:pPr>
      <w:r w:rsidRPr="007D64F9">
        <w:rPr>
          <w:rFonts w:ascii="Times New Roman" w:hAnsi="Times New Roman" w:cs="Times New Roman"/>
          <w:color w:val="333333"/>
        </w:rPr>
        <w:t xml:space="preserve">There are also a number of costs associated with RBS due to the subjectivity involved in assessing the probability and potential outcomes of the occurrence of risk events. </w:t>
      </w:r>
      <w:r w:rsidR="00E55AA1">
        <w:rPr>
          <w:rFonts w:ascii="Times New Roman" w:hAnsi="Times New Roman" w:cs="Times New Roman"/>
          <w:color w:val="333333"/>
        </w:rPr>
        <w:t xml:space="preserve">On the one hand, </w:t>
      </w:r>
      <w:r w:rsidR="00E55AA1" w:rsidRPr="00E55AA1">
        <w:rPr>
          <w:rFonts w:ascii="Times New Roman" w:hAnsi="Times New Roman" w:cs="Times New Roman"/>
          <w:color w:val="333333"/>
        </w:rPr>
        <w:t xml:space="preserve">entities need to have </w:t>
      </w:r>
      <w:r w:rsidR="00E55AA1">
        <w:rPr>
          <w:rFonts w:ascii="Times New Roman" w:hAnsi="Times New Roman" w:cs="Times New Roman"/>
          <w:color w:val="333333"/>
        </w:rPr>
        <w:t xml:space="preserve">in place </w:t>
      </w:r>
      <w:r w:rsidR="00E55AA1" w:rsidRPr="00E55AA1">
        <w:rPr>
          <w:rFonts w:ascii="Times New Roman" w:hAnsi="Times New Roman" w:cs="Times New Roman"/>
          <w:color w:val="333333"/>
        </w:rPr>
        <w:t xml:space="preserve">more sophisticated risk management systems, better data, </w:t>
      </w:r>
      <w:r w:rsidR="00E55AA1">
        <w:rPr>
          <w:rFonts w:ascii="Times New Roman" w:hAnsi="Times New Roman" w:cs="Times New Roman"/>
          <w:color w:val="333333"/>
        </w:rPr>
        <w:t>b</w:t>
      </w:r>
      <w:r w:rsidR="00E55AA1" w:rsidRPr="00E55AA1">
        <w:rPr>
          <w:rFonts w:ascii="Times New Roman" w:hAnsi="Times New Roman" w:cs="Times New Roman"/>
          <w:color w:val="333333"/>
        </w:rPr>
        <w:t>etter risk management frameworks and better control</w:t>
      </w:r>
      <w:r w:rsidR="00E55AA1">
        <w:rPr>
          <w:rFonts w:ascii="Times New Roman" w:hAnsi="Times New Roman" w:cs="Times New Roman"/>
          <w:color w:val="333333"/>
        </w:rPr>
        <w:t xml:space="preserve"> </w:t>
      </w:r>
      <w:r w:rsidR="00E55AA1" w:rsidRPr="00E55AA1">
        <w:rPr>
          <w:rFonts w:ascii="Times New Roman" w:hAnsi="Times New Roman" w:cs="Times New Roman"/>
          <w:color w:val="333333"/>
        </w:rPr>
        <w:t>s</w:t>
      </w:r>
      <w:r w:rsidR="00E55AA1">
        <w:rPr>
          <w:rFonts w:ascii="Times New Roman" w:hAnsi="Times New Roman" w:cs="Times New Roman"/>
          <w:color w:val="333333"/>
        </w:rPr>
        <w:t>ystems</w:t>
      </w:r>
      <w:r w:rsidR="00E55AA1" w:rsidRPr="00E55AA1">
        <w:rPr>
          <w:rFonts w:ascii="Times New Roman" w:hAnsi="Times New Roman" w:cs="Times New Roman"/>
          <w:color w:val="333333"/>
        </w:rPr>
        <w:t xml:space="preserve">.  </w:t>
      </w:r>
      <w:r w:rsidR="00C103C3">
        <w:rPr>
          <w:rFonts w:ascii="Times New Roman" w:hAnsi="Times New Roman" w:cs="Times New Roman"/>
          <w:color w:val="333333"/>
        </w:rPr>
        <w:t>On the other hand t</w:t>
      </w:r>
      <w:r w:rsidR="00E55AA1" w:rsidRPr="00E55AA1">
        <w:rPr>
          <w:rFonts w:ascii="Times New Roman" w:hAnsi="Times New Roman" w:cs="Times New Roman"/>
          <w:color w:val="333333"/>
        </w:rPr>
        <w:t xml:space="preserve">he costs to supervisors are touched on a detailed framework, better data and probably better trained staff. </w:t>
      </w:r>
      <w:r w:rsidRPr="007D64F9">
        <w:rPr>
          <w:rFonts w:ascii="Times New Roman" w:hAnsi="Times New Roman" w:cs="Times New Roman"/>
          <w:color w:val="333333"/>
        </w:rPr>
        <w:t xml:space="preserve"> </w:t>
      </w:r>
      <w:r w:rsidR="00C103C3">
        <w:rPr>
          <w:rFonts w:ascii="Times New Roman" w:hAnsi="Times New Roman" w:cs="Times New Roman"/>
          <w:color w:val="333333"/>
        </w:rPr>
        <w:t xml:space="preserve">In addition, </w:t>
      </w:r>
      <w:r w:rsidR="00E427BE">
        <w:rPr>
          <w:rFonts w:ascii="Times New Roman" w:hAnsi="Times New Roman" w:cs="Times New Roman"/>
          <w:color w:val="333333"/>
        </w:rPr>
        <w:t>from the perspective of the supervisor, t</w:t>
      </w:r>
      <w:r w:rsidR="00E427BE" w:rsidRPr="007D64F9">
        <w:rPr>
          <w:rFonts w:ascii="Times New Roman" w:hAnsi="Times New Roman" w:cs="Times New Roman"/>
          <w:color w:val="333333"/>
        </w:rPr>
        <w:t>his</w:t>
      </w:r>
      <w:r w:rsidR="00E427BE">
        <w:rPr>
          <w:rFonts w:ascii="Times New Roman" w:hAnsi="Times New Roman" w:cs="Times New Roman"/>
          <w:color w:val="333333"/>
        </w:rPr>
        <w:t xml:space="preserve"> </w:t>
      </w:r>
      <w:r w:rsidR="00C103C3">
        <w:rPr>
          <w:rFonts w:ascii="Times New Roman" w:hAnsi="Times New Roman" w:cs="Times New Roman"/>
          <w:color w:val="333333"/>
        </w:rPr>
        <w:t>t</w:t>
      </w:r>
      <w:r w:rsidRPr="007D64F9">
        <w:rPr>
          <w:rFonts w:ascii="Times New Roman" w:hAnsi="Times New Roman" w:cs="Times New Roman"/>
          <w:color w:val="333333"/>
        </w:rPr>
        <w:t xml:space="preserve">his form </w:t>
      </w:r>
      <w:r w:rsidRPr="006E3E78">
        <w:rPr>
          <w:rFonts w:ascii="Times New Roman" w:hAnsi="Times New Roman" w:cs="Times New Roman"/>
          <w:color w:val="333333"/>
        </w:rPr>
        <w:t>of supervision requires supervisors to form subjective views about the risk profile of an entity, and the efficacy of its risk management systems.</w:t>
      </w:r>
      <w:r w:rsidR="00E427BE" w:rsidRPr="00E427BE">
        <w:rPr>
          <w:rFonts w:ascii="Times New Roman" w:hAnsi="Times New Roman" w:cs="Times New Roman"/>
          <w:color w:val="333333"/>
        </w:rPr>
        <w:t xml:space="preserve"> </w:t>
      </w:r>
      <w:r w:rsidR="00E427BE" w:rsidRPr="006E3E78">
        <w:rPr>
          <w:rFonts w:ascii="Times New Roman" w:hAnsi="Times New Roman" w:cs="Times New Roman"/>
          <w:color w:val="333333"/>
        </w:rPr>
        <w:t>It also requires supervisors themselves to be forward looking</w:t>
      </w:r>
      <w:r w:rsidR="00E427BE">
        <w:rPr>
          <w:rFonts w:ascii="Times New Roman" w:hAnsi="Times New Roman" w:cs="Times New Roman"/>
          <w:color w:val="333333"/>
        </w:rPr>
        <w:t>. By contrast, compliance based is objective</w:t>
      </w:r>
      <w:r w:rsidRPr="006E3E78">
        <w:rPr>
          <w:rFonts w:ascii="Times New Roman" w:hAnsi="Times New Roman" w:cs="Times New Roman"/>
          <w:color w:val="333333"/>
        </w:rPr>
        <w:t xml:space="preserve">.  To be effective, RBS requires a detailed framework </w:t>
      </w:r>
      <w:r w:rsidR="00B0687A" w:rsidRPr="006E3E78">
        <w:rPr>
          <w:rFonts w:ascii="Times New Roman" w:hAnsi="Times New Roman" w:cs="Times New Roman"/>
          <w:color w:val="333333"/>
        </w:rPr>
        <w:t>with</w:t>
      </w:r>
      <w:r w:rsidRPr="006E3E78">
        <w:rPr>
          <w:rFonts w:ascii="Times New Roman" w:hAnsi="Times New Roman" w:cs="Times New Roman"/>
          <w:color w:val="333333"/>
        </w:rPr>
        <w:t>in which well-qualified and expert supervisors can make these assessments and which evolves as risks change.  Any assessments made without such a framework may even become counterproductive.</w:t>
      </w:r>
      <w:r w:rsidR="00AB6E94" w:rsidRPr="005E4D8B">
        <w:rPr>
          <w:rFonts w:ascii="Times New Roman" w:hAnsi="Times New Roman" w:cs="Times New Roman"/>
          <w:color w:val="333333"/>
        </w:rPr>
        <w:t xml:space="preserve"> The </w:t>
      </w:r>
      <w:r w:rsidR="00AD64C5" w:rsidRPr="005E4D8B">
        <w:rPr>
          <w:rFonts w:ascii="Times New Roman" w:hAnsi="Times New Roman" w:cs="Times New Roman"/>
          <w:color w:val="333333"/>
        </w:rPr>
        <w:t xml:space="preserve">migration </w:t>
      </w:r>
      <w:r w:rsidR="00AD64C5" w:rsidRPr="00EB1C3C">
        <w:rPr>
          <w:rFonts w:ascii="Times New Roman" w:hAnsi="Times New Roman" w:cs="Times New Roman"/>
          <w:color w:val="333333"/>
        </w:rPr>
        <w:t>from compliance to RBS could be long,</w:t>
      </w:r>
      <w:r w:rsidR="00AD64C5" w:rsidRPr="007D64F9">
        <w:rPr>
          <w:rFonts w:ascii="Times New Roman" w:hAnsi="Times New Roman" w:cs="Times New Roman"/>
          <w:color w:val="333333"/>
        </w:rPr>
        <w:t xml:space="preserve"> and consequently the quality of the supervision could be weak during the transition period.</w:t>
      </w:r>
      <w:r w:rsidR="00D22018">
        <w:rPr>
          <w:rStyle w:val="FootnoteReference"/>
          <w:rFonts w:ascii="Times New Roman" w:hAnsi="Times New Roman" w:cs="Times New Roman"/>
          <w:color w:val="333333"/>
        </w:rPr>
        <w:footnoteReference w:id="6"/>
      </w:r>
      <w:r w:rsidR="00AD64C5" w:rsidRPr="007D64F9">
        <w:rPr>
          <w:rFonts w:ascii="Times New Roman" w:hAnsi="Times New Roman" w:cs="Times New Roman"/>
          <w:color w:val="333333"/>
        </w:rPr>
        <w:t xml:space="preserve"> </w:t>
      </w:r>
    </w:p>
    <w:p w:rsidR="00BF7E58" w:rsidRPr="00085822" w:rsidRDefault="00135ACB" w:rsidP="003B0666">
      <w:pPr>
        <w:pStyle w:val="Heading2"/>
        <w:numPr>
          <w:ilvl w:val="0"/>
          <w:numId w:val="4"/>
        </w:numPr>
        <w:rPr>
          <w:rFonts w:ascii="Times New Roman" w:hAnsi="Times New Roman" w:cs="Times New Roman"/>
          <w:color w:val="000000" w:themeColor="text1"/>
        </w:rPr>
      </w:pPr>
      <w:r w:rsidRPr="00085822">
        <w:rPr>
          <w:rFonts w:ascii="Times New Roman" w:hAnsi="Times New Roman" w:cs="Times New Roman"/>
          <w:color w:val="000000" w:themeColor="text1"/>
        </w:rPr>
        <w:t xml:space="preserve">RBS in the Pension Sector </w:t>
      </w:r>
    </w:p>
    <w:p w:rsidR="002F32D0" w:rsidRPr="007D64F9" w:rsidRDefault="002F32D0" w:rsidP="00135ACB">
      <w:pPr>
        <w:pStyle w:val="ListParagraph"/>
        <w:widowControl w:val="0"/>
        <w:numPr>
          <w:ilvl w:val="0"/>
          <w:numId w:val="1"/>
        </w:numPr>
        <w:autoSpaceDE w:val="0"/>
        <w:autoSpaceDN w:val="0"/>
        <w:adjustRightInd w:val="0"/>
        <w:spacing w:after="240"/>
        <w:rPr>
          <w:rFonts w:ascii="Times New Roman" w:hAnsi="Times New Roman" w:cs="Times New Roman"/>
        </w:rPr>
      </w:pPr>
      <w:r w:rsidRPr="007D64F9">
        <w:rPr>
          <w:rFonts w:ascii="Times New Roman" w:hAnsi="Times New Roman" w:cs="Times New Roman"/>
        </w:rPr>
        <w:t>The trend toward RBS in</w:t>
      </w:r>
      <w:r w:rsidRPr="006E3E78">
        <w:rPr>
          <w:rFonts w:ascii="Times New Roman" w:hAnsi="Times New Roman" w:cs="Times New Roman"/>
        </w:rPr>
        <w:t xml:space="preserve"> the pension sector mirrors an increased focus on risk management that occurred in both the ba</w:t>
      </w:r>
      <w:r w:rsidR="001515A6" w:rsidRPr="006E3E78">
        <w:rPr>
          <w:rFonts w:ascii="Times New Roman" w:hAnsi="Times New Roman" w:cs="Times New Roman"/>
        </w:rPr>
        <w:t>nking and insurance sectors where</w:t>
      </w:r>
      <w:r w:rsidRPr="006E3E78">
        <w:rPr>
          <w:rFonts w:ascii="Times New Roman" w:hAnsi="Times New Roman" w:cs="Times New Roman"/>
        </w:rPr>
        <w:t xml:space="preserve"> RBS was introduced</w:t>
      </w:r>
      <w:r w:rsidR="00AD64C5" w:rsidRPr="006E3E78">
        <w:rPr>
          <w:rFonts w:ascii="Times New Roman" w:hAnsi="Times New Roman" w:cs="Times New Roman"/>
        </w:rPr>
        <w:t xml:space="preserve">, </w:t>
      </w:r>
      <w:r w:rsidR="00045258" w:rsidRPr="006E3E78">
        <w:rPr>
          <w:rFonts w:ascii="Times New Roman" w:hAnsi="Times New Roman" w:cs="Times New Roman"/>
        </w:rPr>
        <w:t xml:space="preserve">but </w:t>
      </w:r>
      <w:r w:rsidR="00AD64C5" w:rsidRPr="006E3E78">
        <w:rPr>
          <w:rFonts w:ascii="Times New Roman" w:hAnsi="Times New Roman" w:cs="Times New Roman"/>
        </w:rPr>
        <w:t xml:space="preserve">the expected outcomes of the supervision </w:t>
      </w:r>
      <w:r w:rsidR="00E427BE">
        <w:rPr>
          <w:rFonts w:ascii="Times New Roman" w:hAnsi="Times New Roman" w:cs="Times New Roman"/>
        </w:rPr>
        <w:t xml:space="preserve">in terms of delivering an </w:t>
      </w:r>
      <w:r w:rsidR="00E427BE">
        <w:rPr>
          <w:rFonts w:ascii="Times New Roman" w:hAnsi="Times New Roman" w:cs="Times New Roman"/>
        </w:rPr>
        <w:lastRenderedPageBreak/>
        <w:t xml:space="preserve">adequate retirement income </w:t>
      </w:r>
      <w:r w:rsidR="00AD64C5" w:rsidRPr="006E3E78">
        <w:rPr>
          <w:rFonts w:ascii="Times New Roman" w:hAnsi="Times New Roman" w:cs="Times New Roman"/>
        </w:rPr>
        <w:t>were not well defined</w:t>
      </w:r>
      <w:r w:rsidR="007F725A" w:rsidRPr="006E3E78">
        <w:rPr>
          <w:rFonts w:ascii="Times New Roman" w:hAnsi="Times New Roman" w:cs="Times New Roman"/>
        </w:rPr>
        <w:t xml:space="preserve"> for all types of pension systems</w:t>
      </w:r>
      <w:r w:rsidR="00AD64C5" w:rsidRPr="005E4D8B">
        <w:rPr>
          <w:rFonts w:ascii="Times New Roman" w:hAnsi="Times New Roman" w:cs="Times New Roman"/>
        </w:rPr>
        <w:t>. This is especially the case of defined contribution pension systems, where the adequacy</w:t>
      </w:r>
      <w:r w:rsidR="002B7C1C">
        <w:rPr>
          <w:rFonts w:ascii="Times New Roman" w:hAnsi="Times New Roman" w:cs="Times New Roman"/>
        </w:rPr>
        <w:t xml:space="preserve"> of future pensions is not explicitly defined as the main objective of funded pension schemes.</w:t>
      </w:r>
      <w:r w:rsidR="00045258" w:rsidRPr="007D64F9">
        <w:rPr>
          <w:rStyle w:val="FootnoteReference"/>
          <w:rFonts w:ascii="Times New Roman" w:hAnsi="Times New Roman" w:cs="Times New Roman"/>
        </w:rPr>
        <w:footnoteReference w:id="7"/>
      </w:r>
      <w:r w:rsidR="006D467A">
        <w:rPr>
          <w:rFonts w:ascii="Times New Roman" w:hAnsi="Times New Roman" w:cs="Times New Roman"/>
        </w:rPr>
        <w:t xml:space="preserve"> </w:t>
      </w:r>
    </w:p>
    <w:p w:rsidR="00135ACB" w:rsidRPr="007D64F9" w:rsidRDefault="00AD64C5" w:rsidP="00135ACB">
      <w:pPr>
        <w:pStyle w:val="ListParagraph"/>
        <w:widowControl w:val="0"/>
        <w:numPr>
          <w:ilvl w:val="0"/>
          <w:numId w:val="1"/>
        </w:numPr>
        <w:autoSpaceDE w:val="0"/>
        <w:autoSpaceDN w:val="0"/>
        <w:adjustRightInd w:val="0"/>
        <w:spacing w:after="240"/>
        <w:rPr>
          <w:rFonts w:ascii="Times New Roman" w:hAnsi="Times New Roman" w:cs="Times New Roman"/>
        </w:rPr>
      </w:pPr>
      <w:r w:rsidRPr="007D64F9">
        <w:rPr>
          <w:rFonts w:ascii="Times New Roman" w:hAnsi="Times New Roman" w:cs="Times New Roman"/>
        </w:rPr>
        <w:t>In the absence of a direct link between capital and the efficiency of the portfolio, th</w:t>
      </w:r>
      <w:r w:rsidRPr="006E3E78">
        <w:rPr>
          <w:rFonts w:ascii="Times New Roman" w:hAnsi="Times New Roman" w:cs="Times New Roman"/>
        </w:rPr>
        <w:t xml:space="preserve">e earlier concept of RBS as applied by supervisors of banks and insurers becomes less relevant for the DC pension fund industry. </w:t>
      </w:r>
      <w:r w:rsidR="00135ACB" w:rsidRPr="006E3E78">
        <w:rPr>
          <w:rFonts w:ascii="Times New Roman" w:hAnsi="Times New Roman" w:cs="Times New Roman"/>
        </w:rPr>
        <w:t xml:space="preserve">For banks and insurers it is easy to establish a direct link between </w:t>
      </w:r>
      <w:r w:rsidR="00135ACB" w:rsidRPr="006E3E78">
        <w:rPr>
          <w:rFonts w:ascii="Times New Roman" w:hAnsi="Times New Roman" w:cs="Times New Roman"/>
          <w:i/>
        </w:rPr>
        <w:t>risk-based capital</w:t>
      </w:r>
      <w:r w:rsidR="00135ACB" w:rsidRPr="006E3E78">
        <w:rPr>
          <w:rFonts w:ascii="Times New Roman" w:hAnsi="Times New Roman" w:cs="Times New Roman"/>
        </w:rPr>
        <w:t xml:space="preserve"> and </w:t>
      </w:r>
      <w:r w:rsidR="00135ACB" w:rsidRPr="006E3E78">
        <w:rPr>
          <w:rFonts w:ascii="Times New Roman" w:hAnsi="Times New Roman" w:cs="Times New Roman"/>
          <w:i/>
        </w:rPr>
        <w:t>risk-based supervision</w:t>
      </w:r>
      <w:r w:rsidR="00135ACB" w:rsidRPr="006E3E78">
        <w:rPr>
          <w:rFonts w:ascii="Times New Roman" w:hAnsi="Times New Roman" w:cs="Times New Roman"/>
        </w:rPr>
        <w:t xml:space="preserve"> and the benefits of using RBS as a tool to ensure that the entities align their risks with their capital are</w:t>
      </w:r>
      <w:r w:rsidR="007F725A" w:rsidRPr="005E4D8B">
        <w:rPr>
          <w:rFonts w:ascii="Times New Roman" w:hAnsi="Times New Roman" w:cs="Times New Roman"/>
        </w:rPr>
        <w:t xml:space="preserve"> powerful</w:t>
      </w:r>
      <w:r w:rsidR="00135ACB" w:rsidRPr="005E4D8B">
        <w:rPr>
          <w:rFonts w:ascii="Times New Roman" w:hAnsi="Times New Roman" w:cs="Times New Roman"/>
        </w:rPr>
        <w:t>.</w:t>
      </w:r>
      <w:r w:rsidR="007F725A" w:rsidRPr="00EB1C3C">
        <w:rPr>
          <w:rFonts w:ascii="Times New Roman" w:hAnsi="Times New Roman" w:cs="Times New Roman"/>
        </w:rPr>
        <w:t xml:space="preserve"> Shareholders</w:t>
      </w:r>
      <w:r w:rsidR="007F725A" w:rsidRPr="007D64F9">
        <w:rPr>
          <w:rFonts w:ascii="Times New Roman" w:hAnsi="Times New Roman" w:cs="Times New Roman"/>
        </w:rPr>
        <w:t xml:space="preserve"> are faced with the tradeoff of improving the risk management or increasing capital requirements. </w:t>
      </w:r>
      <w:r w:rsidR="00135ACB" w:rsidRPr="007D64F9">
        <w:rPr>
          <w:rFonts w:ascii="Times New Roman" w:hAnsi="Times New Roman" w:cs="Times New Roman"/>
        </w:rPr>
        <w:t xml:space="preserve">  The application of RBS to the pension sector has been the subject of much debate</w:t>
      </w:r>
      <w:r w:rsidR="007F725A" w:rsidRPr="007D64F9">
        <w:rPr>
          <w:rFonts w:ascii="Times New Roman" w:hAnsi="Times New Roman" w:cs="Times New Roman"/>
        </w:rPr>
        <w:t xml:space="preserve">, </w:t>
      </w:r>
      <w:r w:rsidR="00135ACB" w:rsidRPr="007D64F9">
        <w:rPr>
          <w:rFonts w:ascii="Times New Roman" w:hAnsi="Times New Roman" w:cs="Times New Roman"/>
        </w:rPr>
        <w:t xml:space="preserve">particularly </w:t>
      </w:r>
      <w:r w:rsidR="007F725A" w:rsidRPr="007D64F9">
        <w:rPr>
          <w:rFonts w:ascii="Times New Roman" w:hAnsi="Times New Roman" w:cs="Times New Roman"/>
        </w:rPr>
        <w:t xml:space="preserve">in </w:t>
      </w:r>
      <w:r w:rsidR="00135ACB" w:rsidRPr="007D64F9">
        <w:rPr>
          <w:rFonts w:ascii="Times New Roman" w:hAnsi="Times New Roman" w:cs="Times New Roman"/>
        </w:rPr>
        <w:t>defined contribution schemes (DC) where capital requirements</w:t>
      </w:r>
      <w:r w:rsidR="007F725A" w:rsidRPr="007D64F9">
        <w:rPr>
          <w:rFonts w:ascii="Times New Roman" w:hAnsi="Times New Roman" w:cs="Times New Roman"/>
        </w:rPr>
        <w:t xml:space="preserve"> have typically a negative effect on the expected value of the future pensions of individuals</w:t>
      </w:r>
      <w:r w:rsidR="00135ACB" w:rsidRPr="007D64F9">
        <w:rPr>
          <w:rFonts w:ascii="Times New Roman" w:hAnsi="Times New Roman" w:cs="Times New Roman"/>
        </w:rPr>
        <w:t xml:space="preserve">. </w:t>
      </w:r>
    </w:p>
    <w:p w:rsidR="00FE2434" w:rsidRPr="00085822" w:rsidRDefault="00487783" w:rsidP="000315D5">
      <w:pPr>
        <w:pStyle w:val="Heading3"/>
        <w:rPr>
          <w:rFonts w:ascii="Times New Roman" w:hAnsi="Times New Roman" w:cs="Times New Roman"/>
          <w:i/>
          <w:color w:val="000000" w:themeColor="text1"/>
        </w:rPr>
      </w:pPr>
      <w:r w:rsidRPr="00085822">
        <w:rPr>
          <w:rFonts w:ascii="Times New Roman" w:hAnsi="Times New Roman" w:cs="Times New Roman"/>
          <w:i/>
          <w:color w:val="000000" w:themeColor="text1"/>
        </w:rPr>
        <w:t>Capital</w:t>
      </w:r>
    </w:p>
    <w:p w:rsidR="00C92A8F" w:rsidRPr="006E3E78" w:rsidRDefault="00C92A8F" w:rsidP="00487783">
      <w:pPr>
        <w:pStyle w:val="ListParagraph"/>
        <w:numPr>
          <w:ilvl w:val="0"/>
          <w:numId w:val="1"/>
        </w:numPr>
        <w:rPr>
          <w:rFonts w:ascii="Times New Roman" w:hAnsi="Times New Roman" w:cs="Times New Roman"/>
        </w:rPr>
      </w:pPr>
      <w:r w:rsidRPr="007D64F9">
        <w:rPr>
          <w:rFonts w:ascii="Times New Roman" w:hAnsi="Times New Roman" w:cs="Times New Roman"/>
        </w:rPr>
        <w:t xml:space="preserve">RBS is a useful tool for defined benefit pension funds.  Solvency ratios, which indicate the extent to which the assets currently held in the fund </w:t>
      </w:r>
      <w:r w:rsidRPr="006E3E78">
        <w:rPr>
          <w:rFonts w:ascii="Times New Roman" w:hAnsi="Times New Roman" w:cs="Times New Roman"/>
        </w:rPr>
        <w:t xml:space="preserve">cover the liabilities, are routinely calculated.   Solvency ratios in DB funds are analogous to capital ratios for banks and insurers.   Solvency ratios can be calculated for DB funds because there is a concrete promise that can be quantified.  Ratios are an effective tool to motivate sponsors of DB funds to manage risks in the same way that capital motivates banks and insurers. </w:t>
      </w:r>
    </w:p>
    <w:p w:rsidR="00C92A8F" w:rsidRPr="006E3E78" w:rsidRDefault="00C92A8F" w:rsidP="00487783">
      <w:pPr>
        <w:pStyle w:val="ListParagraph"/>
        <w:numPr>
          <w:ilvl w:val="0"/>
          <w:numId w:val="1"/>
        </w:numPr>
        <w:rPr>
          <w:rFonts w:ascii="Times New Roman" w:hAnsi="Times New Roman" w:cs="Times New Roman"/>
        </w:rPr>
      </w:pPr>
      <w:r w:rsidRPr="006E3E78">
        <w:rPr>
          <w:rFonts w:ascii="Times New Roman" w:hAnsi="Times New Roman" w:cs="Times New Roman"/>
        </w:rPr>
        <w:t>In the absence of capital</w:t>
      </w:r>
      <w:r w:rsidR="00BA63D3" w:rsidRPr="006E3E78">
        <w:rPr>
          <w:rFonts w:ascii="Times New Roman" w:hAnsi="Times New Roman" w:cs="Times New Roman"/>
        </w:rPr>
        <w:t xml:space="preserve"> requirements as a supervisory tool</w:t>
      </w:r>
      <w:r w:rsidRPr="006E3E78">
        <w:rPr>
          <w:rFonts w:ascii="Times New Roman" w:hAnsi="Times New Roman" w:cs="Times New Roman"/>
        </w:rPr>
        <w:t>, the relevance of RBS in defined contribution funds</w:t>
      </w:r>
      <w:r w:rsidRPr="005E4D8B">
        <w:rPr>
          <w:rFonts w:ascii="Times New Roman" w:hAnsi="Times New Roman" w:cs="Times New Roman"/>
        </w:rPr>
        <w:t xml:space="preserve"> is harder to find.  The nature of a DC fund is that the investment risk is borne by the contributors</w:t>
      </w:r>
      <w:r w:rsidR="00BA63D3" w:rsidRPr="007D64F9">
        <w:rPr>
          <w:rFonts w:ascii="Times New Roman" w:hAnsi="Times New Roman" w:cs="Times New Roman"/>
        </w:rPr>
        <w:t xml:space="preserve">, and consequently </w:t>
      </w:r>
      <w:r w:rsidR="0098443C" w:rsidRPr="007D64F9">
        <w:rPr>
          <w:rFonts w:ascii="Times New Roman" w:hAnsi="Times New Roman" w:cs="Times New Roman"/>
        </w:rPr>
        <w:t xml:space="preserve">greater </w:t>
      </w:r>
      <w:r w:rsidR="00BA63D3" w:rsidRPr="007D64F9">
        <w:rPr>
          <w:rFonts w:ascii="Times New Roman" w:hAnsi="Times New Roman" w:cs="Times New Roman"/>
        </w:rPr>
        <w:t xml:space="preserve">capital requirements </w:t>
      </w:r>
      <w:r w:rsidR="0098443C" w:rsidRPr="007D64F9">
        <w:rPr>
          <w:rFonts w:ascii="Times New Roman" w:hAnsi="Times New Roman" w:cs="Times New Roman"/>
        </w:rPr>
        <w:t xml:space="preserve">on the pension fund management company (PFMC) do not ensure better pensions in the future. Capital requirements on DC pension funds may </w:t>
      </w:r>
      <w:r w:rsidR="00BA63D3" w:rsidRPr="007D64F9">
        <w:rPr>
          <w:rFonts w:ascii="Times New Roman" w:hAnsi="Times New Roman" w:cs="Times New Roman"/>
        </w:rPr>
        <w:t xml:space="preserve">play a counterproductive role </w:t>
      </w:r>
      <w:r w:rsidR="0098443C" w:rsidRPr="007D64F9">
        <w:rPr>
          <w:rFonts w:ascii="Times New Roman" w:hAnsi="Times New Roman" w:cs="Times New Roman"/>
        </w:rPr>
        <w:t>in the value of future pensions</w:t>
      </w:r>
      <w:r w:rsidRPr="007D64F9">
        <w:rPr>
          <w:rFonts w:ascii="Times New Roman" w:hAnsi="Times New Roman" w:cs="Times New Roman"/>
        </w:rPr>
        <w:t>.</w:t>
      </w:r>
      <w:r w:rsidR="00BA63D3" w:rsidRPr="007D64F9">
        <w:rPr>
          <w:rStyle w:val="FootnoteReference"/>
          <w:rFonts w:ascii="Times New Roman" w:hAnsi="Times New Roman" w:cs="Times New Roman"/>
        </w:rPr>
        <w:footnoteReference w:id="8"/>
      </w:r>
      <w:r w:rsidRPr="007D64F9">
        <w:rPr>
          <w:rFonts w:ascii="Times New Roman" w:hAnsi="Times New Roman" w:cs="Times New Roman"/>
        </w:rPr>
        <w:t xml:space="preserve">  </w:t>
      </w:r>
      <w:r w:rsidRPr="006E3E78">
        <w:rPr>
          <w:rFonts w:ascii="Times New Roman" w:hAnsi="Times New Roman" w:cs="Times New Roman"/>
        </w:rPr>
        <w:t xml:space="preserve">In the absence of a long-term objective that can be translated into a quantifiable promise, the concept of solvency ratios becomes meaningless. </w:t>
      </w:r>
    </w:p>
    <w:p w:rsidR="00C92A8F" w:rsidRPr="007D64F9" w:rsidRDefault="00C92A8F" w:rsidP="00487783">
      <w:pPr>
        <w:pStyle w:val="ListParagraph"/>
        <w:numPr>
          <w:ilvl w:val="0"/>
          <w:numId w:val="1"/>
        </w:numPr>
        <w:rPr>
          <w:rFonts w:ascii="Times New Roman" w:hAnsi="Times New Roman" w:cs="Times New Roman"/>
        </w:rPr>
      </w:pPr>
      <w:r w:rsidRPr="007D64F9">
        <w:rPr>
          <w:rFonts w:ascii="Times New Roman" w:hAnsi="Times New Roman" w:cs="Times New Roman"/>
        </w:rPr>
        <w:t xml:space="preserve">Within banks, insurers and defined benefit funds, capital requirements reduce the possibility of the entity not being able to meet its promises and RBS assists in this by ensuring that a nexus is created between risk management and capital.  In these entities, capital is </w:t>
      </w:r>
      <w:r w:rsidR="0098443C" w:rsidRPr="007D64F9">
        <w:rPr>
          <w:rFonts w:ascii="Times New Roman" w:hAnsi="Times New Roman" w:cs="Times New Roman"/>
        </w:rPr>
        <w:t xml:space="preserve">a key </w:t>
      </w:r>
      <w:r w:rsidRPr="007D64F9">
        <w:rPr>
          <w:rFonts w:ascii="Times New Roman" w:hAnsi="Times New Roman" w:cs="Times New Roman"/>
        </w:rPr>
        <w:t xml:space="preserve">tool to ensure that the </w:t>
      </w:r>
      <w:r w:rsidR="0098443C" w:rsidRPr="007D64F9">
        <w:rPr>
          <w:rFonts w:ascii="Times New Roman" w:hAnsi="Times New Roman" w:cs="Times New Roman"/>
        </w:rPr>
        <w:t>objectives of the management are aligned</w:t>
      </w:r>
      <w:r w:rsidRPr="007D64F9">
        <w:rPr>
          <w:rFonts w:ascii="Times New Roman" w:hAnsi="Times New Roman" w:cs="Times New Roman"/>
        </w:rPr>
        <w:t xml:space="preserve"> objectives of the business. Capital does not serve the same role in DC funds – it does not ensure that PFMC</w:t>
      </w:r>
      <w:r w:rsidR="00B0687A" w:rsidRPr="007D64F9">
        <w:rPr>
          <w:rFonts w:ascii="Times New Roman" w:hAnsi="Times New Roman" w:cs="Times New Roman"/>
        </w:rPr>
        <w:t>s</w:t>
      </w:r>
      <w:r w:rsidRPr="007D64F9">
        <w:rPr>
          <w:rFonts w:ascii="Times New Roman" w:hAnsi="Times New Roman" w:cs="Times New Roman"/>
        </w:rPr>
        <w:t xml:space="preserve"> are efficiently investing the resources of the pension funds that they manage.  In other words, it is not evident that well-capitalized PFMCs will invest the pension assets any more efficiently than those companies with lower capital and, in fact, capital does not positively motivate the long-term decisions of PFMCs on how to invest pension fund assets.  </w:t>
      </w:r>
    </w:p>
    <w:p w:rsidR="00C92A8F" w:rsidRPr="007D64F9" w:rsidRDefault="00587FDD" w:rsidP="00487783">
      <w:pPr>
        <w:pStyle w:val="ListParagraph"/>
        <w:numPr>
          <w:ilvl w:val="0"/>
          <w:numId w:val="1"/>
        </w:numPr>
        <w:rPr>
          <w:rFonts w:ascii="Times New Roman" w:hAnsi="Times New Roman" w:cs="Times New Roman"/>
        </w:rPr>
      </w:pPr>
      <w:r w:rsidRPr="007D64F9">
        <w:rPr>
          <w:rFonts w:ascii="Times New Roman" w:hAnsi="Times New Roman" w:cs="Times New Roman"/>
        </w:rPr>
        <w:lastRenderedPageBreak/>
        <w:t xml:space="preserve">While RBS still helps to identify the areas that pose the risks in terms of probability and impact, </w:t>
      </w:r>
      <w:r>
        <w:rPr>
          <w:rFonts w:ascii="Times New Roman" w:hAnsi="Times New Roman" w:cs="Times New Roman"/>
        </w:rPr>
        <w:t xml:space="preserve">typically supervisors have focused in identifying </w:t>
      </w:r>
      <w:r w:rsidRPr="007D64F9">
        <w:rPr>
          <w:rFonts w:ascii="Times New Roman" w:hAnsi="Times New Roman" w:cs="Times New Roman"/>
        </w:rPr>
        <w:t xml:space="preserve">operational risks, which are only loosely related the future adequacy of pensions.   </w:t>
      </w:r>
      <w:r w:rsidR="00C92A8F" w:rsidRPr="007D64F9">
        <w:rPr>
          <w:rFonts w:ascii="Times New Roman" w:hAnsi="Times New Roman" w:cs="Times New Roman"/>
        </w:rPr>
        <w:t xml:space="preserve">Reviewing the policies, procedures and processes is, for all intents and purposes, dealing with one aspect of operational risk. </w:t>
      </w:r>
      <w:r>
        <w:rPr>
          <w:rFonts w:ascii="Times New Roman" w:hAnsi="Times New Roman" w:cs="Times New Roman"/>
        </w:rPr>
        <w:t>While s</w:t>
      </w:r>
      <w:r w:rsidR="00C92A8F" w:rsidRPr="007D64F9">
        <w:rPr>
          <w:rFonts w:ascii="Times New Roman" w:hAnsi="Times New Roman" w:cs="Times New Roman"/>
        </w:rPr>
        <w:t>ome capital might be required to mitigate some non-</w:t>
      </w:r>
      <w:r w:rsidR="00CA2F55" w:rsidRPr="007D64F9">
        <w:rPr>
          <w:rFonts w:ascii="Times New Roman" w:hAnsi="Times New Roman" w:cs="Times New Roman"/>
        </w:rPr>
        <w:t>investment</w:t>
      </w:r>
      <w:r w:rsidR="00C92A8F" w:rsidRPr="007D64F9">
        <w:rPr>
          <w:rFonts w:ascii="Times New Roman" w:hAnsi="Times New Roman" w:cs="Times New Roman"/>
        </w:rPr>
        <w:t xml:space="preserve"> risks, the amounts should be relatively modest</w:t>
      </w:r>
      <w:r>
        <w:rPr>
          <w:rFonts w:ascii="Times New Roman" w:hAnsi="Times New Roman" w:cs="Times New Roman"/>
        </w:rPr>
        <w:t>. A</w:t>
      </w:r>
      <w:r w:rsidR="00C92A8F" w:rsidRPr="007D64F9">
        <w:rPr>
          <w:rFonts w:ascii="Times New Roman" w:hAnsi="Times New Roman" w:cs="Times New Roman"/>
        </w:rPr>
        <w:t xml:space="preserve">lternatively insurance products could be purchased to lessen or eliminate the effects of these </w:t>
      </w:r>
      <w:r>
        <w:rPr>
          <w:rFonts w:ascii="Times New Roman" w:hAnsi="Times New Roman" w:cs="Times New Roman"/>
        </w:rPr>
        <w:t xml:space="preserve">operational </w:t>
      </w:r>
      <w:r w:rsidR="00C92A8F" w:rsidRPr="007D64F9">
        <w:rPr>
          <w:rFonts w:ascii="Times New Roman" w:hAnsi="Times New Roman" w:cs="Times New Roman"/>
        </w:rPr>
        <w:t xml:space="preserve">risks. </w:t>
      </w:r>
    </w:p>
    <w:p w:rsidR="00C92A8F" w:rsidRPr="005E4D8B" w:rsidRDefault="00C92A8F" w:rsidP="00487783">
      <w:pPr>
        <w:pStyle w:val="ListParagraph"/>
        <w:numPr>
          <w:ilvl w:val="0"/>
          <w:numId w:val="1"/>
        </w:numPr>
        <w:rPr>
          <w:rFonts w:ascii="Times New Roman" w:hAnsi="Times New Roman" w:cs="Times New Roman"/>
        </w:rPr>
      </w:pPr>
      <w:r w:rsidRPr="007D64F9">
        <w:rPr>
          <w:rFonts w:ascii="Times New Roman" w:hAnsi="Times New Roman" w:cs="Times New Roman"/>
        </w:rPr>
        <w:t>The Investment Company Institute (ICI)</w:t>
      </w:r>
      <w:r w:rsidRPr="007D64F9">
        <w:rPr>
          <w:rStyle w:val="FootnoteReference"/>
          <w:rFonts w:ascii="Times New Roman" w:hAnsi="Times New Roman" w:cs="Times New Roman"/>
        </w:rPr>
        <w:footnoteReference w:id="9"/>
      </w:r>
      <w:r w:rsidRPr="007D64F9">
        <w:rPr>
          <w:rFonts w:ascii="Times New Roman" w:hAnsi="Times New Roman" w:cs="Times New Roman"/>
        </w:rPr>
        <w:t xml:space="preserve"> has maintained that it is inappropriate to impose bank style capital requirements on asset management companies, since the protection of investors, which </w:t>
      </w:r>
      <w:r w:rsidRPr="006E3E78">
        <w:rPr>
          <w:rFonts w:ascii="Times New Roman" w:hAnsi="Times New Roman" w:cs="Times New Roman"/>
        </w:rPr>
        <w:t xml:space="preserve">is the main purpose of holding capital, is not relevant.  Products are sold on a </w:t>
      </w:r>
      <w:r w:rsidRPr="006E3E78">
        <w:rPr>
          <w:rFonts w:ascii="Times New Roman" w:hAnsi="Times New Roman" w:cs="Times New Roman"/>
          <w:i/>
        </w:rPr>
        <w:t xml:space="preserve">caveat emptor </w:t>
      </w:r>
      <w:r w:rsidRPr="006E3E78">
        <w:rPr>
          <w:rFonts w:ascii="Times New Roman" w:hAnsi="Times New Roman" w:cs="Times New Roman"/>
        </w:rPr>
        <w:t>basis and investors are assumed to understand the risks and to have chosen to take them. Furthermore,</w:t>
      </w:r>
      <w:r w:rsidR="003C0A95" w:rsidRPr="006E3E78">
        <w:rPr>
          <w:rFonts w:ascii="Times New Roman" w:hAnsi="Times New Roman" w:cs="Times New Roman"/>
        </w:rPr>
        <w:t xml:space="preserve"> according to ICI,</w:t>
      </w:r>
      <w:r w:rsidRPr="006E3E78">
        <w:rPr>
          <w:rFonts w:ascii="Times New Roman" w:hAnsi="Times New Roman" w:cs="Times New Roman"/>
        </w:rPr>
        <w:t xml:space="preserve"> capital requirements create anticompetitive effects.  Given that PFMCs are specialized asset management companies, the ICI argument may be equally valid in the DC pension sector.  The assumption about investors having the capacity to understand the risks is </w:t>
      </w:r>
      <w:r w:rsidR="00D80B41" w:rsidRPr="0022340B">
        <w:rPr>
          <w:rFonts w:ascii="Times New Roman" w:hAnsi="Times New Roman" w:cs="Times New Roman"/>
        </w:rPr>
        <w:t xml:space="preserve">extremely </w:t>
      </w:r>
      <w:r w:rsidRPr="0022340B">
        <w:rPr>
          <w:rFonts w:ascii="Times New Roman" w:hAnsi="Times New Roman" w:cs="Times New Roman"/>
        </w:rPr>
        <w:t>questionable for most contrib</w:t>
      </w:r>
      <w:r w:rsidRPr="005E4D8B">
        <w:rPr>
          <w:rFonts w:ascii="Times New Roman" w:hAnsi="Times New Roman" w:cs="Times New Roman"/>
        </w:rPr>
        <w:t>utors to DC schemes</w:t>
      </w:r>
      <w:r w:rsidR="00E427BE">
        <w:rPr>
          <w:rFonts w:ascii="Times New Roman" w:hAnsi="Times New Roman" w:cs="Times New Roman"/>
        </w:rPr>
        <w:t>, in particular in countries where contributions are mandatory</w:t>
      </w:r>
      <w:proofErr w:type="gramStart"/>
      <w:r w:rsidR="00E427BE" w:rsidRPr="005E4D8B">
        <w:rPr>
          <w:rFonts w:ascii="Times New Roman" w:hAnsi="Times New Roman" w:cs="Times New Roman"/>
        </w:rPr>
        <w:t>.</w:t>
      </w:r>
      <w:r w:rsidRPr="005E4D8B">
        <w:rPr>
          <w:rFonts w:ascii="Times New Roman" w:hAnsi="Times New Roman" w:cs="Times New Roman"/>
        </w:rPr>
        <w:t>.</w:t>
      </w:r>
      <w:proofErr w:type="gramEnd"/>
    </w:p>
    <w:p w:rsidR="00C92A8F" w:rsidRPr="007D64F9" w:rsidRDefault="003C0A95" w:rsidP="00487783">
      <w:pPr>
        <w:pStyle w:val="ListParagraph"/>
        <w:numPr>
          <w:ilvl w:val="0"/>
          <w:numId w:val="1"/>
        </w:numPr>
        <w:rPr>
          <w:rFonts w:ascii="Times New Roman" w:hAnsi="Times New Roman" w:cs="Times New Roman"/>
        </w:rPr>
      </w:pPr>
      <w:r w:rsidRPr="007D64F9">
        <w:rPr>
          <w:rFonts w:ascii="Times New Roman" w:hAnsi="Times New Roman" w:cs="Times New Roman"/>
        </w:rPr>
        <w:t xml:space="preserve">In the United States and the European Union, capital requirements on defined contribution </w:t>
      </w:r>
      <w:r w:rsidR="00F868B1">
        <w:rPr>
          <w:rFonts w:ascii="Times New Roman" w:hAnsi="Times New Roman" w:cs="Times New Roman"/>
        </w:rPr>
        <w:t xml:space="preserve">schemes </w:t>
      </w:r>
      <w:r w:rsidRPr="007D64F9">
        <w:rPr>
          <w:rFonts w:ascii="Times New Roman" w:hAnsi="Times New Roman" w:cs="Times New Roman"/>
        </w:rPr>
        <w:t>tend to be modest, and tend to increase only as the asset management compan</w:t>
      </w:r>
      <w:r w:rsidR="00927120" w:rsidRPr="007D64F9">
        <w:rPr>
          <w:rFonts w:ascii="Times New Roman" w:hAnsi="Times New Roman" w:cs="Times New Roman"/>
        </w:rPr>
        <w:t>ies</w:t>
      </w:r>
      <w:r w:rsidRPr="007D64F9">
        <w:rPr>
          <w:rFonts w:ascii="Times New Roman" w:hAnsi="Times New Roman" w:cs="Times New Roman"/>
        </w:rPr>
        <w:t xml:space="preserve"> take </w:t>
      </w:r>
      <w:r w:rsidR="00927120" w:rsidRPr="007D64F9">
        <w:rPr>
          <w:rFonts w:ascii="Times New Roman" w:hAnsi="Times New Roman" w:cs="Times New Roman"/>
        </w:rPr>
        <w:t>counterparty and derivatives risk</w:t>
      </w:r>
      <w:r w:rsidRPr="007D64F9">
        <w:rPr>
          <w:rFonts w:ascii="Times New Roman" w:hAnsi="Times New Roman" w:cs="Times New Roman"/>
        </w:rPr>
        <w:t>. O</w:t>
      </w:r>
      <w:r w:rsidR="00C92A8F" w:rsidRPr="007D64F9">
        <w:rPr>
          <w:rFonts w:ascii="Times New Roman" w:hAnsi="Times New Roman" w:cs="Times New Roman"/>
        </w:rPr>
        <w:t>ver the past decade the European Union has resisted several attempts to increase capital requirements on asset management companies, as it has recognized the lower risk profile of asset management companies compared with banks.  Currently, capital requirements for investment companies that operate in the European Union are one quarter of previous year’s fixed overhead. In other words, capital requirements are linked to operating associated risk. In the case of the United States, the Dodd-Frank Act enacted in 2010, imposes margin requirements for pension funds associated with the trading and holding of derivative products. This is related to the requirements for mandatory clearing and trade execution of certain derivative products.</w:t>
      </w:r>
    </w:p>
    <w:p w:rsidR="0020077B" w:rsidRPr="007D64F9" w:rsidRDefault="00C92A8F" w:rsidP="001169B8">
      <w:pPr>
        <w:pStyle w:val="ListParagraph"/>
        <w:numPr>
          <w:ilvl w:val="0"/>
          <w:numId w:val="1"/>
        </w:numPr>
        <w:rPr>
          <w:rFonts w:ascii="Times New Roman" w:hAnsi="Times New Roman" w:cs="Times New Roman"/>
        </w:rPr>
      </w:pPr>
      <w:r w:rsidRPr="007D64F9">
        <w:rPr>
          <w:rFonts w:ascii="Times New Roman" w:hAnsi="Times New Roman" w:cs="Times New Roman"/>
        </w:rPr>
        <w:t xml:space="preserve">The capital requirements for PFMCs in emerging economies are on average higher than those imposed in the United States and the European Union. </w:t>
      </w:r>
      <w:r w:rsidR="00927120" w:rsidRPr="007D64F9">
        <w:rPr>
          <w:rFonts w:ascii="Times New Roman" w:hAnsi="Times New Roman" w:cs="Times New Roman"/>
        </w:rPr>
        <w:t>While i</w:t>
      </w:r>
      <w:r w:rsidRPr="007D64F9">
        <w:rPr>
          <w:rFonts w:ascii="Times New Roman" w:hAnsi="Times New Roman" w:cs="Times New Roman"/>
        </w:rPr>
        <w:t xml:space="preserve">n a sector that manages the resources of future pensioners it is essential to </w:t>
      </w:r>
      <w:r w:rsidR="00D80B41" w:rsidRPr="007D64F9">
        <w:rPr>
          <w:rFonts w:ascii="Times New Roman" w:hAnsi="Times New Roman" w:cs="Times New Roman"/>
        </w:rPr>
        <w:t>en</w:t>
      </w:r>
      <w:r w:rsidRPr="007D64F9">
        <w:rPr>
          <w:rFonts w:ascii="Times New Roman" w:hAnsi="Times New Roman" w:cs="Times New Roman"/>
        </w:rPr>
        <w:t xml:space="preserve">sure that pension fund managers have a minimum level of financial strength, </w:t>
      </w:r>
      <w:r w:rsidR="00927120" w:rsidRPr="007D64F9">
        <w:rPr>
          <w:rFonts w:ascii="Times New Roman" w:hAnsi="Times New Roman" w:cs="Times New Roman"/>
        </w:rPr>
        <w:t xml:space="preserve">the </w:t>
      </w:r>
      <w:r w:rsidRPr="007D64F9">
        <w:rPr>
          <w:rFonts w:ascii="Times New Roman" w:hAnsi="Times New Roman" w:cs="Times New Roman"/>
        </w:rPr>
        <w:t xml:space="preserve">use of higher capital requirements has been </w:t>
      </w:r>
      <w:r w:rsidR="00711FF4">
        <w:rPr>
          <w:rFonts w:ascii="Times New Roman" w:hAnsi="Times New Roman" w:cs="Times New Roman"/>
        </w:rPr>
        <w:t xml:space="preserve">mistakenly </w:t>
      </w:r>
      <w:r w:rsidRPr="007D64F9">
        <w:rPr>
          <w:rFonts w:ascii="Times New Roman" w:hAnsi="Times New Roman" w:cs="Times New Roman"/>
        </w:rPr>
        <w:t>used</w:t>
      </w:r>
      <w:r w:rsidR="00F868B1">
        <w:rPr>
          <w:rFonts w:ascii="Times New Roman" w:hAnsi="Times New Roman" w:cs="Times New Roman"/>
        </w:rPr>
        <w:t>, on occasion,</w:t>
      </w:r>
      <w:r w:rsidRPr="007D64F9">
        <w:rPr>
          <w:rFonts w:ascii="Times New Roman" w:hAnsi="Times New Roman" w:cs="Times New Roman"/>
        </w:rPr>
        <w:t xml:space="preserve"> as a way of simplifying the licensing process</w:t>
      </w:r>
      <w:r w:rsidR="00927120" w:rsidRPr="007D64F9">
        <w:rPr>
          <w:rFonts w:ascii="Times New Roman" w:hAnsi="Times New Roman" w:cs="Times New Roman"/>
        </w:rPr>
        <w:t>.</w:t>
      </w:r>
      <w:r w:rsidR="00F82A02">
        <w:rPr>
          <w:rStyle w:val="FootnoteReference"/>
          <w:rFonts w:ascii="Times New Roman" w:hAnsi="Times New Roman" w:cs="Times New Roman"/>
        </w:rPr>
        <w:footnoteReference w:id="10"/>
      </w:r>
      <w:r w:rsidR="00927120" w:rsidRPr="007D64F9">
        <w:rPr>
          <w:rFonts w:ascii="Times New Roman" w:hAnsi="Times New Roman" w:cs="Times New Roman"/>
        </w:rPr>
        <w:t xml:space="preserve"> Capital requirements have been used</w:t>
      </w:r>
      <w:r w:rsidR="00F868B1">
        <w:rPr>
          <w:rFonts w:ascii="Times New Roman" w:hAnsi="Times New Roman" w:cs="Times New Roman"/>
        </w:rPr>
        <w:t xml:space="preserve"> </w:t>
      </w:r>
      <w:r w:rsidR="00F868B1" w:rsidRPr="007D64F9">
        <w:rPr>
          <w:rFonts w:ascii="Times New Roman" w:hAnsi="Times New Roman" w:cs="Times New Roman"/>
        </w:rPr>
        <w:t>potentially</w:t>
      </w:r>
      <w:r w:rsidR="00927120" w:rsidRPr="007D64F9">
        <w:rPr>
          <w:rFonts w:ascii="Times New Roman" w:hAnsi="Times New Roman" w:cs="Times New Roman"/>
        </w:rPr>
        <w:t xml:space="preserve"> to </w:t>
      </w:r>
      <w:r w:rsidRPr="007D64F9">
        <w:rPr>
          <w:rFonts w:ascii="Times New Roman" w:hAnsi="Times New Roman" w:cs="Times New Roman"/>
        </w:rPr>
        <w:t xml:space="preserve">discriminate against small participants that might not be able to comply with the requirements needed for operating a PFMC. </w:t>
      </w:r>
      <w:r w:rsidR="00D22018">
        <w:rPr>
          <w:rFonts w:ascii="Times New Roman" w:hAnsi="Times New Roman" w:cs="Times New Roman"/>
        </w:rPr>
        <w:t xml:space="preserve"> While </w:t>
      </w:r>
      <w:r w:rsidR="00D22018" w:rsidRPr="007D64F9">
        <w:rPr>
          <w:rFonts w:ascii="Times New Roman" w:hAnsi="Times New Roman" w:cs="Times New Roman"/>
        </w:rPr>
        <w:t>discouraging</w:t>
      </w:r>
      <w:r w:rsidRPr="007D64F9">
        <w:rPr>
          <w:rFonts w:ascii="Times New Roman" w:hAnsi="Times New Roman" w:cs="Times New Roman"/>
        </w:rPr>
        <w:t xml:space="preserve"> participants based on capital requirements is simpler than </w:t>
      </w:r>
      <w:r w:rsidR="00D80B41" w:rsidRPr="007D64F9">
        <w:rPr>
          <w:rFonts w:ascii="Times New Roman" w:hAnsi="Times New Roman" w:cs="Times New Roman"/>
        </w:rPr>
        <w:t xml:space="preserve">by </w:t>
      </w:r>
      <w:r w:rsidRPr="007D64F9">
        <w:rPr>
          <w:rFonts w:ascii="Times New Roman" w:hAnsi="Times New Roman" w:cs="Times New Roman"/>
        </w:rPr>
        <w:t>other means such as fit and proper tests</w:t>
      </w:r>
      <w:r w:rsidR="00D22018">
        <w:rPr>
          <w:rFonts w:ascii="Times New Roman" w:hAnsi="Times New Roman" w:cs="Times New Roman"/>
        </w:rPr>
        <w:t xml:space="preserve">, it has potential consequences on the risk behavior of pension fund </w:t>
      </w:r>
      <w:proofErr w:type="gramStart"/>
      <w:r w:rsidR="00D22018">
        <w:rPr>
          <w:rFonts w:ascii="Times New Roman" w:hAnsi="Times New Roman" w:cs="Times New Roman"/>
        </w:rPr>
        <w:t xml:space="preserve">managers </w:t>
      </w:r>
      <w:r w:rsidRPr="007D64F9">
        <w:rPr>
          <w:rFonts w:ascii="Times New Roman" w:hAnsi="Times New Roman" w:cs="Times New Roman"/>
        </w:rPr>
        <w:t>.</w:t>
      </w:r>
      <w:proofErr w:type="gramEnd"/>
      <w:r w:rsidR="00927120" w:rsidRPr="007D64F9">
        <w:rPr>
          <w:rFonts w:ascii="Times New Roman" w:hAnsi="Times New Roman" w:cs="Times New Roman"/>
        </w:rPr>
        <w:t xml:space="preserve"> </w:t>
      </w:r>
      <w:r w:rsidR="00617899">
        <w:rPr>
          <w:rFonts w:ascii="Times New Roman" w:hAnsi="Times New Roman" w:cs="Times New Roman"/>
        </w:rPr>
        <w:t>Reliance on capital should never be used as a substitute for proper licensing.</w:t>
      </w:r>
    </w:p>
    <w:p w:rsidR="009C58E2" w:rsidRPr="007D64F9" w:rsidRDefault="00927120" w:rsidP="00197A19">
      <w:pPr>
        <w:pStyle w:val="ListParagraph"/>
        <w:numPr>
          <w:ilvl w:val="0"/>
          <w:numId w:val="1"/>
        </w:numPr>
        <w:rPr>
          <w:rFonts w:ascii="Times New Roman" w:hAnsi="Times New Roman" w:cs="Times New Roman"/>
        </w:rPr>
      </w:pPr>
      <w:r w:rsidRPr="007D64F9">
        <w:rPr>
          <w:rFonts w:ascii="Times New Roman" w:hAnsi="Times New Roman" w:cs="Times New Roman"/>
        </w:rPr>
        <w:t>While many countries have been successful in attracting PFMCs with strong</w:t>
      </w:r>
      <w:r w:rsidR="0020077B" w:rsidRPr="007D64F9">
        <w:rPr>
          <w:rFonts w:ascii="Times New Roman" w:hAnsi="Times New Roman" w:cs="Times New Roman"/>
        </w:rPr>
        <w:t xml:space="preserve"> international reputation, the high capital requirements, among other regulatory restrictions, have been </w:t>
      </w:r>
      <w:r w:rsidR="0020077B" w:rsidRPr="007D64F9">
        <w:rPr>
          <w:rFonts w:ascii="Times New Roman" w:hAnsi="Times New Roman" w:cs="Times New Roman"/>
        </w:rPr>
        <w:lastRenderedPageBreak/>
        <w:t xml:space="preserve">an impediment for them to act in the best interest of their clients. </w:t>
      </w:r>
      <w:r w:rsidR="00197A19" w:rsidRPr="007D64F9">
        <w:rPr>
          <w:rFonts w:ascii="Times New Roman" w:hAnsi="Times New Roman" w:cs="Times New Roman"/>
        </w:rPr>
        <w:t>Paradoxically, in a DC system, the imposition of high capital requirements on a PFMC may not be in the best interests of contributors.  Ultimately, the cost of servicing the capital is borne by contributors through fees and high capital requirements merely increase the level of fees without necessarily improving the performance of the funds under management.</w:t>
      </w:r>
      <w:r w:rsidR="00246307" w:rsidRPr="007D64F9">
        <w:rPr>
          <w:rFonts w:ascii="Times New Roman" w:hAnsi="Times New Roman" w:cs="Times New Roman"/>
        </w:rPr>
        <w:t xml:space="preserve"> </w:t>
      </w:r>
      <w:r w:rsidR="00F868B1">
        <w:rPr>
          <w:rFonts w:ascii="Times New Roman" w:hAnsi="Times New Roman" w:cs="Times New Roman"/>
        </w:rPr>
        <w:t>As discussed later in the paper, i</w:t>
      </w:r>
      <w:r w:rsidR="00F868B1" w:rsidRPr="007D64F9">
        <w:rPr>
          <w:rFonts w:ascii="Times New Roman" w:hAnsi="Times New Roman" w:cs="Times New Roman"/>
        </w:rPr>
        <w:t xml:space="preserve">n </w:t>
      </w:r>
      <w:r w:rsidR="0020077B" w:rsidRPr="007D64F9">
        <w:rPr>
          <w:rFonts w:ascii="Times New Roman" w:hAnsi="Times New Roman" w:cs="Times New Roman"/>
        </w:rPr>
        <w:t xml:space="preserve">the case </w:t>
      </w:r>
      <w:r w:rsidR="00246307" w:rsidRPr="007D64F9">
        <w:rPr>
          <w:rFonts w:ascii="Times New Roman" w:hAnsi="Times New Roman" w:cs="Times New Roman"/>
        </w:rPr>
        <w:t xml:space="preserve">that </w:t>
      </w:r>
      <w:r w:rsidR="0020077B" w:rsidRPr="007D64F9">
        <w:rPr>
          <w:rFonts w:ascii="Times New Roman" w:hAnsi="Times New Roman" w:cs="Times New Roman"/>
        </w:rPr>
        <w:t xml:space="preserve">capital </w:t>
      </w:r>
      <w:r w:rsidR="00246307" w:rsidRPr="007D64F9">
        <w:rPr>
          <w:rFonts w:ascii="Times New Roman" w:hAnsi="Times New Roman" w:cs="Times New Roman"/>
        </w:rPr>
        <w:t>is used to support the provision of guarantees</w:t>
      </w:r>
      <w:r w:rsidR="00197A19" w:rsidRPr="007D64F9">
        <w:rPr>
          <w:rFonts w:ascii="Times New Roman" w:hAnsi="Times New Roman" w:cs="Times New Roman"/>
        </w:rPr>
        <w:t xml:space="preserve"> (as the minimum relative return guarantee)</w:t>
      </w:r>
      <w:r w:rsidR="00246307" w:rsidRPr="007D64F9">
        <w:rPr>
          <w:rFonts w:ascii="Times New Roman" w:hAnsi="Times New Roman" w:cs="Times New Roman"/>
        </w:rPr>
        <w:t>, t</w:t>
      </w:r>
      <w:r w:rsidR="0020077B" w:rsidRPr="007D64F9">
        <w:rPr>
          <w:rFonts w:ascii="Times New Roman" w:hAnsi="Times New Roman" w:cs="Times New Roman"/>
        </w:rPr>
        <w:t xml:space="preserve">he management of </w:t>
      </w:r>
      <w:r w:rsidR="00246307" w:rsidRPr="007D64F9">
        <w:rPr>
          <w:rFonts w:ascii="Times New Roman" w:hAnsi="Times New Roman" w:cs="Times New Roman"/>
        </w:rPr>
        <w:t>PFMC focuses the asset allocation of pension funds in a way of reduc</w:t>
      </w:r>
      <w:r w:rsidR="00197A19" w:rsidRPr="007D64F9">
        <w:rPr>
          <w:rFonts w:ascii="Times New Roman" w:hAnsi="Times New Roman" w:cs="Times New Roman"/>
        </w:rPr>
        <w:t>ing</w:t>
      </w:r>
      <w:r w:rsidR="00246307" w:rsidRPr="007D64F9">
        <w:rPr>
          <w:rFonts w:ascii="Times New Roman" w:hAnsi="Times New Roman" w:cs="Times New Roman"/>
        </w:rPr>
        <w:t xml:space="preserve"> </w:t>
      </w:r>
      <w:r w:rsidR="00197A19" w:rsidRPr="007D64F9">
        <w:rPr>
          <w:rFonts w:ascii="Times New Roman" w:hAnsi="Times New Roman" w:cs="Times New Roman"/>
        </w:rPr>
        <w:t xml:space="preserve">the risk on the capital of the pension fund management company. </w:t>
      </w:r>
      <w:r w:rsidR="00246307" w:rsidRPr="007D64F9">
        <w:rPr>
          <w:rFonts w:ascii="Times New Roman" w:hAnsi="Times New Roman" w:cs="Times New Roman"/>
        </w:rPr>
        <w:t xml:space="preserve"> </w:t>
      </w:r>
      <w:r w:rsidR="0020077B" w:rsidRPr="007D64F9">
        <w:rPr>
          <w:rFonts w:ascii="Times New Roman" w:hAnsi="Times New Roman" w:cs="Times New Roman"/>
        </w:rPr>
        <w:t xml:space="preserve"> </w:t>
      </w:r>
    </w:p>
    <w:p w:rsidR="00C92A8F" w:rsidRPr="007D64F9" w:rsidRDefault="00DE6B9F" w:rsidP="00487783">
      <w:pPr>
        <w:pStyle w:val="ListParagraph"/>
        <w:numPr>
          <w:ilvl w:val="0"/>
          <w:numId w:val="1"/>
        </w:numPr>
        <w:rPr>
          <w:rFonts w:ascii="Times New Roman" w:hAnsi="Times New Roman" w:cs="Times New Roman"/>
        </w:rPr>
      </w:pPr>
      <w:r w:rsidRPr="007D64F9">
        <w:rPr>
          <w:rFonts w:ascii="Times New Roman" w:hAnsi="Times New Roman" w:cs="Times New Roman"/>
        </w:rPr>
        <w:t>W</w:t>
      </w:r>
      <w:r w:rsidR="00C92A8F" w:rsidRPr="007D64F9">
        <w:rPr>
          <w:rFonts w:ascii="Times New Roman" w:hAnsi="Times New Roman" w:cs="Times New Roman"/>
        </w:rPr>
        <w:t>here pension funds are allowed to leverage or invest in derivative instruments or structured products that are heavily exposed to counterparty risks, an additional layer of protection might be necessary, and capital may start playing a role in risk management decisions of the PFMC.  However, the large majority of emerging economies analyzed in this note do not invest in these type</w:t>
      </w:r>
      <w:r w:rsidR="00D80B41" w:rsidRPr="007D64F9">
        <w:rPr>
          <w:rFonts w:ascii="Times New Roman" w:hAnsi="Times New Roman" w:cs="Times New Roman"/>
        </w:rPr>
        <w:t>s</w:t>
      </w:r>
      <w:r w:rsidR="00C92A8F" w:rsidRPr="007D64F9">
        <w:rPr>
          <w:rFonts w:ascii="Times New Roman" w:hAnsi="Times New Roman" w:cs="Times New Roman"/>
        </w:rPr>
        <w:t xml:space="preserve"> of instruments. </w:t>
      </w:r>
    </w:p>
    <w:p w:rsidR="00280621" w:rsidRPr="006E3E78" w:rsidRDefault="003E244C" w:rsidP="00280621">
      <w:pPr>
        <w:pStyle w:val="ListParagraph"/>
        <w:numPr>
          <w:ilvl w:val="0"/>
          <w:numId w:val="1"/>
        </w:numPr>
        <w:rPr>
          <w:rFonts w:ascii="Times New Roman" w:hAnsi="Times New Roman" w:cs="Times New Roman"/>
        </w:rPr>
      </w:pPr>
      <w:r w:rsidRPr="007D64F9">
        <w:rPr>
          <w:rFonts w:ascii="Times New Roman" w:hAnsi="Times New Roman" w:cs="Times New Roman"/>
        </w:rPr>
        <w:t>Some countries have built capital based requirements that create additional distortions in the asset allocation.</w:t>
      </w:r>
      <w:r w:rsidRPr="007D64F9">
        <w:rPr>
          <w:rStyle w:val="FootnoteReference"/>
          <w:rFonts w:ascii="Times New Roman" w:hAnsi="Times New Roman" w:cs="Times New Roman"/>
        </w:rPr>
        <w:footnoteReference w:id="11"/>
      </w:r>
      <w:r w:rsidRPr="007D64F9">
        <w:rPr>
          <w:rFonts w:ascii="Times New Roman" w:hAnsi="Times New Roman" w:cs="Times New Roman"/>
        </w:rPr>
        <w:t xml:space="preserve"> The case of Kazakhstan</w:t>
      </w:r>
      <w:r w:rsidRPr="006E3E78">
        <w:rPr>
          <w:rFonts w:ascii="Times New Roman" w:hAnsi="Times New Roman" w:cs="Times New Roman"/>
        </w:rPr>
        <w:t xml:space="preserve"> is one of the most dramatic extrapolations of the risk-weighted capital from the banking industry to the private pension fund industry. The regulation known as K2 has imposed capital requirements on the PFMCs that depend on the risk weighting of the assets held in the funds they manage. Thus, PFMCs are required to put up more capital if they are investing in equities, versus investing in bonds. As expected, portfolios have become concentrated in fixed income government instruments with the lowest risk weightings, which, in Kazakhstan, pay returns below the inflation rate. As the government guarantees the real value of the contributions at retirement age, the government has been paying the difference between inflation and returns to maintain the real value. In any case, because of the disincentives created by K2 and the resulting very conservative portfolios, the expected replacement rates are likely to be very low.  In addition, PFMCs have transferred the higher costs of the system associated with the high levels of capital to the contributors through higher fees.</w:t>
      </w:r>
      <w:r w:rsidRPr="007D64F9">
        <w:rPr>
          <w:rStyle w:val="FootnoteReference"/>
          <w:rFonts w:ascii="Times New Roman" w:hAnsi="Times New Roman" w:cs="Times New Roman"/>
        </w:rPr>
        <w:footnoteReference w:id="12"/>
      </w:r>
      <w:r w:rsidR="005B33A0" w:rsidRPr="007D64F9">
        <w:rPr>
          <w:rFonts w:ascii="Times New Roman" w:hAnsi="Times New Roman" w:cs="Times New Roman"/>
        </w:rPr>
        <w:t xml:space="preserve"> </w:t>
      </w:r>
    </w:p>
    <w:p w:rsidR="00280621" w:rsidRPr="00085822" w:rsidRDefault="00135ACB" w:rsidP="00280621">
      <w:pPr>
        <w:pStyle w:val="Heading3"/>
        <w:rPr>
          <w:rFonts w:ascii="Times New Roman" w:hAnsi="Times New Roman" w:cs="Times New Roman"/>
          <w:i/>
          <w:color w:val="000000" w:themeColor="text1"/>
        </w:rPr>
      </w:pPr>
      <w:r w:rsidRPr="00085822">
        <w:rPr>
          <w:rFonts w:ascii="Times New Roman" w:hAnsi="Times New Roman" w:cs="Times New Roman"/>
          <w:i/>
          <w:color w:val="000000" w:themeColor="text1"/>
        </w:rPr>
        <w:t>RBS supervisory objec</w:t>
      </w:r>
      <w:r w:rsidR="00280621" w:rsidRPr="00085822">
        <w:rPr>
          <w:rFonts w:ascii="Times New Roman" w:hAnsi="Times New Roman" w:cs="Times New Roman"/>
          <w:i/>
          <w:color w:val="000000" w:themeColor="text1"/>
        </w:rPr>
        <w:t>tives and the pension objective</w:t>
      </w:r>
    </w:p>
    <w:p w:rsidR="00414272" w:rsidRPr="006E3E78" w:rsidRDefault="0055449D" w:rsidP="00487783">
      <w:pPr>
        <w:pStyle w:val="ListParagraph"/>
        <w:widowControl w:val="0"/>
        <w:numPr>
          <w:ilvl w:val="0"/>
          <w:numId w:val="1"/>
        </w:numPr>
        <w:autoSpaceDE w:val="0"/>
        <w:autoSpaceDN w:val="0"/>
        <w:adjustRightInd w:val="0"/>
        <w:spacing w:after="240"/>
        <w:rPr>
          <w:rFonts w:ascii="Times New Roman" w:hAnsi="Times New Roman" w:cs="Times New Roman"/>
        </w:rPr>
      </w:pPr>
      <w:r w:rsidRPr="007D64F9">
        <w:rPr>
          <w:rFonts w:ascii="Times New Roman" w:hAnsi="Times New Roman" w:cs="Times New Roman"/>
        </w:rPr>
        <w:t>Given the link between risk-based supervision and risk-based capital is not always applicable in the pension sector, i</w:t>
      </w:r>
      <w:r w:rsidR="00C92A8F" w:rsidRPr="006E3E78">
        <w:rPr>
          <w:rFonts w:ascii="Times New Roman" w:hAnsi="Times New Roman" w:cs="Times New Roman"/>
        </w:rPr>
        <w:t>n its Risk-based Supervision Toolkit,</w:t>
      </w:r>
      <w:r w:rsidR="00C92A8F" w:rsidRPr="007D64F9">
        <w:rPr>
          <w:rStyle w:val="FootnoteReference"/>
          <w:rFonts w:ascii="Times New Roman" w:hAnsi="Times New Roman" w:cs="Times New Roman"/>
        </w:rPr>
        <w:footnoteReference w:id="13"/>
      </w:r>
      <w:r w:rsidR="00C92A8F" w:rsidRPr="007D64F9">
        <w:rPr>
          <w:rFonts w:ascii="Times New Roman" w:hAnsi="Times New Roman" w:cs="Times New Roman"/>
        </w:rPr>
        <w:t xml:space="preserve"> the International Organisation of Pension Supervisors (IOPS) provides a </w:t>
      </w:r>
      <w:r w:rsidR="00E30C1F" w:rsidRPr="006E3E78">
        <w:rPr>
          <w:rFonts w:ascii="Times New Roman" w:hAnsi="Times New Roman" w:cs="Times New Roman"/>
        </w:rPr>
        <w:t xml:space="preserve">less specific </w:t>
      </w:r>
      <w:r w:rsidR="00C92A8F" w:rsidRPr="006E3E78">
        <w:rPr>
          <w:rFonts w:ascii="Times New Roman" w:hAnsi="Times New Roman" w:cs="Times New Roman"/>
        </w:rPr>
        <w:t>definition of RBS</w:t>
      </w:r>
      <w:r w:rsidR="00FE37FF" w:rsidRPr="006E3E78">
        <w:rPr>
          <w:rFonts w:ascii="Times New Roman" w:hAnsi="Times New Roman" w:cs="Times New Roman"/>
        </w:rPr>
        <w:t xml:space="preserve"> to that used in the banking and insurance sectors.</w:t>
      </w:r>
      <w:r w:rsidR="00C92A8F" w:rsidRPr="006E3E78">
        <w:rPr>
          <w:rFonts w:ascii="Times New Roman" w:hAnsi="Times New Roman" w:cs="Times New Roman"/>
        </w:rPr>
        <w:t xml:space="preserve"> </w:t>
      </w:r>
    </w:p>
    <w:p w:rsidR="00C92A8F" w:rsidRPr="007D64F9" w:rsidRDefault="00C97E69" w:rsidP="00487783">
      <w:pPr>
        <w:pStyle w:val="ListParagraph"/>
        <w:widowControl w:val="0"/>
        <w:numPr>
          <w:ilvl w:val="0"/>
          <w:numId w:val="1"/>
        </w:numPr>
        <w:autoSpaceDE w:val="0"/>
        <w:autoSpaceDN w:val="0"/>
        <w:adjustRightInd w:val="0"/>
        <w:spacing w:after="240"/>
        <w:rPr>
          <w:rFonts w:ascii="Times New Roman" w:hAnsi="Times New Roman" w:cs="Times New Roman"/>
        </w:rPr>
      </w:pPr>
      <w:r w:rsidRPr="005E4D8B">
        <w:rPr>
          <w:rFonts w:ascii="Times New Roman" w:hAnsi="Times New Roman" w:cs="Times New Roman"/>
        </w:rPr>
        <w:t xml:space="preserve">With all the weaknesses </w:t>
      </w:r>
      <w:r w:rsidR="00F34BEA" w:rsidRPr="005E4D8B">
        <w:rPr>
          <w:rFonts w:ascii="Times New Roman" w:hAnsi="Times New Roman" w:cs="Times New Roman"/>
        </w:rPr>
        <w:t xml:space="preserve">implied by the lack of </w:t>
      </w:r>
      <w:r w:rsidR="00F34BEA" w:rsidRPr="00EB1C3C">
        <w:rPr>
          <w:rFonts w:ascii="Times New Roman" w:hAnsi="Times New Roman" w:cs="Times New Roman"/>
        </w:rPr>
        <w:t>relationship between capital and future pensions</w:t>
      </w:r>
      <w:r w:rsidR="00F34BEA" w:rsidRPr="007D64F9">
        <w:rPr>
          <w:rFonts w:ascii="Times New Roman" w:hAnsi="Times New Roman" w:cs="Times New Roman"/>
        </w:rPr>
        <w:t xml:space="preserve"> in the case of DC pension schemes, the IOPS definition focuses </w:t>
      </w:r>
      <w:r w:rsidR="00C92A8F" w:rsidRPr="007D64F9">
        <w:rPr>
          <w:rFonts w:ascii="Times New Roman" w:hAnsi="Times New Roman" w:cs="Times New Roman"/>
        </w:rPr>
        <w:t>on optimizing the use of supervisory resources</w:t>
      </w:r>
      <w:r w:rsidR="00F34BEA" w:rsidRPr="007D64F9">
        <w:rPr>
          <w:rFonts w:ascii="Times New Roman" w:hAnsi="Times New Roman" w:cs="Times New Roman"/>
        </w:rPr>
        <w:t xml:space="preserve"> of the supervisory agency</w:t>
      </w:r>
      <w:r w:rsidR="00C92A8F" w:rsidRPr="007D64F9">
        <w:rPr>
          <w:rFonts w:ascii="Times New Roman" w:hAnsi="Times New Roman" w:cs="Times New Roman"/>
        </w:rPr>
        <w:t>.  According to IOPS, “</w:t>
      </w:r>
      <w:r w:rsidR="00C92A8F" w:rsidRPr="007D64F9">
        <w:rPr>
          <w:rFonts w:ascii="Times New Roman" w:hAnsi="Times New Roman" w:cs="Times New Roman"/>
          <w:i/>
        </w:rPr>
        <w:t>risk-based supervision is</w:t>
      </w:r>
      <w:r w:rsidR="00C92A8F" w:rsidRPr="007D64F9">
        <w:rPr>
          <w:rFonts w:ascii="Times New Roman" w:hAnsi="Times New Roman" w:cs="Times New Roman"/>
        </w:rPr>
        <w:t xml:space="preserve"> </w:t>
      </w:r>
      <w:r w:rsidR="00C92A8F" w:rsidRPr="007D64F9">
        <w:rPr>
          <w:rFonts w:ascii="Times New Roman" w:hAnsi="Times New Roman" w:cs="Times New Roman"/>
          <w:i/>
        </w:rPr>
        <w:t xml:space="preserve">a structured approach that focuses on the identification of potential risks faced by pension plans or funds and the assessment of the financial and operational factors in place to manage and mitigate those risks.  This process then allows the </w:t>
      </w:r>
      <w:r w:rsidR="00C92A8F" w:rsidRPr="007D64F9">
        <w:rPr>
          <w:rFonts w:ascii="Times New Roman" w:hAnsi="Times New Roman" w:cs="Times New Roman"/>
          <w:i/>
        </w:rPr>
        <w:lastRenderedPageBreak/>
        <w:t>supervisory authority to direct its resources towards the issues and the institutions that pose the greatest threat</w:t>
      </w:r>
      <w:r w:rsidR="00C92A8F" w:rsidRPr="007D64F9">
        <w:rPr>
          <w:rFonts w:ascii="Times New Roman" w:hAnsi="Times New Roman" w:cs="Times New Roman"/>
        </w:rPr>
        <w:t>”.</w:t>
      </w:r>
      <w:r w:rsidR="00C92A8F" w:rsidRPr="007D64F9">
        <w:rPr>
          <w:rStyle w:val="FootnoteReference"/>
          <w:rFonts w:ascii="Times New Roman" w:hAnsi="Times New Roman" w:cs="Times New Roman"/>
        </w:rPr>
        <w:footnoteReference w:id="14"/>
      </w:r>
    </w:p>
    <w:p w:rsidR="00F34BEA" w:rsidRPr="005E4D8B" w:rsidRDefault="00C92A8F" w:rsidP="00487783">
      <w:pPr>
        <w:pStyle w:val="ListParagraph"/>
        <w:widowControl w:val="0"/>
        <w:numPr>
          <w:ilvl w:val="0"/>
          <w:numId w:val="1"/>
        </w:numPr>
        <w:autoSpaceDE w:val="0"/>
        <w:autoSpaceDN w:val="0"/>
        <w:adjustRightInd w:val="0"/>
        <w:spacing w:after="240"/>
        <w:rPr>
          <w:rFonts w:ascii="Times New Roman" w:hAnsi="Times New Roman" w:cs="Times New Roman"/>
        </w:rPr>
      </w:pPr>
      <w:r w:rsidRPr="006E3E78">
        <w:rPr>
          <w:rFonts w:ascii="Times New Roman" w:hAnsi="Times New Roman" w:cs="Times New Roman"/>
        </w:rPr>
        <w:t>IOPS postulates that RBS is a method of rationing scarce supervisory resources</w:t>
      </w:r>
      <w:r w:rsidR="00E427BE" w:rsidRPr="00E427BE">
        <w:rPr>
          <w:rFonts w:ascii="Times New Roman" w:hAnsi="Times New Roman" w:cs="Times New Roman"/>
        </w:rPr>
        <w:t xml:space="preserve"> </w:t>
      </w:r>
      <w:r w:rsidR="00E427BE">
        <w:rPr>
          <w:rFonts w:ascii="Times New Roman" w:hAnsi="Times New Roman" w:cs="Times New Roman"/>
        </w:rPr>
        <w:t>and focusing supervisory attention towards the entities that, in the supervisor’s assessment, pose the greatest risk</w:t>
      </w:r>
      <w:r w:rsidR="00E427BE" w:rsidRPr="006E3E78">
        <w:rPr>
          <w:rFonts w:ascii="Times New Roman" w:hAnsi="Times New Roman" w:cs="Times New Roman"/>
        </w:rPr>
        <w:t>.</w:t>
      </w:r>
      <w:r w:rsidRPr="006E3E78">
        <w:rPr>
          <w:rFonts w:ascii="Times New Roman" w:hAnsi="Times New Roman" w:cs="Times New Roman"/>
        </w:rPr>
        <w:t xml:space="preserve"> </w:t>
      </w:r>
      <w:r w:rsidR="00F34BEA" w:rsidRPr="006E3E78">
        <w:rPr>
          <w:rFonts w:ascii="Times New Roman" w:hAnsi="Times New Roman" w:cs="Times New Roman"/>
        </w:rPr>
        <w:t xml:space="preserve">As discussed, </w:t>
      </w:r>
      <w:r w:rsidR="00711FF4">
        <w:rPr>
          <w:rFonts w:ascii="Times New Roman" w:hAnsi="Times New Roman" w:cs="Times New Roman"/>
        </w:rPr>
        <w:t>in the absence of the possibility of using risk based capital in DC pension schem</w:t>
      </w:r>
      <w:r w:rsidR="00617899">
        <w:rPr>
          <w:rFonts w:ascii="Times New Roman" w:hAnsi="Times New Roman" w:cs="Times New Roman"/>
        </w:rPr>
        <w:t>e</w:t>
      </w:r>
      <w:r w:rsidR="00711FF4">
        <w:rPr>
          <w:rFonts w:ascii="Times New Roman" w:hAnsi="Times New Roman" w:cs="Times New Roman"/>
        </w:rPr>
        <w:t xml:space="preserve">s, </w:t>
      </w:r>
      <w:r w:rsidR="00F34BEA" w:rsidRPr="006E3E78">
        <w:rPr>
          <w:rFonts w:ascii="Times New Roman" w:hAnsi="Times New Roman" w:cs="Times New Roman"/>
        </w:rPr>
        <w:t xml:space="preserve">this concept </w:t>
      </w:r>
      <w:r w:rsidR="00617899">
        <w:rPr>
          <w:rFonts w:ascii="Times New Roman" w:hAnsi="Times New Roman" w:cs="Times New Roman"/>
        </w:rPr>
        <w:t>has only some of the elements of</w:t>
      </w:r>
      <w:r w:rsidR="00F34BEA" w:rsidRPr="006E3E78">
        <w:rPr>
          <w:rFonts w:ascii="Times New Roman" w:hAnsi="Times New Roman" w:cs="Times New Roman"/>
        </w:rPr>
        <w:t xml:space="preserve"> the original concept of RBS</w:t>
      </w:r>
      <w:r w:rsidR="00711FF4">
        <w:rPr>
          <w:rFonts w:ascii="Times New Roman" w:hAnsi="Times New Roman" w:cs="Times New Roman"/>
        </w:rPr>
        <w:t>.</w:t>
      </w:r>
      <w:r w:rsidR="00711FF4" w:rsidDel="00711FF4">
        <w:rPr>
          <w:rFonts w:ascii="Times New Roman" w:hAnsi="Times New Roman" w:cs="Times New Roman"/>
        </w:rPr>
        <w:t xml:space="preserve"> </w:t>
      </w:r>
      <w:r w:rsidR="00F34BEA" w:rsidRPr="006E3E78">
        <w:rPr>
          <w:rFonts w:ascii="Times New Roman" w:hAnsi="Times New Roman" w:cs="Times New Roman"/>
        </w:rPr>
        <w:t xml:space="preserve"> </w:t>
      </w:r>
    </w:p>
    <w:p w:rsidR="00C92A8F" w:rsidRPr="007D64F9" w:rsidRDefault="00C92A8F" w:rsidP="00487783">
      <w:pPr>
        <w:pStyle w:val="ListParagraph"/>
        <w:widowControl w:val="0"/>
        <w:numPr>
          <w:ilvl w:val="0"/>
          <w:numId w:val="1"/>
        </w:numPr>
        <w:autoSpaceDE w:val="0"/>
        <w:autoSpaceDN w:val="0"/>
        <w:adjustRightInd w:val="0"/>
        <w:spacing w:after="240"/>
        <w:rPr>
          <w:rFonts w:ascii="Times New Roman" w:hAnsi="Times New Roman" w:cs="Times New Roman"/>
        </w:rPr>
      </w:pPr>
      <w:r w:rsidRPr="007D64F9">
        <w:rPr>
          <w:rFonts w:ascii="Times New Roman" w:hAnsi="Times New Roman" w:cs="Times New Roman"/>
        </w:rPr>
        <w:t xml:space="preserve">In place of </w:t>
      </w:r>
      <w:r w:rsidR="00D80B41" w:rsidRPr="007D64F9">
        <w:rPr>
          <w:rFonts w:ascii="Times New Roman" w:hAnsi="Times New Roman" w:cs="Times New Roman"/>
        </w:rPr>
        <w:t xml:space="preserve">allocating </w:t>
      </w:r>
      <w:r w:rsidRPr="007D64F9">
        <w:rPr>
          <w:rFonts w:ascii="Times New Roman" w:hAnsi="Times New Roman" w:cs="Times New Roman"/>
        </w:rPr>
        <w:t xml:space="preserve">resources based on some indicators such as regulatory infractions or member complaints, </w:t>
      </w:r>
      <w:r w:rsidR="00F34BEA" w:rsidRPr="007D64F9">
        <w:rPr>
          <w:rFonts w:ascii="Times New Roman" w:hAnsi="Times New Roman" w:cs="Times New Roman"/>
        </w:rPr>
        <w:t xml:space="preserve">IOPS suggests that </w:t>
      </w:r>
      <w:r w:rsidRPr="007D64F9">
        <w:rPr>
          <w:rFonts w:ascii="Times New Roman" w:hAnsi="Times New Roman" w:cs="Times New Roman"/>
        </w:rPr>
        <w:t>resources should be allocated on the basis of the entities’ risk profiles in a formal way.  IOPS suggests that the risk assessment of the supervisors should involve the assessment of emerging and possible future risks as well as current and past risks. IOPS’ work focuses on two of the benefits of RBS- a forward-looking approach and the allocation of supervisory resources.</w:t>
      </w:r>
    </w:p>
    <w:p w:rsidR="00135ACB" w:rsidRPr="007D64F9" w:rsidDel="00810B62" w:rsidRDefault="00135ACB" w:rsidP="00487783">
      <w:pPr>
        <w:pStyle w:val="ListParagraph"/>
        <w:numPr>
          <w:ilvl w:val="0"/>
          <w:numId w:val="1"/>
        </w:numPr>
        <w:rPr>
          <w:rFonts w:ascii="Times New Roman" w:hAnsi="Times New Roman" w:cs="Times New Roman"/>
        </w:rPr>
      </w:pPr>
      <w:r w:rsidRPr="007D64F9" w:rsidDel="00810B62">
        <w:rPr>
          <w:rFonts w:ascii="Times New Roman" w:hAnsi="Times New Roman" w:cs="Times New Roman"/>
        </w:rPr>
        <w:t xml:space="preserve">The broader definition of RBS applied by IOPS highlights that pension supervisors should first identify their main objective, then identify the main risks to achieving that objective, before putting in place solutions, approaches and mechanisms for mitigating that risk. </w:t>
      </w:r>
    </w:p>
    <w:p w:rsidR="00135ACB" w:rsidRPr="006E3E78" w:rsidRDefault="00135ACB" w:rsidP="00487783">
      <w:pPr>
        <w:pStyle w:val="ListParagraph"/>
        <w:numPr>
          <w:ilvl w:val="0"/>
          <w:numId w:val="1"/>
        </w:numPr>
        <w:rPr>
          <w:rFonts w:ascii="Times New Roman" w:hAnsi="Times New Roman" w:cs="Times New Roman"/>
        </w:rPr>
      </w:pPr>
      <w:r w:rsidRPr="006E3E78">
        <w:rPr>
          <w:rFonts w:ascii="Times New Roman" w:hAnsi="Times New Roman" w:cs="Times New Roman"/>
        </w:rPr>
        <w:t>The ultimate goal of any pension system is to provide adequate and secure pensions, and protecting these pensions should be therefore ultimately the objective of any pension supervisor. This is outlined in IOPS Working Paper No. 12,</w:t>
      </w:r>
      <w:r w:rsidRPr="007D64F9">
        <w:rPr>
          <w:rStyle w:val="FootnoteReference"/>
          <w:rFonts w:ascii="Times New Roman" w:hAnsi="Times New Roman" w:cs="Times New Roman"/>
        </w:rPr>
        <w:footnoteReference w:id="15"/>
      </w:r>
      <w:r w:rsidRPr="007D64F9">
        <w:rPr>
          <w:rFonts w:ascii="Times New Roman" w:hAnsi="Times New Roman" w:cs="Times New Roman"/>
        </w:rPr>
        <w:t xml:space="preserve"> which provides a description of the different ways in which IOP</w:t>
      </w:r>
      <w:r w:rsidRPr="006E3E78">
        <w:rPr>
          <w:rFonts w:ascii="Times New Roman" w:hAnsi="Times New Roman" w:cs="Times New Roman"/>
        </w:rPr>
        <w:t>S members supervise DC pension funds:</w:t>
      </w:r>
    </w:p>
    <w:p w:rsidR="00135ACB" w:rsidRPr="006E3E78" w:rsidRDefault="00135ACB" w:rsidP="00135ACB">
      <w:pPr>
        <w:pStyle w:val="ListParagraph"/>
        <w:rPr>
          <w:rFonts w:ascii="Times New Roman" w:hAnsi="Times New Roman" w:cs="Times New Roman"/>
        </w:rPr>
      </w:pPr>
    </w:p>
    <w:p w:rsidR="00FE37FF" w:rsidRPr="007D64F9" w:rsidRDefault="00135ACB" w:rsidP="00135ACB">
      <w:pPr>
        <w:pStyle w:val="ListParagraph"/>
        <w:rPr>
          <w:rFonts w:ascii="Times New Roman" w:hAnsi="Times New Roman" w:cs="Times New Roman"/>
          <w:i/>
        </w:rPr>
      </w:pPr>
      <w:r w:rsidRPr="006E3E78">
        <w:rPr>
          <w:rFonts w:ascii="Times New Roman" w:hAnsi="Times New Roman" w:cs="Times New Roman"/>
        </w:rPr>
        <w:t>“</w:t>
      </w:r>
      <w:r w:rsidRPr="007D64F9">
        <w:rPr>
          <w:rFonts w:ascii="Times New Roman" w:hAnsi="Times New Roman" w:cs="Times New Roman"/>
          <w:i/>
        </w:rPr>
        <w:t>With DC systems</w:t>
      </w:r>
      <w:r w:rsidR="00D80B41" w:rsidRPr="007D64F9">
        <w:rPr>
          <w:rFonts w:ascii="Times New Roman" w:hAnsi="Times New Roman" w:cs="Times New Roman"/>
          <w:i/>
        </w:rPr>
        <w:t>,</w:t>
      </w:r>
      <w:r w:rsidRPr="007D64F9">
        <w:rPr>
          <w:rFonts w:ascii="Times New Roman" w:hAnsi="Times New Roman" w:cs="Times New Roman"/>
          <w:i/>
        </w:rPr>
        <w:t xml:space="preserve"> the focus has to be on processes rather than outcomes as benefits are not guaranteed. The role of the supervisor is to ensure that the pension fund is managed in a secure way, as if the members themselves were undertaking the task. </w:t>
      </w:r>
    </w:p>
    <w:p w:rsidR="00FE37FF" w:rsidRPr="007D64F9" w:rsidRDefault="00FE37FF" w:rsidP="00135ACB">
      <w:pPr>
        <w:pStyle w:val="ListParagraph"/>
        <w:rPr>
          <w:rFonts w:ascii="Times New Roman" w:hAnsi="Times New Roman" w:cs="Times New Roman"/>
          <w:i/>
        </w:rPr>
      </w:pPr>
    </w:p>
    <w:p w:rsidR="00135ACB" w:rsidRPr="007D64F9" w:rsidRDefault="00FE37FF" w:rsidP="00135ACB">
      <w:pPr>
        <w:pStyle w:val="ListParagraph"/>
        <w:rPr>
          <w:rFonts w:ascii="Times New Roman" w:hAnsi="Times New Roman" w:cs="Times New Roman"/>
        </w:rPr>
      </w:pPr>
      <w:r w:rsidRPr="007D64F9">
        <w:rPr>
          <w:rFonts w:ascii="Times New Roman" w:hAnsi="Times New Roman" w:cs="Times New Roman"/>
          <w:i/>
        </w:rPr>
        <w:t>T</w:t>
      </w:r>
      <w:r w:rsidR="00135ACB" w:rsidRPr="007D64F9">
        <w:rPr>
          <w:rFonts w:ascii="Times New Roman" w:hAnsi="Times New Roman" w:cs="Times New Roman"/>
          <w:i/>
        </w:rPr>
        <w:t>he focus of the supervisor should be on risks which impact on the members of the fund themselves and could involve them losing money. As it is the member that bears the risk</w:t>
      </w:r>
      <w:r w:rsidR="00D80B41" w:rsidRPr="007D64F9">
        <w:rPr>
          <w:rFonts w:ascii="Times New Roman" w:hAnsi="Times New Roman" w:cs="Times New Roman"/>
          <w:i/>
        </w:rPr>
        <w:t>,</w:t>
      </w:r>
      <w:r w:rsidR="00135ACB" w:rsidRPr="007D64F9">
        <w:rPr>
          <w:rFonts w:ascii="Times New Roman" w:hAnsi="Times New Roman" w:cs="Times New Roman"/>
          <w:i/>
        </w:rPr>
        <w:t xml:space="preserve"> it is the member outcomes that pension supervisors are seeking to protect and the focus in looking at risks is to reach these optimal member outcomes. These optimal outcomes would include appropriate contribution decisions, effective administration, appropriate investment decisions, security of assets, appropriate decumulation decisions and value for money</w:t>
      </w:r>
      <w:r w:rsidR="00135ACB" w:rsidRPr="007D64F9">
        <w:rPr>
          <w:rFonts w:ascii="Times New Roman" w:hAnsi="Times New Roman" w:cs="Times New Roman"/>
        </w:rPr>
        <w:t>.”</w:t>
      </w:r>
    </w:p>
    <w:p w:rsidR="00135ACB" w:rsidRPr="007D64F9" w:rsidRDefault="00135ACB" w:rsidP="00135ACB">
      <w:pPr>
        <w:pStyle w:val="ListParagraph"/>
        <w:rPr>
          <w:rFonts w:ascii="Times New Roman" w:hAnsi="Times New Roman" w:cs="Times New Roman"/>
        </w:rPr>
      </w:pPr>
    </w:p>
    <w:p w:rsidR="00280621" w:rsidRPr="007D64F9" w:rsidRDefault="00135ACB" w:rsidP="004B2429">
      <w:pPr>
        <w:pStyle w:val="ListParagraph"/>
        <w:numPr>
          <w:ilvl w:val="0"/>
          <w:numId w:val="1"/>
        </w:numPr>
        <w:rPr>
          <w:rFonts w:ascii="Times New Roman" w:hAnsi="Times New Roman" w:cs="Times New Roman"/>
          <w:b/>
        </w:rPr>
      </w:pPr>
      <w:r w:rsidRPr="007D64F9">
        <w:rPr>
          <w:rFonts w:ascii="Times New Roman" w:hAnsi="Times New Roman" w:cs="Times New Roman"/>
        </w:rPr>
        <w:t xml:space="preserve">The IOPS definition notes that the benefits </w:t>
      </w:r>
      <w:r w:rsidR="00E55FFF" w:rsidRPr="007D64F9">
        <w:rPr>
          <w:rFonts w:ascii="Times New Roman" w:hAnsi="Times New Roman" w:cs="Times New Roman"/>
        </w:rPr>
        <w:t xml:space="preserve">in DC schemes </w:t>
      </w:r>
      <w:r w:rsidRPr="007D64F9">
        <w:rPr>
          <w:rFonts w:ascii="Times New Roman" w:hAnsi="Times New Roman" w:cs="Times New Roman"/>
        </w:rPr>
        <w:t xml:space="preserve">are not guaranteed. The larger issue is that future benefits are </w:t>
      </w:r>
      <w:r w:rsidR="00E427BE" w:rsidRPr="007D64F9">
        <w:rPr>
          <w:rFonts w:ascii="Times New Roman" w:hAnsi="Times New Roman" w:cs="Times New Roman"/>
        </w:rPr>
        <w:t xml:space="preserve">not </w:t>
      </w:r>
      <w:r w:rsidR="00E427BE">
        <w:rPr>
          <w:rFonts w:ascii="Times New Roman" w:hAnsi="Times New Roman" w:cs="Times New Roman"/>
        </w:rPr>
        <w:t xml:space="preserve">currently routinely </w:t>
      </w:r>
      <w:r w:rsidRPr="007D64F9">
        <w:rPr>
          <w:rFonts w:ascii="Times New Roman" w:hAnsi="Times New Roman" w:cs="Times New Roman"/>
        </w:rPr>
        <w:t>quantified</w:t>
      </w:r>
      <w:r w:rsidR="00E427BE">
        <w:rPr>
          <w:rFonts w:ascii="Times New Roman" w:hAnsi="Times New Roman" w:cs="Times New Roman"/>
        </w:rPr>
        <w:t>,</w:t>
      </w:r>
      <w:r w:rsidR="00E427BE" w:rsidRPr="00E427BE">
        <w:rPr>
          <w:rFonts w:ascii="Times New Roman" w:hAnsi="Times New Roman" w:cs="Times New Roman"/>
        </w:rPr>
        <w:t xml:space="preserve"> </w:t>
      </w:r>
      <w:r w:rsidR="00E427BE">
        <w:rPr>
          <w:rFonts w:ascii="Times New Roman" w:hAnsi="Times New Roman" w:cs="Times New Roman"/>
        </w:rPr>
        <w:t>although some advanced countries have started to focus on outcomes</w:t>
      </w:r>
      <w:r w:rsidRPr="007D64F9">
        <w:rPr>
          <w:rFonts w:ascii="Times New Roman" w:hAnsi="Times New Roman" w:cs="Times New Roman"/>
        </w:rPr>
        <w:t>.  In other words, while the objective of a pension scheme should be to provide adequate and secure pensions, the concept of adequacy is not quantified.  Consequently, retirees face the risk of having an inadequate pension</w:t>
      </w:r>
      <w:r w:rsidR="00E55FFF" w:rsidRPr="007D64F9">
        <w:rPr>
          <w:rFonts w:ascii="Times New Roman" w:hAnsi="Times New Roman" w:cs="Times New Roman"/>
        </w:rPr>
        <w:t xml:space="preserve">. </w:t>
      </w:r>
      <w:r w:rsidRPr="007D64F9">
        <w:rPr>
          <w:rFonts w:ascii="Times New Roman" w:hAnsi="Times New Roman" w:cs="Times New Roman"/>
        </w:rPr>
        <w:t xml:space="preserve"> </w:t>
      </w:r>
    </w:p>
    <w:p w:rsidR="004B2429" w:rsidRPr="007D64F9" w:rsidRDefault="004B2429" w:rsidP="004B2429">
      <w:pPr>
        <w:pStyle w:val="ListParagraph"/>
        <w:numPr>
          <w:ilvl w:val="0"/>
          <w:numId w:val="1"/>
        </w:numPr>
        <w:rPr>
          <w:rFonts w:ascii="Times New Roman" w:hAnsi="Times New Roman" w:cs="Times New Roman"/>
          <w:b/>
        </w:rPr>
      </w:pPr>
      <w:r w:rsidRPr="007D64F9">
        <w:rPr>
          <w:rFonts w:ascii="Times New Roman" w:hAnsi="Times New Roman" w:cs="Times New Roman"/>
        </w:rPr>
        <w:lastRenderedPageBreak/>
        <w:t xml:space="preserve">The risk that is of most significance to contributors in DC schemes should be </w:t>
      </w:r>
      <w:r w:rsidR="00280621" w:rsidRPr="007D64F9">
        <w:rPr>
          <w:rFonts w:ascii="Times New Roman" w:hAnsi="Times New Roman" w:cs="Times New Roman"/>
        </w:rPr>
        <w:t>‘</w:t>
      </w:r>
      <w:r w:rsidRPr="007D64F9">
        <w:rPr>
          <w:rFonts w:ascii="Times New Roman" w:hAnsi="Times New Roman" w:cs="Times New Roman"/>
          <w:i/>
        </w:rPr>
        <w:t>pension risk</w:t>
      </w:r>
      <w:r w:rsidR="00280621" w:rsidRPr="007D64F9">
        <w:rPr>
          <w:rFonts w:ascii="Times New Roman" w:hAnsi="Times New Roman" w:cs="Times New Roman"/>
          <w:i/>
        </w:rPr>
        <w:t>’</w:t>
      </w:r>
      <w:r w:rsidRPr="007D64F9">
        <w:rPr>
          <w:rFonts w:ascii="Times New Roman" w:hAnsi="Times New Roman" w:cs="Times New Roman"/>
        </w:rPr>
        <w:t xml:space="preserve">.  Put simply, </w:t>
      </w:r>
      <w:r w:rsidR="00587FDD">
        <w:rPr>
          <w:rFonts w:ascii="Times New Roman" w:hAnsi="Times New Roman" w:cs="Times New Roman"/>
        </w:rPr>
        <w:t>pension risk</w:t>
      </w:r>
      <w:r w:rsidRPr="007D64F9">
        <w:rPr>
          <w:rFonts w:ascii="Times New Roman" w:hAnsi="Times New Roman" w:cs="Times New Roman"/>
        </w:rPr>
        <w:t xml:space="preserve"> is the risk that on retirement, the </w:t>
      </w:r>
      <w:r w:rsidR="00587FDD">
        <w:rPr>
          <w:rFonts w:ascii="Times New Roman" w:hAnsi="Times New Roman" w:cs="Times New Roman"/>
        </w:rPr>
        <w:t>actual pensions are different than a</w:t>
      </w:r>
      <w:r w:rsidR="009404D9" w:rsidRPr="007D64F9">
        <w:rPr>
          <w:rFonts w:ascii="Times New Roman" w:hAnsi="Times New Roman" w:cs="Times New Roman"/>
        </w:rPr>
        <w:t xml:space="preserve"> specific target</w:t>
      </w:r>
      <w:r w:rsidR="00587FDD">
        <w:rPr>
          <w:rFonts w:ascii="Times New Roman" w:hAnsi="Times New Roman" w:cs="Times New Roman"/>
        </w:rPr>
        <w:t>, which could be related to a specific replacement rate, annuity or volume of assets</w:t>
      </w:r>
      <w:r w:rsidR="009404D9" w:rsidRPr="007D64F9">
        <w:rPr>
          <w:rFonts w:ascii="Times New Roman" w:hAnsi="Times New Roman" w:cs="Times New Roman"/>
        </w:rPr>
        <w:t xml:space="preserve">. In a simple away, </w:t>
      </w:r>
      <w:r w:rsidR="00B51132" w:rsidRPr="007D64F9">
        <w:rPr>
          <w:rFonts w:ascii="Times New Roman" w:hAnsi="Times New Roman" w:cs="Times New Roman"/>
        </w:rPr>
        <w:t xml:space="preserve">pension risk would measure whether the individual will </w:t>
      </w:r>
      <w:r w:rsidRPr="007D64F9">
        <w:rPr>
          <w:rFonts w:ascii="Times New Roman" w:hAnsi="Times New Roman" w:cs="Times New Roman"/>
        </w:rPr>
        <w:t>have sufficient income to live in the manner that they want.</w:t>
      </w:r>
      <w:r w:rsidR="00183C76">
        <w:rPr>
          <w:rStyle w:val="FootnoteReference"/>
          <w:rFonts w:ascii="Times New Roman" w:hAnsi="Times New Roman" w:cs="Times New Roman"/>
        </w:rPr>
        <w:footnoteReference w:id="16"/>
      </w:r>
      <w:r w:rsidRPr="007D64F9">
        <w:rPr>
          <w:rFonts w:ascii="Times New Roman" w:hAnsi="Times New Roman" w:cs="Times New Roman"/>
        </w:rPr>
        <w:t xml:space="preserve">  </w:t>
      </w:r>
      <w:r w:rsidR="00183C76">
        <w:rPr>
          <w:rFonts w:ascii="Times New Roman" w:hAnsi="Times New Roman" w:cs="Times New Roman"/>
        </w:rPr>
        <w:t xml:space="preserve">By </w:t>
      </w:r>
      <w:r w:rsidR="00513B3A">
        <w:rPr>
          <w:rFonts w:ascii="Times New Roman" w:hAnsi="Times New Roman" w:cs="Times New Roman"/>
        </w:rPr>
        <w:t xml:space="preserve">(a) </w:t>
      </w:r>
      <w:r w:rsidR="00183C76">
        <w:rPr>
          <w:rFonts w:ascii="Times New Roman" w:hAnsi="Times New Roman" w:cs="Times New Roman"/>
        </w:rPr>
        <w:t xml:space="preserve">defining explicit </w:t>
      </w:r>
      <w:r w:rsidR="00513B3A">
        <w:rPr>
          <w:rFonts w:ascii="Times New Roman" w:hAnsi="Times New Roman" w:cs="Times New Roman"/>
        </w:rPr>
        <w:t xml:space="preserve">pension </w:t>
      </w:r>
      <w:r w:rsidR="00183C76">
        <w:rPr>
          <w:rFonts w:ascii="Times New Roman" w:hAnsi="Times New Roman" w:cs="Times New Roman"/>
        </w:rPr>
        <w:t>targets</w:t>
      </w:r>
      <w:r w:rsidR="00513B3A">
        <w:rPr>
          <w:rFonts w:ascii="Times New Roman" w:hAnsi="Times New Roman" w:cs="Times New Roman"/>
        </w:rPr>
        <w:t xml:space="preserve">; (b) designing investment strategies to achieve those targets; and (c) finally </w:t>
      </w:r>
      <w:r w:rsidR="007142A1">
        <w:rPr>
          <w:rFonts w:ascii="Times New Roman" w:hAnsi="Times New Roman" w:cs="Times New Roman"/>
        </w:rPr>
        <w:t xml:space="preserve">measuring </w:t>
      </w:r>
      <w:r w:rsidR="00513B3A">
        <w:rPr>
          <w:rFonts w:ascii="Times New Roman" w:hAnsi="Times New Roman" w:cs="Times New Roman"/>
        </w:rPr>
        <w:t xml:space="preserve">the deviations against those strategies, DC pension schemes might focus more explicitly on outcomes and not in </w:t>
      </w:r>
      <w:proofErr w:type="gramStart"/>
      <w:r w:rsidR="00513B3A">
        <w:rPr>
          <w:rFonts w:ascii="Times New Roman" w:hAnsi="Times New Roman" w:cs="Times New Roman"/>
        </w:rPr>
        <w:t>processes  may</w:t>
      </w:r>
      <w:proofErr w:type="gramEnd"/>
      <w:r w:rsidR="00513B3A">
        <w:rPr>
          <w:rFonts w:ascii="Times New Roman" w:hAnsi="Times New Roman" w:cs="Times New Roman"/>
        </w:rPr>
        <w:t xml:space="preserve"> help to replicate strategies that minimize pension risk, and expectations of achieving such targets </w:t>
      </w:r>
      <w:r w:rsidR="00183C76">
        <w:rPr>
          <w:rFonts w:ascii="Times New Roman" w:hAnsi="Times New Roman" w:cs="Times New Roman"/>
        </w:rPr>
        <w:t>DC pension schem</w:t>
      </w:r>
      <w:r w:rsidR="00513B3A">
        <w:rPr>
          <w:rFonts w:ascii="Times New Roman" w:hAnsi="Times New Roman" w:cs="Times New Roman"/>
        </w:rPr>
        <w:t>e</w:t>
      </w:r>
      <w:r w:rsidR="00183C76">
        <w:rPr>
          <w:rFonts w:ascii="Times New Roman" w:hAnsi="Times New Roman" w:cs="Times New Roman"/>
        </w:rPr>
        <w:t xml:space="preserve">s </w:t>
      </w:r>
      <w:r w:rsidR="00513B3A">
        <w:rPr>
          <w:rFonts w:ascii="Times New Roman" w:hAnsi="Times New Roman" w:cs="Times New Roman"/>
        </w:rPr>
        <w:t>may focus on outcomes rather than processes.</w:t>
      </w:r>
      <w:r w:rsidR="00183C76">
        <w:rPr>
          <w:rFonts w:ascii="Times New Roman" w:hAnsi="Times New Roman" w:cs="Times New Roman"/>
        </w:rPr>
        <w:t xml:space="preserve"> </w:t>
      </w:r>
      <w:r w:rsidR="00513B3A">
        <w:rPr>
          <w:rFonts w:ascii="Times New Roman" w:hAnsi="Times New Roman" w:cs="Times New Roman"/>
        </w:rPr>
        <w:t>Consequently, p</w:t>
      </w:r>
      <w:r w:rsidRPr="007D64F9">
        <w:rPr>
          <w:rFonts w:ascii="Times New Roman" w:hAnsi="Times New Roman" w:cs="Times New Roman"/>
        </w:rPr>
        <w:t xml:space="preserve">ension risk should be the prime concern of </w:t>
      </w:r>
      <w:r w:rsidR="00513B3A">
        <w:rPr>
          <w:rFonts w:ascii="Times New Roman" w:hAnsi="Times New Roman" w:cs="Times New Roman"/>
        </w:rPr>
        <w:t>pension strategies in DC pension schemes</w:t>
      </w:r>
      <w:r w:rsidRPr="007D64F9">
        <w:rPr>
          <w:rFonts w:ascii="Times New Roman" w:hAnsi="Times New Roman" w:cs="Times New Roman"/>
        </w:rPr>
        <w:t>.</w:t>
      </w:r>
    </w:p>
    <w:p w:rsidR="00280621" w:rsidRPr="006E3E78" w:rsidRDefault="00280621" w:rsidP="00414272">
      <w:pPr>
        <w:pStyle w:val="ListParagraph"/>
        <w:numPr>
          <w:ilvl w:val="0"/>
          <w:numId w:val="1"/>
        </w:numPr>
        <w:rPr>
          <w:rFonts w:ascii="Times New Roman" w:hAnsi="Times New Roman" w:cs="Times New Roman"/>
        </w:rPr>
      </w:pPr>
      <w:r w:rsidRPr="007D64F9">
        <w:rPr>
          <w:rFonts w:ascii="Times New Roman" w:hAnsi="Times New Roman" w:cs="Times New Roman"/>
        </w:rPr>
        <w:t xml:space="preserve">However, this pension risk is not measured </w:t>
      </w:r>
      <w:r w:rsidR="00B51132" w:rsidRPr="007D64F9">
        <w:rPr>
          <w:rFonts w:ascii="Times New Roman" w:hAnsi="Times New Roman" w:cs="Times New Roman"/>
        </w:rPr>
        <w:t xml:space="preserve">in DC pension schemes in emerging markets </w:t>
      </w:r>
      <w:r w:rsidR="00183C76">
        <w:rPr>
          <w:rFonts w:ascii="Times New Roman" w:hAnsi="Times New Roman" w:cs="Times New Roman"/>
        </w:rPr>
        <w:t xml:space="preserve">with funded pension schemes </w:t>
      </w:r>
      <w:r w:rsidRPr="007D64F9">
        <w:rPr>
          <w:rFonts w:ascii="Times New Roman" w:hAnsi="Times New Roman" w:cs="Times New Roman"/>
        </w:rPr>
        <w:t xml:space="preserve">and therefore not explicitly made the objective of most DC pension systems. Although many of the best run pension funds in the world do indeed manage their investments with such explicit targets and </w:t>
      </w:r>
      <w:r w:rsidRPr="00F82A02">
        <w:rPr>
          <w:rFonts w:ascii="Times New Roman" w:hAnsi="Times New Roman" w:cs="Times New Roman"/>
        </w:rPr>
        <w:t>pension risk in mind,</w:t>
      </w:r>
      <w:r w:rsidRPr="00F82A02">
        <w:rPr>
          <w:rStyle w:val="FootnoteReference"/>
          <w:rFonts w:ascii="Times New Roman" w:hAnsi="Times New Roman" w:cs="Times New Roman"/>
        </w:rPr>
        <w:footnoteReference w:id="17"/>
      </w:r>
      <w:r w:rsidRPr="007D64F9">
        <w:rPr>
          <w:rFonts w:ascii="Times New Roman" w:hAnsi="Times New Roman" w:cs="Times New Roman"/>
        </w:rPr>
        <w:t xml:space="preserve"> </w:t>
      </w:r>
      <w:r w:rsidRPr="006E3E78">
        <w:rPr>
          <w:rFonts w:ascii="Times New Roman" w:hAnsi="Times New Roman" w:cs="Times New Roman"/>
        </w:rPr>
        <w:t>it could be argued that this is a fail</w:t>
      </w:r>
      <w:r w:rsidR="00F82A02">
        <w:rPr>
          <w:rFonts w:ascii="Times New Roman" w:hAnsi="Times New Roman" w:cs="Times New Roman"/>
        </w:rPr>
        <w:t>ure</w:t>
      </w:r>
      <w:r w:rsidRPr="006E3E78">
        <w:rPr>
          <w:rFonts w:ascii="Times New Roman" w:hAnsi="Times New Roman" w:cs="Times New Roman"/>
        </w:rPr>
        <w:t xml:space="preserve"> of DC systems in general. </w:t>
      </w:r>
    </w:p>
    <w:p w:rsidR="00280621" w:rsidRDefault="002863C8" w:rsidP="00280621">
      <w:pPr>
        <w:pStyle w:val="ListParagraph"/>
        <w:numPr>
          <w:ilvl w:val="0"/>
          <w:numId w:val="1"/>
        </w:numPr>
        <w:rPr>
          <w:rFonts w:ascii="Times New Roman" w:hAnsi="Times New Roman" w:cs="Times New Roman"/>
        </w:rPr>
      </w:pPr>
      <w:r w:rsidRPr="007D64F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B304F74" wp14:editId="7764EDA1">
                <wp:simplePos x="0" y="0"/>
                <wp:positionH relativeFrom="column">
                  <wp:posOffset>-113665</wp:posOffset>
                </wp:positionH>
                <wp:positionV relativeFrom="paragraph">
                  <wp:posOffset>1140460</wp:posOffset>
                </wp:positionV>
                <wp:extent cx="5734050" cy="5495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95925"/>
                        </a:xfrm>
                        <a:prstGeom prst="rect">
                          <a:avLst/>
                        </a:prstGeom>
                        <a:solidFill>
                          <a:srgbClr val="FFFFFF"/>
                        </a:solidFill>
                        <a:ln w="9525">
                          <a:solidFill>
                            <a:srgbClr val="000000"/>
                          </a:solidFill>
                          <a:miter lim="800000"/>
                          <a:headEnd/>
                          <a:tailEnd/>
                        </a:ln>
                      </wps:spPr>
                      <wps:txbx>
                        <w:txbxContent>
                          <w:p w:rsidR="00A82D3E" w:rsidRPr="000301FB" w:rsidRDefault="00A82D3E" w:rsidP="00BF7E58">
                            <w:pPr>
                              <w:jc w:val="center"/>
                              <w:rPr>
                                <w:rFonts w:ascii="Times New Roman" w:hAnsi="Times New Roman" w:cs="Times New Roman"/>
                                <w:b/>
                              </w:rPr>
                            </w:pPr>
                            <w:r w:rsidRPr="000301FB">
                              <w:rPr>
                                <w:rFonts w:ascii="Times New Roman" w:hAnsi="Times New Roman" w:cs="Times New Roman"/>
                                <w:b/>
                              </w:rPr>
                              <w:t xml:space="preserve">Box 1: Risks </w:t>
                            </w:r>
                            <w:r>
                              <w:rPr>
                                <w:rFonts w:ascii="Times New Roman" w:hAnsi="Times New Roman" w:cs="Times New Roman"/>
                                <w:b/>
                              </w:rPr>
                              <w:t>O</w:t>
                            </w:r>
                            <w:r w:rsidRPr="000301FB">
                              <w:rPr>
                                <w:rFonts w:ascii="Times New Roman" w:hAnsi="Times New Roman" w:cs="Times New Roman"/>
                                <w:b/>
                              </w:rPr>
                              <w:t>utside Supervisors Remit</w:t>
                            </w:r>
                          </w:p>
                          <w:p w:rsidR="00A82D3E" w:rsidRPr="000301FB" w:rsidRDefault="00A82D3E" w:rsidP="00BF7E58">
                            <w:pPr>
                              <w:rPr>
                                <w:rFonts w:ascii="Times New Roman" w:hAnsi="Times New Roman" w:cs="Times New Roman"/>
                              </w:rPr>
                            </w:pPr>
                            <w:r w:rsidRPr="000301FB">
                              <w:rPr>
                                <w:rFonts w:ascii="Times New Roman" w:hAnsi="Times New Roman" w:cs="Times New Roman"/>
                              </w:rPr>
                              <w:t xml:space="preserve">In </w:t>
                            </w:r>
                            <w:r>
                              <w:rPr>
                                <w:rFonts w:ascii="Times New Roman" w:hAnsi="Times New Roman" w:cs="Times New Roman"/>
                              </w:rPr>
                              <w:t xml:space="preserve">most of the emerging markets with mandatory funded systems, the main risks faced by the funded pension schemes </w:t>
                            </w:r>
                            <w:r w:rsidRPr="000301FB">
                              <w:rPr>
                                <w:rFonts w:ascii="Times New Roman" w:hAnsi="Times New Roman" w:cs="Times New Roman"/>
                              </w:rPr>
                              <w:t xml:space="preserve">are outside the remit and control of the pension supervisory authority and therefore their RBS systems.  These risks include: </w:t>
                            </w:r>
                          </w:p>
                          <w:p w:rsidR="00A82D3E" w:rsidRPr="000301FB" w:rsidRDefault="00A82D3E" w:rsidP="00DC30DA">
                            <w:pPr>
                              <w:pStyle w:val="ListParagraph"/>
                              <w:numPr>
                                <w:ilvl w:val="1"/>
                                <w:numId w:val="1"/>
                              </w:numPr>
                              <w:rPr>
                                <w:rFonts w:ascii="Times New Roman" w:hAnsi="Times New Roman" w:cs="Times New Roman"/>
                              </w:rPr>
                            </w:pPr>
                            <w:r w:rsidRPr="000301FB">
                              <w:rPr>
                                <w:rFonts w:ascii="Times New Roman" w:hAnsi="Times New Roman" w:cs="Times New Roman"/>
                              </w:rPr>
                              <w:t>Nationalization risks, or the probability that the mandatory funded schemes will be dismantled, as has happened in Poland, Hungary, Argentina, and Bolivia;</w:t>
                            </w:r>
                          </w:p>
                          <w:p w:rsidR="00A82D3E" w:rsidRPr="000301FB" w:rsidRDefault="00A82D3E" w:rsidP="00BF7E58">
                            <w:pPr>
                              <w:pStyle w:val="ListParagraph"/>
                              <w:numPr>
                                <w:ilvl w:val="1"/>
                                <w:numId w:val="1"/>
                              </w:numPr>
                              <w:rPr>
                                <w:rFonts w:ascii="Times New Roman" w:hAnsi="Times New Roman" w:cs="Times New Roman"/>
                              </w:rPr>
                            </w:pPr>
                            <w:r w:rsidRPr="000301FB">
                              <w:rPr>
                                <w:rFonts w:ascii="Times New Roman" w:hAnsi="Times New Roman" w:cs="Times New Roman"/>
                              </w:rPr>
                              <w:t xml:space="preserve">Fiscal risks, as in El Salvador, Latvia, Lithuania, Slovakia, Russian Federation and Romania, where the contribution rate is the variable for adjusting annual fiscal revenues; </w:t>
                            </w:r>
                          </w:p>
                          <w:p w:rsidR="00A82D3E" w:rsidRPr="000301FB" w:rsidRDefault="00A82D3E" w:rsidP="00BF7E58">
                            <w:pPr>
                              <w:pStyle w:val="ListParagraph"/>
                              <w:numPr>
                                <w:ilvl w:val="1"/>
                                <w:numId w:val="1"/>
                              </w:numPr>
                              <w:rPr>
                                <w:rFonts w:ascii="Times New Roman" w:hAnsi="Times New Roman" w:cs="Times New Roman"/>
                              </w:rPr>
                            </w:pPr>
                            <w:r w:rsidRPr="000301FB">
                              <w:rPr>
                                <w:rFonts w:ascii="Times New Roman" w:hAnsi="Times New Roman" w:cs="Times New Roman"/>
                              </w:rPr>
                              <w:t xml:space="preserve">Related party risks, as in Colombia, where the shareholder of one of the PFMCs is also the main shareholder of many of the large companies listed in the stock market into which pension fund monies are invested. PFMCs in some of these companies are managed by subsidiaries of large pension funds, where local supervisors have little capacity to influence on the investment and risk management decisions of these institutions. </w:t>
                            </w:r>
                          </w:p>
                          <w:p w:rsidR="00A82D3E" w:rsidRPr="000301FB" w:rsidRDefault="00A82D3E" w:rsidP="00BF7E58">
                            <w:pPr>
                              <w:pStyle w:val="ListParagraph"/>
                              <w:numPr>
                                <w:ilvl w:val="1"/>
                                <w:numId w:val="1"/>
                              </w:numPr>
                              <w:rPr>
                                <w:rFonts w:ascii="Times New Roman" w:hAnsi="Times New Roman" w:cs="Times New Roman"/>
                              </w:rPr>
                            </w:pPr>
                            <w:r w:rsidRPr="000301FB">
                              <w:rPr>
                                <w:rFonts w:ascii="Times New Roman" w:hAnsi="Times New Roman" w:cs="Times New Roman"/>
                              </w:rPr>
                              <w:t xml:space="preserve">Transition risks, with the exception of Chile, where the introduction of the basic pension in 2008 helped to smooth the transition, contributors to the funded pension systems at retirement age may find their pensions substantially lower than those of individuals that did not contribute to the system, as in Mexico and Colombia. </w:t>
                            </w:r>
                          </w:p>
                          <w:p w:rsidR="00A82D3E" w:rsidRPr="00B51132" w:rsidRDefault="00A82D3E" w:rsidP="00BF7E58">
                            <w:pPr>
                              <w:rPr>
                                <w:rFonts w:ascii="Times New Roman" w:hAnsi="Times New Roman" w:cs="Times New Roman"/>
                              </w:rPr>
                            </w:pPr>
                            <w:r w:rsidRPr="00B51132">
                              <w:rPr>
                                <w:rFonts w:ascii="Times New Roman" w:hAnsi="Times New Roman" w:cs="Times New Roman"/>
                              </w:rPr>
                              <w:t>In order for pension reforms to be successful and for pension systems to run effectively, policy makers need to first focus on these macro-political issues. Without a supportive backdrop, no amount of or approach to supervision can save a pension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89.8pt;width:451.5pt;height:4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AuIwIAAEcEAAAOAAAAZHJzL2Uyb0RvYy54bWysU9tu2zAMfR+wfxD0vthJ46Ux4hRdugwD&#10;ugvQ7gMUWY6FSaImKbGzry8lu1l2wR6G6UEgReqQPCRXN71W5Cicl2AqOp3klAjDoZZmX9Evj9tX&#10;15T4wEzNFBhR0ZPw9Gb98sWqs6WYQQuqFo4giPFlZyvahmDLLPO8FZr5CVhh0NiA0yyg6vZZ7ViH&#10;6Fplszx/nXXgauuAC+/x9W4w0nXCbxrBw6em8SIQVVHMLaTbpXsX72y9YuXeMdtKPqbB/iELzaTB&#10;oGeoOxYYOTj5G5SW3IGHJkw46AyaRnKRasBqpvkv1Ty0zIpUC5Lj7Zkm//9g+cfjZ0dkXdGrfEGJ&#10;YRqb9Cj6QN5AT2aRn876Et0eLDqGHp+xz6lWb++Bf/XEwKZlZi9unYOuFazG/KbxZ3bxdcDxEWTX&#10;fYAaw7BDgATUN05H8pAOgujYp9O5NzEVjo/F4mqeF2jiaCvmy2I5K1IMVj5/t86HdwI0iUJFHTY/&#10;wbPjvQ8xHVY+u8RoHpSst1KppLj9bqMcOTIclG06I/pPbsqQrqLLAmP/HSJP508QWgaceCV1Ra/P&#10;TqyMvL01dZrHwKQaZExZmZHIyN3AYuh3/diYHdQnpNTBMNm4iSi04L5T0uFUV9R/OzAnKFHvDbZl&#10;OZ3P4xokZV4sZqi4S8vu0sIMR6iKBkoGcRPS6sTSDdxi+xqZiI19HjIZc8VpTXyPmxXX4VJPXj/2&#10;f/0EAAD//wMAUEsDBBQABgAIAAAAIQAdu4cW4QAAAAwBAAAPAAAAZHJzL2Rvd25yZXYueG1sTI/N&#10;TsMwEITvSLyDtUhcUOsESv6IUyEkENygVOXqxm4SYa+D7abh7VlOcNvdGc1+U69na9ikfRgcCkiX&#10;CTCNrVMDdgK274+LAliIEpU0DrWAbx1g3Zyf1bJS7oRvetrEjlEIhkoK6GMcK85D22srw9KNGkk7&#10;OG9lpNV3XHl5onBr+HWSZNzKAelDL0f90Ov2c3O0AorV8/QRXm5ed212MGW8yqenLy/E5cV8fwcs&#10;6jn+meEXn9ChIaa9O6IKzAhYpHlJVhLyMgNGjqK4TYHt6ZKsaOJNzf+XaH4AAAD//wMAUEsBAi0A&#10;FAAGAAgAAAAhALaDOJL+AAAA4QEAABMAAAAAAAAAAAAAAAAAAAAAAFtDb250ZW50X1R5cGVzXS54&#10;bWxQSwECLQAUAAYACAAAACEAOP0h/9YAAACUAQAACwAAAAAAAAAAAAAAAAAvAQAAX3JlbHMvLnJl&#10;bHNQSwECLQAUAAYACAAAACEANhMwLiMCAABHBAAADgAAAAAAAAAAAAAAAAAuAgAAZHJzL2Uyb0Rv&#10;Yy54bWxQSwECLQAUAAYACAAAACEAHbuHFuEAAAAMAQAADwAAAAAAAAAAAAAAAAB9BAAAZHJzL2Rv&#10;d25yZXYueG1sUEsFBgAAAAAEAAQA8wAAAIsFAAAAAA==&#10;">
                <v:textbox>
                  <w:txbxContent>
                    <w:p w:rsidR="00A82D3E" w:rsidRPr="000301FB" w:rsidRDefault="00A82D3E" w:rsidP="00BF7E58">
                      <w:pPr>
                        <w:jc w:val="center"/>
                        <w:rPr>
                          <w:rFonts w:ascii="Times New Roman" w:hAnsi="Times New Roman" w:cs="Times New Roman"/>
                          <w:b/>
                        </w:rPr>
                      </w:pPr>
                      <w:r w:rsidRPr="000301FB">
                        <w:rPr>
                          <w:rFonts w:ascii="Times New Roman" w:hAnsi="Times New Roman" w:cs="Times New Roman"/>
                          <w:b/>
                        </w:rPr>
                        <w:t xml:space="preserve">Box 1: Risks </w:t>
                      </w:r>
                      <w:r>
                        <w:rPr>
                          <w:rFonts w:ascii="Times New Roman" w:hAnsi="Times New Roman" w:cs="Times New Roman"/>
                          <w:b/>
                        </w:rPr>
                        <w:t>O</w:t>
                      </w:r>
                      <w:r w:rsidRPr="000301FB">
                        <w:rPr>
                          <w:rFonts w:ascii="Times New Roman" w:hAnsi="Times New Roman" w:cs="Times New Roman"/>
                          <w:b/>
                        </w:rPr>
                        <w:t>utside Supervisors Remit</w:t>
                      </w:r>
                    </w:p>
                    <w:p w:rsidR="00A82D3E" w:rsidRPr="000301FB" w:rsidRDefault="00A82D3E" w:rsidP="00BF7E58">
                      <w:pPr>
                        <w:rPr>
                          <w:rFonts w:ascii="Times New Roman" w:hAnsi="Times New Roman" w:cs="Times New Roman"/>
                        </w:rPr>
                      </w:pPr>
                      <w:r w:rsidRPr="000301FB">
                        <w:rPr>
                          <w:rFonts w:ascii="Times New Roman" w:hAnsi="Times New Roman" w:cs="Times New Roman"/>
                        </w:rPr>
                        <w:t xml:space="preserve">In </w:t>
                      </w:r>
                      <w:r>
                        <w:rPr>
                          <w:rFonts w:ascii="Times New Roman" w:hAnsi="Times New Roman" w:cs="Times New Roman"/>
                        </w:rPr>
                        <w:t xml:space="preserve">most of the emerging markets with mandatory funded systems, the main risks faced by the funded pension schemes </w:t>
                      </w:r>
                      <w:r w:rsidRPr="000301FB">
                        <w:rPr>
                          <w:rFonts w:ascii="Times New Roman" w:hAnsi="Times New Roman" w:cs="Times New Roman"/>
                        </w:rPr>
                        <w:t xml:space="preserve">are outside the remit and control of the pension supervisory authority and therefore their RBS systems.  These risks include: </w:t>
                      </w:r>
                    </w:p>
                    <w:p w:rsidR="00A82D3E" w:rsidRPr="000301FB" w:rsidRDefault="00A82D3E" w:rsidP="00DC30DA">
                      <w:pPr>
                        <w:pStyle w:val="ListParagraph"/>
                        <w:numPr>
                          <w:ilvl w:val="1"/>
                          <w:numId w:val="1"/>
                        </w:numPr>
                        <w:rPr>
                          <w:rFonts w:ascii="Times New Roman" w:hAnsi="Times New Roman" w:cs="Times New Roman"/>
                        </w:rPr>
                      </w:pPr>
                      <w:r w:rsidRPr="000301FB">
                        <w:rPr>
                          <w:rFonts w:ascii="Times New Roman" w:hAnsi="Times New Roman" w:cs="Times New Roman"/>
                        </w:rPr>
                        <w:t>Nationalization risks, or the probability that the mandatory funded schemes will be dismantled, as has happened in Poland, Hungary, Argentina, and Bolivia;</w:t>
                      </w:r>
                    </w:p>
                    <w:p w:rsidR="00A82D3E" w:rsidRPr="000301FB" w:rsidRDefault="00A82D3E" w:rsidP="00BF7E58">
                      <w:pPr>
                        <w:pStyle w:val="ListParagraph"/>
                        <w:numPr>
                          <w:ilvl w:val="1"/>
                          <w:numId w:val="1"/>
                        </w:numPr>
                        <w:rPr>
                          <w:rFonts w:ascii="Times New Roman" w:hAnsi="Times New Roman" w:cs="Times New Roman"/>
                        </w:rPr>
                      </w:pPr>
                      <w:r w:rsidRPr="000301FB">
                        <w:rPr>
                          <w:rFonts w:ascii="Times New Roman" w:hAnsi="Times New Roman" w:cs="Times New Roman"/>
                        </w:rPr>
                        <w:t xml:space="preserve">Fiscal risks, as in El Salvador, Latvia, Lithuania, Slovakia, Russian Federation and Romania, where the contribution rate is the variable for adjusting annual fiscal revenues; </w:t>
                      </w:r>
                    </w:p>
                    <w:p w:rsidR="00A82D3E" w:rsidRPr="000301FB" w:rsidRDefault="00A82D3E" w:rsidP="00BF7E58">
                      <w:pPr>
                        <w:pStyle w:val="ListParagraph"/>
                        <w:numPr>
                          <w:ilvl w:val="1"/>
                          <w:numId w:val="1"/>
                        </w:numPr>
                        <w:rPr>
                          <w:rFonts w:ascii="Times New Roman" w:hAnsi="Times New Roman" w:cs="Times New Roman"/>
                        </w:rPr>
                      </w:pPr>
                      <w:r w:rsidRPr="000301FB">
                        <w:rPr>
                          <w:rFonts w:ascii="Times New Roman" w:hAnsi="Times New Roman" w:cs="Times New Roman"/>
                        </w:rPr>
                        <w:t xml:space="preserve">Related party risks, as in Colombia, where the shareholder of one of the PFMCs is also the main shareholder of many of the large companies listed in the stock market into which pension fund monies are invested. PFMCs in some of these companies are managed by subsidiaries of large pension funds, where local supervisors have little capacity to influence on the investment and risk management decisions of these institutions. </w:t>
                      </w:r>
                    </w:p>
                    <w:p w:rsidR="00A82D3E" w:rsidRPr="000301FB" w:rsidRDefault="00A82D3E" w:rsidP="00BF7E58">
                      <w:pPr>
                        <w:pStyle w:val="ListParagraph"/>
                        <w:numPr>
                          <w:ilvl w:val="1"/>
                          <w:numId w:val="1"/>
                        </w:numPr>
                        <w:rPr>
                          <w:rFonts w:ascii="Times New Roman" w:hAnsi="Times New Roman" w:cs="Times New Roman"/>
                        </w:rPr>
                      </w:pPr>
                      <w:r w:rsidRPr="000301FB">
                        <w:rPr>
                          <w:rFonts w:ascii="Times New Roman" w:hAnsi="Times New Roman" w:cs="Times New Roman"/>
                        </w:rPr>
                        <w:t xml:space="preserve">Transition risks, with the exception of Chile, where the introduction of the basic pension in 2008 helped to smooth the transition, contributors to the funded pension systems at retirement age may find their pensions substantially lower than those of individuals that did not contribute to the system, as in Mexico and Colombia. </w:t>
                      </w:r>
                    </w:p>
                    <w:p w:rsidR="00A82D3E" w:rsidRPr="00B51132" w:rsidRDefault="00A82D3E" w:rsidP="00BF7E58">
                      <w:pPr>
                        <w:rPr>
                          <w:rFonts w:ascii="Times New Roman" w:hAnsi="Times New Roman" w:cs="Times New Roman"/>
                        </w:rPr>
                      </w:pPr>
                      <w:r w:rsidRPr="00B51132">
                        <w:rPr>
                          <w:rFonts w:ascii="Times New Roman" w:hAnsi="Times New Roman" w:cs="Times New Roman"/>
                        </w:rPr>
                        <w:t>In order for pension reforms to be successful and for pension systems to run effectively, policy makers need to first focus on these macro-political issues. Without a supportive backdrop, no amount of or approach to supervision can save a pension system.</w:t>
                      </w:r>
                    </w:p>
                  </w:txbxContent>
                </v:textbox>
              </v:shape>
            </w:pict>
          </mc:Fallback>
        </mc:AlternateContent>
      </w:r>
      <w:r w:rsidR="00280621" w:rsidRPr="006E3E78">
        <w:rPr>
          <w:rFonts w:ascii="Times New Roman" w:hAnsi="Times New Roman" w:cs="Times New Roman"/>
        </w:rPr>
        <w:t>In turn, RBS for DC pension systems fails to take ‘pension risk’ into account</w:t>
      </w:r>
      <w:r w:rsidR="00D80B41" w:rsidRPr="006E3E78">
        <w:rPr>
          <w:rFonts w:ascii="Times New Roman" w:hAnsi="Times New Roman" w:cs="Times New Roman"/>
        </w:rPr>
        <w:t>, explicitly</w:t>
      </w:r>
      <w:r w:rsidR="00280621" w:rsidRPr="006E3E78">
        <w:rPr>
          <w:rFonts w:ascii="Times New Roman" w:hAnsi="Times New Roman" w:cs="Times New Roman"/>
        </w:rPr>
        <w:t xml:space="preserve">. </w:t>
      </w:r>
      <w:r w:rsidR="00414272" w:rsidRPr="006E3E78">
        <w:rPr>
          <w:rFonts w:ascii="Times New Roman" w:hAnsi="Times New Roman" w:cs="Times New Roman"/>
        </w:rPr>
        <w:t>Many countries have introduced features of RBS into their pension system supervision. For example, countries that have included features of RBS in the sample considered in this paper include Chile, Colombia, Mexico, Peru, Lithuania, Poland, and Hungary. However, none of them has created explicit targets in terms of expected values of retirement income</w:t>
      </w:r>
      <w:r w:rsidR="00280621" w:rsidRPr="006E3E78">
        <w:rPr>
          <w:rFonts w:ascii="Times New Roman" w:hAnsi="Times New Roman" w:cs="Times New Roman"/>
        </w:rPr>
        <w:t xml:space="preserve">. </w:t>
      </w: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EC2BD1" w:rsidRDefault="00EC2BD1" w:rsidP="00EC2BD1">
      <w:pPr>
        <w:rPr>
          <w:rFonts w:ascii="Times New Roman" w:hAnsi="Times New Roman" w:cs="Times New Roman"/>
        </w:rPr>
      </w:pPr>
    </w:p>
    <w:p w:rsidR="00280621" w:rsidRPr="007D64F9" w:rsidRDefault="00176599" w:rsidP="00280621">
      <w:pPr>
        <w:pStyle w:val="ListParagraph"/>
        <w:numPr>
          <w:ilvl w:val="0"/>
          <w:numId w:val="1"/>
        </w:numPr>
        <w:rPr>
          <w:rFonts w:ascii="Times New Roman" w:hAnsi="Times New Roman" w:cs="Times New Roman"/>
        </w:rPr>
      </w:pPr>
      <w:r w:rsidRPr="005E4D8B">
        <w:rPr>
          <w:rFonts w:ascii="Times New Roman" w:hAnsi="Times New Roman" w:cs="Times New Roman"/>
        </w:rPr>
        <w:t>The failure to quantify the objective from the perspective of both the contributors and the DC schemes can actually contribute to rather than mitigate pension risk in DC systems</w:t>
      </w:r>
      <w:r w:rsidR="00E1656C" w:rsidRPr="007D64F9">
        <w:rPr>
          <w:rFonts w:ascii="Times New Roman" w:hAnsi="Times New Roman" w:cs="Times New Roman"/>
        </w:rPr>
        <w:t xml:space="preserve">. </w:t>
      </w:r>
      <w:r w:rsidRPr="007D64F9">
        <w:rPr>
          <w:rFonts w:ascii="Times New Roman" w:hAnsi="Times New Roman" w:cs="Times New Roman"/>
        </w:rPr>
        <w:t>As DC pensions do not make explicit promises, supervisors generally focus on processes rather than outcomes – as the IOPS points out.</w:t>
      </w:r>
      <w:r w:rsidR="00280621" w:rsidRPr="007D64F9">
        <w:rPr>
          <w:rFonts w:ascii="Times New Roman" w:hAnsi="Times New Roman" w:cs="Times New Roman"/>
          <w:color w:val="FF0000"/>
        </w:rPr>
        <w:t xml:space="preserve"> </w:t>
      </w:r>
      <w:r w:rsidR="00E1656C" w:rsidRPr="007D64F9">
        <w:rPr>
          <w:rFonts w:ascii="Times New Roman" w:hAnsi="Times New Roman" w:cs="Times New Roman"/>
        </w:rPr>
        <w:t>The lack of an explicit objective is an important shortcoming of the supervisory framework, as the bulk of the RBS efforts focuses on processes rather than outcomes. This can actually introduce mis</w:t>
      </w:r>
      <w:r w:rsidR="00C11B41">
        <w:rPr>
          <w:rFonts w:ascii="Times New Roman" w:hAnsi="Times New Roman" w:cs="Times New Roman"/>
        </w:rPr>
        <w:t xml:space="preserve">aligned </w:t>
      </w:r>
      <w:r w:rsidR="00E1656C" w:rsidRPr="007D64F9">
        <w:rPr>
          <w:rFonts w:ascii="Times New Roman" w:hAnsi="Times New Roman" w:cs="Times New Roman"/>
        </w:rPr>
        <w:t xml:space="preserve">incentives into the system.  </w:t>
      </w:r>
    </w:p>
    <w:p w:rsidR="00176599" w:rsidRPr="007D64F9" w:rsidRDefault="00176599" w:rsidP="00280621">
      <w:pPr>
        <w:pStyle w:val="ListParagraph"/>
        <w:numPr>
          <w:ilvl w:val="0"/>
          <w:numId w:val="1"/>
        </w:numPr>
        <w:rPr>
          <w:rFonts w:ascii="Times New Roman" w:hAnsi="Times New Roman" w:cs="Times New Roman"/>
        </w:rPr>
      </w:pPr>
      <w:r w:rsidRPr="007D64F9">
        <w:rPr>
          <w:rFonts w:ascii="Times New Roman" w:hAnsi="Times New Roman" w:cs="Times New Roman"/>
        </w:rPr>
        <w:t>Minimizing pension risk in a DC scheme, that is minimizing the risk of having inadequate retirement income, is a function of three main factors:</w:t>
      </w:r>
    </w:p>
    <w:p w:rsidR="00176599" w:rsidRPr="007D64F9" w:rsidRDefault="00176599" w:rsidP="003B0666">
      <w:pPr>
        <w:pStyle w:val="ListParagraph"/>
        <w:numPr>
          <w:ilvl w:val="0"/>
          <w:numId w:val="2"/>
        </w:numPr>
        <w:rPr>
          <w:rFonts w:ascii="Times New Roman" w:hAnsi="Times New Roman" w:cs="Times New Roman"/>
        </w:rPr>
      </w:pPr>
      <w:r w:rsidRPr="007D64F9">
        <w:rPr>
          <w:rFonts w:ascii="Times New Roman" w:hAnsi="Times New Roman" w:cs="Times New Roman"/>
        </w:rPr>
        <w:t xml:space="preserve">the level of contributions throughout the accumulation phase; </w:t>
      </w:r>
    </w:p>
    <w:p w:rsidR="00F83D6D" w:rsidRPr="007D64F9" w:rsidRDefault="00176599" w:rsidP="003B0666">
      <w:pPr>
        <w:pStyle w:val="ListParagraph"/>
        <w:numPr>
          <w:ilvl w:val="0"/>
          <w:numId w:val="2"/>
        </w:numPr>
        <w:rPr>
          <w:rFonts w:ascii="Times New Roman" w:hAnsi="Times New Roman" w:cs="Times New Roman"/>
        </w:rPr>
      </w:pPr>
      <w:r w:rsidRPr="007D64F9">
        <w:rPr>
          <w:rFonts w:ascii="Times New Roman" w:hAnsi="Times New Roman" w:cs="Times New Roman"/>
        </w:rPr>
        <w:t>the security of the funds contributed; an</w:t>
      </w:r>
      <w:r w:rsidR="00F83D6D" w:rsidRPr="007D64F9">
        <w:rPr>
          <w:rFonts w:ascii="Times New Roman" w:hAnsi="Times New Roman" w:cs="Times New Roman"/>
        </w:rPr>
        <w:t>d</w:t>
      </w:r>
    </w:p>
    <w:p w:rsidR="00176599" w:rsidRPr="006E3E78" w:rsidRDefault="00176599" w:rsidP="0026287F">
      <w:pPr>
        <w:pStyle w:val="ListParagraph"/>
        <w:numPr>
          <w:ilvl w:val="0"/>
          <w:numId w:val="2"/>
        </w:numPr>
        <w:ind w:left="720" w:firstLine="360"/>
        <w:rPr>
          <w:rFonts w:ascii="Times New Roman" w:hAnsi="Times New Roman" w:cs="Times New Roman"/>
        </w:rPr>
      </w:pPr>
      <w:proofErr w:type="gramStart"/>
      <w:r w:rsidRPr="007D64F9">
        <w:rPr>
          <w:rFonts w:ascii="Times New Roman" w:hAnsi="Times New Roman" w:cs="Times New Roman"/>
        </w:rPr>
        <w:t>the</w:t>
      </w:r>
      <w:proofErr w:type="gramEnd"/>
      <w:r w:rsidRPr="007D64F9">
        <w:rPr>
          <w:rFonts w:ascii="Times New Roman" w:hAnsi="Times New Roman" w:cs="Times New Roman"/>
        </w:rPr>
        <w:t xml:space="preserve"> earnings on those contributions net of fees</w:t>
      </w:r>
      <w:r w:rsidR="00F83D6D" w:rsidRPr="007D64F9">
        <w:rPr>
          <w:rFonts w:ascii="Times New Roman" w:hAnsi="Times New Roman" w:cs="Times New Roman"/>
        </w:rPr>
        <w:t>.</w:t>
      </w:r>
      <w:r w:rsidR="00A82D3E">
        <w:rPr>
          <w:rFonts w:ascii="Times New Roman" w:hAnsi="Times New Roman" w:cs="Times New Roman"/>
        </w:rPr>
        <w:br/>
        <w:t xml:space="preserve">The level of contributions is a matter of public policy as are the earnings on contributions where there are very restrictive investment limits.  Under these circumstances, the remit of the supervisor is limited to the security of the funds. </w:t>
      </w:r>
    </w:p>
    <w:p w:rsidR="00344D61" w:rsidRPr="007D64F9" w:rsidRDefault="00DC30DA" w:rsidP="00344D61">
      <w:pPr>
        <w:pStyle w:val="ListParagraph"/>
        <w:numPr>
          <w:ilvl w:val="0"/>
          <w:numId w:val="1"/>
        </w:numPr>
        <w:rPr>
          <w:rFonts w:ascii="Times New Roman" w:hAnsi="Times New Roman" w:cs="Times New Roman"/>
        </w:rPr>
      </w:pPr>
      <w:r w:rsidRPr="007D64F9">
        <w:rPr>
          <w:rFonts w:ascii="Times New Roman" w:hAnsi="Times New Roman" w:cs="Times New Roman"/>
        </w:rPr>
        <w:t xml:space="preserve">Given </w:t>
      </w:r>
      <w:r w:rsidR="00176599" w:rsidRPr="007D64F9">
        <w:rPr>
          <w:rFonts w:ascii="Times New Roman" w:hAnsi="Times New Roman" w:cs="Times New Roman"/>
        </w:rPr>
        <w:t xml:space="preserve">that contribution risk is outside </w:t>
      </w:r>
      <w:r w:rsidR="00481BB3">
        <w:rPr>
          <w:rFonts w:ascii="Times New Roman" w:hAnsi="Times New Roman" w:cs="Times New Roman"/>
        </w:rPr>
        <w:t xml:space="preserve">the </w:t>
      </w:r>
      <w:r w:rsidR="00176599" w:rsidRPr="007D64F9">
        <w:rPr>
          <w:rFonts w:ascii="Times New Roman" w:hAnsi="Times New Roman" w:cs="Times New Roman"/>
        </w:rPr>
        <w:t>supervisors</w:t>
      </w:r>
      <w:r w:rsidRPr="007D64F9">
        <w:rPr>
          <w:rFonts w:ascii="Times New Roman" w:hAnsi="Times New Roman" w:cs="Times New Roman"/>
        </w:rPr>
        <w:t>’</w:t>
      </w:r>
      <w:r w:rsidR="00176599" w:rsidRPr="007D64F9">
        <w:rPr>
          <w:rFonts w:ascii="Times New Roman" w:hAnsi="Times New Roman" w:cs="Times New Roman"/>
        </w:rPr>
        <w:t xml:space="preserve"> control</w:t>
      </w:r>
      <w:r w:rsidR="00E427BE" w:rsidRPr="00E427BE">
        <w:rPr>
          <w:rFonts w:ascii="Times New Roman" w:hAnsi="Times New Roman" w:cs="Times New Roman"/>
        </w:rPr>
        <w:t xml:space="preserve"> </w:t>
      </w:r>
      <w:r w:rsidR="00E427BE">
        <w:rPr>
          <w:rFonts w:ascii="Times New Roman" w:hAnsi="Times New Roman" w:cs="Times New Roman"/>
        </w:rPr>
        <w:t>and that in many cases investments are subject to tight controls</w:t>
      </w:r>
      <w:r w:rsidR="00176599" w:rsidRPr="007D64F9">
        <w:rPr>
          <w:rFonts w:ascii="Times New Roman" w:hAnsi="Times New Roman" w:cs="Times New Roman"/>
        </w:rPr>
        <w:t>, the focus of DC supervisors on processes rather than outcomes has arguabl</w:t>
      </w:r>
      <w:r w:rsidR="002101EE" w:rsidRPr="007D64F9">
        <w:rPr>
          <w:rFonts w:ascii="Times New Roman" w:hAnsi="Times New Roman" w:cs="Times New Roman"/>
        </w:rPr>
        <w:t>y</w:t>
      </w:r>
      <w:r w:rsidR="00176599" w:rsidRPr="007D64F9">
        <w:rPr>
          <w:rFonts w:ascii="Times New Roman" w:hAnsi="Times New Roman" w:cs="Times New Roman"/>
        </w:rPr>
        <w:t xml:space="preserve"> led pension supervisors to focus more on operational risks than on investment risk</w:t>
      </w:r>
      <w:r w:rsidRPr="007D64F9">
        <w:rPr>
          <w:rFonts w:ascii="Times New Roman" w:hAnsi="Times New Roman" w:cs="Times New Roman"/>
        </w:rPr>
        <w:t xml:space="preserve"> - </w:t>
      </w:r>
      <w:r w:rsidR="000F4EDF" w:rsidRPr="007D64F9">
        <w:rPr>
          <w:rFonts w:ascii="Times New Roman" w:hAnsi="Times New Roman" w:cs="Times New Roman"/>
        </w:rPr>
        <w:t>i.e. the security of those funds r</w:t>
      </w:r>
      <w:r w:rsidRPr="007D64F9">
        <w:rPr>
          <w:rFonts w:ascii="Times New Roman" w:hAnsi="Times New Roman" w:cs="Times New Roman"/>
        </w:rPr>
        <w:t>ather than the earnings on them</w:t>
      </w:r>
      <w:r w:rsidR="00984B1D" w:rsidRPr="007D64F9">
        <w:rPr>
          <w:rFonts w:ascii="Times New Roman" w:hAnsi="Times New Roman" w:cs="Times New Roman"/>
        </w:rPr>
        <w:t>.</w:t>
      </w:r>
      <w:r w:rsidR="00984B1D" w:rsidRPr="007D64F9">
        <w:rPr>
          <w:rStyle w:val="FootnoteReference"/>
          <w:rFonts w:ascii="Times New Roman" w:hAnsi="Times New Roman" w:cs="Times New Roman"/>
        </w:rPr>
        <w:footnoteReference w:id="18"/>
      </w:r>
      <w:r w:rsidR="00C11B41">
        <w:rPr>
          <w:rFonts w:ascii="Times New Roman" w:hAnsi="Times New Roman" w:cs="Times New Roman"/>
        </w:rPr>
        <w:t xml:space="preserve"> </w:t>
      </w:r>
      <w:r w:rsidR="00176599" w:rsidRPr="007D64F9">
        <w:rPr>
          <w:rFonts w:ascii="Times New Roman" w:hAnsi="Times New Roman" w:cs="Times New Roman"/>
        </w:rPr>
        <w:t xml:space="preserve"> </w:t>
      </w:r>
    </w:p>
    <w:p w:rsidR="00344D61" w:rsidRPr="006E3E78" w:rsidRDefault="00176599" w:rsidP="00344D61">
      <w:pPr>
        <w:pStyle w:val="ListParagraph"/>
        <w:numPr>
          <w:ilvl w:val="0"/>
          <w:numId w:val="1"/>
        </w:numPr>
        <w:rPr>
          <w:rFonts w:ascii="Times New Roman" w:hAnsi="Times New Roman" w:cs="Times New Roman"/>
        </w:rPr>
      </w:pPr>
      <w:r w:rsidRPr="006E3E78">
        <w:rPr>
          <w:rFonts w:ascii="Times New Roman" w:hAnsi="Times New Roman" w:cs="Times New Roman"/>
        </w:rPr>
        <w:t xml:space="preserve">The focus on process with respect to investment management places undue emphasis on operational risk to the detriment of emphasizing pension risk, which is the main concern of contributors.  </w:t>
      </w:r>
    </w:p>
    <w:p w:rsidR="00344D61" w:rsidRPr="006E3E78" w:rsidRDefault="00E1656C" w:rsidP="00344D61">
      <w:pPr>
        <w:pStyle w:val="ListParagraph"/>
        <w:numPr>
          <w:ilvl w:val="0"/>
          <w:numId w:val="1"/>
        </w:numPr>
        <w:rPr>
          <w:rFonts w:ascii="Times New Roman" w:hAnsi="Times New Roman" w:cs="Times New Roman"/>
        </w:rPr>
      </w:pPr>
      <w:r w:rsidRPr="006E3E78" w:rsidDel="00414272">
        <w:rPr>
          <w:rFonts w:ascii="Times New Roman" w:hAnsi="Times New Roman" w:cs="Times New Roman"/>
        </w:rPr>
        <w:t>The Investment Governance Guidelines recently issued by the Australian Prudential Regulatory Authority (APRA)</w:t>
      </w:r>
      <w:r w:rsidRPr="007D64F9" w:rsidDel="00414272">
        <w:rPr>
          <w:rFonts w:ascii="Times New Roman" w:hAnsi="Times New Roman" w:cs="Times New Roman"/>
        </w:rPr>
        <w:t xml:space="preserve"> highlight the emphasis that is being placed on process with respect</w:t>
      </w:r>
      <w:r w:rsidRPr="006E3E78" w:rsidDel="00414272">
        <w:rPr>
          <w:rFonts w:ascii="Times New Roman" w:hAnsi="Times New Roman" w:cs="Times New Roman"/>
        </w:rPr>
        <w:t xml:space="preserve"> to investment management in DC schemes. The focus of the Guidelines is on the investment process, with return and risk objectives mentioned, but the Guidelines do not include a discussion of outcome objectives.</w:t>
      </w:r>
    </w:p>
    <w:p w:rsidR="00344D61" w:rsidRPr="005E4D8B" w:rsidRDefault="00984B1D" w:rsidP="00344D61">
      <w:pPr>
        <w:pStyle w:val="ListParagraph"/>
        <w:numPr>
          <w:ilvl w:val="0"/>
          <w:numId w:val="1"/>
        </w:numPr>
        <w:rPr>
          <w:rFonts w:ascii="Times New Roman" w:hAnsi="Times New Roman" w:cs="Times New Roman"/>
        </w:rPr>
      </w:pPr>
      <w:r w:rsidRPr="006E3E78">
        <w:rPr>
          <w:rFonts w:ascii="Times New Roman" w:hAnsi="Times New Roman" w:cs="Times New Roman"/>
        </w:rPr>
        <w:t>This focus on processes rather than outcomes can mean that regulators and supervisors actually introduce misaligned incentives into the management of pension funds and can actually increase rather than mitigate the key pension risk which is what should be the main focus and objective.</w:t>
      </w:r>
    </w:p>
    <w:p w:rsidR="00344D61" w:rsidRPr="007D64F9" w:rsidRDefault="00984B1D" w:rsidP="00344D61">
      <w:pPr>
        <w:pStyle w:val="ListParagraph"/>
        <w:numPr>
          <w:ilvl w:val="0"/>
          <w:numId w:val="1"/>
        </w:numPr>
        <w:rPr>
          <w:rFonts w:ascii="Times New Roman" w:hAnsi="Times New Roman" w:cs="Times New Roman"/>
        </w:rPr>
      </w:pPr>
      <w:r w:rsidRPr="005E4D8B">
        <w:rPr>
          <w:rFonts w:ascii="Times New Roman" w:hAnsi="Times New Roman" w:cs="Times New Roman"/>
        </w:rPr>
        <w:lastRenderedPageBreak/>
        <w:t>This is most clearly seen in the way investment risk is managed</w:t>
      </w:r>
      <w:r w:rsidR="003C46A9" w:rsidRPr="00EB1C3C">
        <w:rPr>
          <w:rFonts w:ascii="Times New Roman" w:hAnsi="Times New Roman" w:cs="Times New Roman"/>
        </w:rPr>
        <w:t xml:space="preserve">, where the focus has been on generating </w:t>
      </w:r>
      <w:r w:rsidR="00EC5C81">
        <w:rPr>
          <w:rFonts w:ascii="Times New Roman" w:hAnsi="Times New Roman" w:cs="Times New Roman"/>
        </w:rPr>
        <w:t xml:space="preserve">short-term </w:t>
      </w:r>
      <w:r w:rsidR="003C46A9" w:rsidRPr="00EB1C3C">
        <w:rPr>
          <w:rFonts w:ascii="Times New Roman" w:hAnsi="Times New Roman" w:cs="Times New Roman"/>
        </w:rPr>
        <w:t xml:space="preserve">returns rather than </w:t>
      </w:r>
      <w:r w:rsidR="00EC5C81">
        <w:rPr>
          <w:rFonts w:ascii="Times New Roman" w:hAnsi="Times New Roman" w:cs="Times New Roman"/>
        </w:rPr>
        <w:t xml:space="preserve">long-term </w:t>
      </w:r>
      <w:r w:rsidR="003C46A9" w:rsidRPr="00EB1C3C">
        <w:rPr>
          <w:rFonts w:ascii="Times New Roman" w:hAnsi="Times New Roman" w:cs="Times New Roman"/>
        </w:rPr>
        <w:t>pension incomes.</w:t>
      </w:r>
      <w:r w:rsidRPr="007D64F9">
        <w:rPr>
          <w:rFonts w:ascii="Times New Roman" w:hAnsi="Times New Roman" w:cs="Times New Roman"/>
        </w:rPr>
        <w:t xml:space="preserve"> </w:t>
      </w:r>
    </w:p>
    <w:p w:rsidR="00344D61" w:rsidRPr="00085822" w:rsidRDefault="00344D61" w:rsidP="00344D61">
      <w:pPr>
        <w:pStyle w:val="Heading3"/>
        <w:rPr>
          <w:rFonts w:ascii="Times New Roman" w:hAnsi="Times New Roman" w:cs="Times New Roman"/>
          <w:i/>
          <w:color w:val="000000" w:themeColor="text1"/>
        </w:rPr>
      </w:pPr>
      <w:r w:rsidRPr="00085822">
        <w:rPr>
          <w:rFonts w:ascii="Times New Roman" w:hAnsi="Times New Roman" w:cs="Times New Roman"/>
          <w:i/>
          <w:color w:val="000000" w:themeColor="text1"/>
        </w:rPr>
        <w:t xml:space="preserve">Asset Class Restrictions </w:t>
      </w:r>
    </w:p>
    <w:p w:rsidR="00344D61" w:rsidRPr="006E3E78" w:rsidRDefault="00812230" w:rsidP="00344D61">
      <w:pPr>
        <w:pStyle w:val="ListParagraph"/>
        <w:numPr>
          <w:ilvl w:val="0"/>
          <w:numId w:val="1"/>
        </w:numPr>
        <w:rPr>
          <w:rFonts w:ascii="Times New Roman" w:hAnsi="Times New Roman" w:cs="Times New Roman"/>
        </w:rPr>
      </w:pPr>
      <w:r w:rsidRPr="007D64F9">
        <w:rPr>
          <w:rFonts w:ascii="Times New Roman" w:hAnsi="Times New Roman" w:cs="Times New Roman"/>
          <w:kern w:val="24"/>
        </w:rPr>
        <w:t>Pension investment regulation in most countries currently serves to reinforce this focus on the short</w:t>
      </w:r>
      <w:r w:rsidRPr="006E3E78">
        <w:rPr>
          <w:rFonts w:ascii="Times New Roman" w:hAnsi="Times New Roman" w:cs="Times New Roman"/>
          <w:kern w:val="24"/>
        </w:rPr>
        <w:t>-term generation of investment returns rather than the long-term generation of a pension income. Investment risk is generally controlled via limits on the amount of a portfolio which can be invested in certain (risky) assets.</w:t>
      </w:r>
      <w:r w:rsidRPr="007D64F9">
        <w:rPr>
          <w:rStyle w:val="FootnoteReference"/>
          <w:rFonts w:ascii="Times New Roman" w:hAnsi="Times New Roman" w:cs="Times New Roman"/>
          <w:kern w:val="24"/>
        </w:rPr>
        <w:footnoteReference w:id="19"/>
      </w:r>
      <w:r w:rsidRPr="007D64F9">
        <w:rPr>
          <w:rFonts w:ascii="Times New Roman" w:hAnsi="Times New Roman" w:cs="Times New Roman"/>
          <w:kern w:val="24"/>
        </w:rPr>
        <w:t xml:space="preserve"> The main issue with these asset class restrictions is that they focus on short-term volatility without considering the ultimate risk to pension fund members – i.e. will they receive an adequate retirement income</w:t>
      </w:r>
      <w:r w:rsidR="005D03EC" w:rsidRPr="006E3E78">
        <w:rPr>
          <w:rFonts w:ascii="Times New Roman" w:hAnsi="Times New Roman" w:cs="Times New Roman"/>
          <w:kern w:val="24"/>
        </w:rPr>
        <w:t>.</w:t>
      </w:r>
      <w:r w:rsidR="005D03EC" w:rsidRPr="007D64F9">
        <w:rPr>
          <w:rStyle w:val="FootnoteReference"/>
          <w:rFonts w:ascii="Times New Roman" w:hAnsi="Times New Roman" w:cs="Times New Roman"/>
          <w:kern w:val="24"/>
        </w:rPr>
        <w:footnoteReference w:id="20"/>
      </w:r>
      <w:r w:rsidR="00CE3CCD" w:rsidRPr="007D64F9">
        <w:rPr>
          <w:rFonts w:ascii="Times New Roman" w:hAnsi="Times New Roman" w:cs="Times New Roman"/>
          <w:kern w:val="24"/>
        </w:rPr>
        <w:t xml:space="preserve"> </w:t>
      </w:r>
    </w:p>
    <w:p w:rsidR="00344D61" w:rsidRPr="006E3E78" w:rsidRDefault="00812230" w:rsidP="00344D61">
      <w:pPr>
        <w:pStyle w:val="ListParagraph"/>
        <w:numPr>
          <w:ilvl w:val="0"/>
          <w:numId w:val="1"/>
        </w:numPr>
        <w:rPr>
          <w:rFonts w:ascii="Times New Roman" w:hAnsi="Times New Roman" w:cs="Times New Roman"/>
        </w:rPr>
      </w:pPr>
      <w:r w:rsidRPr="006E3E78">
        <w:rPr>
          <w:rFonts w:ascii="Times New Roman" w:hAnsi="Times New Roman" w:cs="Times New Roman"/>
          <w:kern w:val="24"/>
        </w:rPr>
        <w:t>Indeed, it often leads to an overly conservative investment approach - which is initially supported by the members of the pension plan due to financial literacy and behavior economic biases reinforcing the focus on the short-term and the avoidance of risk.</w:t>
      </w:r>
      <w:r w:rsidRPr="007D64F9">
        <w:rPr>
          <w:rStyle w:val="FootnoteReference"/>
          <w:rFonts w:ascii="Times New Roman" w:hAnsi="Times New Roman" w:cs="Times New Roman"/>
          <w:kern w:val="24"/>
        </w:rPr>
        <w:footnoteReference w:id="21"/>
      </w:r>
      <w:r w:rsidRPr="007D64F9">
        <w:rPr>
          <w:rFonts w:ascii="Times New Roman" w:hAnsi="Times New Roman" w:cs="Times New Roman"/>
          <w:kern w:val="24"/>
        </w:rPr>
        <w:t xml:space="preserve"> Consequently, though protecting against short-term portfolio losses, these investment approaches will not be sufficient to deliver an adequat</w:t>
      </w:r>
      <w:r w:rsidRPr="006E3E78">
        <w:rPr>
          <w:rFonts w:ascii="Times New Roman" w:hAnsi="Times New Roman" w:cs="Times New Roman"/>
          <w:kern w:val="24"/>
        </w:rPr>
        <w:t xml:space="preserve">e retirement income over the long-term. </w:t>
      </w:r>
    </w:p>
    <w:p w:rsidR="00344D61" w:rsidRPr="007D64F9" w:rsidRDefault="00176599" w:rsidP="0052463E">
      <w:pPr>
        <w:pStyle w:val="ListParagraph"/>
        <w:numPr>
          <w:ilvl w:val="0"/>
          <w:numId w:val="1"/>
        </w:numPr>
        <w:rPr>
          <w:rFonts w:ascii="Times New Roman" w:hAnsi="Times New Roman" w:cs="Times New Roman"/>
        </w:rPr>
      </w:pPr>
      <w:r w:rsidRPr="006E3E78">
        <w:rPr>
          <w:rFonts w:ascii="Times New Roman" w:hAnsi="Times New Roman" w:cs="Times New Roman"/>
        </w:rPr>
        <w:t>In most of the countries sampled during the study, investment limits were mandated in either the law or regulations</w:t>
      </w:r>
      <w:r w:rsidR="00F61C4C" w:rsidRPr="006E3E78">
        <w:rPr>
          <w:rFonts w:ascii="Times New Roman" w:hAnsi="Times New Roman" w:cs="Times New Roman"/>
        </w:rPr>
        <w:t xml:space="preserve"> that were beyond the control of the supervisory agency</w:t>
      </w:r>
      <w:r w:rsidRPr="006E3E78">
        <w:rPr>
          <w:rFonts w:ascii="Times New Roman" w:hAnsi="Times New Roman" w:cs="Times New Roman"/>
        </w:rPr>
        <w:t>.  The supervisors were concerned on two levels – did the PFMC have the systems and procedures in pl</w:t>
      </w:r>
      <w:r w:rsidRPr="005E4D8B">
        <w:rPr>
          <w:rFonts w:ascii="Times New Roman" w:hAnsi="Times New Roman" w:cs="Times New Roman"/>
        </w:rPr>
        <w:t>ace to ensure that the limits were not breached (operational risk) and were the limits breached (compliance or legal risk).</w:t>
      </w:r>
      <w:r w:rsidR="0052463E" w:rsidRPr="005E4D8B">
        <w:rPr>
          <w:rFonts w:ascii="Times New Roman" w:hAnsi="Times New Roman" w:cs="Times New Roman"/>
        </w:rPr>
        <w:t xml:space="preserve"> </w:t>
      </w:r>
      <w:r w:rsidRPr="005E4D8B">
        <w:rPr>
          <w:rFonts w:ascii="Times New Roman" w:hAnsi="Times New Roman" w:cs="Times New Roman"/>
        </w:rPr>
        <w:t xml:space="preserve">Where the approach to investment was more </w:t>
      </w:r>
      <w:r w:rsidRPr="007D64F9">
        <w:rPr>
          <w:rFonts w:ascii="Times New Roman" w:hAnsi="Times New Roman" w:cs="Times New Roman"/>
          <w:i/>
        </w:rPr>
        <w:t xml:space="preserve">laissez-faire, </w:t>
      </w:r>
      <w:r w:rsidRPr="007D64F9">
        <w:rPr>
          <w:rFonts w:ascii="Times New Roman" w:hAnsi="Times New Roman" w:cs="Times New Roman"/>
        </w:rPr>
        <w:t xml:space="preserve">the concerns of the supervisors were different.  The supervisors’ activities focused on: (1) did the PFMC disclose its investment strategy to members and potential members; </w:t>
      </w:r>
      <w:r w:rsidR="0052463E" w:rsidRPr="007D64F9">
        <w:rPr>
          <w:rFonts w:ascii="Times New Roman" w:hAnsi="Times New Roman" w:cs="Times New Roman"/>
        </w:rPr>
        <w:t xml:space="preserve">and </w:t>
      </w:r>
      <w:r w:rsidRPr="007D64F9">
        <w:rPr>
          <w:rFonts w:ascii="Times New Roman" w:hAnsi="Times New Roman" w:cs="Times New Roman"/>
        </w:rPr>
        <w:t>(2) did its actual strategy align with that which was disclosed;.  Again, this approach resulted more in a measurement of operational and compliance (legal) risks than investment risk.</w:t>
      </w:r>
    </w:p>
    <w:p w:rsidR="00344D61" w:rsidRPr="00085822" w:rsidRDefault="00344D61" w:rsidP="00344D61">
      <w:pPr>
        <w:pStyle w:val="Heading3"/>
        <w:rPr>
          <w:rFonts w:ascii="Times New Roman" w:hAnsi="Times New Roman" w:cs="Times New Roman"/>
          <w:i/>
          <w:color w:val="000000" w:themeColor="text1"/>
        </w:rPr>
      </w:pPr>
      <w:r w:rsidRPr="00085822">
        <w:rPr>
          <w:rFonts w:ascii="Times New Roman" w:hAnsi="Times New Roman" w:cs="Times New Roman"/>
          <w:i/>
          <w:color w:val="000000" w:themeColor="text1"/>
        </w:rPr>
        <w:t xml:space="preserve">VaR as a Regulatory Tool </w:t>
      </w:r>
    </w:p>
    <w:p w:rsidR="00344D61" w:rsidRPr="006E3E78" w:rsidRDefault="009C58E2" w:rsidP="00344D61">
      <w:pPr>
        <w:pStyle w:val="ListParagraph"/>
        <w:numPr>
          <w:ilvl w:val="0"/>
          <w:numId w:val="1"/>
        </w:numPr>
        <w:rPr>
          <w:rFonts w:ascii="Times New Roman" w:hAnsi="Times New Roman" w:cs="Times New Roman"/>
        </w:rPr>
      </w:pPr>
      <w:r w:rsidRPr="007D64F9">
        <w:rPr>
          <w:rFonts w:ascii="Times New Roman" w:hAnsi="Times New Roman" w:cs="Times New Roman"/>
        </w:rPr>
        <w:t>Some supervisory authorities have tried alternative measures for controlling investment risk as asset class restrictions have been removed. Yet these also control short-term</w:t>
      </w:r>
      <w:r w:rsidRPr="006E3E78">
        <w:rPr>
          <w:rFonts w:ascii="Times New Roman" w:hAnsi="Times New Roman" w:cs="Times New Roman"/>
        </w:rPr>
        <w:t xml:space="preserve"> volatility rather than pension risk. </w:t>
      </w:r>
    </w:p>
    <w:p w:rsidR="00344D61" w:rsidRPr="006E3E78" w:rsidRDefault="00E34796" w:rsidP="00344D61">
      <w:pPr>
        <w:pStyle w:val="ListParagraph"/>
        <w:numPr>
          <w:ilvl w:val="0"/>
          <w:numId w:val="1"/>
        </w:numPr>
        <w:rPr>
          <w:rFonts w:ascii="Times New Roman" w:hAnsi="Times New Roman" w:cs="Times New Roman"/>
        </w:rPr>
      </w:pPr>
      <w:r w:rsidRPr="006E3E78">
        <w:rPr>
          <w:rFonts w:ascii="Times New Roman" w:hAnsi="Times New Roman" w:cs="Times New Roman"/>
        </w:rPr>
        <w:t>Mexico introduced an investment regulatory framework based on quantitative measures traditionally used to measure short-term investment risks. Mexico introduced a maximum limit on the VaR (Value-at Risk) of the pension portfolio.</w:t>
      </w:r>
      <w:r w:rsidRPr="007D64F9">
        <w:rPr>
          <w:rStyle w:val="FootnoteReference"/>
          <w:rFonts w:ascii="Times New Roman" w:hAnsi="Times New Roman" w:cs="Times New Roman"/>
        </w:rPr>
        <w:footnoteReference w:id="22"/>
      </w:r>
      <w:r w:rsidRPr="007D64F9">
        <w:rPr>
          <w:rFonts w:ascii="Times New Roman" w:hAnsi="Times New Roman" w:cs="Times New Roman"/>
        </w:rPr>
        <w:t xml:space="preserve">   While the VaR is a risk measure that is easy to quantify and can provide high frequency data to traders and investors, its relevance for risk management of long-term investors, such as  pension funds, is questionable and creates incentives </w:t>
      </w:r>
      <w:r w:rsidRPr="006E3E78">
        <w:rPr>
          <w:rFonts w:ascii="Times New Roman" w:hAnsi="Times New Roman" w:cs="Times New Roman"/>
        </w:rPr>
        <w:t xml:space="preserve">to manage the investments as short term </w:t>
      </w:r>
      <w:r w:rsidRPr="006E3E78">
        <w:rPr>
          <w:rFonts w:ascii="Times New Roman" w:hAnsi="Times New Roman" w:cs="Times New Roman"/>
        </w:rPr>
        <w:lastRenderedPageBreak/>
        <w:t xml:space="preserve">portfolios.  VaR is a measure of volatility and provides little information about the probability of reaching an adequate pension at retirement age (pension risk).  </w:t>
      </w:r>
    </w:p>
    <w:p w:rsidR="00344D61" w:rsidRPr="005E4D8B" w:rsidRDefault="00E34796" w:rsidP="00344D61">
      <w:pPr>
        <w:pStyle w:val="ListParagraph"/>
        <w:numPr>
          <w:ilvl w:val="0"/>
          <w:numId w:val="1"/>
        </w:numPr>
        <w:rPr>
          <w:rFonts w:ascii="Times New Roman" w:hAnsi="Times New Roman" w:cs="Times New Roman"/>
        </w:rPr>
      </w:pPr>
      <w:r w:rsidRPr="006E3E78">
        <w:rPr>
          <w:rFonts w:ascii="Times New Roman" w:hAnsi="Times New Roman" w:cs="Times New Roman"/>
        </w:rPr>
        <w:t>While the regulation should create the conditions for asset managers to invest pension fund assets strategically in order to optimize the future value of pensions, Mexico’s VaR took a narrow approach on portfolio allocation and focused on maintaining volatility within a predefined range.  However, short-t</w:t>
      </w:r>
      <w:r w:rsidRPr="005E4D8B">
        <w:rPr>
          <w:rFonts w:ascii="Times New Roman" w:hAnsi="Times New Roman" w:cs="Times New Roman"/>
        </w:rPr>
        <w:t xml:space="preserve">erm volatility is a poor predictor of the value of the benefits at retirement age.  Using an inappropriate tool to try to measure performance against some ill-defined short-term objective (VaR) increases pension risk even further. </w:t>
      </w:r>
    </w:p>
    <w:p w:rsidR="00344D61" w:rsidRPr="00085822" w:rsidRDefault="00344D61" w:rsidP="00344D61">
      <w:pPr>
        <w:pStyle w:val="Heading3"/>
        <w:rPr>
          <w:rFonts w:ascii="Times New Roman" w:hAnsi="Times New Roman" w:cs="Times New Roman"/>
          <w:i/>
          <w:color w:val="000000" w:themeColor="text1"/>
        </w:rPr>
      </w:pPr>
      <w:r w:rsidRPr="00085822">
        <w:rPr>
          <w:rFonts w:ascii="Times New Roman" w:hAnsi="Times New Roman" w:cs="Times New Roman"/>
          <w:i/>
          <w:color w:val="000000" w:themeColor="text1"/>
        </w:rPr>
        <w:t xml:space="preserve">Guarantees </w:t>
      </w:r>
    </w:p>
    <w:p w:rsidR="00344D61" w:rsidRPr="006E3E78" w:rsidRDefault="00E57272" w:rsidP="00344D61">
      <w:pPr>
        <w:pStyle w:val="ListParagraph"/>
        <w:numPr>
          <w:ilvl w:val="0"/>
          <w:numId w:val="1"/>
        </w:numPr>
        <w:rPr>
          <w:rFonts w:ascii="Times New Roman" w:hAnsi="Times New Roman" w:cs="Times New Roman"/>
        </w:rPr>
      </w:pPr>
      <w:r w:rsidRPr="007D64F9">
        <w:rPr>
          <w:rFonts w:ascii="Times New Roman" w:hAnsi="Times New Roman" w:cs="Times New Roman"/>
        </w:rPr>
        <w:t>Other regulators have tried to move more towards controlling the outcomes which DC pension fund deliver via the introduction of guarantees. Yet the examples from the countries considered in this paper show that these too can introduce misaligned incentives into the pe</w:t>
      </w:r>
      <w:r w:rsidRPr="006E3E78">
        <w:rPr>
          <w:rFonts w:ascii="Times New Roman" w:hAnsi="Times New Roman" w:cs="Times New Roman"/>
        </w:rPr>
        <w:t>nsion system which actually increase rather than decrease the risks of achieving an adequate pension income.</w:t>
      </w:r>
    </w:p>
    <w:p w:rsidR="00344D61" w:rsidRPr="006E3E78" w:rsidRDefault="00FE2434" w:rsidP="00344D61">
      <w:pPr>
        <w:pStyle w:val="ListParagraph"/>
        <w:numPr>
          <w:ilvl w:val="0"/>
          <w:numId w:val="1"/>
        </w:numPr>
        <w:rPr>
          <w:rFonts w:ascii="Times New Roman" w:hAnsi="Times New Roman" w:cs="Times New Roman"/>
        </w:rPr>
      </w:pPr>
      <w:r w:rsidRPr="006E3E78">
        <w:rPr>
          <w:rFonts w:ascii="Times New Roman" w:hAnsi="Times New Roman" w:cs="Times New Roman"/>
        </w:rPr>
        <w:t>Many countries have adopted measures by which the PFMCs have to guarantee the performance of the funds under their management. The introduction of guarantees not only increases the cost of the system and lowers returns to contributors, but also creates distortions in the asset allocation of the pension funds. These factors translate int</w:t>
      </w:r>
      <w:r w:rsidR="00344D61" w:rsidRPr="006E3E78">
        <w:rPr>
          <w:rFonts w:ascii="Times New Roman" w:hAnsi="Times New Roman" w:cs="Times New Roman"/>
        </w:rPr>
        <w:t>o lower pensions in the future.</w:t>
      </w:r>
    </w:p>
    <w:p w:rsidR="00344D61" w:rsidRPr="007D64F9" w:rsidRDefault="00FE2434" w:rsidP="00344D61">
      <w:pPr>
        <w:pStyle w:val="ListParagraph"/>
        <w:numPr>
          <w:ilvl w:val="0"/>
          <w:numId w:val="1"/>
        </w:numPr>
        <w:rPr>
          <w:rFonts w:ascii="Times New Roman" w:hAnsi="Times New Roman" w:cs="Times New Roman"/>
        </w:rPr>
      </w:pPr>
      <w:r w:rsidRPr="006E3E78">
        <w:rPr>
          <w:rFonts w:ascii="Times New Roman" w:hAnsi="Times New Roman" w:cs="Times New Roman"/>
        </w:rPr>
        <w:t>The regulations in Russia, Romania and Slovakia</w:t>
      </w:r>
      <w:r w:rsidR="00344D61" w:rsidRPr="006E3E78">
        <w:rPr>
          <w:rFonts w:ascii="Times New Roman" w:hAnsi="Times New Roman" w:cs="Times New Roman"/>
        </w:rPr>
        <w:t>, as well as other countries,</w:t>
      </w:r>
      <w:r w:rsidRPr="006E3E78">
        <w:rPr>
          <w:rFonts w:ascii="Times New Roman" w:hAnsi="Times New Roman" w:cs="Times New Roman"/>
        </w:rPr>
        <w:t xml:space="preserve"> require PFMCs to guarantee the nominal value of contributions,</w:t>
      </w:r>
      <w:r w:rsidR="00344D61" w:rsidRPr="005E4D8B">
        <w:rPr>
          <w:rFonts w:ascii="Times New Roman" w:hAnsi="Times New Roman" w:cs="Times New Roman"/>
        </w:rPr>
        <w:t xml:space="preserve"> at different points in time.  For example, i</w:t>
      </w:r>
      <w:r w:rsidRPr="005E4D8B">
        <w:rPr>
          <w:rFonts w:ascii="Times New Roman" w:hAnsi="Times New Roman" w:cs="Times New Roman"/>
        </w:rPr>
        <w:t xml:space="preserve">n both Romania and Russia, the timing of any payment by the PFMC to </w:t>
      </w:r>
      <w:r w:rsidR="00395650" w:rsidRPr="005E4D8B">
        <w:rPr>
          <w:rFonts w:ascii="Times New Roman" w:hAnsi="Times New Roman" w:cs="Times New Roman"/>
        </w:rPr>
        <w:t>meet its obligations</w:t>
      </w:r>
      <w:r w:rsidRPr="007D64F9">
        <w:rPr>
          <w:rFonts w:ascii="Times New Roman" w:hAnsi="Times New Roman" w:cs="Times New Roman"/>
        </w:rPr>
        <w:t xml:space="preserve"> under the guarantee is not explicitly stated in the law, and the supervisory agencies have not been able to clarify it. In this context, trustees and PFMCs have taken a conservative approach and have assumed that these guarantees can be executed at any point in time. This has resulted in conservative pension portfolios, with low volatility and potentially low pension benefits in the future. Consequently, the guarantees on the nominal value of the pension fund result in increases in pension risk, as managers invest the pension fund in inefficient portfolios that will be unable to deliver adequate benefits at retirement age</w:t>
      </w:r>
      <w:r w:rsidR="00552141">
        <w:rPr>
          <w:rFonts w:ascii="Times New Roman" w:hAnsi="Times New Roman" w:cs="Times New Roman"/>
        </w:rPr>
        <w:t>,</w:t>
      </w:r>
      <w:r w:rsidRPr="007D64F9">
        <w:rPr>
          <w:rFonts w:ascii="Times New Roman" w:hAnsi="Times New Roman" w:cs="Times New Roman"/>
        </w:rPr>
        <w:t xml:space="preserve"> but will </w:t>
      </w:r>
      <w:r w:rsidR="00552141">
        <w:rPr>
          <w:rFonts w:ascii="Times New Roman" w:hAnsi="Times New Roman" w:cs="Times New Roman"/>
        </w:rPr>
        <w:t xml:space="preserve">protect </w:t>
      </w:r>
      <w:r w:rsidRPr="007D64F9">
        <w:rPr>
          <w:rFonts w:ascii="Times New Roman" w:hAnsi="Times New Roman" w:cs="Times New Roman"/>
        </w:rPr>
        <w:t xml:space="preserve">the </w:t>
      </w:r>
      <w:r w:rsidR="00552141">
        <w:rPr>
          <w:rFonts w:ascii="Times New Roman" w:hAnsi="Times New Roman" w:cs="Times New Roman"/>
        </w:rPr>
        <w:t>capital the shareholders of the PFMC</w:t>
      </w:r>
      <w:r w:rsidRPr="007D64F9">
        <w:rPr>
          <w:rFonts w:ascii="Times New Roman" w:hAnsi="Times New Roman" w:cs="Times New Roman"/>
        </w:rPr>
        <w:t xml:space="preserve">. </w:t>
      </w:r>
    </w:p>
    <w:p w:rsidR="00344D61" w:rsidRPr="007D64F9" w:rsidRDefault="00FE2434" w:rsidP="00344D61">
      <w:pPr>
        <w:pStyle w:val="ListParagraph"/>
        <w:numPr>
          <w:ilvl w:val="0"/>
          <w:numId w:val="1"/>
        </w:numPr>
        <w:rPr>
          <w:rFonts w:ascii="Times New Roman" w:hAnsi="Times New Roman" w:cs="Times New Roman"/>
        </w:rPr>
      </w:pPr>
      <w:r w:rsidRPr="007D64F9">
        <w:rPr>
          <w:rFonts w:ascii="Times New Roman" w:hAnsi="Times New Roman" w:cs="Times New Roman"/>
        </w:rPr>
        <w:t xml:space="preserve">The regulations in most of the other countries </w:t>
      </w:r>
      <w:r w:rsidR="00D24B98" w:rsidRPr="007D64F9">
        <w:rPr>
          <w:rFonts w:ascii="Times New Roman" w:hAnsi="Times New Roman" w:cs="Times New Roman"/>
        </w:rPr>
        <w:t xml:space="preserve">sampled </w:t>
      </w:r>
      <w:r w:rsidRPr="007D64F9">
        <w:rPr>
          <w:rFonts w:ascii="Times New Roman" w:hAnsi="Times New Roman" w:cs="Times New Roman"/>
        </w:rPr>
        <w:t>with mandatory funded schemes include the use of minimum relative return guarantees</w:t>
      </w:r>
      <w:r w:rsidR="00950FAB" w:rsidRPr="007D64F9">
        <w:rPr>
          <w:rFonts w:ascii="Times New Roman" w:hAnsi="Times New Roman" w:cs="Times New Roman"/>
        </w:rPr>
        <w:t xml:space="preserve"> (MRRG)</w:t>
      </w:r>
      <w:r w:rsidRPr="007D64F9">
        <w:rPr>
          <w:rFonts w:ascii="Times New Roman" w:hAnsi="Times New Roman" w:cs="Times New Roman"/>
        </w:rPr>
        <w:t>. PFMCs are required to guarantee that the returns on their pension funds (over a certain period of time) do not deviate by more than a certain percentage from the average return of the industry.  A company that reports a return below the minimum is required to subscribe the difference between its return and the relevant benchmark return from its own resources.</w:t>
      </w:r>
    </w:p>
    <w:p w:rsidR="00344D61" w:rsidRPr="007D64F9" w:rsidRDefault="00674053" w:rsidP="00344D61">
      <w:pPr>
        <w:pStyle w:val="ListParagraph"/>
        <w:numPr>
          <w:ilvl w:val="0"/>
          <w:numId w:val="1"/>
        </w:numPr>
        <w:rPr>
          <w:rFonts w:ascii="Times New Roman" w:hAnsi="Times New Roman" w:cs="Times New Roman"/>
        </w:rPr>
      </w:pPr>
      <w:r w:rsidRPr="007D64F9">
        <w:rPr>
          <w:rFonts w:ascii="Times New Roman" w:hAnsi="Times New Roman" w:cs="Times New Roman"/>
        </w:rPr>
        <w:t>As pointed out by Rudolph and others (2010), w</w:t>
      </w:r>
      <w:r w:rsidR="00FE2434" w:rsidRPr="007D64F9">
        <w:rPr>
          <w:rFonts w:ascii="Times New Roman" w:hAnsi="Times New Roman" w:cs="Times New Roman"/>
        </w:rPr>
        <w:t xml:space="preserve">hile most of the literature highlights the herding effects of minimum guarantees, the problem is not one of herding but in the portfolio allocation resulting from the interactions in the market.  Herding is in the nature of the fund management industry, and having common </w:t>
      </w:r>
      <w:r w:rsidR="003709AC">
        <w:rPr>
          <w:rFonts w:ascii="Times New Roman" w:hAnsi="Times New Roman" w:cs="Times New Roman"/>
        </w:rPr>
        <w:t xml:space="preserve">portfolio </w:t>
      </w:r>
      <w:r w:rsidR="00FE2434" w:rsidRPr="007D64F9">
        <w:rPr>
          <w:rFonts w:ascii="Times New Roman" w:hAnsi="Times New Roman" w:cs="Times New Roman"/>
        </w:rPr>
        <w:t xml:space="preserve">benchmarks helps to ensure comparability among portfolios. </w:t>
      </w:r>
    </w:p>
    <w:p w:rsidR="00FE2434" w:rsidRPr="006E3E78" w:rsidRDefault="00FE2434" w:rsidP="00344D61">
      <w:pPr>
        <w:pStyle w:val="ListParagraph"/>
        <w:numPr>
          <w:ilvl w:val="0"/>
          <w:numId w:val="1"/>
        </w:numPr>
        <w:rPr>
          <w:rFonts w:ascii="Times New Roman" w:hAnsi="Times New Roman" w:cs="Times New Roman"/>
        </w:rPr>
      </w:pPr>
      <w:r w:rsidRPr="007D64F9">
        <w:rPr>
          <w:rFonts w:ascii="Times New Roman" w:hAnsi="Times New Roman" w:cs="Times New Roman"/>
        </w:rPr>
        <w:lastRenderedPageBreak/>
        <w:t>The minimum relative return guarantees tend to drive investments into suboptimal portfolio allocations.</w:t>
      </w:r>
      <w:r w:rsidRPr="006B4FDF">
        <w:rPr>
          <w:rFonts w:ascii="Times New Roman" w:hAnsi="Times New Roman" w:cs="Times New Roman"/>
        </w:rPr>
        <w:t xml:space="preserve"> </w:t>
      </w:r>
      <w:r w:rsidR="00395650" w:rsidRPr="006B4FDF">
        <w:rPr>
          <w:rStyle w:val="FootnoteReference"/>
          <w:rFonts w:ascii="Times New Roman" w:hAnsi="Times New Roman" w:cs="Times New Roman"/>
        </w:rPr>
        <w:footnoteReference w:id="23"/>
      </w:r>
      <w:r w:rsidR="00FA68BD" w:rsidRPr="006B4FDF">
        <w:rPr>
          <w:rFonts w:ascii="Times New Roman" w:hAnsi="Times New Roman" w:cs="Times New Roman"/>
        </w:rPr>
        <w:t xml:space="preserve"> </w:t>
      </w:r>
      <w:r w:rsidRPr="007D64F9">
        <w:rPr>
          <w:rFonts w:ascii="Times New Roman" w:hAnsi="Times New Roman" w:cs="Times New Roman"/>
        </w:rPr>
        <w:t xml:space="preserve">Instead of optimizing the expected value of the pension fund at retirement age, pension funds focus their attention in maximizing short-term returns. </w:t>
      </w:r>
      <w:r w:rsidRPr="006E3E78">
        <w:rPr>
          <w:rFonts w:ascii="Times New Roman" w:hAnsi="Times New Roman" w:cs="Times New Roman"/>
        </w:rPr>
        <w:t xml:space="preserve">  PFMCs are required to build a reserve requirement, equivalent to a figure of between 1 and 2 percent of the assets under mana</w:t>
      </w:r>
      <w:r w:rsidR="00806EB4" w:rsidRPr="006E3E78">
        <w:rPr>
          <w:rFonts w:ascii="Times New Roman" w:hAnsi="Times New Roman" w:cs="Times New Roman"/>
        </w:rPr>
        <w:t>gement as illustrated in Table 1</w:t>
      </w:r>
      <w:r w:rsidRPr="006E3E78">
        <w:rPr>
          <w:rFonts w:ascii="Times New Roman" w:hAnsi="Times New Roman" w:cs="Times New Roman"/>
        </w:rPr>
        <w:t>.</w:t>
      </w:r>
    </w:p>
    <w:p w:rsidR="00FE2434" w:rsidRPr="006E3E78" w:rsidRDefault="00344D61" w:rsidP="00FE2434">
      <w:pPr>
        <w:spacing w:after="0" w:line="240" w:lineRule="auto"/>
        <w:ind w:left="720"/>
        <w:rPr>
          <w:rFonts w:ascii="Times New Roman" w:hAnsi="Times New Roman" w:cs="Times New Roman"/>
        </w:rPr>
      </w:pPr>
      <w:r w:rsidRPr="00085822">
        <w:rPr>
          <w:rFonts w:ascii="Times New Roman" w:hAnsi="Times New Roman" w:cs="Times New Roman"/>
          <w:b/>
        </w:rPr>
        <w:t>Table 1</w:t>
      </w:r>
      <w:r w:rsidR="00FE2434" w:rsidRPr="006E3E78">
        <w:rPr>
          <w:rFonts w:ascii="Times New Roman" w:hAnsi="Times New Roman" w:cs="Times New Roman"/>
        </w:rPr>
        <w:t>. Capital and reserve requirements in mandatory pension funds,</w:t>
      </w:r>
      <w:r w:rsidR="00FE2434" w:rsidRPr="00E3388A">
        <w:rPr>
          <w:rFonts w:ascii="Times New Roman" w:hAnsi="Times New Roman" w:cs="Times New Roman"/>
          <w:vertAlign w:val="superscript"/>
        </w:rPr>
        <w:t>a</w:t>
      </w:r>
      <w:r w:rsidR="00FE2434" w:rsidRPr="006E3E78">
        <w:rPr>
          <w:rFonts w:ascii="Times New Roman" w:hAnsi="Times New Roman" w:cs="Times New Roman"/>
        </w:rPr>
        <w:t xml:space="preserve"> 2012</w:t>
      </w:r>
      <w:r w:rsidR="00FE2434" w:rsidRPr="006E3E78">
        <w:rPr>
          <w:rFonts w:ascii="Times New Roman" w:hAnsi="Times New Roman" w:cs="Times New Roman"/>
        </w:rPr>
        <w:br/>
      </w:r>
      <w:r w:rsidR="00FE2434" w:rsidRPr="006E3E78">
        <w:rPr>
          <w:rFonts w:ascii="Times New Roman" w:hAnsi="Times New Roman" w:cs="Times New Roman"/>
          <w:noProof/>
        </w:rPr>
        <w:drawing>
          <wp:inline distT="0" distB="0" distL="0" distR="0" wp14:anchorId="209B24DA" wp14:editId="7AE16FE5">
            <wp:extent cx="4846320" cy="2568361"/>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6320" cy="25683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bl>
      <w:tblPr>
        <w:tblW w:w="9482" w:type="dxa"/>
        <w:tblInd w:w="93" w:type="dxa"/>
        <w:tblLook w:val="04A0" w:firstRow="1" w:lastRow="0" w:firstColumn="1" w:lastColumn="0" w:noHBand="0" w:noVBand="1"/>
      </w:tblPr>
      <w:tblGrid>
        <w:gridCol w:w="7612"/>
        <w:gridCol w:w="383"/>
        <w:gridCol w:w="360"/>
        <w:gridCol w:w="372"/>
        <w:gridCol w:w="372"/>
        <w:gridCol w:w="383"/>
      </w:tblGrid>
      <w:tr w:rsidR="00344D61" w:rsidRPr="007D64F9" w:rsidTr="00FE2434">
        <w:trPr>
          <w:gridAfter w:val="5"/>
          <w:wAfter w:w="1870" w:type="dxa"/>
          <w:trHeight w:val="300"/>
        </w:trPr>
        <w:tc>
          <w:tcPr>
            <w:tcW w:w="7612" w:type="dxa"/>
            <w:tcBorders>
              <w:top w:val="nil"/>
              <w:left w:val="nil"/>
              <w:bottom w:val="nil"/>
              <w:right w:val="nil"/>
            </w:tcBorders>
            <w:shd w:val="clear" w:color="auto" w:fill="auto"/>
            <w:noWrap/>
            <w:vAlign w:val="bottom"/>
            <w:hideMark/>
          </w:tcPr>
          <w:p w:rsidR="00FE2434" w:rsidRPr="005E4D8B" w:rsidRDefault="00FE2434" w:rsidP="00FE2434">
            <w:pPr>
              <w:spacing w:after="0" w:line="240" w:lineRule="auto"/>
              <w:ind w:left="360"/>
              <w:rPr>
                <w:rFonts w:ascii="Times New Roman" w:hAnsi="Times New Roman" w:cs="Times New Roman"/>
                <w:sz w:val="18"/>
                <w:szCs w:val="18"/>
              </w:rPr>
            </w:pPr>
            <w:r w:rsidRPr="005E4D8B">
              <w:rPr>
                <w:rFonts w:ascii="Times New Roman" w:hAnsi="Times New Roman" w:cs="Times New Roman"/>
                <w:sz w:val="18"/>
                <w:szCs w:val="18"/>
              </w:rPr>
              <w:t>a Participating PFMCs are required to comply with these requirements</w:t>
            </w:r>
          </w:p>
        </w:tc>
      </w:tr>
      <w:tr w:rsidR="00344D61" w:rsidRPr="007D64F9" w:rsidTr="00FE2434">
        <w:trPr>
          <w:trHeight w:val="300"/>
        </w:trPr>
        <w:tc>
          <w:tcPr>
            <w:tcW w:w="7612" w:type="dxa"/>
            <w:tcBorders>
              <w:top w:val="nil"/>
              <w:left w:val="nil"/>
              <w:bottom w:val="nil"/>
              <w:right w:val="nil"/>
            </w:tcBorders>
            <w:shd w:val="clear" w:color="auto" w:fill="auto"/>
            <w:noWrap/>
            <w:vAlign w:val="bottom"/>
            <w:hideMark/>
          </w:tcPr>
          <w:p w:rsidR="00FE2434" w:rsidRPr="005E4D8B" w:rsidRDefault="00FE2434" w:rsidP="00FE2434">
            <w:pPr>
              <w:spacing w:after="0" w:line="240" w:lineRule="auto"/>
              <w:ind w:left="360"/>
              <w:rPr>
                <w:rFonts w:ascii="Times New Roman" w:hAnsi="Times New Roman" w:cs="Times New Roman"/>
                <w:sz w:val="18"/>
                <w:szCs w:val="18"/>
              </w:rPr>
            </w:pPr>
            <w:r w:rsidRPr="005E4D8B">
              <w:rPr>
                <w:rFonts w:ascii="Times New Roman" w:hAnsi="Times New Roman" w:cs="Times New Roman"/>
                <w:sz w:val="18"/>
                <w:szCs w:val="18"/>
              </w:rPr>
              <w:t>b Voluntary funded system</w:t>
            </w:r>
          </w:p>
        </w:tc>
        <w:tc>
          <w:tcPr>
            <w:tcW w:w="383" w:type="dxa"/>
            <w:tcBorders>
              <w:top w:val="nil"/>
              <w:left w:val="nil"/>
              <w:bottom w:val="nil"/>
              <w:right w:val="nil"/>
            </w:tcBorders>
            <w:shd w:val="clear" w:color="auto" w:fill="auto"/>
            <w:noWrap/>
            <w:vAlign w:val="bottom"/>
            <w:hideMark/>
          </w:tcPr>
          <w:p w:rsidR="00FE2434" w:rsidRPr="006E3E78" w:rsidRDefault="00FE2434" w:rsidP="00FE2434">
            <w:pPr>
              <w:spacing w:after="0" w:line="240" w:lineRule="auto"/>
              <w:ind w:left="360"/>
              <w:rPr>
                <w:rFonts w:ascii="Times New Roman" w:hAnsi="Times New Roman" w:cs="Times New Roman"/>
              </w:rPr>
            </w:pPr>
          </w:p>
        </w:tc>
        <w:tc>
          <w:tcPr>
            <w:tcW w:w="360" w:type="dxa"/>
            <w:tcBorders>
              <w:top w:val="nil"/>
              <w:left w:val="nil"/>
              <w:bottom w:val="nil"/>
              <w:right w:val="nil"/>
            </w:tcBorders>
            <w:shd w:val="clear" w:color="auto" w:fill="auto"/>
            <w:noWrap/>
            <w:vAlign w:val="bottom"/>
            <w:hideMark/>
          </w:tcPr>
          <w:p w:rsidR="00FE2434" w:rsidRPr="006E3E78" w:rsidRDefault="00FE2434" w:rsidP="00FE2434">
            <w:pPr>
              <w:spacing w:after="0" w:line="240" w:lineRule="auto"/>
              <w:ind w:left="360"/>
              <w:rPr>
                <w:rFonts w:ascii="Times New Roman" w:hAnsi="Times New Roman" w:cs="Times New Roman"/>
              </w:rPr>
            </w:pPr>
          </w:p>
        </w:tc>
        <w:tc>
          <w:tcPr>
            <w:tcW w:w="372" w:type="dxa"/>
            <w:tcBorders>
              <w:top w:val="nil"/>
              <w:left w:val="nil"/>
              <w:bottom w:val="nil"/>
              <w:right w:val="nil"/>
            </w:tcBorders>
            <w:shd w:val="clear" w:color="auto" w:fill="auto"/>
            <w:noWrap/>
            <w:vAlign w:val="bottom"/>
            <w:hideMark/>
          </w:tcPr>
          <w:p w:rsidR="00FE2434" w:rsidRPr="006E3E78" w:rsidRDefault="00FE2434" w:rsidP="00FE2434">
            <w:pPr>
              <w:spacing w:after="0" w:line="240" w:lineRule="auto"/>
              <w:ind w:left="360"/>
              <w:rPr>
                <w:rFonts w:ascii="Times New Roman" w:hAnsi="Times New Roman" w:cs="Times New Roman"/>
              </w:rPr>
            </w:pPr>
          </w:p>
        </w:tc>
        <w:tc>
          <w:tcPr>
            <w:tcW w:w="372" w:type="dxa"/>
            <w:tcBorders>
              <w:top w:val="nil"/>
              <w:left w:val="nil"/>
              <w:bottom w:val="nil"/>
              <w:right w:val="nil"/>
            </w:tcBorders>
            <w:shd w:val="clear" w:color="auto" w:fill="auto"/>
            <w:noWrap/>
            <w:vAlign w:val="bottom"/>
            <w:hideMark/>
          </w:tcPr>
          <w:p w:rsidR="00FE2434" w:rsidRPr="006E3E78" w:rsidRDefault="00FE2434" w:rsidP="00FE2434">
            <w:pPr>
              <w:spacing w:after="0" w:line="240" w:lineRule="auto"/>
              <w:ind w:left="360"/>
              <w:rPr>
                <w:rFonts w:ascii="Times New Roman" w:hAnsi="Times New Roman" w:cs="Times New Roman"/>
              </w:rPr>
            </w:pPr>
          </w:p>
        </w:tc>
        <w:tc>
          <w:tcPr>
            <w:tcW w:w="383" w:type="dxa"/>
            <w:tcBorders>
              <w:top w:val="nil"/>
              <w:left w:val="nil"/>
              <w:bottom w:val="nil"/>
              <w:right w:val="nil"/>
            </w:tcBorders>
            <w:shd w:val="clear" w:color="auto" w:fill="auto"/>
            <w:noWrap/>
            <w:vAlign w:val="bottom"/>
            <w:hideMark/>
          </w:tcPr>
          <w:p w:rsidR="00FE2434" w:rsidRPr="006B4FDF" w:rsidRDefault="00FE2434" w:rsidP="00FE2434">
            <w:pPr>
              <w:spacing w:after="0" w:line="240" w:lineRule="auto"/>
              <w:ind w:left="360"/>
              <w:rPr>
                <w:rFonts w:ascii="Times New Roman" w:hAnsi="Times New Roman" w:cs="Times New Roman"/>
              </w:rPr>
            </w:pPr>
          </w:p>
        </w:tc>
      </w:tr>
      <w:tr w:rsidR="00344D61" w:rsidRPr="007D64F9" w:rsidTr="00FE2434">
        <w:trPr>
          <w:gridAfter w:val="4"/>
          <w:wAfter w:w="1487" w:type="dxa"/>
          <w:trHeight w:val="300"/>
        </w:trPr>
        <w:tc>
          <w:tcPr>
            <w:tcW w:w="7612" w:type="dxa"/>
            <w:tcBorders>
              <w:top w:val="nil"/>
              <w:left w:val="nil"/>
              <w:bottom w:val="nil"/>
              <w:right w:val="nil"/>
            </w:tcBorders>
            <w:shd w:val="clear" w:color="auto" w:fill="auto"/>
            <w:noWrap/>
            <w:vAlign w:val="bottom"/>
            <w:hideMark/>
          </w:tcPr>
          <w:p w:rsidR="00FE2434" w:rsidRPr="005E4D8B" w:rsidRDefault="00FE2434" w:rsidP="00FE2434">
            <w:pPr>
              <w:spacing w:after="0" w:line="240" w:lineRule="auto"/>
              <w:ind w:left="360"/>
              <w:rPr>
                <w:rFonts w:ascii="Times New Roman" w:hAnsi="Times New Roman" w:cs="Times New Roman"/>
                <w:sz w:val="18"/>
                <w:szCs w:val="18"/>
              </w:rPr>
            </w:pPr>
            <w:r w:rsidRPr="005E4D8B">
              <w:rPr>
                <w:rFonts w:ascii="Times New Roman" w:hAnsi="Times New Roman" w:cs="Times New Roman"/>
                <w:sz w:val="18"/>
                <w:szCs w:val="18"/>
              </w:rPr>
              <w:t>Note. RW= risk weighted; na =not applicable; AUM= assets under management</w:t>
            </w:r>
          </w:p>
        </w:tc>
        <w:tc>
          <w:tcPr>
            <w:tcW w:w="383" w:type="dxa"/>
            <w:tcBorders>
              <w:top w:val="nil"/>
              <w:left w:val="nil"/>
              <w:bottom w:val="nil"/>
              <w:right w:val="nil"/>
            </w:tcBorders>
            <w:shd w:val="clear" w:color="auto" w:fill="auto"/>
            <w:noWrap/>
            <w:vAlign w:val="bottom"/>
            <w:hideMark/>
          </w:tcPr>
          <w:p w:rsidR="00FE2434" w:rsidRPr="006E3E78" w:rsidRDefault="00FE2434" w:rsidP="00FE2434">
            <w:pPr>
              <w:spacing w:after="0" w:line="240" w:lineRule="auto"/>
              <w:ind w:left="360"/>
              <w:rPr>
                <w:rFonts w:ascii="Times New Roman" w:hAnsi="Times New Roman" w:cs="Times New Roman"/>
              </w:rPr>
            </w:pPr>
          </w:p>
        </w:tc>
      </w:tr>
    </w:tbl>
    <w:p w:rsidR="00FE2434" w:rsidRPr="007D64F9" w:rsidRDefault="00FE2434" w:rsidP="00FE2434">
      <w:pPr>
        <w:spacing w:after="0" w:line="240" w:lineRule="auto"/>
        <w:rPr>
          <w:rFonts w:ascii="Times New Roman" w:hAnsi="Times New Roman" w:cs="Times New Roman"/>
        </w:rPr>
      </w:pPr>
    </w:p>
    <w:p w:rsidR="00344D61" w:rsidRPr="005E4D8B" w:rsidRDefault="0052319B" w:rsidP="00344D61">
      <w:pPr>
        <w:pStyle w:val="ListParagraph"/>
        <w:numPr>
          <w:ilvl w:val="0"/>
          <w:numId w:val="1"/>
        </w:numPr>
        <w:rPr>
          <w:rFonts w:ascii="Times New Roman" w:hAnsi="Times New Roman" w:cs="Times New Roman"/>
        </w:rPr>
      </w:pPr>
      <w:r>
        <w:rPr>
          <w:rFonts w:ascii="Times New Roman" w:hAnsi="Times New Roman" w:cs="Times New Roman"/>
        </w:rPr>
        <w:t>T</w:t>
      </w:r>
      <w:r w:rsidR="00FE2434" w:rsidRPr="006E3E78">
        <w:rPr>
          <w:rFonts w:ascii="Times New Roman" w:hAnsi="Times New Roman" w:cs="Times New Roman"/>
        </w:rPr>
        <w:t>he MRRG create significant distortions in the asset allocation of pension funds, as PFMCs move the investments of pension funds into portfolios that try to minimize the probability of triggering the guarantee. In other words, PFMCs guide their investments with the objective of protecting their own capital (reserve requirement), instead of ensuring that pension funds are invested in portfolios aimed at optimizing the expected value of the pensions of the current contributors at retirement age. It is not unusual to find personnel in the PFMCs whose job</w:t>
      </w:r>
      <w:r w:rsidR="00FE2434" w:rsidRPr="006B4FDF">
        <w:rPr>
          <w:rFonts w:ascii="Times New Roman" w:hAnsi="Times New Roman" w:cs="Times New Roman"/>
        </w:rPr>
        <w:t xml:space="preserve"> description includes estimating, guessing or spying on the portfolios of the competition.</w:t>
      </w:r>
    </w:p>
    <w:p w:rsidR="00344D61" w:rsidRPr="007D64F9" w:rsidRDefault="000A4A1D" w:rsidP="00344D61">
      <w:pPr>
        <w:pStyle w:val="ListParagraph"/>
        <w:numPr>
          <w:ilvl w:val="0"/>
          <w:numId w:val="1"/>
        </w:numPr>
        <w:rPr>
          <w:rFonts w:ascii="Times New Roman" w:hAnsi="Times New Roman" w:cs="Times New Roman"/>
        </w:rPr>
      </w:pPr>
      <w:r w:rsidRPr="005E4D8B">
        <w:rPr>
          <w:rFonts w:ascii="Times New Roman" w:hAnsi="Times New Roman" w:cs="Times New Roman"/>
        </w:rPr>
        <w:t>In addition, with the existence of guarantees and/or the requirement for the investment of reserves to mirror the investments of the pension fund, there is an argume</w:t>
      </w:r>
      <w:r w:rsidRPr="007D64F9">
        <w:rPr>
          <w:rFonts w:ascii="Times New Roman" w:hAnsi="Times New Roman" w:cs="Times New Roman"/>
        </w:rPr>
        <w:t>nt to suggest that the PFMCs are more concerned with measuring their capital at risk than they are measuring the investment risk in the fund.</w:t>
      </w:r>
    </w:p>
    <w:p w:rsidR="00344D61" w:rsidRPr="007D64F9" w:rsidRDefault="003C3A92" w:rsidP="00344D61">
      <w:pPr>
        <w:pStyle w:val="ListParagraph"/>
        <w:numPr>
          <w:ilvl w:val="0"/>
          <w:numId w:val="1"/>
        </w:numPr>
        <w:rPr>
          <w:rFonts w:ascii="Times New Roman" w:hAnsi="Times New Roman" w:cs="Times New Roman"/>
        </w:rPr>
      </w:pPr>
      <w:r w:rsidRPr="007D64F9">
        <w:rPr>
          <w:rFonts w:ascii="Times New Roman" w:hAnsi="Times New Roman" w:cs="Times New Roman"/>
        </w:rPr>
        <w:t xml:space="preserve">The introduction of guarantees creates additional distortions in the duration of the fixed income portfolio of the pension funds. </w:t>
      </w:r>
      <w:r w:rsidR="00FE2434" w:rsidRPr="007D64F9">
        <w:rPr>
          <w:rFonts w:ascii="Times New Roman" w:hAnsi="Times New Roman" w:cs="Times New Roman"/>
        </w:rPr>
        <w:t xml:space="preserve">Since the liabilities are largely long term, the fixed income part of the portfolio should consist of investments in long-term inflation linked bonds. These instruments protect individuals from interest rate risk, associated with reinvestment risk, and also to the risk of unexpected changes in the rate of inflation.  However, short-term competition, exacerbated by the MRRG, tends to incentivize fixed </w:t>
      </w:r>
      <w:r w:rsidR="00FE2434" w:rsidRPr="007D64F9">
        <w:rPr>
          <w:rFonts w:ascii="Times New Roman" w:hAnsi="Times New Roman" w:cs="Times New Roman"/>
        </w:rPr>
        <w:lastRenderedPageBreak/>
        <w:t>income instruments of shorter durations being held.  Measured from a short-term perspective, the value of long-term bonds is more volatile than those with shorter terms, so it is more rational for PFMCs intent on protecting their own capital--given the MRRG requirement—to invest in instruments with shorter duration.</w:t>
      </w:r>
    </w:p>
    <w:p w:rsidR="00806EB4" w:rsidRPr="007D64F9" w:rsidRDefault="00FE2434" w:rsidP="00806EB4">
      <w:pPr>
        <w:pStyle w:val="ListParagraph"/>
        <w:numPr>
          <w:ilvl w:val="0"/>
          <w:numId w:val="1"/>
        </w:numPr>
        <w:rPr>
          <w:rFonts w:ascii="Times New Roman" w:hAnsi="Times New Roman" w:cs="Times New Roman"/>
        </w:rPr>
      </w:pPr>
      <w:r w:rsidRPr="007D64F9">
        <w:rPr>
          <w:rFonts w:ascii="Times New Roman" w:hAnsi="Times New Roman" w:cs="Times New Roman"/>
        </w:rPr>
        <w:t xml:space="preserve">Many countries require that the reserves be invested in the same way as the assets of the </w:t>
      </w:r>
      <w:r w:rsidR="0043268C" w:rsidRPr="007D64F9">
        <w:rPr>
          <w:rFonts w:ascii="Times New Roman" w:hAnsi="Times New Roman" w:cs="Times New Roman"/>
        </w:rPr>
        <w:t xml:space="preserve">    </w:t>
      </w:r>
      <w:r w:rsidRPr="007D64F9">
        <w:rPr>
          <w:rFonts w:ascii="Times New Roman" w:hAnsi="Times New Roman" w:cs="Times New Roman"/>
        </w:rPr>
        <w:t xml:space="preserve">funds under the management of the respective PFMC.  </w:t>
      </w:r>
      <w:r w:rsidR="00FA68BD" w:rsidRPr="007D64F9">
        <w:rPr>
          <w:rFonts w:ascii="Times New Roman" w:hAnsi="Times New Roman" w:cs="Times New Roman"/>
        </w:rPr>
        <w:t>While t</w:t>
      </w:r>
      <w:r w:rsidRPr="007D64F9">
        <w:rPr>
          <w:rFonts w:ascii="Times New Roman" w:hAnsi="Times New Roman" w:cs="Times New Roman"/>
        </w:rPr>
        <w:t xml:space="preserve">he rationale </w:t>
      </w:r>
      <w:r w:rsidR="00FA68BD" w:rsidRPr="007D64F9">
        <w:rPr>
          <w:rFonts w:ascii="Times New Roman" w:hAnsi="Times New Roman" w:cs="Times New Roman"/>
        </w:rPr>
        <w:t xml:space="preserve">of this </w:t>
      </w:r>
      <w:r w:rsidR="00481BB3">
        <w:rPr>
          <w:rFonts w:ascii="Times New Roman" w:hAnsi="Times New Roman" w:cs="Times New Roman"/>
        </w:rPr>
        <w:t>approach</w:t>
      </w:r>
      <w:r w:rsidR="00481BB3" w:rsidRPr="007D64F9">
        <w:rPr>
          <w:rFonts w:ascii="Times New Roman" w:hAnsi="Times New Roman" w:cs="Times New Roman"/>
        </w:rPr>
        <w:t xml:space="preserve"> </w:t>
      </w:r>
      <w:r w:rsidR="00FA68BD" w:rsidRPr="007D64F9">
        <w:rPr>
          <w:rFonts w:ascii="Times New Roman" w:hAnsi="Times New Roman" w:cs="Times New Roman"/>
        </w:rPr>
        <w:t xml:space="preserve">was designed </w:t>
      </w:r>
      <w:r w:rsidRPr="007D64F9">
        <w:rPr>
          <w:rFonts w:ascii="Times New Roman" w:hAnsi="Times New Roman" w:cs="Times New Roman"/>
        </w:rPr>
        <w:t>to align the interests of the PFMC with the interests of the contributors to the funds</w:t>
      </w:r>
      <w:r w:rsidR="00FA68BD" w:rsidRPr="007D64F9">
        <w:rPr>
          <w:rFonts w:ascii="Times New Roman" w:hAnsi="Times New Roman" w:cs="Times New Roman"/>
        </w:rPr>
        <w:t>, t</w:t>
      </w:r>
      <w:r w:rsidRPr="007D64F9">
        <w:rPr>
          <w:rFonts w:ascii="Times New Roman" w:hAnsi="Times New Roman" w:cs="Times New Roman"/>
        </w:rPr>
        <w:t xml:space="preserve">he requirement appears to have </w:t>
      </w:r>
      <w:r w:rsidR="00FA68BD" w:rsidRPr="007D64F9">
        <w:rPr>
          <w:rFonts w:ascii="Times New Roman" w:hAnsi="Times New Roman" w:cs="Times New Roman"/>
        </w:rPr>
        <w:t xml:space="preserve">a distortive </w:t>
      </w:r>
      <w:r w:rsidRPr="007D64F9">
        <w:rPr>
          <w:rFonts w:ascii="Times New Roman" w:hAnsi="Times New Roman" w:cs="Times New Roman"/>
        </w:rPr>
        <w:t xml:space="preserve">effect </w:t>
      </w:r>
      <w:r w:rsidR="00FA68BD" w:rsidRPr="007D64F9">
        <w:rPr>
          <w:rFonts w:ascii="Times New Roman" w:hAnsi="Times New Roman" w:cs="Times New Roman"/>
        </w:rPr>
        <w:t xml:space="preserve">on the asset allocation of pension funds.  </w:t>
      </w:r>
      <w:r w:rsidRPr="007D64F9">
        <w:rPr>
          <w:rFonts w:ascii="Times New Roman" w:hAnsi="Times New Roman" w:cs="Times New Roman"/>
        </w:rPr>
        <w:t xml:space="preserve">PFMCs are concerned with short-term investments with low volatility </w:t>
      </w:r>
      <w:r w:rsidR="00950FAB" w:rsidRPr="007D64F9">
        <w:rPr>
          <w:rFonts w:ascii="Times New Roman" w:hAnsi="Times New Roman" w:cs="Times New Roman"/>
        </w:rPr>
        <w:t xml:space="preserve">for their own </w:t>
      </w:r>
      <w:r w:rsidR="00FA68BD" w:rsidRPr="007D64F9">
        <w:rPr>
          <w:rFonts w:ascii="Times New Roman" w:hAnsi="Times New Roman" w:cs="Times New Roman"/>
        </w:rPr>
        <w:t xml:space="preserve">capital </w:t>
      </w:r>
      <w:r w:rsidRPr="007D64F9">
        <w:rPr>
          <w:rFonts w:ascii="Times New Roman" w:hAnsi="Times New Roman" w:cs="Times New Roman"/>
        </w:rPr>
        <w:t>and to comply with the requirement invest the pension fund assets in these types of investments.  In other words, the requirement seems to align the interests of the contributors with those of the PFMC and not vice versa.</w:t>
      </w:r>
      <w:r w:rsidR="00FA68BD" w:rsidRPr="007D64F9">
        <w:rPr>
          <w:rFonts w:ascii="Times New Roman" w:hAnsi="Times New Roman" w:cs="Times New Roman"/>
        </w:rPr>
        <w:t xml:space="preserve"> As financial institutions, PFMCs are interested in maximizing profits in a shorter span than the pension fund, and the risk criteria might be totally different than the one of a pension fund.</w:t>
      </w:r>
    </w:p>
    <w:p w:rsidR="00806EB4" w:rsidRPr="00085822" w:rsidRDefault="00806EB4" w:rsidP="00806EB4">
      <w:pPr>
        <w:pStyle w:val="Heading3"/>
        <w:rPr>
          <w:rFonts w:ascii="Times New Roman" w:hAnsi="Times New Roman" w:cs="Times New Roman"/>
          <w:i/>
          <w:color w:val="000000" w:themeColor="text1"/>
        </w:rPr>
      </w:pPr>
      <w:r w:rsidRPr="00085822">
        <w:rPr>
          <w:rFonts w:ascii="Times New Roman" w:hAnsi="Times New Roman" w:cs="Times New Roman"/>
          <w:i/>
          <w:color w:val="000000" w:themeColor="text1"/>
        </w:rPr>
        <w:t>Performance Measurement</w:t>
      </w:r>
    </w:p>
    <w:p w:rsidR="00806EB4" w:rsidRPr="006E3E78" w:rsidRDefault="00AC739A" w:rsidP="00806EB4">
      <w:pPr>
        <w:pStyle w:val="ListParagraph"/>
        <w:numPr>
          <w:ilvl w:val="0"/>
          <w:numId w:val="1"/>
        </w:numPr>
        <w:rPr>
          <w:rFonts w:ascii="Times New Roman" w:hAnsi="Times New Roman" w:cs="Times New Roman"/>
        </w:rPr>
      </w:pPr>
      <w:r w:rsidRPr="007D64F9">
        <w:rPr>
          <w:rFonts w:ascii="Times New Roman" w:hAnsi="Times New Roman" w:cs="Times New Roman"/>
        </w:rPr>
        <w:t>Just as the way investment risk is controlled can introduce misalignments into pension fund management and actually end up increasing rather than mitigatin</w:t>
      </w:r>
      <w:r w:rsidRPr="006E3E78">
        <w:rPr>
          <w:rFonts w:ascii="Times New Roman" w:hAnsi="Times New Roman" w:cs="Times New Roman"/>
        </w:rPr>
        <w:t>g pension risk, the way investment risk is mea</w:t>
      </w:r>
      <w:r w:rsidR="00806EB4" w:rsidRPr="006E3E78">
        <w:rPr>
          <w:rFonts w:ascii="Times New Roman" w:hAnsi="Times New Roman" w:cs="Times New Roman"/>
        </w:rPr>
        <w:t>sured can have the same effect.</w:t>
      </w:r>
    </w:p>
    <w:p w:rsidR="00806EB4" w:rsidRPr="005E4D8B" w:rsidRDefault="00AC739A" w:rsidP="00806EB4">
      <w:pPr>
        <w:pStyle w:val="ListParagraph"/>
        <w:numPr>
          <w:ilvl w:val="0"/>
          <w:numId w:val="1"/>
        </w:numPr>
        <w:rPr>
          <w:rFonts w:ascii="Times New Roman" w:hAnsi="Times New Roman" w:cs="Times New Roman"/>
        </w:rPr>
      </w:pPr>
      <w:r w:rsidRPr="006E3E78">
        <w:rPr>
          <w:rFonts w:ascii="Times New Roman" w:hAnsi="Times New Roman" w:cs="Times New Roman"/>
        </w:rPr>
        <w:t>In the absence of more innovative tools for measuring pension risk, the performance of pension funds is typically measured by rates of return</w:t>
      </w:r>
      <w:r w:rsidR="00EC5C81">
        <w:rPr>
          <w:rFonts w:ascii="Times New Roman" w:hAnsi="Times New Roman" w:cs="Times New Roman"/>
        </w:rPr>
        <w:t xml:space="preserve"> (typically in short-term horizons)</w:t>
      </w:r>
      <w:r w:rsidRPr="006E3E78">
        <w:rPr>
          <w:rFonts w:ascii="Times New Roman" w:hAnsi="Times New Roman" w:cs="Times New Roman"/>
        </w:rPr>
        <w:t xml:space="preserve">, which are not only misleading, but they are also poor indicators of pension risk. While rates of return are useful tools for measuring </w:t>
      </w:r>
      <w:r w:rsidR="00FA68BD" w:rsidRPr="006B4FDF">
        <w:rPr>
          <w:rFonts w:ascii="Times New Roman" w:hAnsi="Times New Roman" w:cs="Times New Roman"/>
        </w:rPr>
        <w:t xml:space="preserve">short term </w:t>
      </w:r>
      <w:r w:rsidRPr="006B4FDF">
        <w:rPr>
          <w:rFonts w:ascii="Times New Roman" w:hAnsi="Times New Roman" w:cs="Times New Roman"/>
        </w:rPr>
        <w:t xml:space="preserve">performance, their relevance in </w:t>
      </w:r>
      <w:r w:rsidR="00FA68BD" w:rsidRPr="006B4FDF">
        <w:rPr>
          <w:rFonts w:ascii="Times New Roman" w:hAnsi="Times New Roman" w:cs="Times New Roman"/>
        </w:rPr>
        <w:t xml:space="preserve">mitigating pension risk is limited. In other words, </w:t>
      </w:r>
      <w:r w:rsidRPr="005E4D8B">
        <w:rPr>
          <w:rFonts w:ascii="Times New Roman" w:hAnsi="Times New Roman" w:cs="Times New Roman"/>
        </w:rPr>
        <w:t>answering the question of “will I have enough” does not exist.</w:t>
      </w:r>
    </w:p>
    <w:p w:rsidR="00351201" w:rsidRPr="007D64F9" w:rsidRDefault="00351201" w:rsidP="00806EB4">
      <w:pPr>
        <w:pStyle w:val="ListParagraph"/>
        <w:numPr>
          <w:ilvl w:val="0"/>
          <w:numId w:val="1"/>
        </w:numPr>
        <w:rPr>
          <w:rFonts w:ascii="Times New Roman" w:hAnsi="Times New Roman" w:cs="Times New Roman"/>
        </w:rPr>
      </w:pPr>
      <w:r w:rsidRPr="005E4D8B">
        <w:rPr>
          <w:rFonts w:ascii="Times New Roman" w:hAnsi="Times New Roman" w:cs="Times New Roman"/>
        </w:rPr>
        <w:t xml:space="preserve">If measured in absolute terms, rates of return say very little about the effectiveness of the pension fund managers.  For example, when a contributor receives a report that says that last year </w:t>
      </w:r>
      <w:r w:rsidR="00C73A65" w:rsidRPr="007D64F9">
        <w:rPr>
          <w:rFonts w:ascii="Times New Roman" w:hAnsi="Times New Roman" w:cs="Times New Roman"/>
        </w:rPr>
        <w:t xml:space="preserve">his or </w:t>
      </w:r>
      <w:r w:rsidRPr="007D64F9">
        <w:rPr>
          <w:rFonts w:ascii="Times New Roman" w:hAnsi="Times New Roman" w:cs="Times New Roman"/>
        </w:rPr>
        <w:t xml:space="preserve">her pension fund had a rate of return of 5 percent, the contributor does not have enough information to </w:t>
      </w:r>
      <w:r w:rsidR="00C73A65" w:rsidRPr="007D64F9">
        <w:rPr>
          <w:rFonts w:ascii="Times New Roman" w:hAnsi="Times New Roman" w:cs="Times New Roman"/>
        </w:rPr>
        <w:t>differentiate between</w:t>
      </w:r>
      <w:r w:rsidRPr="007D64F9">
        <w:rPr>
          <w:rFonts w:ascii="Times New Roman" w:hAnsi="Times New Roman" w:cs="Times New Roman"/>
        </w:rPr>
        <w:t xml:space="preserve"> a good </w:t>
      </w:r>
      <w:r w:rsidR="00C73A65" w:rsidRPr="007D64F9">
        <w:rPr>
          <w:rFonts w:ascii="Times New Roman" w:hAnsi="Times New Roman" w:cs="Times New Roman"/>
        </w:rPr>
        <w:t>and a</w:t>
      </w:r>
      <w:r w:rsidRPr="007D64F9">
        <w:rPr>
          <w:rFonts w:ascii="Times New Roman" w:hAnsi="Times New Roman" w:cs="Times New Roman"/>
        </w:rPr>
        <w:t xml:space="preserve"> bad performance. While in the United States, 2-year government bonds offer an annualized rate of approximately 0.34 percent (September 27, 2013), in the Dominican Republic similar government instruments offer an annualized rate of 12.6 percent.  Consequently, a 5 percent rate would be a good return in the United States, but a very poor return in Dominican Republic.  To follow the same example, a 5 percent return in US dollars in September 2007, when 20 year government bond </w:t>
      </w:r>
      <w:r w:rsidR="00C73A65" w:rsidRPr="007D64F9">
        <w:rPr>
          <w:rFonts w:ascii="Times New Roman" w:hAnsi="Times New Roman" w:cs="Times New Roman"/>
        </w:rPr>
        <w:t xml:space="preserve">rates were close to 5 percent, </w:t>
      </w:r>
      <w:r w:rsidRPr="007D64F9">
        <w:rPr>
          <w:rFonts w:ascii="Times New Roman" w:hAnsi="Times New Roman" w:cs="Times New Roman"/>
        </w:rPr>
        <w:t>d</w:t>
      </w:r>
      <w:r w:rsidR="00C73A65" w:rsidRPr="007D64F9">
        <w:rPr>
          <w:rFonts w:ascii="Times New Roman" w:hAnsi="Times New Roman" w:cs="Times New Roman"/>
        </w:rPr>
        <w:t>oes</w:t>
      </w:r>
      <w:r w:rsidRPr="007D64F9">
        <w:rPr>
          <w:rFonts w:ascii="Times New Roman" w:hAnsi="Times New Roman" w:cs="Times New Roman"/>
        </w:rPr>
        <w:t xml:space="preserve"> not seem like </w:t>
      </w:r>
      <w:r w:rsidR="004F3E57" w:rsidRPr="007D64F9">
        <w:rPr>
          <w:rFonts w:ascii="Times New Roman" w:hAnsi="Times New Roman" w:cs="Times New Roman"/>
        </w:rPr>
        <w:t>a</w:t>
      </w:r>
      <w:r w:rsidRPr="007D64F9">
        <w:rPr>
          <w:rFonts w:ascii="Times New Roman" w:hAnsi="Times New Roman" w:cs="Times New Roman"/>
        </w:rPr>
        <w:t xml:space="preserve"> great investment compared </w:t>
      </w:r>
      <w:r w:rsidR="00C73A65" w:rsidRPr="007D64F9">
        <w:rPr>
          <w:rFonts w:ascii="Times New Roman" w:hAnsi="Times New Roman" w:cs="Times New Roman"/>
        </w:rPr>
        <w:t>with</w:t>
      </w:r>
      <w:r w:rsidRPr="007D64F9">
        <w:rPr>
          <w:rFonts w:ascii="Times New Roman" w:hAnsi="Times New Roman" w:cs="Times New Roman"/>
        </w:rPr>
        <w:t xml:space="preserve"> a 5 percent</w:t>
      </w:r>
      <w:r w:rsidR="00546C25" w:rsidRPr="007D64F9">
        <w:rPr>
          <w:rFonts w:ascii="Times New Roman" w:hAnsi="Times New Roman" w:cs="Times New Roman"/>
        </w:rPr>
        <w:t xml:space="preserve"> return</w:t>
      </w:r>
      <w:r w:rsidRPr="007D64F9">
        <w:rPr>
          <w:rFonts w:ascii="Times New Roman" w:hAnsi="Times New Roman" w:cs="Times New Roman"/>
        </w:rPr>
        <w:t xml:space="preserve"> at the end of September of 2013, when 20 year government bond rates are only 3.4 percent.  In addition, comparisons of pension returns across countries, as among other factors, the reference rates ar</w:t>
      </w:r>
      <w:r w:rsidR="00806EB4" w:rsidRPr="007D64F9">
        <w:rPr>
          <w:rFonts w:ascii="Times New Roman" w:hAnsi="Times New Roman" w:cs="Times New Roman"/>
        </w:rPr>
        <w:t>e different, as shown in Table 2</w:t>
      </w:r>
      <w:r w:rsidRPr="007D64F9">
        <w:rPr>
          <w:rFonts w:ascii="Times New Roman" w:hAnsi="Times New Roman" w:cs="Times New Roman"/>
        </w:rPr>
        <w:t>.</w:t>
      </w:r>
    </w:p>
    <w:p w:rsidR="00EC2BD1" w:rsidRDefault="00EC2BD1">
      <w:pPr>
        <w:spacing w:after="0" w:line="240" w:lineRule="auto"/>
        <w:rPr>
          <w:rFonts w:ascii="Times New Roman" w:hAnsi="Times New Roman" w:cs="Times New Roman"/>
          <w:b/>
        </w:rPr>
      </w:pPr>
      <w:r>
        <w:rPr>
          <w:rFonts w:ascii="Times New Roman" w:hAnsi="Times New Roman" w:cs="Times New Roman"/>
          <w:b/>
        </w:rPr>
        <w:br w:type="page"/>
      </w:r>
    </w:p>
    <w:p w:rsidR="00351201" w:rsidRPr="00EB1C3C" w:rsidRDefault="00806EB4" w:rsidP="00351201">
      <w:pPr>
        <w:spacing w:after="0"/>
        <w:ind w:left="720"/>
        <w:rPr>
          <w:rFonts w:ascii="Times New Roman" w:hAnsi="Times New Roman" w:cs="Times New Roman"/>
        </w:rPr>
      </w:pPr>
      <w:r w:rsidRPr="00085822">
        <w:rPr>
          <w:rFonts w:ascii="Times New Roman" w:hAnsi="Times New Roman" w:cs="Times New Roman"/>
          <w:b/>
        </w:rPr>
        <w:lastRenderedPageBreak/>
        <w:t>Table 2</w:t>
      </w:r>
      <w:r w:rsidR="00351201" w:rsidRPr="005E4D8B">
        <w:rPr>
          <w:rFonts w:ascii="Times New Roman" w:hAnsi="Times New Roman" w:cs="Times New Roman"/>
        </w:rPr>
        <w:t>. Long-term nominal interest rates, December 2012</w:t>
      </w:r>
      <w:r w:rsidR="00351201" w:rsidRPr="005E4D8B">
        <w:rPr>
          <w:rFonts w:ascii="Times New Roman" w:hAnsi="Times New Roman" w:cs="Times New Roman"/>
          <w:vertAlign w:val="superscript"/>
        </w:rPr>
        <w:t>a</w:t>
      </w:r>
    </w:p>
    <w:p w:rsidR="00351201" w:rsidRPr="007D64F9" w:rsidRDefault="00351201" w:rsidP="00351201">
      <w:pPr>
        <w:spacing w:after="0"/>
        <w:ind w:left="720"/>
        <w:rPr>
          <w:rFonts w:ascii="Times New Roman" w:hAnsi="Times New Roman" w:cs="Times New Roman"/>
        </w:rPr>
      </w:pPr>
      <w:r w:rsidRPr="007D64F9">
        <w:rPr>
          <w:rFonts w:ascii="Times New Roman" w:hAnsi="Times New Roman" w:cs="Times New Roman"/>
        </w:rPr>
        <w:t>(annual returns)</w:t>
      </w:r>
    </w:p>
    <w:tbl>
      <w:tblPr>
        <w:tblW w:w="6078" w:type="dxa"/>
        <w:tblInd w:w="813" w:type="dxa"/>
        <w:tblLook w:val="04A0" w:firstRow="1" w:lastRow="0" w:firstColumn="1" w:lastColumn="0" w:noHBand="0" w:noVBand="1"/>
      </w:tblPr>
      <w:tblGrid>
        <w:gridCol w:w="2372"/>
        <w:gridCol w:w="496"/>
        <w:gridCol w:w="271"/>
        <w:gridCol w:w="1984"/>
        <w:gridCol w:w="960"/>
      </w:tblGrid>
      <w:tr w:rsidR="00344D61" w:rsidRPr="007D64F9" w:rsidTr="00C73A65">
        <w:trPr>
          <w:trHeight w:val="300"/>
        </w:trPr>
        <w:tc>
          <w:tcPr>
            <w:tcW w:w="2372" w:type="dxa"/>
            <w:tcBorders>
              <w:top w:val="single" w:sz="4" w:space="0" w:color="auto"/>
              <w:left w:val="nil"/>
              <w:bottom w:val="nil"/>
              <w:right w:val="nil"/>
            </w:tcBorders>
            <w:shd w:val="clear" w:color="000000" w:fill="FFFFFF"/>
            <w:noWrap/>
            <w:vAlign w:val="bottom"/>
            <w:hideMark/>
          </w:tcPr>
          <w:p w:rsidR="00351201" w:rsidRPr="006B4FDF" w:rsidRDefault="00351201" w:rsidP="00C73A65">
            <w:pPr>
              <w:spacing w:after="0" w:line="240" w:lineRule="auto"/>
              <w:rPr>
                <w:rFonts w:ascii="Times New Roman" w:eastAsia="Times New Roman" w:hAnsi="Times New Roman" w:cs="Times New Roman"/>
              </w:rPr>
            </w:pPr>
            <w:r w:rsidRPr="006B4FDF">
              <w:rPr>
                <w:rFonts w:ascii="Times New Roman" w:eastAsia="Times New Roman" w:hAnsi="Times New Roman" w:cs="Times New Roman"/>
              </w:rPr>
              <w:t>Bulgaria</w:t>
            </w:r>
          </w:p>
        </w:tc>
        <w:tc>
          <w:tcPr>
            <w:tcW w:w="496" w:type="dxa"/>
            <w:tcBorders>
              <w:top w:val="single" w:sz="4" w:space="0" w:color="auto"/>
              <w:left w:val="nil"/>
              <w:bottom w:val="nil"/>
              <w:right w:val="nil"/>
            </w:tcBorders>
            <w:shd w:val="clear" w:color="000000" w:fill="FFFFFF"/>
            <w:noWrap/>
            <w:vAlign w:val="bottom"/>
            <w:hideMark/>
          </w:tcPr>
          <w:p w:rsidR="00351201" w:rsidRPr="005E4D8B" w:rsidRDefault="00351201" w:rsidP="00C73A65">
            <w:pPr>
              <w:spacing w:after="0" w:line="240" w:lineRule="auto"/>
              <w:jc w:val="right"/>
              <w:rPr>
                <w:rFonts w:ascii="Times New Roman" w:eastAsia="Times New Roman" w:hAnsi="Times New Roman" w:cs="Times New Roman"/>
              </w:rPr>
            </w:pPr>
            <w:r w:rsidRPr="005E4D8B">
              <w:rPr>
                <w:rFonts w:ascii="Times New Roman" w:eastAsia="Times New Roman" w:hAnsi="Times New Roman" w:cs="Times New Roman"/>
              </w:rPr>
              <w:t>3.4</w:t>
            </w:r>
          </w:p>
        </w:tc>
        <w:tc>
          <w:tcPr>
            <w:tcW w:w="266" w:type="dxa"/>
            <w:tcBorders>
              <w:top w:val="single" w:sz="4" w:space="0" w:color="auto"/>
              <w:left w:val="nil"/>
              <w:bottom w:val="nil"/>
              <w:right w:val="nil"/>
            </w:tcBorders>
            <w:shd w:val="clear" w:color="000000" w:fill="FFFFFF"/>
            <w:noWrap/>
            <w:vAlign w:val="bottom"/>
            <w:hideMark/>
          </w:tcPr>
          <w:p w:rsidR="00351201" w:rsidRPr="005E4D8B" w:rsidRDefault="00351201" w:rsidP="00C73A65">
            <w:pPr>
              <w:spacing w:after="0" w:line="240" w:lineRule="auto"/>
              <w:rPr>
                <w:rFonts w:ascii="Times New Roman" w:eastAsia="Times New Roman" w:hAnsi="Times New Roman" w:cs="Times New Roman"/>
              </w:rPr>
            </w:pPr>
            <w:r w:rsidRPr="005E4D8B">
              <w:rPr>
                <w:rFonts w:ascii="Times New Roman" w:eastAsia="Times New Roman" w:hAnsi="Times New Roman" w:cs="Times New Roman"/>
              </w:rPr>
              <w:t> </w:t>
            </w:r>
          </w:p>
        </w:tc>
        <w:tc>
          <w:tcPr>
            <w:tcW w:w="1984" w:type="dxa"/>
            <w:tcBorders>
              <w:top w:val="single" w:sz="4" w:space="0" w:color="auto"/>
              <w:left w:val="nil"/>
              <w:bottom w:val="nil"/>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Chile</w:t>
            </w:r>
          </w:p>
        </w:tc>
        <w:tc>
          <w:tcPr>
            <w:tcW w:w="960" w:type="dxa"/>
            <w:tcBorders>
              <w:top w:val="single" w:sz="4" w:space="0" w:color="auto"/>
              <w:left w:val="nil"/>
              <w:bottom w:val="nil"/>
              <w:right w:val="nil"/>
            </w:tcBorders>
            <w:shd w:val="clear" w:color="000000" w:fill="FFFFFF"/>
            <w:noWrap/>
            <w:vAlign w:val="bottom"/>
            <w:hideMark/>
          </w:tcPr>
          <w:p w:rsidR="00351201" w:rsidRPr="007D64F9" w:rsidRDefault="00351201" w:rsidP="00C73A65">
            <w:pPr>
              <w:spacing w:after="0" w:line="240" w:lineRule="auto"/>
              <w:jc w:val="right"/>
              <w:rPr>
                <w:rFonts w:ascii="Times New Roman" w:eastAsia="Times New Roman" w:hAnsi="Times New Roman" w:cs="Times New Roman"/>
              </w:rPr>
            </w:pPr>
            <w:r w:rsidRPr="007D64F9">
              <w:rPr>
                <w:rFonts w:ascii="Times New Roman" w:eastAsia="Times New Roman" w:hAnsi="Times New Roman" w:cs="Times New Roman"/>
              </w:rPr>
              <w:t>5.5</w:t>
            </w:r>
          </w:p>
        </w:tc>
      </w:tr>
      <w:tr w:rsidR="00344D61" w:rsidRPr="007D64F9" w:rsidTr="00C73A65">
        <w:trPr>
          <w:trHeight w:val="300"/>
        </w:trPr>
        <w:tc>
          <w:tcPr>
            <w:tcW w:w="2372" w:type="dxa"/>
            <w:tcBorders>
              <w:top w:val="nil"/>
              <w:left w:val="nil"/>
              <w:bottom w:val="nil"/>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Croatia</w:t>
            </w:r>
          </w:p>
        </w:tc>
        <w:tc>
          <w:tcPr>
            <w:tcW w:w="49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4.5</w:t>
            </w:r>
          </w:p>
        </w:tc>
        <w:tc>
          <w:tcPr>
            <w:tcW w:w="26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1984"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Colombia</w:t>
            </w:r>
          </w:p>
        </w:tc>
        <w:tc>
          <w:tcPr>
            <w:tcW w:w="960"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5.5</w:t>
            </w:r>
          </w:p>
        </w:tc>
      </w:tr>
      <w:tr w:rsidR="00344D61" w:rsidRPr="007D64F9" w:rsidTr="00C73A65">
        <w:trPr>
          <w:trHeight w:val="300"/>
        </w:trPr>
        <w:tc>
          <w:tcPr>
            <w:tcW w:w="2372" w:type="dxa"/>
            <w:tcBorders>
              <w:top w:val="nil"/>
              <w:left w:val="nil"/>
              <w:bottom w:val="nil"/>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Latvia</w:t>
            </w:r>
          </w:p>
        </w:tc>
        <w:tc>
          <w:tcPr>
            <w:tcW w:w="49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3.2</w:t>
            </w:r>
          </w:p>
        </w:tc>
        <w:tc>
          <w:tcPr>
            <w:tcW w:w="26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1984"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Costa Rica</w:t>
            </w:r>
            <w:r w:rsidRPr="006E3E78">
              <w:rPr>
                <w:rFonts w:ascii="Times New Roman" w:eastAsia="Times New Roman" w:hAnsi="Times New Roman" w:cs="Times New Roman"/>
                <w:vertAlign w:val="superscript"/>
              </w:rPr>
              <w:t>b</w:t>
            </w:r>
          </w:p>
        </w:tc>
        <w:tc>
          <w:tcPr>
            <w:tcW w:w="960" w:type="dxa"/>
            <w:tcBorders>
              <w:top w:val="nil"/>
              <w:left w:val="nil"/>
              <w:bottom w:val="nil"/>
              <w:right w:val="nil"/>
            </w:tcBorders>
            <w:shd w:val="clear" w:color="000000" w:fill="FFFFFF"/>
            <w:noWrap/>
            <w:vAlign w:val="bottom"/>
            <w:hideMark/>
          </w:tcPr>
          <w:p w:rsidR="00351201" w:rsidRPr="006B4FDF" w:rsidRDefault="00351201" w:rsidP="00C73A65">
            <w:pPr>
              <w:spacing w:after="0" w:line="240" w:lineRule="auto"/>
              <w:jc w:val="right"/>
              <w:rPr>
                <w:rFonts w:ascii="Times New Roman" w:eastAsia="Times New Roman" w:hAnsi="Times New Roman" w:cs="Times New Roman"/>
              </w:rPr>
            </w:pPr>
            <w:r w:rsidRPr="006B4FDF">
              <w:rPr>
                <w:rFonts w:ascii="Times New Roman" w:eastAsia="Times New Roman" w:hAnsi="Times New Roman" w:cs="Times New Roman"/>
              </w:rPr>
              <w:t>14.0</w:t>
            </w:r>
          </w:p>
        </w:tc>
      </w:tr>
      <w:tr w:rsidR="00344D61" w:rsidRPr="007D64F9" w:rsidTr="00C73A65">
        <w:trPr>
          <w:trHeight w:val="300"/>
        </w:trPr>
        <w:tc>
          <w:tcPr>
            <w:tcW w:w="2372" w:type="dxa"/>
            <w:tcBorders>
              <w:top w:val="nil"/>
              <w:left w:val="nil"/>
              <w:bottom w:val="nil"/>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Lithuania</w:t>
            </w:r>
          </w:p>
        </w:tc>
        <w:tc>
          <w:tcPr>
            <w:tcW w:w="49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4.0</w:t>
            </w:r>
          </w:p>
        </w:tc>
        <w:tc>
          <w:tcPr>
            <w:tcW w:w="26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1984"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Dominican R.</w:t>
            </w:r>
            <w:r w:rsidRPr="006E3E78">
              <w:rPr>
                <w:rFonts w:ascii="Times New Roman" w:eastAsia="Times New Roman" w:hAnsi="Times New Roman" w:cs="Times New Roman"/>
                <w:vertAlign w:val="superscript"/>
              </w:rPr>
              <w:t>c</w:t>
            </w:r>
          </w:p>
        </w:tc>
        <w:tc>
          <w:tcPr>
            <w:tcW w:w="960" w:type="dxa"/>
            <w:tcBorders>
              <w:top w:val="nil"/>
              <w:left w:val="nil"/>
              <w:bottom w:val="nil"/>
              <w:right w:val="nil"/>
            </w:tcBorders>
            <w:shd w:val="clear" w:color="000000" w:fill="FFFFFF"/>
            <w:noWrap/>
            <w:vAlign w:val="bottom"/>
            <w:hideMark/>
          </w:tcPr>
          <w:p w:rsidR="00351201" w:rsidRPr="006B4FDF" w:rsidRDefault="00351201" w:rsidP="00C73A65">
            <w:pPr>
              <w:spacing w:after="0" w:line="240" w:lineRule="auto"/>
              <w:jc w:val="right"/>
              <w:rPr>
                <w:rFonts w:ascii="Times New Roman" w:eastAsia="Times New Roman" w:hAnsi="Times New Roman" w:cs="Times New Roman"/>
              </w:rPr>
            </w:pPr>
            <w:r w:rsidRPr="006B4FDF">
              <w:rPr>
                <w:rFonts w:ascii="Times New Roman" w:eastAsia="Times New Roman" w:hAnsi="Times New Roman" w:cs="Times New Roman"/>
              </w:rPr>
              <w:t>9.8</w:t>
            </w:r>
          </w:p>
        </w:tc>
      </w:tr>
      <w:tr w:rsidR="00344D61" w:rsidRPr="007D64F9" w:rsidTr="00C73A65">
        <w:trPr>
          <w:trHeight w:val="300"/>
        </w:trPr>
        <w:tc>
          <w:tcPr>
            <w:tcW w:w="2372" w:type="dxa"/>
            <w:tcBorders>
              <w:top w:val="nil"/>
              <w:left w:val="nil"/>
              <w:bottom w:val="nil"/>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Poland</w:t>
            </w:r>
          </w:p>
        </w:tc>
        <w:tc>
          <w:tcPr>
            <w:tcW w:w="49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3.9</w:t>
            </w:r>
          </w:p>
        </w:tc>
        <w:tc>
          <w:tcPr>
            <w:tcW w:w="26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1984"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Mexico</w:t>
            </w:r>
          </w:p>
        </w:tc>
        <w:tc>
          <w:tcPr>
            <w:tcW w:w="960"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5.4</w:t>
            </w:r>
          </w:p>
        </w:tc>
      </w:tr>
      <w:tr w:rsidR="00344D61" w:rsidRPr="007D64F9" w:rsidTr="00C73A65">
        <w:trPr>
          <w:trHeight w:val="300"/>
        </w:trPr>
        <w:tc>
          <w:tcPr>
            <w:tcW w:w="2372" w:type="dxa"/>
            <w:tcBorders>
              <w:top w:val="nil"/>
              <w:left w:val="nil"/>
              <w:bottom w:val="nil"/>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 xml:space="preserve">Slovakia </w:t>
            </w:r>
          </w:p>
        </w:tc>
        <w:tc>
          <w:tcPr>
            <w:tcW w:w="49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3.9</w:t>
            </w:r>
          </w:p>
        </w:tc>
        <w:tc>
          <w:tcPr>
            <w:tcW w:w="26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1984"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Peru</w:t>
            </w:r>
          </w:p>
        </w:tc>
        <w:tc>
          <w:tcPr>
            <w:tcW w:w="960"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4.1</w:t>
            </w:r>
          </w:p>
        </w:tc>
      </w:tr>
      <w:tr w:rsidR="00344D61" w:rsidRPr="007D64F9" w:rsidTr="00C73A65">
        <w:trPr>
          <w:trHeight w:val="300"/>
        </w:trPr>
        <w:tc>
          <w:tcPr>
            <w:tcW w:w="2372" w:type="dxa"/>
            <w:tcBorders>
              <w:top w:val="nil"/>
              <w:left w:val="nil"/>
              <w:bottom w:val="nil"/>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Romania</w:t>
            </w:r>
          </w:p>
        </w:tc>
        <w:tc>
          <w:tcPr>
            <w:tcW w:w="49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6.7</w:t>
            </w:r>
          </w:p>
        </w:tc>
        <w:tc>
          <w:tcPr>
            <w:tcW w:w="26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1984"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center"/>
              <w:rPr>
                <w:rFonts w:ascii="Times New Roman" w:eastAsia="Times New Roman" w:hAnsi="Times New Roman" w:cs="Times New Roman"/>
              </w:rPr>
            </w:pPr>
            <w:r w:rsidRPr="006E3E78">
              <w:rPr>
                <w:rFonts w:ascii="Times New Roman" w:eastAsia="Times New Roman" w:hAnsi="Times New Roman" w:cs="Times New Roman"/>
              </w:rPr>
              <w:t> </w:t>
            </w:r>
          </w:p>
        </w:tc>
        <w:tc>
          <w:tcPr>
            <w:tcW w:w="960"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center"/>
              <w:rPr>
                <w:rFonts w:ascii="Times New Roman" w:eastAsia="Times New Roman" w:hAnsi="Times New Roman" w:cs="Times New Roman"/>
              </w:rPr>
            </w:pPr>
            <w:r w:rsidRPr="006E3E78">
              <w:rPr>
                <w:rFonts w:ascii="Times New Roman" w:eastAsia="Times New Roman" w:hAnsi="Times New Roman" w:cs="Times New Roman"/>
              </w:rPr>
              <w:t> </w:t>
            </w:r>
          </w:p>
        </w:tc>
      </w:tr>
      <w:tr w:rsidR="00344D61" w:rsidRPr="007D64F9" w:rsidTr="00C73A65">
        <w:trPr>
          <w:trHeight w:val="300"/>
        </w:trPr>
        <w:tc>
          <w:tcPr>
            <w:tcW w:w="2372" w:type="dxa"/>
            <w:tcBorders>
              <w:top w:val="nil"/>
              <w:left w:val="nil"/>
              <w:bottom w:val="nil"/>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 </w:t>
            </w:r>
          </w:p>
        </w:tc>
        <w:tc>
          <w:tcPr>
            <w:tcW w:w="49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266"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1984"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center"/>
              <w:rPr>
                <w:rFonts w:ascii="Times New Roman" w:eastAsia="Times New Roman" w:hAnsi="Times New Roman" w:cs="Times New Roman"/>
              </w:rPr>
            </w:pPr>
            <w:r w:rsidRPr="006E3E78">
              <w:rPr>
                <w:rFonts w:ascii="Times New Roman" w:eastAsia="Times New Roman" w:hAnsi="Times New Roman" w:cs="Times New Roman"/>
              </w:rPr>
              <w:t> </w:t>
            </w:r>
          </w:p>
        </w:tc>
        <w:tc>
          <w:tcPr>
            <w:tcW w:w="960" w:type="dxa"/>
            <w:tcBorders>
              <w:top w:val="nil"/>
              <w:left w:val="nil"/>
              <w:bottom w:val="nil"/>
              <w:right w:val="nil"/>
            </w:tcBorders>
            <w:shd w:val="clear" w:color="000000" w:fill="FFFFFF"/>
            <w:noWrap/>
            <w:vAlign w:val="bottom"/>
            <w:hideMark/>
          </w:tcPr>
          <w:p w:rsidR="00351201" w:rsidRPr="006E3E78" w:rsidRDefault="00351201" w:rsidP="00C73A65">
            <w:pPr>
              <w:spacing w:after="0" w:line="240" w:lineRule="auto"/>
              <w:jc w:val="center"/>
              <w:rPr>
                <w:rFonts w:ascii="Times New Roman" w:eastAsia="Times New Roman" w:hAnsi="Times New Roman" w:cs="Times New Roman"/>
              </w:rPr>
            </w:pPr>
            <w:r w:rsidRPr="006E3E78">
              <w:rPr>
                <w:rFonts w:ascii="Times New Roman" w:eastAsia="Times New Roman" w:hAnsi="Times New Roman" w:cs="Times New Roman"/>
              </w:rPr>
              <w:t> </w:t>
            </w:r>
          </w:p>
        </w:tc>
      </w:tr>
      <w:tr w:rsidR="00344D61" w:rsidRPr="007D64F9" w:rsidTr="00C73A65">
        <w:trPr>
          <w:trHeight w:val="300"/>
        </w:trPr>
        <w:tc>
          <w:tcPr>
            <w:tcW w:w="2372" w:type="dxa"/>
            <w:tcBorders>
              <w:top w:val="nil"/>
              <w:left w:val="nil"/>
              <w:bottom w:val="single" w:sz="4" w:space="0" w:color="auto"/>
              <w:right w:val="nil"/>
            </w:tcBorders>
            <w:shd w:val="clear" w:color="000000" w:fill="FFFFFF"/>
            <w:noWrap/>
            <w:vAlign w:val="bottom"/>
            <w:hideMark/>
          </w:tcPr>
          <w:p w:rsidR="00351201" w:rsidRPr="007D64F9" w:rsidRDefault="00351201" w:rsidP="00C73A65">
            <w:pPr>
              <w:spacing w:after="0" w:line="240" w:lineRule="auto"/>
              <w:rPr>
                <w:rFonts w:ascii="Times New Roman" w:eastAsia="Times New Roman" w:hAnsi="Times New Roman" w:cs="Times New Roman"/>
              </w:rPr>
            </w:pPr>
            <w:r w:rsidRPr="007D64F9">
              <w:rPr>
                <w:rFonts w:ascii="Times New Roman" w:eastAsia="Times New Roman" w:hAnsi="Times New Roman" w:cs="Times New Roman"/>
              </w:rPr>
              <w:t>United Kingdom</w:t>
            </w:r>
          </w:p>
        </w:tc>
        <w:tc>
          <w:tcPr>
            <w:tcW w:w="496" w:type="dxa"/>
            <w:tcBorders>
              <w:top w:val="nil"/>
              <w:left w:val="nil"/>
              <w:bottom w:val="single" w:sz="4" w:space="0" w:color="auto"/>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1.7</w:t>
            </w:r>
          </w:p>
        </w:tc>
        <w:tc>
          <w:tcPr>
            <w:tcW w:w="266" w:type="dxa"/>
            <w:tcBorders>
              <w:top w:val="nil"/>
              <w:left w:val="nil"/>
              <w:bottom w:val="single" w:sz="4" w:space="0" w:color="auto"/>
              <w:right w:val="nil"/>
            </w:tcBorders>
            <w:shd w:val="clear" w:color="000000" w:fill="FFFFFF"/>
            <w:noWrap/>
            <w:vAlign w:val="bottom"/>
            <w:hideMark/>
          </w:tcPr>
          <w:p w:rsidR="00351201" w:rsidRPr="006E3E78" w:rsidRDefault="00351201" w:rsidP="00C73A65">
            <w:pPr>
              <w:spacing w:after="0" w:line="240" w:lineRule="auto"/>
              <w:rPr>
                <w:rFonts w:ascii="Times New Roman" w:eastAsia="Times New Roman" w:hAnsi="Times New Roman" w:cs="Times New Roman"/>
              </w:rPr>
            </w:pPr>
            <w:r w:rsidRPr="006E3E78">
              <w:rPr>
                <w:rFonts w:ascii="Times New Roman" w:eastAsia="Times New Roman" w:hAnsi="Times New Roman" w:cs="Times New Roman"/>
              </w:rPr>
              <w:t> </w:t>
            </w:r>
          </w:p>
        </w:tc>
        <w:tc>
          <w:tcPr>
            <w:tcW w:w="1984" w:type="dxa"/>
            <w:tcBorders>
              <w:top w:val="nil"/>
              <w:left w:val="nil"/>
              <w:bottom w:val="single" w:sz="4" w:space="0" w:color="auto"/>
              <w:right w:val="nil"/>
            </w:tcBorders>
            <w:shd w:val="clear" w:color="000000" w:fill="FFFFFF"/>
            <w:noWrap/>
            <w:vAlign w:val="bottom"/>
            <w:hideMark/>
          </w:tcPr>
          <w:p w:rsidR="00351201" w:rsidRPr="006E3E78" w:rsidRDefault="00351201" w:rsidP="00C73A65">
            <w:pPr>
              <w:spacing w:after="0" w:line="240" w:lineRule="auto"/>
              <w:jc w:val="center"/>
              <w:rPr>
                <w:rFonts w:ascii="Times New Roman" w:eastAsia="Times New Roman" w:hAnsi="Times New Roman" w:cs="Times New Roman"/>
              </w:rPr>
            </w:pPr>
            <w:r w:rsidRPr="006E3E78">
              <w:rPr>
                <w:rFonts w:ascii="Times New Roman" w:eastAsia="Times New Roman" w:hAnsi="Times New Roman" w:cs="Times New Roman"/>
              </w:rPr>
              <w:t>United States</w:t>
            </w:r>
          </w:p>
        </w:tc>
        <w:tc>
          <w:tcPr>
            <w:tcW w:w="960" w:type="dxa"/>
            <w:tcBorders>
              <w:top w:val="nil"/>
              <w:left w:val="nil"/>
              <w:bottom w:val="single" w:sz="4" w:space="0" w:color="auto"/>
              <w:right w:val="nil"/>
            </w:tcBorders>
            <w:shd w:val="clear" w:color="000000" w:fill="FFFFFF"/>
            <w:noWrap/>
            <w:vAlign w:val="bottom"/>
            <w:hideMark/>
          </w:tcPr>
          <w:p w:rsidR="00351201" w:rsidRPr="006E3E78" w:rsidRDefault="00351201" w:rsidP="00C73A65">
            <w:pPr>
              <w:spacing w:after="0" w:line="240" w:lineRule="auto"/>
              <w:jc w:val="right"/>
              <w:rPr>
                <w:rFonts w:ascii="Times New Roman" w:eastAsia="Times New Roman" w:hAnsi="Times New Roman" w:cs="Times New Roman"/>
              </w:rPr>
            </w:pPr>
            <w:r w:rsidRPr="006E3E78">
              <w:rPr>
                <w:rFonts w:ascii="Times New Roman" w:eastAsia="Times New Roman" w:hAnsi="Times New Roman" w:cs="Times New Roman"/>
              </w:rPr>
              <w:t>1.86</w:t>
            </w:r>
          </w:p>
        </w:tc>
      </w:tr>
    </w:tbl>
    <w:p w:rsidR="00351201" w:rsidRPr="007D64F9" w:rsidRDefault="00351201" w:rsidP="00351201">
      <w:pPr>
        <w:spacing w:after="0"/>
        <w:ind w:left="720"/>
        <w:rPr>
          <w:rFonts w:ascii="Times New Roman" w:hAnsi="Times New Roman" w:cs="Times New Roman"/>
          <w:sz w:val="18"/>
          <w:szCs w:val="18"/>
        </w:rPr>
      </w:pPr>
      <w:r w:rsidRPr="007D64F9">
        <w:rPr>
          <w:rFonts w:ascii="Times New Roman" w:hAnsi="Times New Roman" w:cs="Times New Roman"/>
          <w:sz w:val="18"/>
          <w:szCs w:val="18"/>
        </w:rPr>
        <w:t xml:space="preserve">a 10 year government bond rates, and convergence rates in the case of EU countries. </w:t>
      </w:r>
    </w:p>
    <w:p w:rsidR="00351201" w:rsidRPr="006E3E78" w:rsidRDefault="00351201" w:rsidP="00351201">
      <w:pPr>
        <w:spacing w:after="0"/>
        <w:ind w:left="720"/>
        <w:rPr>
          <w:rFonts w:ascii="Times New Roman" w:hAnsi="Times New Roman" w:cs="Times New Roman"/>
          <w:sz w:val="18"/>
          <w:szCs w:val="18"/>
        </w:rPr>
      </w:pPr>
      <w:r w:rsidRPr="006E3E78">
        <w:rPr>
          <w:rFonts w:ascii="Times New Roman" w:hAnsi="Times New Roman" w:cs="Times New Roman"/>
          <w:sz w:val="18"/>
          <w:szCs w:val="18"/>
        </w:rPr>
        <w:t>b interest rate of 2-year bond</w:t>
      </w:r>
    </w:p>
    <w:p w:rsidR="00351201" w:rsidRPr="006E3E78" w:rsidRDefault="00351201" w:rsidP="00351201">
      <w:pPr>
        <w:spacing w:after="0"/>
        <w:ind w:left="720"/>
        <w:rPr>
          <w:rFonts w:ascii="Times New Roman" w:hAnsi="Times New Roman" w:cs="Times New Roman"/>
          <w:sz w:val="18"/>
          <w:szCs w:val="18"/>
        </w:rPr>
      </w:pPr>
      <w:r w:rsidRPr="006E3E78">
        <w:rPr>
          <w:rFonts w:ascii="Times New Roman" w:hAnsi="Times New Roman" w:cs="Times New Roman"/>
          <w:sz w:val="18"/>
          <w:szCs w:val="18"/>
        </w:rPr>
        <w:t>c average interest rate of bonds with maturity of 4-7 years</w:t>
      </w:r>
    </w:p>
    <w:p w:rsidR="00351201" w:rsidRPr="006E3E78" w:rsidRDefault="00351201" w:rsidP="00351201">
      <w:pPr>
        <w:spacing w:after="0"/>
        <w:ind w:left="720"/>
        <w:rPr>
          <w:rFonts w:ascii="Times New Roman" w:hAnsi="Times New Roman" w:cs="Times New Roman"/>
          <w:sz w:val="18"/>
          <w:szCs w:val="18"/>
        </w:rPr>
      </w:pPr>
      <w:r w:rsidRPr="006E3E78">
        <w:rPr>
          <w:rFonts w:ascii="Times New Roman" w:hAnsi="Times New Roman" w:cs="Times New Roman"/>
          <w:sz w:val="18"/>
          <w:szCs w:val="18"/>
        </w:rPr>
        <w:t xml:space="preserve">Source. European Central Bank and country sources </w:t>
      </w:r>
    </w:p>
    <w:p w:rsidR="00351201" w:rsidRPr="006E3E78" w:rsidRDefault="00351201" w:rsidP="00351201">
      <w:pPr>
        <w:pStyle w:val="ListParagraph"/>
        <w:rPr>
          <w:rFonts w:ascii="Times New Roman" w:hAnsi="Times New Roman" w:cs="Times New Roman"/>
        </w:rPr>
      </w:pPr>
    </w:p>
    <w:p w:rsidR="00E30C1F" w:rsidRPr="007D64F9" w:rsidRDefault="00351201" w:rsidP="00E30C1F">
      <w:pPr>
        <w:pStyle w:val="ListParagraph"/>
        <w:numPr>
          <w:ilvl w:val="0"/>
          <w:numId w:val="1"/>
        </w:numPr>
        <w:rPr>
          <w:rFonts w:ascii="Times New Roman" w:hAnsi="Times New Roman" w:cs="Times New Roman"/>
        </w:rPr>
      </w:pPr>
      <w:r w:rsidRPr="006B4FDF">
        <w:rPr>
          <w:rFonts w:ascii="Times New Roman" w:hAnsi="Times New Roman" w:cs="Times New Roman"/>
        </w:rPr>
        <w:t>Short-term Treasury rates are not the proper benchmark for measuring performance of pension funds, as they do not take into consideration the reinvestment r</w:t>
      </w:r>
      <w:r w:rsidRPr="005E4D8B">
        <w:rPr>
          <w:rFonts w:ascii="Times New Roman" w:hAnsi="Times New Roman" w:cs="Times New Roman"/>
        </w:rPr>
        <w:t xml:space="preserve">isk. Reinvestment risk is an important risk for pension funds because of the long-term nature of their liabilities. However, reinvestment risk is not measured when short rate returns are considered. For example, in the case of Brazil, open pension funds are heavily invested in short term rates (overnight). Between September 2010 and September 2012, interest rates have decreased by approximately 500 basis points (see Figure </w:t>
      </w:r>
      <w:r w:rsidR="00FA68BD" w:rsidRPr="007D64F9">
        <w:rPr>
          <w:rFonts w:ascii="Times New Roman" w:hAnsi="Times New Roman" w:cs="Times New Roman"/>
        </w:rPr>
        <w:t>1</w:t>
      </w:r>
      <w:r w:rsidRPr="007D64F9">
        <w:rPr>
          <w:rFonts w:ascii="Times New Roman" w:hAnsi="Times New Roman" w:cs="Times New Roman"/>
        </w:rPr>
        <w:t>). During this period the returns of pension funds have decreased by the same amount. By contrast, having the pension funds invested in bonds with longer maturities,</w:t>
      </w:r>
      <w:r w:rsidRPr="007D64F9">
        <w:rPr>
          <w:rStyle w:val="FootnoteReference"/>
          <w:rFonts w:ascii="Times New Roman" w:hAnsi="Times New Roman" w:cs="Times New Roman"/>
        </w:rPr>
        <w:footnoteReference w:id="24"/>
      </w:r>
      <w:r w:rsidRPr="007D64F9">
        <w:rPr>
          <w:rFonts w:ascii="Times New Roman" w:hAnsi="Times New Roman" w:cs="Times New Roman"/>
        </w:rPr>
        <w:t xml:space="preserve"> contributors would have not suffered lower returns as short interest </w:t>
      </w:r>
      <w:r w:rsidR="00546C25" w:rsidRPr="007D64F9">
        <w:rPr>
          <w:rFonts w:ascii="Times New Roman" w:hAnsi="Times New Roman" w:cs="Times New Roman"/>
        </w:rPr>
        <w:t xml:space="preserve">rates </w:t>
      </w:r>
      <w:r w:rsidRPr="007D64F9">
        <w:rPr>
          <w:rFonts w:ascii="Times New Roman" w:hAnsi="Times New Roman" w:cs="Times New Roman"/>
        </w:rPr>
        <w:t>moved down</w:t>
      </w:r>
      <w:r w:rsidR="00546C25" w:rsidRPr="007D64F9">
        <w:rPr>
          <w:rFonts w:ascii="Times New Roman" w:hAnsi="Times New Roman" w:cs="Times New Roman"/>
        </w:rPr>
        <w:t>,</w:t>
      </w:r>
      <w:r w:rsidRPr="007D64F9">
        <w:rPr>
          <w:rFonts w:ascii="Times New Roman" w:hAnsi="Times New Roman" w:cs="Times New Roman"/>
        </w:rPr>
        <w:t xml:space="preserve"> because of the absence of reinvestment risk. As shown in Figure </w:t>
      </w:r>
      <w:r w:rsidR="00FA68BD" w:rsidRPr="007D64F9">
        <w:rPr>
          <w:rFonts w:ascii="Times New Roman" w:hAnsi="Times New Roman" w:cs="Times New Roman"/>
        </w:rPr>
        <w:t>2</w:t>
      </w:r>
      <w:r w:rsidRPr="007D64F9">
        <w:rPr>
          <w:rFonts w:ascii="Times New Roman" w:hAnsi="Times New Roman" w:cs="Times New Roman"/>
        </w:rPr>
        <w:t xml:space="preserve">, the yield curve in October 2010 would have allowed pension funds to lock </w:t>
      </w:r>
      <w:r w:rsidR="00546C25" w:rsidRPr="007D64F9">
        <w:rPr>
          <w:rFonts w:ascii="Times New Roman" w:hAnsi="Times New Roman" w:cs="Times New Roman"/>
        </w:rPr>
        <w:t xml:space="preserve">in </w:t>
      </w:r>
      <w:r w:rsidRPr="007D64F9">
        <w:rPr>
          <w:rFonts w:ascii="Times New Roman" w:hAnsi="Times New Roman" w:cs="Times New Roman"/>
        </w:rPr>
        <w:t>interest rates at levels above 11.8 percent</w:t>
      </w:r>
      <w:r w:rsidR="00CE3CCD" w:rsidRPr="007D64F9">
        <w:rPr>
          <w:rFonts w:ascii="Times New Roman" w:hAnsi="Times New Roman" w:cs="Times New Roman"/>
        </w:rPr>
        <w:t>.</w:t>
      </w:r>
      <w:r w:rsidR="00FE1A14" w:rsidRPr="007D64F9">
        <w:rPr>
          <w:rFonts w:ascii="Times New Roman" w:hAnsi="Times New Roman" w:cs="Times New Roman"/>
        </w:rPr>
        <w:br/>
      </w:r>
    </w:p>
    <w:p w:rsidR="00085822" w:rsidRDefault="00085822" w:rsidP="00E30C1F">
      <w:pPr>
        <w:pStyle w:val="ListParagraph"/>
        <w:rPr>
          <w:rFonts w:ascii="Times New Roman" w:hAnsi="Times New Roman" w:cs="Times New Roman"/>
          <w:b/>
        </w:rPr>
      </w:pPr>
    </w:p>
    <w:p w:rsidR="00085822" w:rsidRDefault="00085822" w:rsidP="00E30C1F">
      <w:pPr>
        <w:pStyle w:val="ListParagraph"/>
        <w:rPr>
          <w:rFonts w:ascii="Times New Roman" w:hAnsi="Times New Roman" w:cs="Times New Roman"/>
          <w:b/>
        </w:rPr>
      </w:pPr>
    </w:p>
    <w:p w:rsidR="00EC2BD1" w:rsidRDefault="00EC2BD1" w:rsidP="00E30C1F">
      <w:pPr>
        <w:pStyle w:val="ListParagraph"/>
        <w:rPr>
          <w:rFonts w:ascii="Times New Roman" w:hAnsi="Times New Roman" w:cs="Times New Roman"/>
          <w:b/>
        </w:rPr>
      </w:pPr>
    </w:p>
    <w:p w:rsidR="00EC2BD1" w:rsidRDefault="00EC2BD1">
      <w:pPr>
        <w:spacing w:after="0" w:line="240" w:lineRule="auto"/>
        <w:rPr>
          <w:rFonts w:ascii="Times New Roman" w:hAnsi="Times New Roman" w:cs="Times New Roman"/>
          <w:b/>
        </w:rPr>
      </w:pPr>
      <w:r>
        <w:rPr>
          <w:rFonts w:ascii="Times New Roman" w:hAnsi="Times New Roman" w:cs="Times New Roman"/>
          <w:b/>
        </w:rPr>
        <w:br w:type="page"/>
      </w:r>
    </w:p>
    <w:p w:rsidR="00684754" w:rsidRPr="007D64F9" w:rsidRDefault="00684754" w:rsidP="00E30C1F">
      <w:pPr>
        <w:pStyle w:val="ListParagraph"/>
        <w:rPr>
          <w:rFonts w:ascii="Times New Roman" w:hAnsi="Times New Roman" w:cs="Times New Roman"/>
        </w:rPr>
      </w:pPr>
      <w:r w:rsidRPr="00085822">
        <w:rPr>
          <w:rFonts w:ascii="Times New Roman" w:hAnsi="Times New Roman" w:cs="Times New Roman"/>
          <w:b/>
        </w:rPr>
        <w:lastRenderedPageBreak/>
        <w:t xml:space="preserve">Figure </w:t>
      </w:r>
      <w:r w:rsidR="00085822">
        <w:rPr>
          <w:rFonts w:ascii="Times New Roman" w:hAnsi="Times New Roman" w:cs="Times New Roman"/>
          <w:b/>
        </w:rPr>
        <w:t>1</w:t>
      </w:r>
      <w:r w:rsidRPr="00085822">
        <w:rPr>
          <w:rFonts w:ascii="Times New Roman" w:hAnsi="Times New Roman" w:cs="Times New Roman"/>
          <w:b/>
        </w:rPr>
        <w:t xml:space="preserve">. </w:t>
      </w:r>
      <w:r w:rsidRPr="007D64F9">
        <w:rPr>
          <w:rFonts w:ascii="Times New Roman" w:hAnsi="Times New Roman" w:cs="Times New Roman"/>
        </w:rPr>
        <w:t>Brazil: Short-term interest rates, September 2010-September 2013</w:t>
      </w:r>
      <w:r w:rsidRPr="007D64F9">
        <w:rPr>
          <w:rFonts w:ascii="Times New Roman" w:hAnsi="Times New Roman" w:cs="Times New Roman"/>
          <w:vertAlign w:val="superscript"/>
        </w:rPr>
        <w:t>a</w:t>
      </w:r>
    </w:p>
    <w:p w:rsidR="0043268C" w:rsidRPr="007D64F9" w:rsidRDefault="0043268C" w:rsidP="00552141">
      <w:pPr>
        <w:pStyle w:val="ListParagraph"/>
        <w:spacing w:after="0"/>
        <w:rPr>
          <w:rFonts w:ascii="Times New Roman" w:hAnsi="Times New Roman" w:cs="Times New Roman"/>
        </w:rPr>
      </w:pPr>
      <w:r w:rsidRPr="007D64F9">
        <w:rPr>
          <w:rFonts w:ascii="Times New Roman" w:hAnsi="Times New Roman" w:cs="Times New Roman"/>
        </w:rPr>
        <w:t xml:space="preserve"> </w:t>
      </w:r>
      <w:r w:rsidR="00684754" w:rsidRPr="007D64F9">
        <w:rPr>
          <w:rFonts w:ascii="Times New Roman" w:hAnsi="Times New Roman" w:cs="Times New Roman"/>
          <w:noProof/>
        </w:rPr>
        <w:drawing>
          <wp:inline distT="0" distB="0" distL="0" distR="0" wp14:anchorId="34887EE1" wp14:editId="73784D76">
            <wp:extent cx="4638675" cy="29432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754" w:rsidRPr="006E3E78" w:rsidRDefault="00684754" w:rsidP="00684754">
      <w:pPr>
        <w:spacing w:after="0"/>
        <w:ind w:left="720"/>
        <w:rPr>
          <w:rFonts w:ascii="Times New Roman" w:hAnsi="Times New Roman" w:cs="Times New Roman"/>
          <w:sz w:val="18"/>
          <w:szCs w:val="18"/>
        </w:rPr>
      </w:pPr>
      <w:r w:rsidRPr="006E3E78">
        <w:rPr>
          <w:rFonts w:ascii="Times New Roman" w:hAnsi="Times New Roman" w:cs="Times New Roman"/>
          <w:sz w:val="18"/>
          <w:szCs w:val="18"/>
          <w:vertAlign w:val="superscript"/>
        </w:rPr>
        <w:t>a</w:t>
      </w:r>
      <w:r w:rsidRPr="006E3E78">
        <w:rPr>
          <w:rFonts w:ascii="Times New Roman" w:hAnsi="Times New Roman" w:cs="Times New Roman"/>
          <w:sz w:val="18"/>
          <w:szCs w:val="18"/>
        </w:rPr>
        <w:t xml:space="preserve"> DI funds are indexed to one year CDI. Selic is the overnight rate targeted by the Central Bank for monetary policy purposes.</w:t>
      </w:r>
    </w:p>
    <w:p w:rsidR="00684754" w:rsidRDefault="00684754" w:rsidP="00FE1A14">
      <w:pPr>
        <w:spacing w:after="0"/>
        <w:ind w:firstLine="720"/>
        <w:rPr>
          <w:rFonts w:ascii="Times New Roman" w:hAnsi="Times New Roman" w:cs="Times New Roman"/>
          <w:sz w:val="18"/>
          <w:szCs w:val="18"/>
        </w:rPr>
      </w:pPr>
      <w:r w:rsidRPr="006E3E78">
        <w:rPr>
          <w:rFonts w:ascii="Times New Roman" w:hAnsi="Times New Roman" w:cs="Times New Roman"/>
          <w:sz w:val="18"/>
          <w:szCs w:val="18"/>
        </w:rPr>
        <w:t>Source: Deutsche Bank</w:t>
      </w:r>
    </w:p>
    <w:p w:rsidR="00552141" w:rsidRDefault="00552141" w:rsidP="00FE1A14">
      <w:pPr>
        <w:spacing w:after="0"/>
        <w:ind w:firstLine="720"/>
        <w:rPr>
          <w:rFonts w:ascii="Times New Roman" w:hAnsi="Times New Roman" w:cs="Times New Roman"/>
          <w:sz w:val="18"/>
          <w:szCs w:val="18"/>
        </w:rPr>
      </w:pPr>
    </w:p>
    <w:p w:rsidR="00552141" w:rsidRPr="006E3E78" w:rsidRDefault="00552141" w:rsidP="00FE1A14">
      <w:pPr>
        <w:spacing w:after="0"/>
        <w:ind w:firstLine="720"/>
        <w:rPr>
          <w:rFonts w:ascii="Times New Roman" w:hAnsi="Times New Roman" w:cs="Times New Roman"/>
          <w:sz w:val="18"/>
          <w:szCs w:val="18"/>
        </w:rPr>
      </w:pPr>
    </w:p>
    <w:p w:rsidR="00684754" w:rsidRPr="005E4D8B" w:rsidRDefault="00684754" w:rsidP="00552141">
      <w:pPr>
        <w:spacing w:after="0" w:line="240" w:lineRule="auto"/>
        <w:rPr>
          <w:rFonts w:ascii="Times New Roman" w:hAnsi="Times New Roman" w:cs="Times New Roman"/>
        </w:rPr>
      </w:pPr>
      <w:r w:rsidRPr="00085822">
        <w:rPr>
          <w:rFonts w:ascii="Times New Roman" w:hAnsi="Times New Roman" w:cs="Times New Roman"/>
          <w:b/>
        </w:rPr>
        <w:t xml:space="preserve">Figure </w:t>
      </w:r>
      <w:r w:rsidR="00085822">
        <w:rPr>
          <w:rFonts w:ascii="Times New Roman" w:hAnsi="Times New Roman" w:cs="Times New Roman"/>
          <w:b/>
        </w:rPr>
        <w:t>2</w:t>
      </w:r>
      <w:r w:rsidRPr="005E4D8B">
        <w:rPr>
          <w:rFonts w:ascii="Times New Roman" w:hAnsi="Times New Roman" w:cs="Times New Roman"/>
        </w:rPr>
        <w:t>. Brazil: Points of the Nominal Yield Curve, October 27, 2010</w:t>
      </w:r>
      <w:r w:rsidRPr="005E4D8B">
        <w:rPr>
          <w:rFonts w:ascii="Times New Roman" w:hAnsi="Times New Roman" w:cs="Times New Roman"/>
          <w:vertAlign w:val="superscript"/>
        </w:rPr>
        <w:t>a</w:t>
      </w:r>
    </w:p>
    <w:p w:rsidR="00684754" w:rsidRPr="005E4D8B" w:rsidRDefault="00684754" w:rsidP="00684754">
      <w:pPr>
        <w:spacing w:after="0"/>
        <w:ind w:left="810"/>
        <w:rPr>
          <w:rFonts w:ascii="Times New Roman" w:hAnsi="Times New Roman" w:cs="Times New Roman"/>
          <w:sz w:val="18"/>
          <w:szCs w:val="18"/>
        </w:rPr>
      </w:pPr>
      <w:r w:rsidRPr="005E4D8B">
        <w:rPr>
          <w:rFonts w:ascii="Times New Roman" w:hAnsi="Times New Roman" w:cs="Times New Roman"/>
          <w:noProof/>
        </w:rPr>
        <w:drawing>
          <wp:inline distT="0" distB="0" distL="0" distR="0" wp14:anchorId="69408BE5" wp14:editId="6C43BCE9">
            <wp:extent cx="3886200" cy="21145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4754" w:rsidRPr="007D64F9" w:rsidRDefault="00684754" w:rsidP="00684754">
      <w:pPr>
        <w:spacing w:after="0"/>
        <w:ind w:left="360"/>
        <w:rPr>
          <w:rFonts w:ascii="Times New Roman" w:hAnsi="Times New Roman" w:cs="Times New Roman"/>
          <w:sz w:val="18"/>
          <w:szCs w:val="18"/>
        </w:rPr>
      </w:pPr>
      <w:r w:rsidRPr="007D64F9">
        <w:rPr>
          <w:rFonts w:ascii="Times New Roman" w:hAnsi="Times New Roman" w:cs="Times New Roman"/>
          <w:sz w:val="18"/>
          <w:szCs w:val="18"/>
        </w:rPr>
        <w:t xml:space="preserve"> </w:t>
      </w:r>
      <w:r w:rsidRPr="007D64F9">
        <w:rPr>
          <w:rFonts w:ascii="Times New Roman" w:hAnsi="Times New Roman" w:cs="Times New Roman"/>
          <w:sz w:val="18"/>
          <w:szCs w:val="18"/>
          <w:vertAlign w:val="superscript"/>
        </w:rPr>
        <w:t>a</w:t>
      </w:r>
      <w:r w:rsidRPr="007D64F9">
        <w:rPr>
          <w:rFonts w:ascii="Times New Roman" w:hAnsi="Times New Roman" w:cs="Times New Roman"/>
          <w:sz w:val="18"/>
          <w:szCs w:val="18"/>
        </w:rPr>
        <w:t xml:space="preserve"> Points in the yield curve reflect prices of NTNF</w:t>
      </w:r>
    </w:p>
    <w:p w:rsidR="00806EB4" w:rsidRPr="007D64F9" w:rsidRDefault="00684754" w:rsidP="00806EB4">
      <w:pPr>
        <w:ind w:left="360"/>
        <w:rPr>
          <w:rFonts w:ascii="Times New Roman" w:hAnsi="Times New Roman" w:cs="Times New Roman"/>
          <w:sz w:val="18"/>
          <w:szCs w:val="18"/>
        </w:rPr>
      </w:pPr>
      <w:r w:rsidRPr="007D64F9">
        <w:rPr>
          <w:rFonts w:ascii="Times New Roman" w:hAnsi="Times New Roman" w:cs="Times New Roman"/>
          <w:sz w:val="18"/>
          <w:szCs w:val="18"/>
        </w:rPr>
        <w:t>Source. Deutsche Bank</w:t>
      </w:r>
    </w:p>
    <w:p w:rsidR="00806EB4" w:rsidRPr="006B4FDF" w:rsidRDefault="005437A8" w:rsidP="00806EB4">
      <w:pPr>
        <w:pStyle w:val="ListParagraph"/>
        <w:numPr>
          <w:ilvl w:val="0"/>
          <w:numId w:val="1"/>
        </w:numPr>
        <w:rPr>
          <w:rFonts w:ascii="Times New Roman" w:hAnsi="Times New Roman" w:cs="Times New Roman"/>
          <w:b/>
        </w:rPr>
      </w:pPr>
      <w:r w:rsidRPr="007D64F9">
        <w:rPr>
          <w:rFonts w:ascii="Times New Roman" w:hAnsi="Times New Roman" w:cs="Times New Roman"/>
        </w:rPr>
        <w:t xml:space="preserve">It could be argued that even if performance were measured properly (against </w:t>
      </w:r>
      <w:r w:rsidR="000946EE" w:rsidRPr="007D64F9">
        <w:rPr>
          <w:rFonts w:ascii="Times New Roman" w:hAnsi="Times New Roman" w:cs="Times New Roman"/>
        </w:rPr>
        <w:t xml:space="preserve">long term benchmarks </w:t>
      </w:r>
      <w:r w:rsidRPr="007D64F9">
        <w:rPr>
          <w:rFonts w:ascii="Times New Roman" w:hAnsi="Times New Roman" w:cs="Times New Roman"/>
        </w:rPr>
        <w:t>rather than short-term volatility) individuals would not be able to assess this properly due to low levels of financial literacy</w:t>
      </w:r>
      <w:r w:rsidR="00806EB4" w:rsidRPr="007D64F9">
        <w:rPr>
          <w:rFonts w:ascii="Times New Roman" w:hAnsi="Times New Roman" w:cs="Times New Roman"/>
        </w:rPr>
        <w:t>.</w:t>
      </w:r>
    </w:p>
    <w:p w:rsidR="00806EB4" w:rsidRPr="006B4FDF" w:rsidRDefault="00EE24A5" w:rsidP="00EE24A5">
      <w:pPr>
        <w:pStyle w:val="ListParagraph"/>
        <w:numPr>
          <w:ilvl w:val="0"/>
          <w:numId w:val="1"/>
        </w:numPr>
        <w:rPr>
          <w:rFonts w:ascii="Times New Roman" w:hAnsi="Times New Roman" w:cs="Times New Roman"/>
          <w:b/>
        </w:rPr>
      </w:pPr>
      <w:r w:rsidRPr="007D64F9">
        <w:rPr>
          <w:rFonts w:ascii="Times New Roman" w:hAnsi="Times New Roman" w:cs="Times New Roman"/>
        </w:rPr>
        <w:t xml:space="preserve">Given the </w:t>
      </w:r>
      <w:r w:rsidRPr="006E3E78">
        <w:rPr>
          <w:rFonts w:ascii="Times New Roman" w:hAnsi="Times New Roman" w:cs="Times New Roman"/>
        </w:rPr>
        <w:t xml:space="preserve">complexity </w:t>
      </w:r>
      <w:r w:rsidR="00724413">
        <w:rPr>
          <w:rFonts w:ascii="Times New Roman" w:hAnsi="Times New Roman" w:cs="Times New Roman"/>
        </w:rPr>
        <w:t>of the decisions that contributors are required to make</w:t>
      </w:r>
      <w:r w:rsidRPr="006E3E78">
        <w:rPr>
          <w:rFonts w:ascii="Times New Roman" w:hAnsi="Times New Roman" w:cs="Times New Roman"/>
        </w:rPr>
        <w:t>,</w:t>
      </w:r>
      <w:r w:rsidRPr="006B4FDF">
        <w:rPr>
          <w:rFonts w:ascii="Times New Roman" w:hAnsi="Times New Roman" w:cs="Times New Roman"/>
        </w:rPr>
        <w:t xml:space="preserve"> it becomes difficult for </w:t>
      </w:r>
      <w:r w:rsidRPr="005E4D8B">
        <w:rPr>
          <w:rFonts w:ascii="Times New Roman" w:hAnsi="Times New Roman" w:cs="Times New Roman"/>
        </w:rPr>
        <w:t xml:space="preserve">a funded pension system to function based purely on a competitive basis. </w:t>
      </w:r>
      <w:r w:rsidR="0043268C" w:rsidRPr="005E4D8B">
        <w:rPr>
          <w:rFonts w:ascii="Times New Roman" w:hAnsi="Times New Roman" w:cs="Times New Roman"/>
        </w:rPr>
        <w:t xml:space="preserve">Member disclosure </w:t>
      </w:r>
      <w:r w:rsidRPr="005E4D8B">
        <w:rPr>
          <w:rFonts w:ascii="Times New Roman" w:hAnsi="Times New Roman" w:cs="Times New Roman"/>
        </w:rPr>
        <w:t>has been</w:t>
      </w:r>
      <w:r w:rsidR="0043268C" w:rsidRPr="007D64F9">
        <w:rPr>
          <w:rFonts w:ascii="Times New Roman" w:hAnsi="Times New Roman" w:cs="Times New Roman"/>
        </w:rPr>
        <w:t xml:space="preserve"> predicated on the view that increasing disclosure will enhance competition between pension funds as members elect to join funds with superior returns.  </w:t>
      </w:r>
      <w:r w:rsidRPr="007D64F9">
        <w:rPr>
          <w:rFonts w:ascii="Times New Roman" w:hAnsi="Times New Roman" w:cs="Times New Roman"/>
        </w:rPr>
        <w:t xml:space="preserve">However, due </w:t>
      </w:r>
      <w:r w:rsidR="00684754" w:rsidRPr="006E3E78">
        <w:rPr>
          <w:rFonts w:ascii="Times New Roman" w:hAnsi="Times New Roman" w:cs="Times New Roman"/>
        </w:rPr>
        <w:t xml:space="preserve">to the limited ability of contributors to understand investment </w:t>
      </w:r>
      <w:r w:rsidR="00684754" w:rsidRPr="006E3E78">
        <w:rPr>
          <w:rFonts w:ascii="Times New Roman" w:hAnsi="Times New Roman" w:cs="Times New Roman"/>
        </w:rPr>
        <w:lastRenderedPageBreak/>
        <w:t xml:space="preserve">decisions and the complexity of the question, a large majority of individuals are unable to understand the risks of the investment alternatives, and typically information provided to the market is focused on misleading indicators of pension risk. In other words, contributors are provided with information that relates to the short-term performance of their pension asset but is irrelevant to the question of </w:t>
      </w:r>
      <w:r w:rsidR="00D11950" w:rsidRPr="006E3E78">
        <w:rPr>
          <w:rFonts w:ascii="Times New Roman" w:hAnsi="Times New Roman" w:cs="Times New Roman"/>
        </w:rPr>
        <w:t>pension risk (</w:t>
      </w:r>
      <w:r w:rsidR="00684754" w:rsidRPr="006E3E78">
        <w:rPr>
          <w:rFonts w:ascii="Times New Roman" w:hAnsi="Times New Roman" w:cs="Times New Roman"/>
        </w:rPr>
        <w:t>“will I have enough</w:t>
      </w:r>
      <w:r w:rsidR="00806EB4" w:rsidRPr="006E3E78">
        <w:rPr>
          <w:rFonts w:ascii="Times New Roman" w:hAnsi="Times New Roman" w:cs="Times New Roman"/>
        </w:rPr>
        <w:t>”</w:t>
      </w:r>
      <w:r w:rsidR="00D11950" w:rsidRPr="006E3E78">
        <w:rPr>
          <w:rFonts w:ascii="Times New Roman" w:hAnsi="Times New Roman" w:cs="Times New Roman"/>
        </w:rPr>
        <w:t>)</w:t>
      </w:r>
      <w:r w:rsidR="00806EB4" w:rsidRPr="006B4FDF">
        <w:rPr>
          <w:rFonts w:ascii="Times New Roman" w:hAnsi="Times New Roman" w:cs="Times New Roman"/>
        </w:rPr>
        <w:t>.</w:t>
      </w:r>
    </w:p>
    <w:p w:rsidR="00B73FE0" w:rsidRPr="007D64F9" w:rsidRDefault="00684754" w:rsidP="00806EB4">
      <w:pPr>
        <w:pStyle w:val="ListParagraph"/>
        <w:numPr>
          <w:ilvl w:val="0"/>
          <w:numId w:val="1"/>
        </w:numPr>
        <w:rPr>
          <w:rFonts w:ascii="Times New Roman" w:hAnsi="Times New Roman" w:cs="Times New Roman"/>
          <w:b/>
        </w:rPr>
      </w:pPr>
      <w:r w:rsidRPr="007D64F9">
        <w:rPr>
          <w:rFonts w:ascii="Times New Roman" w:hAnsi="Times New Roman" w:cs="Times New Roman"/>
        </w:rPr>
        <w:t xml:space="preserve">The concepts of risks that are </w:t>
      </w:r>
      <w:r w:rsidR="00D11950" w:rsidRPr="006E3E78">
        <w:rPr>
          <w:rFonts w:ascii="Times New Roman" w:hAnsi="Times New Roman" w:cs="Times New Roman"/>
        </w:rPr>
        <w:t xml:space="preserve">sometimes </w:t>
      </w:r>
      <w:r w:rsidRPr="006E3E78">
        <w:rPr>
          <w:rFonts w:ascii="Times New Roman" w:hAnsi="Times New Roman" w:cs="Times New Roman"/>
        </w:rPr>
        <w:t>presented to the public are more related to short term volatility rather than pension risk</w:t>
      </w:r>
      <w:r w:rsidR="00D11950" w:rsidRPr="006E3E78">
        <w:rPr>
          <w:rFonts w:ascii="Times New Roman" w:hAnsi="Times New Roman" w:cs="Times New Roman"/>
        </w:rPr>
        <w:t xml:space="preserve">, which </w:t>
      </w:r>
      <w:proofErr w:type="gramStart"/>
      <w:r w:rsidR="00D11950" w:rsidRPr="006E3E78">
        <w:rPr>
          <w:rFonts w:ascii="Times New Roman" w:hAnsi="Times New Roman" w:cs="Times New Roman"/>
        </w:rPr>
        <w:t>does</w:t>
      </w:r>
      <w:proofErr w:type="gramEnd"/>
      <w:r w:rsidR="00D11950" w:rsidRPr="006E3E78">
        <w:rPr>
          <w:rFonts w:ascii="Times New Roman" w:hAnsi="Times New Roman" w:cs="Times New Roman"/>
        </w:rPr>
        <w:t xml:space="preserve"> not help to minimize the pension risk</w:t>
      </w:r>
      <w:r w:rsidRPr="006E3E78">
        <w:rPr>
          <w:rFonts w:ascii="Times New Roman" w:hAnsi="Times New Roman" w:cs="Times New Roman"/>
        </w:rPr>
        <w:t xml:space="preserve">. For example, in the case of Chile, pension funds are classified into five categories: riskier, risky, balanced, conservative, and more conservative.  These categories are simply based on the amount of </w:t>
      </w:r>
      <w:r w:rsidRPr="006B4FDF">
        <w:rPr>
          <w:rFonts w:ascii="Times New Roman" w:hAnsi="Times New Roman" w:cs="Times New Roman"/>
        </w:rPr>
        <w:t>equity as a proportion of the total assets in the portfolio.  Consequently, for an individual who is closer to retirement age, the riskier portfolio, which can have up to 80 percent of the fund in equity instruments, might be a risky portfolio option as su</w:t>
      </w:r>
      <w:r w:rsidRPr="005E4D8B">
        <w:rPr>
          <w:rFonts w:ascii="Times New Roman" w:hAnsi="Times New Roman" w:cs="Times New Roman"/>
        </w:rPr>
        <w:t xml:space="preserve">dden drops in equity prices may severely affect his or her future pension without sufficient time to recover those losses. However, an individual who is joining the labor force, and has the objective of reaching a replacement rate of 75 percent of the last wage, should start investing in the riskier portfolio, as he or she has a long time to recover from potential short-term adjustments in equity prices and consequently </w:t>
      </w:r>
      <w:r w:rsidR="00546C25" w:rsidRPr="007D64F9">
        <w:rPr>
          <w:rFonts w:ascii="Times New Roman" w:hAnsi="Times New Roman" w:cs="Times New Roman"/>
        </w:rPr>
        <w:t xml:space="preserve">to </w:t>
      </w:r>
      <w:r w:rsidRPr="007D64F9">
        <w:rPr>
          <w:rFonts w:ascii="Times New Roman" w:hAnsi="Times New Roman" w:cs="Times New Roman"/>
        </w:rPr>
        <w:t xml:space="preserve">minimize his or her pension risk. For this young individual, </w:t>
      </w:r>
      <w:r w:rsidR="00D11950" w:rsidRPr="007D64F9">
        <w:rPr>
          <w:rFonts w:ascii="Times New Roman" w:hAnsi="Times New Roman" w:cs="Times New Roman"/>
        </w:rPr>
        <w:t>i</w:t>
      </w:r>
      <w:r w:rsidRPr="007D64F9">
        <w:rPr>
          <w:rFonts w:ascii="Times New Roman" w:hAnsi="Times New Roman" w:cs="Times New Roman"/>
        </w:rPr>
        <w:t xml:space="preserve">t would be risky </w:t>
      </w:r>
      <w:r w:rsidR="00546C25" w:rsidRPr="007D64F9">
        <w:rPr>
          <w:rFonts w:ascii="Times New Roman" w:hAnsi="Times New Roman" w:cs="Times New Roman"/>
        </w:rPr>
        <w:t xml:space="preserve">from the perspective of pension risk </w:t>
      </w:r>
      <w:r w:rsidRPr="007D64F9">
        <w:rPr>
          <w:rFonts w:ascii="Times New Roman" w:hAnsi="Times New Roman" w:cs="Times New Roman"/>
        </w:rPr>
        <w:t>to invest in the conservative or more conservative portfolios, since investments in these portfolios are likely to provide low returns and consequently will result into low pensions in the future, with</w:t>
      </w:r>
      <w:r w:rsidR="00B73FE0" w:rsidRPr="007D64F9">
        <w:rPr>
          <w:rFonts w:ascii="Times New Roman" w:hAnsi="Times New Roman" w:cs="Times New Roman"/>
        </w:rPr>
        <w:t xml:space="preserve"> consequently high pension risk.</w:t>
      </w:r>
      <w:r w:rsidR="00806EB4" w:rsidRPr="007D64F9">
        <w:rPr>
          <w:rFonts w:ascii="Times New Roman" w:hAnsi="Times New Roman" w:cs="Times New Roman"/>
        </w:rPr>
        <w:t xml:space="preserve"> In other words, this lifecycle approach to investing does actually help to manage pension risk, but the way in which they are described to individuals is more in terms of short-term volatility. </w:t>
      </w:r>
      <w:r w:rsidR="00E30C1F" w:rsidRPr="007D64F9">
        <w:rPr>
          <w:rFonts w:ascii="Times New Roman" w:hAnsi="Times New Roman" w:cs="Times New Roman"/>
        </w:rPr>
        <w:t>If contributors understood and made rational decisions and if the performance measures were aligned with pension risk, such an approach would not be needed.</w:t>
      </w:r>
    </w:p>
    <w:p w:rsidR="00E30C1F" w:rsidRPr="006E3E78" w:rsidRDefault="00806EB4" w:rsidP="00CD5640">
      <w:pPr>
        <w:pStyle w:val="ListParagraph"/>
        <w:numPr>
          <w:ilvl w:val="0"/>
          <w:numId w:val="1"/>
        </w:numPr>
        <w:rPr>
          <w:rFonts w:ascii="Times New Roman" w:hAnsi="Times New Roman" w:cs="Times New Roman"/>
        </w:rPr>
      </w:pPr>
      <w:r w:rsidRPr="007D64F9">
        <w:rPr>
          <w:rFonts w:ascii="Times New Roman" w:hAnsi="Times New Roman" w:cs="Times New Roman"/>
        </w:rPr>
        <w:t>Acknowledging the limitations of short-term performance measures, some pension supervisors have been trying to introduce other measures of performance,</w:t>
      </w:r>
      <w:r w:rsidRPr="006E3E78">
        <w:rPr>
          <w:rFonts w:ascii="Times New Roman" w:hAnsi="Times New Roman" w:cs="Times New Roman"/>
        </w:rPr>
        <w:t xml:space="preserve"> such as quality of service.</w:t>
      </w:r>
      <w:r w:rsidR="00CD5640" w:rsidRPr="006E3E78">
        <w:rPr>
          <w:rFonts w:ascii="Times New Roman" w:hAnsi="Times New Roman" w:cs="Times New Roman"/>
        </w:rPr>
        <w:t xml:space="preserve"> However, it is not clear that such indicators reduce pension risk, and, given that, to use the old adage, ‘what gets measured gets managed’, it could be argued that they add little or indeed, as with the other performance measures, could actually introduce misalignments into the system. </w:t>
      </w:r>
    </w:p>
    <w:p w:rsidR="00B5418F" w:rsidRPr="007D64F9" w:rsidRDefault="00CD5640" w:rsidP="00CD5640">
      <w:pPr>
        <w:pStyle w:val="ListParagraph"/>
        <w:numPr>
          <w:ilvl w:val="0"/>
          <w:numId w:val="1"/>
        </w:numPr>
        <w:rPr>
          <w:rFonts w:ascii="Times New Roman" w:hAnsi="Times New Roman" w:cs="Times New Roman"/>
        </w:rPr>
      </w:pPr>
      <w:r w:rsidRPr="006B4FDF">
        <w:rPr>
          <w:rFonts w:ascii="Times New Roman" w:hAnsi="Times New Roman" w:cs="Times New Roman"/>
        </w:rPr>
        <w:t>For example, c</w:t>
      </w:r>
      <w:r w:rsidR="00CE3CCD" w:rsidRPr="006B4FDF">
        <w:rPr>
          <w:rFonts w:ascii="Times New Roman" w:hAnsi="Times New Roman" w:cs="Times New Roman"/>
        </w:rPr>
        <w:t>ompetition on quality of service, as it was implemented in Chile, may serve to add additional noise in the efforts to build</w:t>
      </w:r>
      <w:r w:rsidR="00CE3CCD" w:rsidRPr="005E4D8B">
        <w:rPr>
          <w:rFonts w:ascii="Times New Roman" w:hAnsi="Times New Roman" w:cs="Times New Roman"/>
        </w:rPr>
        <w:t xml:space="preserve"> a Pillar 3 of RBS based on market oversight. Chile’s pension regulation requires that PFMCs compete on quality of service. This creates an additional source of cost for the management companies (an interesting piece of analysis would be to see if costs have actually risen since its introduction). Competition on</w:t>
      </w:r>
      <w:r w:rsidR="00CE3CCD" w:rsidRPr="007D64F9">
        <w:rPr>
          <w:rFonts w:ascii="Times New Roman" w:hAnsi="Times New Roman" w:cs="Times New Roman"/>
        </w:rPr>
        <w:t xml:space="preserve"> quality of service, which is something more tangible to people, </w:t>
      </w:r>
      <w:r w:rsidR="00237BBB">
        <w:rPr>
          <w:rFonts w:ascii="Times New Roman" w:hAnsi="Times New Roman" w:cs="Times New Roman"/>
        </w:rPr>
        <w:t xml:space="preserve">may? </w:t>
      </w:r>
      <w:proofErr w:type="gramStart"/>
      <w:r w:rsidR="00CE3CCD" w:rsidRPr="007D64F9">
        <w:rPr>
          <w:rFonts w:ascii="Times New Roman" w:hAnsi="Times New Roman" w:cs="Times New Roman"/>
        </w:rPr>
        <w:t>distract</w:t>
      </w:r>
      <w:proofErr w:type="gramEnd"/>
      <w:r w:rsidR="00CE3CCD" w:rsidRPr="007D64F9">
        <w:rPr>
          <w:rFonts w:ascii="Times New Roman" w:hAnsi="Times New Roman" w:cs="Times New Roman"/>
        </w:rPr>
        <w:t xml:space="preserve"> the attention of individuals from the objective of </w:t>
      </w:r>
      <w:r w:rsidR="00EE24A5" w:rsidRPr="007D64F9">
        <w:rPr>
          <w:rFonts w:ascii="Times New Roman" w:hAnsi="Times New Roman" w:cs="Times New Roman"/>
        </w:rPr>
        <w:t>minimizing pension risk</w:t>
      </w:r>
      <w:r w:rsidR="00CE3CCD" w:rsidRPr="007D64F9">
        <w:rPr>
          <w:rFonts w:ascii="Times New Roman" w:hAnsi="Times New Roman" w:cs="Times New Roman"/>
        </w:rPr>
        <w:t>.  Individuals with limited financial literacy might be more incentivized to move to between PFMCs with better quality of service, regardless the financial performance of the fund</w:t>
      </w:r>
      <w:r w:rsidR="00EE24A5" w:rsidRPr="007D64F9">
        <w:rPr>
          <w:rFonts w:ascii="Times New Roman" w:hAnsi="Times New Roman" w:cs="Times New Roman"/>
        </w:rPr>
        <w:t>.</w:t>
      </w:r>
      <w:r w:rsidR="00CE3CCD" w:rsidRPr="007D64F9">
        <w:rPr>
          <w:rFonts w:ascii="Times New Roman" w:hAnsi="Times New Roman" w:cs="Times New Roman"/>
        </w:rPr>
        <w:t xml:space="preserve"> </w:t>
      </w:r>
    </w:p>
    <w:p w:rsidR="00CD5640" w:rsidRPr="007D64F9" w:rsidRDefault="00B5418F" w:rsidP="00B5418F">
      <w:pPr>
        <w:pStyle w:val="ListParagraph"/>
        <w:numPr>
          <w:ilvl w:val="0"/>
          <w:numId w:val="1"/>
        </w:numPr>
        <w:rPr>
          <w:rFonts w:ascii="Times New Roman" w:hAnsi="Times New Roman" w:cs="Times New Roman"/>
        </w:rPr>
      </w:pPr>
      <w:r w:rsidRPr="007D64F9">
        <w:rPr>
          <w:rFonts w:ascii="Times New Roman" w:hAnsi="Times New Roman" w:cs="Times New Roman"/>
        </w:rPr>
        <w:t>While any initiatives to improve the financial literacy and understanding of pension fund members are laudable, at best, they are long-term initiatives. This market failure calls for more attention in the provision of default options, such that individuals with limited financial education might be guided towards the right strategies.</w:t>
      </w:r>
      <w:r w:rsidRPr="007D64F9" w:rsidDel="00EE24A5">
        <w:rPr>
          <w:rFonts w:ascii="Times New Roman" w:hAnsi="Times New Roman" w:cs="Times New Roman"/>
        </w:rPr>
        <w:t xml:space="preserve"> </w:t>
      </w:r>
    </w:p>
    <w:p w:rsidR="00CD5640" w:rsidRPr="00085822" w:rsidRDefault="00CD5640" w:rsidP="00CD5640">
      <w:pPr>
        <w:pStyle w:val="Heading3"/>
        <w:rPr>
          <w:rFonts w:ascii="Times New Roman" w:hAnsi="Times New Roman" w:cs="Times New Roman"/>
          <w:i/>
          <w:color w:val="000000" w:themeColor="text1"/>
        </w:rPr>
      </w:pPr>
      <w:r w:rsidRPr="00085822">
        <w:rPr>
          <w:rFonts w:ascii="Times New Roman" w:hAnsi="Times New Roman" w:cs="Times New Roman"/>
          <w:i/>
          <w:color w:val="000000" w:themeColor="text1"/>
        </w:rPr>
        <w:lastRenderedPageBreak/>
        <w:t xml:space="preserve">Aligning Incentives – Use of Benchmarks </w:t>
      </w:r>
    </w:p>
    <w:p w:rsidR="0070291E" w:rsidRPr="006E3E78" w:rsidRDefault="00CE3CCD" w:rsidP="0070291E">
      <w:pPr>
        <w:pStyle w:val="ListParagraph"/>
        <w:numPr>
          <w:ilvl w:val="0"/>
          <w:numId w:val="1"/>
        </w:numPr>
        <w:rPr>
          <w:rFonts w:ascii="Times New Roman" w:hAnsi="Times New Roman" w:cs="Times New Roman"/>
        </w:rPr>
      </w:pPr>
      <w:r w:rsidRPr="007D64F9">
        <w:rPr>
          <w:rFonts w:ascii="Times New Roman" w:hAnsi="Times New Roman" w:cs="Times New Roman"/>
        </w:rPr>
        <w:t xml:space="preserve">The failure to measure pension </w:t>
      </w:r>
      <w:r w:rsidR="003C46A9" w:rsidRPr="007D64F9">
        <w:rPr>
          <w:rFonts w:ascii="Times New Roman" w:hAnsi="Times New Roman" w:cs="Times New Roman"/>
        </w:rPr>
        <w:t>risk is a function of a lack of benchmarks, against which it can be measured, which, in turn, is due to the failure to quantify the pension objective.  In other words, it is not possible to answer the question of “w</w:t>
      </w:r>
      <w:r w:rsidR="003C46A9" w:rsidRPr="006E3E78">
        <w:rPr>
          <w:rFonts w:ascii="Times New Roman" w:hAnsi="Times New Roman" w:cs="Times New Roman"/>
        </w:rPr>
        <w:t>ill I have enough?” unless there is a quantification of “enough”.</w:t>
      </w:r>
    </w:p>
    <w:p w:rsidR="0070291E" w:rsidRPr="006E3E78" w:rsidRDefault="00E66936" w:rsidP="0070291E">
      <w:pPr>
        <w:pStyle w:val="ListParagraph"/>
        <w:numPr>
          <w:ilvl w:val="0"/>
          <w:numId w:val="1"/>
        </w:numPr>
        <w:rPr>
          <w:rFonts w:ascii="Times New Roman" w:hAnsi="Times New Roman" w:cs="Times New Roman"/>
        </w:rPr>
      </w:pPr>
      <w:r w:rsidRPr="006E3E78">
        <w:rPr>
          <w:rFonts w:ascii="Times New Roman" w:hAnsi="Times New Roman" w:cs="Times New Roman"/>
        </w:rPr>
        <w:t xml:space="preserve">Can the attention of pension supervisors be focused back towards to core goal of delivering an adequate pension income and mitigating pension risk? </w:t>
      </w:r>
    </w:p>
    <w:p w:rsidR="0070291E" w:rsidRPr="006E3E78" w:rsidRDefault="00E66936" w:rsidP="0070291E">
      <w:pPr>
        <w:pStyle w:val="ListParagraph"/>
        <w:numPr>
          <w:ilvl w:val="0"/>
          <w:numId w:val="1"/>
        </w:numPr>
        <w:rPr>
          <w:rFonts w:ascii="Times New Roman" w:hAnsi="Times New Roman" w:cs="Times New Roman"/>
        </w:rPr>
      </w:pPr>
      <w:r w:rsidRPr="006B4FDF">
        <w:rPr>
          <w:rFonts w:ascii="Times New Roman" w:hAnsi="Times New Roman" w:cs="Times New Roman"/>
        </w:rPr>
        <w:t>This paper argues that benchmarking portfolios of pension funds is the most strategic way of applying the pillar three concept to RBS of pension funds. In order to be meaningful, rates of returns need to be compared against something. Consequently, it is essential to measure performance against b</w:t>
      </w:r>
      <w:r w:rsidRPr="005E4D8B">
        <w:rPr>
          <w:rFonts w:ascii="Times New Roman" w:hAnsi="Times New Roman" w:cs="Times New Roman"/>
        </w:rPr>
        <w:t>enchmarks built with the objective of optimizing the contributors’ pensions at retirement age.</w:t>
      </w:r>
      <w:r w:rsidRPr="007D64F9">
        <w:rPr>
          <w:rStyle w:val="FootnoteReference"/>
          <w:rFonts w:ascii="Times New Roman" w:hAnsi="Times New Roman" w:cs="Times New Roman"/>
        </w:rPr>
        <w:footnoteReference w:id="25"/>
      </w:r>
      <w:r w:rsidRPr="007D64F9">
        <w:rPr>
          <w:rFonts w:ascii="Times New Roman" w:hAnsi="Times New Roman" w:cs="Times New Roman"/>
        </w:rPr>
        <w:t xml:space="preserve">  In the absence of explicit targets related to the expected value of pensions at retirement age, the introduction of RBS does not guarantee that the expected va</w:t>
      </w:r>
      <w:r w:rsidRPr="006E3E78">
        <w:rPr>
          <w:rFonts w:ascii="Times New Roman" w:hAnsi="Times New Roman" w:cs="Times New Roman"/>
        </w:rPr>
        <w:t xml:space="preserve">lue of pensions at retirement age will adequate. In other words, if RBS is to be </w:t>
      </w:r>
      <w:r w:rsidR="001B7A24" w:rsidRPr="006E3E78">
        <w:rPr>
          <w:rFonts w:ascii="Times New Roman" w:hAnsi="Times New Roman" w:cs="Times New Roman"/>
        </w:rPr>
        <w:t xml:space="preserve">more </w:t>
      </w:r>
      <w:r w:rsidRPr="006E3E78">
        <w:rPr>
          <w:rFonts w:ascii="Times New Roman" w:hAnsi="Times New Roman" w:cs="Times New Roman"/>
        </w:rPr>
        <w:t xml:space="preserve">meaningful, it needs also to supervise investment risks, and assess those risks against benchmarks derived from quantifiable targets.  </w:t>
      </w:r>
    </w:p>
    <w:p w:rsidR="0070291E" w:rsidRPr="007D64F9" w:rsidRDefault="00E66936" w:rsidP="0070291E">
      <w:pPr>
        <w:pStyle w:val="ListParagraph"/>
        <w:numPr>
          <w:ilvl w:val="0"/>
          <w:numId w:val="1"/>
        </w:numPr>
        <w:rPr>
          <w:rFonts w:ascii="Times New Roman" w:hAnsi="Times New Roman" w:cs="Times New Roman"/>
        </w:rPr>
      </w:pPr>
      <w:r w:rsidRPr="006E3E78">
        <w:rPr>
          <w:rFonts w:ascii="Times New Roman" w:hAnsi="Times New Roman" w:cs="Times New Roman"/>
        </w:rPr>
        <w:t xml:space="preserve">The proper approach </w:t>
      </w:r>
      <w:r w:rsidR="001B7A24" w:rsidRPr="006E3E78">
        <w:rPr>
          <w:rFonts w:ascii="Times New Roman" w:hAnsi="Times New Roman" w:cs="Times New Roman"/>
        </w:rPr>
        <w:t xml:space="preserve">to </w:t>
      </w:r>
      <w:r w:rsidRPr="006E3E78">
        <w:rPr>
          <w:rFonts w:ascii="Times New Roman" w:hAnsi="Times New Roman" w:cs="Times New Roman"/>
        </w:rPr>
        <w:t>pension des</w:t>
      </w:r>
      <w:r w:rsidRPr="006B4FDF">
        <w:rPr>
          <w:rFonts w:ascii="Times New Roman" w:hAnsi="Times New Roman" w:cs="Times New Roman"/>
        </w:rPr>
        <w:t>ign, including for DC schemes, is to start calculating back from a desired/required pension level and setting a long term investment strategy adequate to reach this goal. Given, say, a 66</w:t>
      </w:r>
      <w:r w:rsidR="00B5418F" w:rsidRPr="005E4D8B">
        <w:rPr>
          <w:rFonts w:ascii="Times New Roman" w:hAnsi="Times New Roman" w:cs="Times New Roman"/>
        </w:rPr>
        <w:t xml:space="preserve"> percent</w:t>
      </w:r>
      <w:r w:rsidRPr="005E4D8B">
        <w:rPr>
          <w:rFonts w:ascii="Times New Roman" w:hAnsi="Times New Roman" w:cs="Times New Roman"/>
        </w:rPr>
        <w:t xml:space="preserve"> replacement rate target at the age of 65 and a contribution rate of 8</w:t>
      </w:r>
      <w:r w:rsidR="00B5418F" w:rsidRPr="005E4D8B">
        <w:rPr>
          <w:rFonts w:ascii="Times New Roman" w:hAnsi="Times New Roman" w:cs="Times New Roman"/>
        </w:rPr>
        <w:t xml:space="preserve"> percent</w:t>
      </w:r>
      <w:r w:rsidRPr="005E4D8B">
        <w:rPr>
          <w:rFonts w:ascii="Times New Roman" w:hAnsi="Times New Roman" w:cs="Times New Roman"/>
        </w:rPr>
        <w:t xml:space="preserve">, one needs to calculate expected annuity prices based on mortality data and estimates about improvements, and then use asset return and wage curve modeling to see what sort of investment performance and portfolio may be necessary to reach the pension </w:t>
      </w:r>
      <w:r w:rsidRPr="006A6BC1">
        <w:rPr>
          <w:rFonts w:ascii="Times New Roman" w:hAnsi="Times New Roman" w:cs="Times New Roman"/>
        </w:rPr>
        <w:t xml:space="preserve">capital required. It may turn out that the set of replacement rate – retirement age – contribution rate does not allow for an investment performance which </w:t>
      </w:r>
      <w:r w:rsidR="001B7A24" w:rsidRPr="006A6BC1">
        <w:rPr>
          <w:rFonts w:ascii="Times New Roman" w:hAnsi="Times New Roman" w:cs="Times New Roman"/>
        </w:rPr>
        <w:t xml:space="preserve">is </w:t>
      </w:r>
      <w:r w:rsidRPr="006A6BC1">
        <w:rPr>
          <w:rFonts w:ascii="Times New Roman" w:hAnsi="Times New Roman" w:cs="Times New Roman"/>
        </w:rPr>
        <w:t>realistic in which case one or more of those parameters may have to be adjusted</w:t>
      </w:r>
      <w:r w:rsidR="001B7A24" w:rsidRPr="006A6BC1">
        <w:rPr>
          <w:rFonts w:ascii="Times New Roman" w:hAnsi="Times New Roman" w:cs="Times New Roman"/>
        </w:rPr>
        <w:t xml:space="preserve"> or the expectations of a future replacement rate lowered</w:t>
      </w:r>
      <w:r w:rsidRPr="006A6BC1">
        <w:rPr>
          <w:rFonts w:ascii="Times New Roman" w:hAnsi="Times New Roman" w:cs="Times New Roman"/>
        </w:rPr>
        <w:t>.</w:t>
      </w:r>
    </w:p>
    <w:p w:rsidR="0070291E" w:rsidRPr="007D64F9" w:rsidRDefault="00E66936" w:rsidP="0070291E">
      <w:pPr>
        <w:pStyle w:val="ListParagraph"/>
        <w:numPr>
          <w:ilvl w:val="0"/>
          <w:numId w:val="1"/>
        </w:numPr>
        <w:rPr>
          <w:rFonts w:ascii="Times New Roman" w:hAnsi="Times New Roman" w:cs="Times New Roman"/>
        </w:rPr>
      </w:pPr>
      <w:r w:rsidRPr="006A6BC1">
        <w:rPr>
          <w:rFonts w:ascii="Times New Roman" w:hAnsi="Times New Roman" w:cs="Times New Roman"/>
        </w:rPr>
        <w:t xml:space="preserve">This approach is fundamentally different from the standard one of ‘contributions are defined and benefits will be as much as investment strategies succeed in delivering’. From day one a long term investment strategy and portfolio must be utilized, whose only objective is to lead to adequate pensions. </w:t>
      </w:r>
    </w:p>
    <w:p w:rsidR="0070291E" w:rsidRPr="007D64F9" w:rsidRDefault="00E66936" w:rsidP="0070291E">
      <w:pPr>
        <w:pStyle w:val="ListParagraph"/>
        <w:numPr>
          <w:ilvl w:val="0"/>
          <w:numId w:val="1"/>
        </w:numPr>
        <w:rPr>
          <w:rFonts w:ascii="Times New Roman" w:hAnsi="Times New Roman" w:cs="Times New Roman"/>
        </w:rPr>
      </w:pPr>
      <w:r w:rsidRPr="006A6BC1">
        <w:rPr>
          <w:rFonts w:ascii="Times New Roman" w:hAnsi="Times New Roman" w:cs="Times New Roman"/>
          <w:lang w:val="hu-HU"/>
        </w:rPr>
        <w:t>Given this goal, a</w:t>
      </w:r>
      <w:r w:rsidRPr="006A6BC1">
        <w:rPr>
          <w:rFonts w:ascii="Times New Roman" w:hAnsi="Times New Roman" w:cs="Times New Roman"/>
        </w:rPr>
        <w:t>n alternative approach to controlling investment risk is required. The best way to align regulation with the long-term goal of delivering adequate pension income is through the use of benchmarks or reference portfolios. These are designed to deliver a targeted pension income within the parameters of the greatest probability and the least risk.</w:t>
      </w:r>
      <w:r w:rsidR="003709AC">
        <w:rPr>
          <w:rFonts w:ascii="Times New Roman" w:hAnsi="Times New Roman" w:cs="Times New Roman"/>
        </w:rPr>
        <w:t xml:space="preserve"> Large pension funds like NEST in the United Kingdom; Canada Pension Plan; Norway pension fund; and New Zealand’s Superannuation funds use benchmark portfolios to measure the performance of the fund, based on an objective target.</w:t>
      </w:r>
    </w:p>
    <w:p w:rsidR="00CE3CCD" w:rsidRPr="006E3E78" w:rsidRDefault="00E66936" w:rsidP="0070291E">
      <w:pPr>
        <w:pStyle w:val="ListParagraph"/>
        <w:numPr>
          <w:ilvl w:val="0"/>
          <w:numId w:val="1"/>
        </w:numPr>
        <w:rPr>
          <w:rFonts w:ascii="Times New Roman" w:hAnsi="Times New Roman" w:cs="Times New Roman"/>
        </w:rPr>
      </w:pPr>
      <w:r w:rsidRPr="006E3E78">
        <w:rPr>
          <w:rFonts w:ascii="Times New Roman" w:hAnsi="Times New Roman" w:cs="Times New Roman"/>
        </w:rPr>
        <w:t xml:space="preserve">Supervisors could then work this analysis into their overall risk assessment via a ‘traffic light’ system. For example a green light would indicate a pension fund with a portfolio structure aligned with the benchmark and a good risk management system. </w:t>
      </w:r>
    </w:p>
    <w:p w:rsidR="0070291E" w:rsidRPr="007D64F9" w:rsidRDefault="0070291E" w:rsidP="00E66936">
      <w:pPr>
        <w:ind w:left="360"/>
        <w:rPr>
          <w:rFonts w:ascii="Times New Roman" w:hAnsi="Times New Roman" w:cs="Times New Roman"/>
        </w:rPr>
      </w:pPr>
    </w:p>
    <w:p w:rsidR="0070291E" w:rsidRPr="007D64F9" w:rsidRDefault="00E30C1F" w:rsidP="00E66936">
      <w:pPr>
        <w:ind w:left="360"/>
        <w:rPr>
          <w:rFonts w:ascii="Times New Roman" w:hAnsi="Times New Roman" w:cs="Times New Roman"/>
        </w:rPr>
      </w:pPr>
      <w:r w:rsidRPr="006B4FDF">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DB325FC" wp14:editId="5CC5319A">
                <wp:simplePos x="0" y="0"/>
                <wp:positionH relativeFrom="column">
                  <wp:posOffset>-781050</wp:posOffset>
                </wp:positionH>
                <wp:positionV relativeFrom="paragraph">
                  <wp:posOffset>-190500</wp:posOffset>
                </wp:positionV>
                <wp:extent cx="5871210" cy="569595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5695950"/>
                        </a:xfrm>
                        <a:prstGeom prst="rect">
                          <a:avLst/>
                        </a:prstGeom>
                        <a:solidFill>
                          <a:srgbClr val="FFFFFF"/>
                        </a:solidFill>
                        <a:ln w="9525">
                          <a:solidFill>
                            <a:srgbClr val="000000"/>
                          </a:solidFill>
                          <a:miter lim="800000"/>
                          <a:headEnd/>
                          <a:tailEnd/>
                        </a:ln>
                      </wps:spPr>
                      <wps:txbx>
                        <w:txbxContent>
                          <w:p w:rsidR="00A82D3E" w:rsidRPr="000301FB" w:rsidRDefault="00A82D3E" w:rsidP="00E66936">
                            <w:pPr>
                              <w:jc w:val="center"/>
                              <w:rPr>
                                <w:rFonts w:ascii="Times New Roman" w:hAnsi="Times New Roman" w:cs="Times New Roman"/>
                                <w:b/>
                              </w:rPr>
                            </w:pPr>
                            <w:r w:rsidRPr="000301FB">
                              <w:rPr>
                                <w:rFonts w:ascii="Times New Roman" w:hAnsi="Times New Roman" w:cs="Times New Roman"/>
                                <w:b/>
                              </w:rPr>
                              <w:t xml:space="preserve">Box 2: </w:t>
                            </w:r>
                            <w:r>
                              <w:rPr>
                                <w:rFonts w:ascii="Times New Roman" w:hAnsi="Times New Roman" w:cs="Times New Roman"/>
                                <w:b/>
                              </w:rPr>
                              <w:t>Portfolio Benchmarks in Lithuania</w:t>
                            </w:r>
                          </w:p>
                          <w:p w:rsidR="00A82D3E" w:rsidRPr="000301FB" w:rsidRDefault="00A82D3E" w:rsidP="00E66936">
                            <w:pPr>
                              <w:rPr>
                                <w:rFonts w:ascii="Times New Roman" w:hAnsi="Times New Roman" w:cs="Times New Roman"/>
                              </w:rPr>
                            </w:pPr>
                            <w:r w:rsidRPr="000301FB">
                              <w:rPr>
                                <w:rFonts w:ascii="Times New Roman" w:hAnsi="Times New Roman" w:cs="Times New Roman"/>
                              </w:rPr>
                              <w:t>Lithuania is one country which partially adopted such a benchmarking approach, but without sufficient supervisory oversight</w:t>
                            </w:r>
                            <w:r>
                              <w:rPr>
                                <w:rFonts w:ascii="Times New Roman" w:hAnsi="Times New Roman" w:cs="Times New Roman"/>
                              </w:rPr>
                              <w:t xml:space="preserve"> and with</w:t>
                            </w:r>
                            <w:r w:rsidRPr="000301FB">
                              <w:rPr>
                                <w:rFonts w:ascii="Times New Roman" w:hAnsi="Times New Roman" w:cs="Times New Roman"/>
                              </w:rPr>
                              <w:t xml:space="preserve"> misaligned incentives remain</w:t>
                            </w:r>
                            <w:r>
                              <w:rPr>
                                <w:rFonts w:ascii="Times New Roman" w:hAnsi="Times New Roman" w:cs="Times New Roman"/>
                              </w:rPr>
                              <w:t>ing</w:t>
                            </w:r>
                            <w:r w:rsidRPr="000301FB">
                              <w:rPr>
                                <w:rFonts w:ascii="Times New Roman" w:hAnsi="Times New Roman" w:cs="Times New Roman"/>
                              </w:rPr>
                              <w:t xml:space="preserve"> within the system. </w:t>
                            </w:r>
                          </w:p>
                          <w:p w:rsidR="00A82D3E" w:rsidRPr="000301FB" w:rsidRDefault="00A82D3E" w:rsidP="00E66936">
                            <w:pPr>
                              <w:rPr>
                                <w:rFonts w:ascii="Times New Roman" w:hAnsi="Times New Roman" w:cs="Times New Roman"/>
                              </w:rPr>
                            </w:pPr>
                            <w:r w:rsidRPr="000301FB">
                              <w:rPr>
                                <w:rFonts w:ascii="Times New Roman" w:hAnsi="Times New Roman" w:cs="Times New Roman"/>
                              </w:rPr>
                              <w:t xml:space="preserve">Among countries with mandatory, individual account pension schemes considered in this paper, Lithuania is the country with the most liberal investment policies. Pension funds are managed by licensed asset management companies, which are allowed to manage other funds as well. The investment regulation requires only a minimum level of diversification of the instruments under management. There are no restrictions on the number of portfolios that each of the asset management companies that manage pension funds </w:t>
                            </w:r>
                            <w:proofErr w:type="gramStart"/>
                            <w:r w:rsidRPr="000301FB">
                              <w:rPr>
                                <w:rFonts w:ascii="Times New Roman" w:hAnsi="Times New Roman" w:cs="Times New Roman"/>
                              </w:rPr>
                              <w:t>are</w:t>
                            </w:r>
                            <w:proofErr w:type="gramEnd"/>
                            <w:r w:rsidRPr="000301FB">
                              <w:rPr>
                                <w:rFonts w:ascii="Times New Roman" w:hAnsi="Times New Roman" w:cs="Times New Roman"/>
                              </w:rPr>
                              <w:t xml:space="preserve"> required to offer. While some companies offer two, others offer up to five.  The number of funds and the investment strategy of these funds have been mostly guided by the capacity of the sales force to bring a minimum number of contributors to these funds. Each fund is guided by its own investment guidelines, which can change without much notice.</w:t>
                            </w:r>
                          </w:p>
                          <w:p w:rsidR="00A82D3E" w:rsidRPr="000301FB" w:rsidRDefault="00A82D3E" w:rsidP="00E66936">
                            <w:pPr>
                              <w:rPr>
                                <w:rFonts w:ascii="Times New Roman" w:hAnsi="Times New Roman" w:cs="Times New Roman"/>
                              </w:rPr>
                            </w:pPr>
                            <w:r w:rsidRPr="000301FB">
                              <w:rPr>
                                <w:rFonts w:ascii="Times New Roman" w:hAnsi="Times New Roman" w:cs="Times New Roman"/>
                              </w:rPr>
                              <w:t xml:space="preserve">Pension funds are required to make available to the supervisor the benchmark portfolio that they are expecting to follow, but the regulation does not impose explicit requirements for following such a benchmark and there are no penalties for diverting from it.   In the absence of a clear mandate, the supervisory agency was unable to do anything meaningful with the benchmarks, except making them available </w:t>
                            </w:r>
                            <w:r>
                              <w:rPr>
                                <w:rFonts w:ascii="Times New Roman" w:hAnsi="Times New Roman" w:cs="Times New Roman"/>
                              </w:rPr>
                              <w:t xml:space="preserve">to the public </w:t>
                            </w:r>
                            <w:r w:rsidRPr="000301FB">
                              <w:rPr>
                                <w:rFonts w:ascii="Times New Roman" w:hAnsi="Times New Roman" w:cs="Times New Roman"/>
                              </w:rPr>
                              <w:t xml:space="preserve">on </w:t>
                            </w:r>
                            <w:r>
                              <w:rPr>
                                <w:rFonts w:ascii="Times New Roman" w:hAnsi="Times New Roman" w:cs="Times New Roman"/>
                              </w:rPr>
                              <w:t xml:space="preserve">a </w:t>
                            </w:r>
                            <w:r w:rsidRPr="000301FB">
                              <w:rPr>
                                <w:rFonts w:ascii="Times New Roman" w:hAnsi="Times New Roman" w:cs="Times New Roman"/>
                              </w:rPr>
                              <w:t>webpage.</w:t>
                            </w:r>
                          </w:p>
                          <w:p w:rsidR="00A82D3E" w:rsidRPr="000301FB" w:rsidRDefault="00A82D3E" w:rsidP="00E66936">
                            <w:pPr>
                              <w:rPr>
                                <w:rFonts w:ascii="Times New Roman" w:hAnsi="Times New Roman" w:cs="Times New Roman"/>
                              </w:rPr>
                            </w:pPr>
                            <w:r w:rsidRPr="000301FB">
                              <w:rPr>
                                <w:rFonts w:ascii="Times New Roman" w:hAnsi="Times New Roman" w:cs="Times New Roman"/>
                              </w:rPr>
                              <w:t>Under these circumstances, contributors faced a web of different portfolio strategies, with unknown risk profiles, and without the tools to compare them. The association of asset managers made an effort to group the strategies of the pension funds into three broad categories, but given the diversity of investments, it is possible to identify a fourth group within the alternatives being offered.</w:t>
                            </w:r>
                          </w:p>
                          <w:p w:rsidR="00A82D3E" w:rsidRPr="000301FB" w:rsidRDefault="00A82D3E" w:rsidP="00E66936">
                            <w:pPr>
                              <w:rPr>
                                <w:rFonts w:ascii="Times New Roman" w:hAnsi="Times New Roman" w:cs="Times New Roman"/>
                              </w:rPr>
                            </w:pPr>
                            <w:r w:rsidRPr="000301FB">
                              <w:rPr>
                                <w:rFonts w:ascii="Times New Roman" w:hAnsi="Times New Roman" w:cs="Times New Roman"/>
                              </w:rPr>
                              <w:t>In summary, the Lithuanian experience offers a case of individual plans with multiple investment alternatives, with an undefined objective and with supervisors without sufficient powers to provide guidance on the pension risk faced by the contributors, where contributors with limited financial education are faced with multiple portfolio options and are unable to evaluate the impact of their decisions on their future retirement income.</w:t>
                            </w:r>
                          </w:p>
                          <w:p w:rsidR="00A82D3E" w:rsidRDefault="00A82D3E" w:rsidP="00E66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left:0;text-align:left;margin-left:-61.5pt;margin-top:-15pt;width:462.3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c1JgIAAEwEAAAOAAAAZHJzL2Uyb0RvYy54bWysVFFv0zAQfkfiP1h+p2mqZmujptPoKEIa&#10;A2njBziO01jYPmO7Tcqv5+x0XTXgBZEHy+c7f/7uu7usbgatyEE4L8FUNJ9MKRGGQyPNrqLfnrbv&#10;FpT4wEzDFBhR0aPw9Gb99s2qt6WYQQeqEY4giPFlbyvahWDLLPO8E5r5CVhh0NmC0yyg6XZZ41iP&#10;6Fpls+n0KuvBNdYBF97j6d3opOuE37aChy9t60UgqqLILaTVpbWOa7ZesXLnmO0kP9Fg/8BCM2nw&#10;0TPUHQuM7J38DUpL7sBDGyYcdAZtK7lIOWA2+fRVNo8dsyLlguJ4e5bJ/z9Y/nD46ohsKjqnxDCN&#10;JXoSQyDvYSDzqE5vfYlBjxbDwoDHWOWUqbf3wL97YmDTMbMTt85B3wnWILs83swuro44PoLU/Wdo&#10;8Bm2D5CAhtbpKB2KQRAdq3Q8VyZS4XhYLK7zWY4ujr7ialksi1S7jJXP163z4aMATeKmog5Ln+DZ&#10;4d6HSIeVzyHxNQ9KNlupVDLcrt4oRw4M22SbvpTBqzBlSF/RZTErRgX+CjFN358gtAzY70rqii7O&#10;QayMun0wTerGwKQa90hZmZOQUbtRxTDUQ6pYUjmKXENzRGUdjO2N44ibDtxPSnps7Yr6H3vmBCXq&#10;k8HqLPP5PM5CMubF9QwNd+mpLz3McISqaKBk3G5Cmp+om4FbrGIrk74vTE6UsWWT7KfxijNxaaeo&#10;l5/A+hcAAAD//wMAUEsDBBQABgAIAAAAIQBrfvDp4AAAAAwBAAAPAAAAZHJzL2Rvd25yZXYueG1s&#10;TI/BTsMwEETvSPyDtUhcUGunQWkIcSqEBIJbKQiubuwmEfY62G4a/p7lBLc32tHsTL2ZnWWTCXHw&#10;KCFbCmAGW68H7CS8vT4sSmAxKdTKejQSvk2ETXN+VqtK+xO+mGmXOkYhGCsloU9prDiPbW+ciks/&#10;GqTbwQenEsnQcR3UicKd5SshCu7UgPShV6O57037uTs6CeX10/QRn/Pte1sc7E26Wk+PX0HKy4v5&#10;7hZYMnP6M8NvfaoODXXa+yPqyKyERbbKaUwiygUBWUqRFcD2BMVaAG9q/n9E8wMAAP//AwBQSwEC&#10;LQAUAAYACAAAACEAtoM4kv4AAADhAQAAEwAAAAAAAAAAAAAAAAAAAAAAW0NvbnRlbnRfVHlwZXNd&#10;LnhtbFBLAQItABQABgAIAAAAIQA4/SH/1gAAAJQBAAALAAAAAAAAAAAAAAAAAC8BAABfcmVscy8u&#10;cmVsc1BLAQItABQABgAIAAAAIQBUEHc1JgIAAEwEAAAOAAAAAAAAAAAAAAAAAC4CAABkcnMvZTJv&#10;RG9jLnhtbFBLAQItABQABgAIAAAAIQBrfvDp4AAAAAwBAAAPAAAAAAAAAAAAAAAAAIAEAABkcnMv&#10;ZG93bnJldi54bWxQSwUGAAAAAAQABADzAAAAjQUAAAAA&#10;">
                <v:textbox>
                  <w:txbxContent>
                    <w:p w:rsidR="00145119" w:rsidRPr="000301FB" w:rsidRDefault="00145119" w:rsidP="00E66936">
                      <w:pPr>
                        <w:jc w:val="center"/>
                        <w:rPr>
                          <w:rFonts w:ascii="Times New Roman" w:hAnsi="Times New Roman" w:cs="Times New Roman"/>
                          <w:b/>
                        </w:rPr>
                      </w:pPr>
                      <w:r w:rsidRPr="000301FB">
                        <w:rPr>
                          <w:rFonts w:ascii="Times New Roman" w:hAnsi="Times New Roman" w:cs="Times New Roman"/>
                          <w:b/>
                        </w:rPr>
                        <w:t xml:space="preserve">Box 2: </w:t>
                      </w:r>
                      <w:r>
                        <w:rPr>
                          <w:rFonts w:ascii="Times New Roman" w:hAnsi="Times New Roman" w:cs="Times New Roman"/>
                          <w:b/>
                        </w:rPr>
                        <w:t>Portfolio Benchmarks in Lithuania</w:t>
                      </w:r>
                    </w:p>
                    <w:p w:rsidR="00145119" w:rsidRPr="000301FB" w:rsidRDefault="00145119" w:rsidP="00E66936">
                      <w:pPr>
                        <w:rPr>
                          <w:rFonts w:ascii="Times New Roman" w:hAnsi="Times New Roman" w:cs="Times New Roman"/>
                        </w:rPr>
                      </w:pPr>
                      <w:r w:rsidRPr="000301FB">
                        <w:rPr>
                          <w:rFonts w:ascii="Times New Roman" w:hAnsi="Times New Roman" w:cs="Times New Roman"/>
                        </w:rPr>
                        <w:t>Lithuania is one country which partially adopted such a benchmarking approach, but without sufficient supervisory oversight</w:t>
                      </w:r>
                      <w:r>
                        <w:rPr>
                          <w:rFonts w:ascii="Times New Roman" w:hAnsi="Times New Roman" w:cs="Times New Roman"/>
                        </w:rPr>
                        <w:t xml:space="preserve"> and with</w:t>
                      </w:r>
                      <w:r w:rsidRPr="000301FB">
                        <w:rPr>
                          <w:rFonts w:ascii="Times New Roman" w:hAnsi="Times New Roman" w:cs="Times New Roman"/>
                        </w:rPr>
                        <w:t xml:space="preserve"> misaligned incentives remain</w:t>
                      </w:r>
                      <w:r>
                        <w:rPr>
                          <w:rFonts w:ascii="Times New Roman" w:hAnsi="Times New Roman" w:cs="Times New Roman"/>
                        </w:rPr>
                        <w:t>ing</w:t>
                      </w:r>
                      <w:r w:rsidRPr="000301FB">
                        <w:rPr>
                          <w:rFonts w:ascii="Times New Roman" w:hAnsi="Times New Roman" w:cs="Times New Roman"/>
                        </w:rPr>
                        <w:t xml:space="preserve"> within the system. </w:t>
                      </w:r>
                    </w:p>
                    <w:p w:rsidR="00145119" w:rsidRPr="000301FB" w:rsidRDefault="00145119" w:rsidP="00E66936">
                      <w:pPr>
                        <w:rPr>
                          <w:rFonts w:ascii="Times New Roman" w:hAnsi="Times New Roman" w:cs="Times New Roman"/>
                        </w:rPr>
                      </w:pPr>
                      <w:r w:rsidRPr="000301FB">
                        <w:rPr>
                          <w:rFonts w:ascii="Times New Roman" w:hAnsi="Times New Roman" w:cs="Times New Roman"/>
                        </w:rPr>
                        <w:t xml:space="preserve">Among countries with mandatory, individual account pension schemes considered in this paper, Lithuania is the country with the most liberal investment policies. Pension funds are managed by licensed asset management companies, which are allowed to manage other funds as well. The investment regulation requires only a minimum level of diversification of the instruments under management. There are no restrictions on the number of portfolios that each of the asset management companies that manage pension funds </w:t>
                      </w:r>
                      <w:proofErr w:type="gramStart"/>
                      <w:r w:rsidRPr="000301FB">
                        <w:rPr>
                          <w:rFonts w:ascii="Times New Roman" w:hAnsi="Times New Roman" w:cs="Times New Roman"/>
                        </w:rPr>
                        <w:t>are</w:t>
                      </w:r>
                      <w:proofErr w:type="gramEnd"/>
                      <w:r w:rsidRPr="000301FB">
                        <w:rPr>
                          <w:rFonts w:ascii="Times New Roman" w:hAnsi="Times New Roman" w:cs="Times New Roman"/>
                        </w:rPr>
                        <w:t xml:space="preserve"> required to offer. While some companies offer two, others offer up to five.  The number of funds and the investment strategy of these funds have been mostly guided by the capacity of the sales force to bring a minimum number of contributors to these funds. Each fund is guided by its own investment guidelines, which can change without much notice.</w:t>
                      </w:r>
                    </w:p>
                    <w:p w:rsidR="00145119" w:rsidRPr="000301FB" w:rsidRDefault="00145119" w:rsidP="00E66936">
                      <w:pPr>
                        <w:rPr>
                          <w:rFonts w:ascii="Times New Roman" w:hAnsi="Times New Roman" w:cs="Times New Roman"/>
                        </w:rPr>
                      </w:pPr>
                      <w:r w:rsidRPr="000301FB">
                        <w:rPr>
                          <w:rFonts w:ascii="Times New Roman" w:hAnsi="Times New Roman" w:cs="Times New Roman"/>
                        </w:rPr>
                        <w:t xml:space="preserve">Pension funds are required to make available to the supervisor the benchmark portfolio that they are expecting to follow, but the regulation does not impose explicit requirements for following such a benchmark and there are no penalties for diverting from it.   In the absence of a clear mandate, the supervisory agency was unable to do anything meaningful with the benchmarks, except making them available </w:t>
                      </w:r>
                      <w:r>
                        <w:rPr>
                          <w:rFonts w:ascii="Times New Roman" w:hAnsi="Times New Roman" w:cs="Times New Roman"/>
                        </w:rPr>
                        <w:t xml:space="preserve">to the public </w:t>
                      </w:r>
                      <w:r w:rsidRPr="000301FB">
                        <w:rPr>
                          <w:rFonts w:ascii="Times New Roman" w:hAnsi="Times New Roman" w:cs="Times New Roman"/>
                        </w:rPr>
                        <w:t xml:space="preserve">on </w:t>
                      </w:r>
                      <w:r>
                        <w:rPr>
                          <w:rFonts w:ascii="Times New Roman" w:hAnsi="Times New Roman" w:cs="Times New Roman"/>
                        </w:rPr>
                        <w:t xml:space="preserve">a </w:t>
                      </w:r>
                      <w:r w:rsidRPr="000301FB">
                        <w:rPr>
                          <w:rFonts w:ascii="Times New Roman" w:hAnsi="Times New Roman" w:cs="Times New Roman"/>
                        </w:rPr>
                        <w:t>webpage.</w:t>
                      </w:r>
                    </w:p>
                    <w:p w:rsidR="00145119" w:rsidRPr="000301FB" w:rsidRDefault="00145119" w:rsidP="00E66936">
                      <w:pPr>
                        <w:rPr>
                          <w:rFonts w:ascii="Times New Roman" w:hAnsi="Times New Roman" w:cs="Times New Roman"/>
                        </w:rPr>
                      </w:pPr>
                      <w:r w:rsidRPr="000301FB">
                        <w:rPr>
                          <w:rFonts w:ascii="Times New Roman" w:hAnsi="Times New Roman" w:cs="Times New Roman"/>
                        </w:rPr>
                        <w:t>Under these circumstances, contributors faced a web of different portfolio strategies, with unknown risk profiles, and without the tools to compare them. The association of asset managers made an effort to group the strategies of the pension funds into three broad categories, but given the diversity of investments, it is possible to identify a fourth group within the alternatives being offered.</w:t>
                      </w:r>
                    </w:p>
                    <w:p w:rsidR="00145119" w:rsidRPr="000301FB" w:rsidRDefault="00145119" w:rsidP="00E66936">
                      <w:pPr>
                        <w:rPr>
                          <w:rFonts w:ascii="Times New Roman" w:hAnsi="Times New Roman" w:cs="Times New Roman"/>
                        </w:rPr>
                      </w:pPr>
                      <w:r w:rsidRPr="000301FB">
                        <w:rPr>
                          <w:rFonts w:ascii="Times New Roman" w:hAnsi="Times New Roman" w:cs="Times New Roman"/>
                        </w:rPr>
                        <w:t>In summary, the Lithuanian experience offers a case of individual plans with multiple investment alternatives, with an undefined objective and with supervisors without sufficient powers to provide guidance on the pension risk faced by the contributors, where contributors with limited financial education are faced with multiple portfolio options and are unable to evaluate the impact of their decisions on their future retirement income.</w:t>
                      </w:r>
                    </w:p>
                    <w:p w:rsidR="00145119" w:rsidRDefault="00145119" w:rsidP="00E66936"/>
                  </w:txbxContent>
                </v:textbox>
              </v:shape>
            </w:pict>
          </mc:Fallback>
        </mc:AlternateContent>
      </w:r>
    </w:p>
    <w:p w:rsidR="0070291E" w:rsidRPr="006E3E78" w:rsidRDefault="0070291E" w:rsidP="00E66936">
      <w:pPr>
        <w:ind w:left="360"/>
        <w:rPr>
          <w:rFonts w:ascii="Times New Roman" w:hAnsi="Times New Roman" w:cs="Times New Roman"/>
        </w:rPr>
      </w:pPr>
    </w:p>
    <w:p w:rsidR="0070291E" w:rsidRPr="006E3E78" w:rsidRDefault="0070291E" w:rsidP="00E66936">
      <w:pPr>
        <w:ind w:left="360"/>
        <w:rPr>
          <w:rFonts w:ascii="Times New Roman" w:hAnsi="Times New Roman" w:cs="Times New Roman"/>
        </w:rPr>
      </w:pPr>
    </w:p>
    <w:p w:rsidR="0070291E" w:rsidRPr="006B4FDF" w:rsidRDefault="0070291E" w:rsidP="0070291E">
      <w:pPr>
        <w:pStyle w:val="Heading2"/>
        <w:rPr>
          <w:rFonts w:ascii="Times New Roman" w:hAnsi="Times New Roman" w:cs="Times New Roman"/>
        </w:rPr>
      </w:pPr>
    </w:p>
    <w:p w:rsidR="0070291E" w:rsidRPr="006B4FDF" w:rsidRDefault="0070291E" w:rsidP="0070291E">
      <w:pPr>
        <w:pStyle w:val="Heading2"/>
        <w:ind w:left="720"/>
        <w:rPr>
          <w:rFonts w:ascii="Times New Roman" w:hAnsi="Times New Roman" w:cs="Times New Roman"/>
        </w:rPr>
      </w:pPr>
    </w:p>
    <w:p w:rsidR="000301FB" w:rsidRPr="006B4FDF" w:rsidRDefault="000301FB" w:rsidP="000301FB">
      <w:pPr>
        <w:rPr>
          <w:rFonts w:ascii="Times New Roman" w:hAnsi="Times New Roman" w:cs="Times New Roman"/>
        </w:rPr>
      </w:pPr>
    </w:p>
    <w:p w:rsidR="000301FB" w:rsidRPr="006B4FDF" w:rsidRDefault="000301FB" w:rsidP="000301FB">
      <w:pPr>
        <w:rPr>
          <w:rFonts w:ascii="Times New Roman" w:hAnsi="Times New Roman" w:cs="Times New Roman"/>
        </w:rPr>
      </w:pPr>
    </w:p>
    <w:p w:rsidR="000301FB" w:rsidRPr="006B4FDF" w:rsidRDefault="000301FB" w:rsidP="000301FB">
      <w:pPr>
        <w:rPr>
          <w:rFonts w:ascii="Times New Roman" w:hAnsi="Times New Roman" w:cs="Times New Roman"/>
        </w:rPr>
      </w:pPr>
    </w:p>
    <w:p w:rsidR="000301FB" w:rsidRPr="006B4FDF" w:rsidRDefault="000301FB" w:rsidP="000301FB">
      <w:pPr>
        <w:rPr>
          <w:rFonts w:ascii="Times New Roman" w:hAnsi="Times New Roman" w:cs="Times New Roman"/>
        </w:rPr>
      </w:pPr>
    </w:p>
    <w:p w:rsidR="00E30C1F" w:rsidRPr="006B4FDF" w:rsidRDefault="00E30C1F">
      <w:pPr>
        <w:spacing w:after="0" w:line="240" w:lineRule="auto"/>
        <w:rPr>
          <w:rFonts w:ascii="Times New Roman" w:eastAsiaTheme="majorEastAsia" w:hAnsi="Times New Roman" w:cs="Times New Roman"/>
          <w:b/>
          <w:bCs/>
          <w:color w:val="4F81BD" w:themeColor="accent1"/>
          <w:sz w:val="26"/>
          <w:szCs w:val="26"/>
        </w:rPr>
      </w:pPr>
      <w:r w:rsidRPr="006B4FDF">
        <w:rPr>
          <w:rFonts w:ascii="Times New Roman" w:hAnsi="Times New Roman" w:cs="Times New Roman"/>
        </w:rPr>
        <w:br w:type="page"/>
      </w:r>
    </w:p>
    <w:p w:rsidR="003C46A9" w:rsidRPr="00085822" w:rsidRDefault="00BF7E58" w:rsidP="003C46A9">
      <w:pPr>
        <w:pStyle w:val="Heading2"/>
        <w:numPr>
          <w:ilvl w:val="0"/>
          <w:numId w:val="7"/>
        </w:numPr>
        <w:rPr>
          <w:rFonts w:ascii="Times New Roman" w:hAnsi="Times New Roman" w:cs="Times New Roman"/>
          <w:color w:val="000000" w:themeColor="text1"/>
        </w:rPr>
      </w:pPr>
      <w:r w:rsidRPr="00085822">
        <w:rPr>
          <w:rFonts w:ascii="Times New Roman" w:hAnsi="Times New Roman" w:cs="Times New Roman"/>
          <w:color w:val="000000" w:themeColor="text1"/>
        </w:rPr>
        <w:lastRenderedPageBreak/>
        <w:t>Is RBS for Pensions Cost Effective?</w:t>
      </w:r>
    </w:p>
    <w:p w:rsidR="0070291E" w:rsidRPr="007D64F9" w:rsidRDefault="00BF7E58" w:rsidP="0070291E">
      <w:pPr>
        <w:pStyle w:val="ListParagraph"/>
        <w:numPr>
          <w:ilvl w:val="0"/>
          <w:numId w:val="1"/>
        </w:numPr>
        <w:rPr>
          <w:rFonts w:ascii="Times New Roman" w:hAnsi="Times New Roman" w:cs="Times New Roman"/>
        </w:rPr>
      </w:pPr>
      <w:r w:rsidRPr="006B4FDF">
        <w:rPr>
          <w:rFonts w:ascii="Times New Roman" w:hAnsi="Times New Roman" w:cs="Times New Roman"/>
        </w:rPr>
        <w:t>As has been recognized in the banking and insurance sectors, introducing risk-based supervision is not without costs</w:t>
      </w:r>
      <w:r w:rsidR="000E4AB4" w:rsidRPr="006B4FDF">
        <w:rPr>
          <w:rFonts w:ascii="Times New Roman" w:hAnsi="Times New Roman" w:cs="Times New Roman"/>
        </w:rPr>
        <w:t>.</w:t>
      </w:r>
      <w:r w:rsidRPr="006B4FDF">
        <w:rPr>
          <w:rFonts w:ascii="Times New Roman" w:hAnsi="Times New Roman" w:cs="Times New Roman"/>
        </w:rPr>
        <w:t xml:space="preserve"> In the absence of explicit targets related to the expected value of pensions at retirement age and assigning the supervisor with the objective of assessing pension fund performance against those targets, the introduction of RBS, when compared with compliance-based supervision, does not address the main issue, which is to ensure that the expected value of pensions at retirement age will be adequate, other than in relation to the contributions already made. In other words, if RBS is to be meaningful and to outweigh the cost/ benefit of compliance-based supervision, it needs to supervise also pension risk.  </w:t>
      </w:r>
    </w:p>
    <w:p w:rsidR="0070291E" w:rsidRPr="006E3E78" w:rsidRDefault="00BF7E58" w:rsidP="0070291E">
      <w:pPr>
        <w:pStyle w:val="ListParagraph"/>
        <w:numPr>
          <w:ilvl w:val="0"/>
          <w:numId w:val="1"/>
        </w:numPr>
        <w:rPr>
          <w:rFonts w:ascii="Times New Roman" w:hAnsi="Times New Roman" w:cs="Times New Roman"/>
        </w:rPr>
      </w:pPr>
      <w:r w:rsidRPr="006E3E78">
        <w:rPr>
          <w:rFonts w:ascii="Times New Roman" w:hAnsi="Times New Roman" w:cs="Times New Roman"/>
        </w:rPr>
        <w:t xml:space="preserve">Migrating from compliance to RBS models, without supervising pension risk will still provide some benefits, but these may not outweigh the costs. Justification might come from the perspective of efficiency of the state, better use of the public resources, and clearer objectives for the supervisory agency. </w:t>
      </w:r>
    </w:p>
    <w:p w:rsidR="00BF7E58" w:rsidRPr="007D64F9" w:rsidRDefault="00093CAA" w:rsidP="0070291E">
      <w:pPr>
        <w:pStyle w:val="ListParagraph"/>
        <w:numPr>
          <w:ilvl w:val="0"/>
          <w:numId w:val="1"/>
        </w:numPr>
        <w:rPr>
          <w:rFonts w:ascii="Times New Roman" w:hAnsi="Times New Roman" w:cs="Times New Roman"/>
        </w:rPr>
      </w:pPr>
      <w:r w:rsidRPr="006B4FDF">
        <w:rPr>
          <w:rFonts w:ascii="Times New Roman" w:hAnsi="Times New Roman" w:cs="Times New Roman"/>
        </w:rPr>
        <w:t xml:space="preserve">The small number of pension fund management companies in most of the emerging </w:t>
      </w:r>
      <w:r w:rsidRPr="005E4D8B">
        <w:rPr>
          <w:rFonts w:ascii="Times New Roman" w:hAnsi="Times New Roman" w:cs="Times New Roman"/>
        </w:rPr>
        <w:t xml:space="preserve">economies with funded pension schemes makes the argument for introducing RBS less forceful. </w:t>
      </w:r>
      <w:r w:rsidR="00BF7E58" w:rsidRPr="007D64F9">
        <w:rPr>
          <w:rFonts w:ascii="Times New Roman" w:hAnsi="Times New Roman" w:cs="Times New Roman"/>
        </w:rPr>
        <w:t>While the justification for better focusing scarce supervisory resources may be pertinent in countries with hundreds of pension funds, such as Australia and the United Kingdom, the argument is less relevant in countries with open pension systems which have a small numbe</w:t>
      </w:r>
      <w:r w:rsidR="00E13B43" w:rsidRPr="007D64F9">
        <w:rPr>
          <w:rFonts w:ascii="Times New Roman" w:hAnsi="Times New Roman" w:cs="Times New Roman"/>
        </w:rPr>
        <w:t>r of PFMCs.  As shown in Table 3</w:t>
      </w:r>
      <w:r w:rsidR="00BF7E58" w:rsidRPr="007D64F9">
        <w:rPr>
          <w:rFonts w:ascii="Times New Roman" w:hAnsi="Times New Roman" w:cs="Times New Roman"/>
        </w:rPr>
        <w:t>, in most of the emerging countries with open funded schemes</w:t>
      </w:r>
      <w:r w:rsidR="001B7A24" w:rsidRPr="007D64F9">
        <w:rPr>
          <w:rFonts w:ascii="Times New Roman" w:hAnsi="Times New Roman" w:cs="Times New Roman"/>
        </w:rPr>
        <w:t>,</w:t>
      </w:r>
      <w:r w:rsidR="00BF7E58" w:rsidRPr="007D64F9">
        <w:rPr>
          <w:rFonts w:ascii="Times New Roman" w:hAnsi="Times New Roman" w:cs="Times New Roman"/>
        </w:rPr>
        <w:t xml:space="preserve"> the number of pension funds is typically between two (El Salvador, Macedonia) and 14 (Poland</w:t>
      </w:r>
      <w:r w:rsidR="00E30C1F" w:rsidRPr="007D64F9">
        <w:rPr>
          <w:rFonts w:ascii="Times New Roman" w:hAnsi="Times New Roman" w:cs="Times New Roman"/>
        </w:rPr>
        <w:t xml:space="preserve"> – before recent changes</w:t>
      </w:r>
      <w:r w:rsidR="00BF7E58" w:rsidRPr="007D64F9">
        <w:rPr>
          <w:rFonts w:ascii="Times New Roman" w:hAnsi="Times New Roman" w:cs="Times New Roman"/>
        </w:rPr>
        <w:t>).  While some of these supervisory agencies may need to upgrade the skills of the personnel, the potential availability of supervisory resources for supervising a small number of pension funds might not be considered as the main driver for introducing RBS.</w:t>
      </w:r>
    </w:p>
    <w:p w:rsidR="00BF7E58" w:rsidRPr="005E4D8B" w:rsidRDefault="00BF7E58" w:rsidP="00BF7E58">
      <w:pPr>
        <w:spacing w:after="0" w:line="240" w:lineRule="auto"/>
        <w:rPr>
          <w:rFonts w:ascii="Times New Roman" w:hAnsi="Times New Roman" w:cs="Times New Roman"/>
          <w:b/>
        </w:rPr>
      </w:pPr>
      <w:r w:rsidRPr="007D64F9">
        <w:rPr>
          <w:rFonts w:ascii="Times New Roman" w:hAnsi="Times New Roman" w:cs="Times New Roman"/>
          <w:b/>
        </w:rPr>
        <w:t>Table</w:t>
      </w:r>
      <w:r w:rsidR="005E4D8B">
        <w:rPr>
          <w:rFonts w:ascii="Times New Roman" w:hAnsi="Times New Roman" w:cs="Times New Roman"/>
          <w:b/>
        </w:rPr>
        <w:t xml:space="preserve"> </w:t>
      </w:r>
      <w:r w:rsidR="0070291E" w:rsidRPr="005E4D8B">
        <w:rPr>
          <w:rFonts w:ascii="Times New Roman" w:hAnsi="Times New Roman" w:cs="Times New Roman"/>
          <w:b/>
        </w:rPr>
        <w:t>3</w:t>
      </w:r>
      <w:r w:rsidRPr="005E4D8B">
        <w:rPr>
          <w:rFonts w:ascii="Times New Roman" w:hAnsi="Times New Roman" w:cs="Times New Roman"/>
          <w:b/>
        </w:rPr>
        <w:t xml:space="preserve">: </w:t>
      </w:r>
      <w:r w:rsidRPr="00085822">
        <w:rPr>
          <w:rFonts w:ascii="Times New Roman" w:hAnsi="Times New Roman" w:cs="Times New Roman"/>
        </w:rPr>
        <w:t>Number of pension fund management companies</w:t>
      </w:r>
      <w:r w:rsidR="005E4D8B" w:rsidRPr="00085822">
        <w:rPr>
          <w:rFonts w:ascii="Times New Roman" w:hAnsi="Times New Roman" w:cs="Times New Roman"/>
        </w:rPr>
        <w:t>,</w:t>
      </w:r>
      <w:r w:rsidRPr="00085822">
        <w:rPr>
          <w:rFonts w:ascii="Times New Roman" w:hAnsi="Times New Roman" w:cs="Times New Roman"/>
          <w:vertAlign w:val="superscript"/>
        </w:rPr>
        <w:t>a</w:t>
      </w:r>
      <w:r w:rsidRPr="00085822">
        <w:rPr>
          <w:rFonts w:ascii="Times New Roman" w:hAnsi="Times New Roman" w:cs="Times New Roman"/>
        </w:rPr>
        <w:t xml:space="preserve"> 2012</w:t>
      </w:r>
    </w:p>
    <w:p w:rsidR="00BF7E58" w:rsidRPr="007D64F9" w:rsidRDefault="00BF7E58" w:rsidP="00BF7E58">
      <w:pPr>
        <w:spacing w:after="0" w:line="240" w:lineRule="auto"/>
        <w:rPr>
          <w:rFonts w:ascii="Times New Roman" w:hAnsi="Times New Roman" w:cs="Times New Roman"/>
          <w:b/>
        </w:rPr>
      </w:pPr>
    </w:p>
    <w:tbl>
      <w:tblPr>
        <w:tblW w:w="5226" w:type="dxa"/>
        <w:jc w:val="center"/>
        <w:tblCellMar>
          <w:left w:w="115" w:type="dxa"/>
          <w:right w:w="115" w:type="dxa"/>
        </w:tblCellMar>
        <w:tblLook w:val="04A0" w:firstRow="1" w:lastRow="0" w:firstColumn="1" w:lastColumn="0" w:noHBand="0" w:noVBand="1"/>
      </w:tblPr>
      <w:tblGrid>
        <w:gridCol w:w="1306"/>
        <w:gridCol w:w="1300"/>
        <w:gridCol w:w="1320"/>
        <w:gridCol w:w="1300"/>
      </w:tblGrid>
      <w:tr w:rsidR="00BF7E58" w:rsidRPr="0052319B" w:rsidTr="00E13B43">
        <w:trPr>
          <w:trHeight w:val="860"/>
          <w:jc w:val="center"/>
        </w:trPr>
        <w:tc>
          <w:tcPr>
            <w:tcW w:w="1306" w:type="dxa"/>
            <w:tcBorders>
              <w:top w:val="single" w:sz="8" w:space="0" w:color="auto"/>
              <w:left w:val="single" w:sz="8" w:space="0" w:color="auto"/>
              <w:bottom w:val="single" w:sz="8" w:space="0" w:color="auto"/>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Country</w:t>
            </w:r>
          </w:p>
        </w:tc>
        <w:tc>
          <w:tcPr>
            <w:tcW w:w="1300" w:type="dxa"/>
            <w:tcBorders>
              <w:top w:val="single" w:sz="8" w:space="0" w:color="auto"/>
              <w:left w:val="nil"/>
              <w:bottom w:val="single" w:sz="8" w:space="0" w:color="auto"/>
              <w:right w:val="single" w:sz="8" w:space="0" w:color="auto"/>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 of PFMCs</w:t>
            </w:r>
          </w:p>
        </w:tc>
        <w:tc>
          <w:tcPr>
            <w:tcW w:w="1320" w:type="dxa"/>
            <w:tcBorders>
              <w:top w:val="single" w:sz="8" w:space="0" w:color="auto"/>
              <w:left w:val="nil"/>
              <w:bottom w:val="single" w:sz="8" w:space="0" w:color="auto"/>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Country</w:t>
            </w:r>
          </w:p>
        </w:tc>
        <w:tc>
          <w:tcPr>
            <w:tcW w:w="1300" w:type="dxa"/>
            <w:tcBorders>
              <w:top w:val="single" w:sz="8" w:space="0" w:color="auto"/>
              <w:left w:val="nil"/>
              <w:bottom w:val="single" w:sz="8" w:space="0" w:color="auto"/>
              <w:right w:val="single" w:sz="8" w:space="0" w:color="auto"/>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 of PFMCs</w:t>
            </w:r>
          </w:p>
        </w:tc>
      </w:tr>
      <w:tr w:rsidR="00BF7E58" w:rsidRPr="0052319B" w:rsidTr="00E13B43">
        <w:trPr>
          <w:trHeight w:val="380"/>
          <w:jc w:val="center"/>
        </w:trPr>
        <w:tc>
          <w:tcPr>
            <w:tcW w:w="2606"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ECA</w:t>
            </w:r>
          </w:p>
        </w:tc>
        <w:tc>
          <w:tcPr>
            <w:tcW w:w="26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LAC</w:t>
            </w:r>
          </w:p>
        </w:tc>
      </w:tr>
      <w:tr w:rsidR="00BF7E58" w:rsidRPr="0052319B" w:rsidTr="00E13B43">
        <w:trPr>
          <w:trHeight w:val="300"/>
          <w:jc w:val="center"/>
        </w:trPr>
        <w:tc>
          <w:tcPr>
            <w:tcW w:w="1306" w:type="dxa"/>
            <w:tcBorders>
              <w:top w:val="nil"/>
              <w:left w:val="single" w:sz="8" w:space="0" w:color="auto"/>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Poland</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14</w:t>
            </w:r>
          </w:p>
        </w:tc>
        <w:tc>
          <w:tcPr>
            <w:tcW w:w="1320" w:type="dxa"/>
            <w:tcBorders>
              <w:top w:val="nil"/>
              <w:left w:val="nil"/>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Bolivia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2</w:t>
            </w:r>
          </w:p>
        </w:tc>
      </w:tr>
      <w:tr w:rsidR="00BF7E58" w:rsidRPr="0052319B" w:rsidTr="00E13B43">
        <w:trPr>
          <w:trHeight w:val="300"/>
          <w:jc w:val="center"/>
        </w:trPr>
        <w:tc>
          <w:tcPr>
            <w:tcW w:w="1306" w:type="dxa"/>
            <w:tcBorders>
              <w:top w:val="nil"/>
              <w:left w:val="single" w:sz="8" w:space="0" w:color="auto"/>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Latvia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8</w:t>
            </w:r>
          </w:p>
        </w:tc>
        <w:tc>
          <w:tcPr>
            <w:tcW w:w="1320" w:type="dxa"/>
            <w:tcBorders>
              <w:top w:val="nil"/>
              <w:left w:val="nil"/>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Chile</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6</w:t>
            </w:r>
          </w:p>
        </w:tc>
      </w:tr>
      <w:tr w:rsidR="00BF7E58" w:rsidRPr="0052319B" w:rsidTr="00E13B43">
        <w:trPr>
          <w:trHeight w:val="300"/>
          <w:jc w:val="center"/>
        </w:trPr>
        <w:tc>
          <w:tcPr>
            <w:tcW w:w="1306" w:type="dxa"/>
            <w:tcBorders>
              <w:top w:val="nil"/>
              <w:left w:val="single" w:sz="8" w:space="0" w:color="auto"/>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Estonia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6</w:t>
            </w:r>
          </w:p>
        </w:tc>
        <w:tc>
          <w:tcPr>
            <w:tcW w:w="1320" w:type="dxa"/>
            <w:tcBorders>
              <w:top w:val="nil"/>
              <w:left w:val="nil"/>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Colombia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6</w:t>
            </w:r>
          </w:p>
        </w:tc>
      </w:tr>
      <w:tr w:rsidR="00BF7E58" w:rsidRPr="0052319B" w:rsidTr="00E13B43">
        <w:trPr>
          <w:trHeight w:val="300"/>
          <w:jc w:val="center"/>
        </w:trPr>
        <w:tc>
          <w:tcPr>
            <w:tcW w:w="1306" w:type="dxa"/>
            <w:tcBorders>
              <w:top w:val="nil"/>
              <w:left w:val="single" w:sz="8" w:space="0" w:color="auto"/>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Lithuania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10</w:t>
            </w:r>
          </w:p>
        </w:tc>
        <w:tc>
          <w:tcPr>
            <w:tcW w:w="1320" w:type="dxa"/>
            <w:tcBorders>
              <w:top w:val="nil"/>
              <w:left w:val="nil"/>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El Salvador</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2</w:t>
            </w:r>
          </w:p>
        </w:tc>
      </w:tr>
      <w:tr w:rsidR="00BF7E58" w:rsidRPr="0052319B" w:rsidTr="00E13B43">
        <w:trPr>
          <w:trHeight w:val="300"/>
          <w:jc w:val="center"/>
        </w:trPr>
        <w:tc>
          <w:tcPr>
            <w:tcW w:w="1306" w:type="dxa"/>
            <w:tcBorders>
              <w:top w:val="nil"/>
              <w:left w:val="single" w:sz="8" w:space="0" w:color="auto"/>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Slovakia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6</w:t>
            </w:r>
          </w:p>
        </w:tc>
        <w:tc>
          <w:tcPr>
            <w:tcW w:w="1320" w:type="dxa"/>
            <w:tcBorders>
              <w:top w:val="nil"/>
              <w:left w:val="nil"/>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Mexico</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12</w:t>
            </w:r>
          </w:p>
        </w:tc>
      </w:tr>
      <w:tr w:rsidR="00BF7E58" w:rsidRPr="0052319B" w:rsidTr="00E13B43">
        <w:trPr>
          <w:trHeight w:val="300"/>
          <w:jc w:val="center"/>
        </w:trPr>
        <w:tc>
          <w:tcPr>
            <w:tcW w:w="1306" w:type="dxa"/>
            <w:tcBorders>
              <w:top w:val="nil"/>
              <w:left w:val="single" w:sz="8" w:space="0" w:color="auto"/>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Bulgaria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9</w:t>
            </w:r>
          </w:p>
        </w:tc>
        <w:tc>
          <w:tcPr>
            <w:tcW w:w="1320" w:type="dxa"/>
            <w:tcBorders>
              <w:top w:val="nil"/>
              <w:left w:val="nil"/>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Peru</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4</w:t>
            </w:r>
          </w:p>
        </w:tc>
      </w:tr>
      <w:tr w:rsidR="00BF7E58" w:rsidRPr="0052319B" w:rsidTr="00E13B43">
        <w:trPr>
          <w:trHeight w:val="300"/>
          <w:jc w:val="center"/>
        </w:trPr>
        <w:tc>
          <w:tcPr>
            <w:tcW w:w="1306" w:type="dxa"/>
            <w:tcBorders>
              <w:top w:val="nil"/>
              <w:left w:val="single" w:sz="8" w:space="0" w:color="auto"/>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Romania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9</w:t>
            </w:r>
          </w:p>
        </w:tc>
        <w:tc>
          <w:tcPr>
            <w:tcW w:w="1320" w:type="dxa"/>
            <w:tcBorders>
              <w:top w:val="nil"/>
              <w:left w:val="nil"/>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Dominican R.</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5</w:t>
            </w:r>
          </w:p>
        </w:tc>
      </w:tr>
      <w:tr w:rsidR="00BF7E58" w:rsidRPr="0052319B" w:rsidTr="00E13B43">
        <w:trPr>
          <w:trHeight w:val="300"/>
          <w:jc w:val="center"/>
        </w:trPr>
        <w:tc>
          <w:tcPr>
            <w:tcW w:w="1306" w:type="dxa"/>
            <w:tcBorders>
              <w:top w:val="nil"/>
              <w:left w:val="single" w:sz="8" w:space="0" w:color="auto"/>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Croatia</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4</w:t>
            </w:r>
          </w:p>
        </w:tc>
        <w:tc>
          <w:tcPr>
            <w:tcW w:w="1320" w:type="dxa"/>
            <w:tcBorders>
              <w:top w:val="nil"/>
              <w:left w:val="nil"/>
              <w:bottom w:val="nil"/>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Uruguay</w:t>
            </w:r>
          </w:p>
        </w:tc>
        <w:tc>
          <w:tcPr>
            <w:tcW w:w="1300" w:type="dxa"/>
            <w:tcBorders>
              <w:top w:val="nil"/>
              <w:left w:val="nil"/>
              <w:bottom w:val="nil"/>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4</w:t>
            </w:r>
          </w:p>
        </w:tc>
      </w:tr>
      <w:tr w:rsidR="00BF7E58" w:rsidRPr="0052319B" w:rsidTr="00E13B43">
        <w:trPr>
          <w:trHeight w:val="340"/>
          <w:jc w:val="center"/>
        </w:trPr>
        <w:tc>
          <w:tcPr>
            <w:tcW w:w="1306" w:type="dxa"/>
            <w:tcBorders>
              <w:top w:val="nil"/>
              <w:left w:val="single" w:sz="8" w:space="0" w:color="auto"/>
              <w:bottom w:val="single" w:sz="8" w:space="0" w:color="auto"/>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Macedonia</w:t>
            </w:r>
          </w:p>
        </w:tc>
        <w:tc>
          <w:tcPr>
            <w:tcW w:w="1300" w:type="dxa"/>
            <w:tcBorders>
              <w:top w:val="nil"/>
              <w:left w:val="nil"/>
              <w:bottom w:val="single" w:sz="8" w:space="0" w:color="auto"/>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2</w:t>
            </w:r>
          </w:p>
        </w:tc>
        <w:tc>
          <w:tcPr>
            <w:tcW w:w="1320" w:type="dxa"/>
            <w:tcBorders>
              <w:top w:val="nil"/>
              <w:left w:val="nil"/>
              <w:bottom w:val="single" w:sz="8" w:space="0" w:color="auto"/>
              <w:right w:val="nil"/>
            </w:tcBorders>
            <w:shd w:val="clear" w:color="000000" w:fill="FFFFFF"/>
            <w:noWrap/>
            <w:vAlign w:val="center"/>
            <w:hideMark/>
          </w:tcPr>
          <w:p w:rsidR="00BF7E58" w:rsidRPr="0052319B" w:rsidRDefault="00BF7E58" w:rsidP="00E13B43">
            <w:pPr>
              <w:spacing w:after="0" w:line="240" w:lineRule="auto"/>
              <w:rPr>
                <w:rFonts w:ascii="Times New Roman" w:eastAsia="Times New Roman" w:hAnsi="Times New Roman" w:cs="Times New Roman"/>
                <w:color w:val="000000"/>
              </w:rPr>
            </w:pPr>
            <w:r w:rsidRPr="0052319B">
              <w:rPr>
                <w:rFonts w:ascii="Times New Roman" w:eastAsia="Times New Roman" w:hAnsi="Times New Roman" w:cs="Times New Roman"/>
                <w:color w:val="000000"/>
              </w:rPr>
              <w:t>Costa Rica</w:t>
            </w:r>
          </w:p>
        </w:tc>
        <w:tc>
          <w:tcPr>
            <w:tcW w:w="1300" w:type="dxa"/>
            <w:tcBorders>
              <w:top w:val="nil"/>
              <w:left w:val="nil"/>
              <w:bottom w:val="single" w:sz="8" w:space="0" w:color="auto"/>
              <w:right w:val="single" w:sz="8" w:space="0" w:color="auto"/>
            </w:tcBorders>
            <w:shd w:val="clear" w:color="000000" w:fill="FFFFFF"/>
            <w:noWrap/>
            <w:vAlign w:val="center"/>
            <w:hideMark/>
          </w:tcPr>
          <w:p w:rsidR="00BF7E58" w:rsidRPr="0052319B" w:rsidRDefault="00BF7E58" w:rsidP="00E13B43">
            <w:pPr>
              <w:spacing w:after="0" w:line="240" w:lineRule="auto"/>
              <w:jc w:val="center"/>
              <w:rPr>
                <w:rFonts w:ascii="Times New Roman" w:eastAsia="Times New Roman" w:hAnsi="Times New Roman" w:cs="Times New Roman"/>
                <w:color w:val="000000"/>
              </w:rPr>
            </w:pPr>
            <w:r w:rsidRPr="0052319B">
              <w:rPr>
                <w:rFonts w:ascii="Times New Roman" w:eastAsia="Times New Roman" w:hAnsi="Times New Roman" w:cs="Times New Roman"/>
                <w:color w:val="000000"/>
              </w:rPr>
              <w:t>7</w:t>
            </w:r>
          </w:p>
        </w:tc>
      </w:tr>
    </w:tbl>
    <w:p w:rsidR="00BF7E58" w:rsidRPr="007D64F9" w:rsidRDefault="00BF7E58" w:rsidP="0052319B">
      <w:pPr>
        <w:spacing w:after="0"/>
        <w:ind w:left="1800"/>
        <w:rPr>
          <w:rFonts w:ascii="Times New Roman" w:hAnsi="Times New Roman" w:cs="Times New Roman"/>
          <w:sz w:val="18"/>
          <w:szCs w:val="18"/>
        </w:rPr>
      </w:pPr>
      <w:r w:rsidRPr="007D64F9">
        <w:rPr>
          <w:rFonts w:ascii="Times New Roman" w:hAnsi="Times New Roman" w:cs="Times New Roman"/>
          <w:sz w:val="18"/>
          <w:szCs w:val="18"/>
        </w:rPr>
        <w:t>Source: country sources</w:t>
      </w:r>
    </w:p>
    <w:p w:rsidR="00BF7E58" w:rsidRPr="006E3E78" w:rsidRDefault="00BF7E58" w:rsidP="0052319B">
      <w:pPr>
        <w:ind w:left="1440" w:firstLine="360"/>
        <w:rPr>
          <w:rFonts w:ascii="Times New Roman" w:hAnsi="Times New Roman" w:cs="Times New Roman"/>
          <w:b/>
        </w:rPr>
      </w:pPr>
      <w:r w:rsidRPr="007D64F9">
        <w:rPr>
          <w:rFonts w:ascii="Times New Roman" w:hAnsi="Times New Roman" w:cs="Times New Roman"/>
          <w:sz w:val="18"/>
          <w:szCs w:val="18"/>
        </w:rPr>
        <w:t>a. countries with mandatory funded system</w:t>
      </w:r>
      <w:r w:rsidRPr="006E3E78">
        <w:rPr>
          <w:rFonts w:ascii="Times New Roman" w:hAnsi="Times New Roman" w:cs="Times New Roman"/>
          <w:b/>
        </w:rPr>
        <w:t xml:space="preserve"> </w:t>
      </w:r>
    </w:p>
    <w:p w:rsidR="0070291E" w:rsidRPr="006E3E78" w:rsidRDefault="0070291E" w:rsidP="00BF7E58">
      <w:pPr>
        <w:ind w:left="360"/>
        <w:rPr>
          <w:rFonts w:ascii="Times New Roman" w:hAnsi="Times New Roman" w:cs="Times New Roman"/>
          <w:sz w:val="18"/>
          <w:szCs w:val="18"/>
        </w:rPr>
      </w:pPr>
    </w:p>
    <w:p w:rsidR="0070291E" w:rsidRPr="008A25C9" w:rsidRDefault="008A25C9" w:rsidP="0070291E">
      <w:pPr>
        <w:pStyle w:val="ListParagraph"/>
        <w:numPr>
          <w:ilvl w:val="0"/>
          <w:numId w:val="1"/>
        </w:numPr>
        <w:rPr>
          <w:rFonts w:ascii="Times New Roman" w:hAnsi="Times New Roman" w:cs="Times New Roman"/>
        </w:rPr>
      </w:pPr>
      <w:r w:rsidRPr="008A25C9">
        <w:rPr>
          <w:rFonts w:ascii="Times New Roman" w:hAnsi="Times New Roman" w:cs="Times New Roman"/>
        </w:rPr>
        <w:t xml:space="preserve">If the portfolio allocation of pension </w:t>
      </w:r>
      <w:proofErr w:type="gramStart"/>
      <w:r w:rsidRPr="008A25C9">
        <w:rPr>
          <w:rFonts w:ascii="Times New Roman" w:hAnsi="Times New Roman" w:cs="Times New Roman"/>
        </w:rPr>
        <w:t>funds  is</w:t>
      </w:r>
      <w:proofErr w:type="gramEnd"/>
      <w:r w:rsidRPr="008A25C9">
        <w:rPr>
          <w:rFonts w:ascii="Times New Roman" w:hAnsi="Times New Roman" w:cs="Times New Roman"/>
        </w:rPr>
        <w:t xml:space="preserve"> driven by the investment regulation, the case for introducing RBS is limited. </w:t>
      </w:r>
      <w:r w:rsidR="003C46A9" w:rsidRPr="008A25C9">
        <w:rPr>
          <w:rFonts w:ascii="Times New Roman" w:hAnsi="Times New Roman" w:cs="Times New Roman"/>
        </w:rPr>
        <w:t xml:space="preserve">In countries that mandate, through regulation or law, the investment limits within </w:t>
      </w:r>
      <w:r w:rsidR="00E234D0">
        <w:rPr>
          <w:rFonts w:ascii="Times New Roman" w:hAnsi="Times New Roman" w:cs="Times New Roman"/>
        </w:rPr>
        <w:t xml:space="preserve">which </w:t>
      </w:r>
      <w:r w:rsidR="003C46A9" w:rsidRPr="008A25C9">
        <w:rPr>
          <w:rFonts w:ascii="Times New Roman" w:hAnsi="Times New Roman" w:cs="Times New Roman"/>
        </w:rPr>
        <w:t xml:space="preserve">PFMCs can work, there may not always be a business case for adopting RBS.  </w:t>
      </w:r>
      <w:r w:rsidR="0052319B" w:rsidRPr="008A25C9">
        <w:rPr>
          <w:rFonts w:ascii="Times New Roman" w:hAnsi="Times New Roman" w:cs="Times New Roman"/>
        </w:rPr>
        <w:t xml:space="preserve">This is especially the case in countries with </w:t>
      </w:r>
      <w:r w:rsidRPr="008A25C9">
        <w:rPr>
          <w:rFonts w:ascii="Times New Roman" w:hAnsi="Times New Roman" w:cs="Times New Roman"/>
        </w:rPr>
        <w:t xml:space="preserve">investment restrictions that by default force investments into certain type of assets. For example, small countries with underdeveloped bond and equity markets, where investment regulation requires pension fund to invest in liquid domestic assets, typically result in large investment in government bonds, which are typically the most liquid assets in the country.  </w:t>
      </w:r>
    </w:p>
    <w:p w:rsidR="0070291E" w:rsidRPr="005E4D8B" w:rsidRDefault="003C46A9" w:rsidP="0070291E">
      <w:pPr>
        <w:pStyle w:val="ListParagraph"/>
        <w:numPr>
          <w:ilvl w:val="0"/>
          <w:numId w:val="1"/>
        </w:numPr>
        <w:rPr>
          <w:rFonts w:ascii="Times New Roman" w:hAnsi="Times New Roman" w:cs="Times New Roman"/>
        </w:rPr>
      </w:pPr>
      <w:r w:rsidRPr="006B4FDF">
        <w:rPr>
          <w:rFonts w:ascii="Times New Roman" w:hAnsi="Times New Roman" w:cs="Times New Roman"/>
        </w:rPr>
        <w:t xml:space="preserve">The justification for introducing RBS would be stronger in cases where the supervisory agency is mandated to take a proactive role in supervising investment risk, </w:t>
      </w:r>
      <w:r w:rsidR="006D467A">
        <w:rPr>
          <w:rFonts w:ascii="Times New Roman" w:hAnsi="Times New Roman" w:cs="Times New Roman"/>
        </w:rPr>
        <w:t>with the aim of</w:t>
      </w:r>
      <w:r w:rsidRPr="006B4FDF">
        <w:rPr>
          <w:rFonts w:ascii="Times New Roman" w:hAnsi="Times New Roman" w:cs="Times New Roman"/>
        </w:rPr>
        <w:t xml:space="preserve"> mitigating pension risk.  The case for introducing RBS is even </w:t>
      </w:r>
      <w:r w:rsidRPr="005E4D8B">
        <w:rPr>
          <w:rFonts w:ascii="Times New Roman" w:hAnsi="Times New Roman" w:cs="Times New Roman"/>
        </w:rPr>
        <w:t xml:space="preserve">more relevant in cases where pension funds are allowed to leverage or invest in derivative instruments or structured products that are heavily exposed to counterparty risks. In these cases, an additional layer of protection might be necessary, and capital may start playing a role in risk management decisions of the pension fund management companies.  However, the large majority of emerging economies analyzed in this note do not invest in these types of instruments. </w:t>
      </w:r>
    </w:p>
    <w:p w:rsidR="00E13B43" w:rsidRPr="007D64F9" w:rsidRDefault="00093CAA" w:rsidP="00093CAA">
      <w:pPr>
        <w:pStyle w:val="ListParagraph"/>
        <w:numPr>
          <w:ilvl w:val="0"/>
          <w:numId w:val="1"/>
        </w:numPr>
        <w:rPr>
          <w:rFonts w:ascii="Times New Roman" w:hAnsi="Times New Roman" w:cs="Times New Roman"/>
        </w:rPr>
      </w:pPr>
      <w:r w:rsidRPr="007D64F9">
        <w:rPr>
          <w:rFonts w:ascii="Times New Roman" w:hAnsi="Times New Roman" w:cs="Times New Roman"/>
        </w:rPr>
        <w:t xml:space="preserve">Good institutional design and a basic package of </w:t>
      </w:r>
      <w:r w:rsidR="00553347" w:rsidRPr="007D64F9">
        <w:rPr>
          <w:rFonts w:ascii="Times New Roman" w:hAnsi="Times New Roman" w:cs="Times New Roman"/>
        </w:rPr>
        <w:t xml:space="preserve">pension </w:t>
      </w:r>
      <w:r w:rsidRPr="007D64F9">
        <w:rPr>
          <w:rFonts w:ascii="Times New Roman" w:hAnsi="Times New Roman" w:cs="Times New Roman"/>
        </w:rPr>
        <w:t xml:space="preserve">regulation are efficient tools for addressing the operational risks of funded pension schemes in most of the emerging markets with funded pension schemes. In addition, the justification for introducing RBS simply to mitigate operational risks is weak.  </w:t>
      </w:r>
      <w:r w:rsidR="003C46A9" w:rsidRPr="007D64F9">
        <w:rPr>
          <w:rFonts w:ascii="Times New Roman" w:hAnsi="Times New Roman" w:cs="Times New Roman"/>
        </w:rPr>
        <w:t>Under the</w:t>
      </w:r>
      <w:r w:rsidRPr="007D64F9">
        <w:rPr>
          <w:rFonts w:ascii="Times New Roman" w:hAnsi="Times New Roman" w:cs="Times New Roman"/>
        </w:rPr>
        <w:t>se</w:t>
      </w:r>
      <w:r w:rsidR="003C46A9" w:rsidRPr="007D64F9">
        <w:rPr>
          <w:rFonts w:ascii="Times New Roman" w:hAnsi="Times New Roman" w:cs="Times New Roman"/>
        </w:rPr>
        <w:t xml:space="preserve"> circumstances, good institutional design and a basic package of regulation appears a viable alternative to RBS. </w:t>
      </w:r>
    </w:p>
    <w:p w:rsidR="00E13B43" w:rsidRPr="007D64F9" w:rsidRDefault="00E13B43">
      <w:pPr>
        <w:spacing w:after="0" w:line="240" w:lineRule="auto"/>
        <w:rPr>
          <w:rFonts w:ascii="Times New Roman" w:hAnsi="Times New Roman" w:cs="Times New Roman"/>
        </w:rPr>
      </w:pPr>
      <w:r w:rsidRPr="007D64F9">
        <w:rPr>
          <w:rFonts w:ascii="Times New Roman" w:hAnsi="Times New Roman" w:cs="Times New Roman"/>
        </w:rPr>
        <w:br w:type="page"/>
      </w:r>
    </w:p>
    <w:p w:rsidR="00E13B43" w:rsidRPr="007D64F9" w:rsidRDefault="00E13B43" w:rsidP="00E13B43">
      <w:pPr>
        <w:rPr>
          <w:rFonts w:ascii="Times New Roman" w:hAnsi="Times New Roman" w:cs="Times New Roman"/>
        </w:rPr>
        <w:sectPr w:rsidR="00E13B43" w:rsidRPr="007D64F9" w:rsidSect="005C1C02">
          <w:pgSz w:w="12240" w:h="15840"/>
          <w:pgMar w:top="1440" w:right="1800" w:bottom="1440" w:left="1800" w:header="720" w:footer="720" w:gutter="0"/>
          <w:cols w:space="720"/>
          <w:docGrid w:linePitch="360"/>
        </w:sectPr>
      </w:pPr>
    </w:p>
    <w:p w:rsidR="00E13B43" w:rsidRPr="00085822" w:rsidRDefault="00E13B43" w:rsidP="00E13B43">
      <w:pPr>
        <w:rPr>
          <w:rFonts w:ascii="Times New Roman" w:hAnsi="Times New Roman" w:cs="Times New Roman"/>
        </w:rPr>
      </w:pPr>
      <w:r w:rsidRPr="00085822">
        <w:rPr>
          <w:rFonts w:ascii="Times New Roman" w:hAnsi="Times New Roman" w:cs="Times New Roman"/>
          <w:b/>
        </w:rPr>
        <w:lastRenderedPageBreak/>
        <w:t>Table 4</w:t>
      </w:r>
      <w:r w:rsidRPr="00085822">
        <w:rPr>
          <w:rFonts w:ascii="Times New Roman" w:hAnsi="Times New Roman" w:cs="Times New Roman"/>
        </w:rPr>
        <w:t>: Basic Package of Pension Regulation</w:t>
      </w:r>
    </w:p>
    <w:tbl>
      <w:tblPr>
        <w:tblStyle w:val="TableGrid"/>
        <w:tblW w:w="0" w:type="auto"/>
        <w:tblLook w:val="04A0" w:firstRow="1" w:lastRow="0" w:firstColumn="1" w:lastColumn="0" w:noHBand="0" w:noVBand="1"/>
      </w:tblPr>
      <w:tblGrid>
        <w:gridCol w:w="1365"/>
        <w:gridCol w:w="11811"/>
      </w:tblGrid>
      <w:tr w:rsidR="00E13B43" w:rsidRPr="007D64F9" w:rsidTr="00E13B43">
        <w:trPr>
          <w:trHeight w:val="1745"/>
        </w:trPr>
        <w:tc>
          <w:tcPr>
            <w:tcW w:w="1365" w:type="dxa"/>
          </w:tcPr>
          <w:p w:rsidR="00E13B43" w:rsidRPr="006E3E78" w:rsidRDefault="00E13B43">
            <w:pPr>
              <w:spacing w:after="0" w:line="240" w:lineRule="auto"/>
              <w:rPr>
                <w:rFonts w:ascii="Times New Roman" w:hAnsi="Times New Roman" w:cs="Times New Roman"/>
                <w:b/>
              </w:rPr>
            </w:pPr>
            <w:r w:rsidRPr="006E3E78">
              <w:rPr>
                <w:rFonts w:ascii="Times New Roman" w:hAnsi="Times New Roman" w:cs="Times New Roman"/>
                <w:b/>
              </w:rPr>
              <w:t xml:space="preserve">Licensing </w:t>
            </w:r>
          </w:p>
        </w:tc>
        <w:tc>
          <w:tcPr>
            <w:tcW w:w="11811" w:type="dxa"/>
          </w:tcPr>
          <w:p w:rsidR="00E13B43" w:rsidRPr="006B4FDF" w:rsidRDefault="00E13B43" w:rsidP="003466C7">
            <w:pPr>
              <w:rPr>
                <w:rFonts w:ascii="Times New Roman" w:hAnsi="Times New Roman" w:cs="Times New Roman"/>
              </w:rPr>
            </w:pPr>
            <w:r w:rsidRPr="006E3E78">
              <w:rPr>
                <w:rFonts w:ascii="Times New Roman" w:hAnsi="Times New Roman" w:cs="Times New Roman"/>
              </w:rPr>
              <w:t>PFMCs require a license. After a process of fit and proper evaluation</w:t>
            </w:r>
            <w:r w:rsidR="003466C7">
              <w:rPr>
                <w:rFonts w:ascii="Times New Roman" w:hAnsi="Times New Roman" w:cs="Times New Roman"/>
              </w:rPr>
              <w:t>, and an a</w:t>
            </w:r>
            <w:r w:rsidR="007B17BA">
              <w:rPr>
                <w:rFonts w:ascii="Times New Roman" w:hAnsi="Times New Roman" w:cs="Times New Roman"/>
              </w:rPr>
              <w:t>ssessment of resources and risk management capabilities</w:t>
            </w:r>
            <w:r w:rsidR="003466C7">
              <w:rPr>
                <w:rFonts w:ascii="Times New Roman" w:hAnsi="Times New Roman" w:cs="Times New Roman"/>
              </w:rPr>
              <w:t xml:space="preserve"> of the PFMC</w:t>
            </w:r>
            <w:r w:rsidR="007B17BA">
              <w:rPr>
                <w:rFonts w:ascii="Times New Roman" w:hAnsi="Times New Roman" w:cs="Times New Roman"/>
              </w:rPr>
              <w:t xml:space="preserve">, </w:t>
            </w:r>
            <w:r w:rsidRPr="006E3E78">
              <w:rPr>
                <w:rFonts w:ascii="Times New Roman" w:hAnsi="Times New Roman" w:cs="Times New Roman"/>
              </w:rPr>
              <w:t>the supervisory entity, and in some cases other government entities, grant licenses to PFMCs to manage voluntary and mandatory pension funds. Typically, the PFMCs that have received a license are part of bigger financial groups. The fact that the local companies are part of a large financial group is important from a risk perspective as the risk management policies and processes are derived from the parent entity. The reputational risk of the parent entity becomes a major risk-mitigating factor for the local operation. The size of the local operation is very small relative to the group – this is significant from the perspective of the group supporting the local operation in order to minimize the possible reputational risk to the group arising from the local oper</w:t>
            </w:r>
            <w:r w:rsidRPr="006B4FDF">
              <w:rPr>
                <w:rFonts w:ascii="Times New Roman" w:hAnsi="Times New Roman" w:cs="Times New Roman"/>
              </w:rPr>
              <w:t>ation.</w:t>
            </w:r>
          </w:p>
        </w:tc>
      </w:tr>
      <w:tr w:rsidR="00E13B43" w:rsidRPr="007D64F9" w:rsidTr="00E13B43">
        <w:trPr>
          <w:trHeight w:val="584"/>
        </w:trPr>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t>Capital</w:t>
            </w:r>
          </w:p>
        </w:tc>
        <w:tc>
          <w:tcPr>
            <w:tcW w:w="11811" w:type="dxa"/>
          </w:tcPr>
          <w:p w:rsidR="00E13B43" w:rsidRPr="006E3E78" w:rsidRDefault="00E13B43" w:rsidP="003466C7">
            <w:pPr>
              <w:rPr>
                <w:rFonts w:ascii="Times New Roman" w:hAnsi="Times New Roman" w:cs="Times New Roman"/>
              </w:rPr>
            </w:pPr>
            <w:r w:rsidRPr="006E3E78">
              <w:rPr>
                <w:rFonts w:ascii="Times New Roman" w:hAnsi="Times New Roman" w:cs="Times New Roman"/>
              </w:rPr>
              <w:t xml:space="preserve">PFMCs are required to maintain a minimum level of capital </w:t>
            </w:r>
            <w:r w:rsidR="003466C7">
              <w:rPr>
                <w:rFonts w:ascii="Times New Roman" w:hAnsi="Times New Roman" w:cs="Times New Roman"/>
              </w:rPr>
              <w:t xml:space="preserve">commensurate with their proposed level of activities </w:t>
            </w:r>
            <w:r w:rsidRPr="006E3E78">
              <w:rPr>
                <w:rFonts w:ascii="Times New Roman" w:hAnsi="Times New Roman" w:cs="Times New Roman"/>
              </w:rPr>
              <w:t>that fluctuates between approximately USD 100,000 (Ukraine) and USD 6.75 million (Poland).</w:t>
            </w:r>
          </w:p>
        </w:tc>
      </w:tr>
      <w:tr w:rsidR="00E13B43" w:rsidRPr="007D64F9" w:rsidTr="00E13B43">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t xml:space="preserve">Governance </w:t>
            </w:r>
          </w:p>
        </w:tc>
        <w:tc>
          <w:tcPr>
            <w:tcW w:w="11811" w:type="dxa"/>
          </w:tcPr>
          <w:p w:rsidR="00E13B43" w:rsidRPr="006E3E78" w:rsidRDefault="00E13B43">
            <w:pPr>
              <w:spacing w:after="0" w:line="240" w:lineRule="auto"/>
              <w:rPr>
                <w:rFonts w:ascii="Times New Roman" w:hAnsi="Times New Roman" w:cs="Times New Roman"/>
              </w:rPr>
            </w:pPr>
            <w:r w:rsidRPr="006E3E78">
              <w:rPr>
                <w:rFonts w:ascii="Times New Roman" w:hAnsi="Times New Roman" w:cs="Times New Roman"/>
              </w:rPr>
              <w:t>Regulations typically require PFMCs to be constituted as share companies or as subsidiaries of international financial groups. They are required to have a board of directors, in some cases with independent directors. At the management level, the front office needs to be separated from the back office.  These basic governance structures replicate the structure of asset management companies in more sophisticated markets.</w:t>
            </w:r>
          </w:p>
          <w:p w:rsidR="00E13B43" w:rsidRPr="006E3E78" w:rsidRDefault="00E13B43">
            <w:pPr>
              <w:spacing w:after="0" w:line="240" w:lineRule="auto"/>
              <w:rPr>
                <w:rFonts w:ascii="Times New Roman" w:hAnsi="Times New Roman" w:cs="Times New Roman"/>
                <w:b/>
              </w:rPr>
            </w:pPr>
          </w:p>
        </w:tc>
      </w:tr>
      <w:tr w:rsidR="00E13B43" w:rsidRPr="007D64F9" w:rsidTr="00E13B43">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t>Eligible Instruments</w:t>
            </w:r>
          </w:p>
        </w:tc>
        <w:tc>
          <w:tcPr>
            <w:tcW w:w="11811" w:type="dxa"/>
          </w:tcPr>
          <w:p w:rsidR="00E13B43" w:rsidRPr="006E3E78" w:rsidRDefault="00E13B43">
            <w:pPr>
              <w:spacing w:after="0" w:line="240" w:lineRule="auto"/>
              <w:rPr>
                <w:rFonts w:ascii="Times New Roman" w:hAnsi="Times New Roman" w:cs="Times New Roman"/>
                <w:b/>
              </w:rPr>
            </w:pPr>
            <w:r w:rsidRPr="006E3E78">
              <w:rPr>
                <w:rFonts w:ascii="Times New Roman" w:hAnsi="Times New Roman" w:cs="Times New Roman"/>
              </w:rPr>
              <w:t xml:space="preserve">Open pension systems are typically allowed to invest in a restricted menu of options, which include cash, bonds, and equities. They are also allowed to invest in mutual funds and other collective undertakings, but each of these assets needs to be explicitly authorized by the supervisory agency (e.g. Peru), or by an independent institution, as the </w:t>
            </w:r>
            <w:r w:rsidRPr="008A25C9">
              <w:rPr>
                <w:rFonts w:ascii="Times New Roman" w:hAnsi="Times New Roman" w:cs="Times New Roman"/>
                <w:i/>
              </w:rPr>
              <w:t>Comision Clasificadora de Riesgo</w:t>
            </w:r>
            <w:r w:rsidRPr="006E3E78">
              <w:rPr>
                <w:rFonts w:ascii="Times New Roman" w:hAnsi="Times New Roman" w:cs="Times New Roman"/>
              </w:rPr>
              <w:t xml:space="preserve"> in Chile.</w:t>
            </w:r>
            <w:r w:rsidRPr="00967BDF">
              <w:rPr>
                <w:rFonts w:ascii="Times New Roman" w:hAnsi="Times New Roman" w:cs="Times New Roman"/>
              </w:rPr>
              <w:footnoteRef/>
            </w:r>
            <w:r w:rsidRPr="007D64F9">
              <w:rPr>
                <w:rFonts w:ascii="Times New Roman" w:hAnsi="Times New Roman" w:cs="Times New Roman"/>
              </w:rPr>
              <w:t xml:space="preserve"> Pension</w:t>
            </w:r>
            <w:r w:rsidRPr="006E3E78">
              <w:rPr>
                <w:rFonts w:ascii="Times New Roman" w:hAnsi="Times New Roman" w:cs="Times New Roman"/>
              </w:rPr>
              <w:t xml:space="preserve"> funds are typically not allowed to leverage, and the use of derivatives is restricted to small notional amounts, which should be used exclusively to mitigate risks (Mexico is an exception).</w:t>
            </w:r>
          </w:p>
        </w:tc>
      </w:tr>
      <w:tr w:rsidR="00E13B43" w:rsidRPr="007D64F9" w:rsidTr="00E13B43">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t>Trading Platforms</w:t>
            </w:r>
          </w:p>
        </w:tc>
        <w:tc>
          <w:tcPr>
            <w:tcW w:w="11811" w:type="dxa"/>
          </w:tcPr>
          <w:p w:rsidR="00E13B43" w:rsidRPr="006E3E78" w:rsidRDefault="00E13B43">
            <w:pPr>
              <w:spacing w:after="0" w:line="240" w:lineRule="auto"/>
              <w:rPr>
                <w:rFonts w:ascii="Times New Roman" w:hAnsi="Times New Roman" w:cs="Times New Roman"/>
                <w:b/>
              </w:rPr>
            </w:pPr>
            <w:r w:rsidRPr="006E3E78">
              <w:rPr>
                <w:rFonts w:ascii="Times New Roman" w:hAnsi="Times New Roman" w:cs="Times New Roman"/>
              </w:rPr>
              <w:t>Regulations typically require all transactions to be conducted on recognized exchanges or trading platforms that provide sufficient information to the market on volumes and prices. In some cases, pension funds are allowed to purchase government securities through banking platforms, in cases where this market is more liquid. The compulsory use of trading through qualified platforms helps to avoid basic problems of price manipulation and transfer of wealth to other parties through fictitious prices.</w:t>
            </w:r>
          </w:p>
        </w:tc>
      </w:tr>
      <w:tr w:rsidR="00E13B43" w:rsidRPr="007D64F9" w:rsidTr="00E13B43">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t>Mark-to-market Valuation</w:t>
            </w:r>
          </w:p>
        </w:tc>
        <w:tc>
          <w:tcPr>
            <w:tcW w:w="11811" w:type="dxa"/>
          </w:tcPr>
          <w:p w:rsidR="00E13B43" w:rsidRPr="006E3E78" w:rsidRDefault="00E13B43" w:rsidP="00E13B43">
            <w:pPr>
              <w:rPr>
                <w:rFonts w:ascii="Times New Roman" w:hAnsi="Times New Roman" w:cs="Times New Roman"/>
              </w:rPr>
            </w:pPr>
            <w:r w:rsidRPr="006E3E78">
              <w:rPr>
                <w:rFonts w:ascii="Times New Roman" w:hAnsi="Times New Roman" w:cs="Times New Roman"/>
              </w:rPr>
              <w:t xml:space="preserve">Independent agencies, the supervisory agency (Chile), a price vendor (Colombia, Mexico), or a custodian bank (Slovakia, Lithuania, Estonia) typically provide valuations of assets. Mark-to-market valuation by independent agencies avoids price manipulation and perverse market practices for transferring wealth from the pension fund managers to the shareholders of the </w:t>
            </w:r>
            <w:r w:rsidRPr="006E3E78">
              <w:rPr>
                <w:rFonts w:ascii="Times New Roman" w:hAnsi="Times New Roman" w:cs="Times New Roman"/>
              </w:rPr>
              <w:lastRenderedPageBreak/>
              <w:t>companies or their associates.</w:t>
            </w:r>
          </w:p>
        </w:tc>
      </w:tr>
      <w:tr w:rsidR="00E13B43" w:rsidRPr="007D64F9" w:rsidTr="00E13B43">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lastRenderedPageBreak/>
              <w:t>Depositary Functions</w:t>
            </w:r>
          </w:p>
        </w:tc>
        <w:tc>
          <w:tcPr>
            <w:tcW w:w="11811" w:type="dxa"/>
          </w:tcPr>
          <w:p w:rsidR="00E13B43" w:rsidRPr="006E3E78" w:rsidRDefault="00E13B43">
            <w:pPr>
              <w:spacing w:after="0" w:line="240" w:lineRule="auto"/>
              <w:rPr>
                <w:rFonts w:ascii="Times New Roman" w:hAnsi="Times New Roman" w:cs="Times New Roman"/>
                <w:b/>
              </w:rPr>
            </w:pPr>
            <w:r w:rsidRPr="006E3E78">
              <w:rPr>
                <w:rFonts w:ascii="Times New Roman" w:hAnsi="Times New Roman" w:cs="Times New Roman"/>
              </w:rPr>
              <w:t>PFMCs are required to deposit the securities in a Central Depository, through a book entry transfer of financial instruments.  The depository holds the titles of securities and allows only authorized individuals to transfer the instruments. The depositary institution reduces operational risks and the risks of fraud that can occur if documents are stolen. Since titles are maintained in a separate institution, the compulsory use of depository functions helps to mitigate basic problems of theft and fraud.</w:t>
            </w:r>
          </w:p>
        </w:tc>
      </w:tr>
      <w:tr w:rsidR="00E13B43" w:rsidRPr="007D64F9" w:rsidTr="00E13B43">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t>Custodian Functions</w:t>
            </w:r>
          </w:p>
        </w:tc>
        <w:tc>
          <w:tcPr>
            <w:tcW w:w="11811" w:type="dxa"/>
          </w:tcPr>
          <w:p w:rsidR="00E13B43" w:rsidRPr="006E3E78" w:rsidRDefault="00E13B43">
            <w:pPr>
              <w:spacing w:after="0" w:line="240" w:lineRule="auto"/>
              <w:rPr>
                <w:rFonts w:ascii="Times New Roman" w:hAnsi="Times New Roman" w:cs="Times New Roman"/>
                <w:b/>
              </w:rPr>
            </w:pPr>
            <w:r w:rsidRPr="006E3E78">
              <w:rPr>
                <w:rFonts w:ascii="Times New Roman" w:hAnsi="Times New Roman" w:cs="Times New Roman"/>
              </w:rPr>
              <w:t>Custodians employ accounting practices and safekeeping procedures that fully protect the assets of the pension fund, particularly against the creditors of pension fund managers.  The legal framework requires separation of the assets of the pension funds from those of the PFMC and ensures that the assets of the fund are not available to pay claims against the PFMC.</w:t>
            </w:r>
          </w:p>
        </w:tc>
      </w:tr>
      <w:tr w:rsidR="00E13B43" w:rsidRPr="007D64F9" w:rsidTr="00E13B43">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t>External Auditors</w:t>
            </w:r>
          </w:p>
        </w:tc>
        <w:tc>
          <w:tcPr>
            <w:tcW w:w="11811" w:type="dxa"/>
          </w:tcPr>
          <w:p w:rsidR="00E13B43" w:rsidRPr="006E3E78" w:rsidRDefault="00E13B43">
            <w:pPr>
              <w:spacing w:after="0" w:line="240" w:lineRule="auto"/>
              <w:rPr>
                <w:rFonts w:ascii="Times New Roman" w:hAnsi="Times New Roman" w:cs="Times New Roman"/>
              </w:rPr>
            </w:pPr>
            <w:r w:rsidRPr="006E3E78">
              <w:rPr>
                <w:rFonts w:ascii="Times New Roman" w:hAnsi="Times New Roman" w:cs="Times New Roman"/>
              </w:rPr>
              <w:t>External auditors, who are frequently approved by the supervisor for that purpose, audit financial statements of the funds and PFMCs on a regular basis. The auditors have an obligation under the Law and the regulation to report to the supervisor both routinely and in the event of any occurrence or likely occurrence which will jeopardize the financial position of either the funds or the PFMC.</w:t>
            </w:r>
          </w:p>
        </w:tc>
      </w:tr>
      <w:tr w:rsidR="00E13B43" w:rsidRPr="007D64F9" w:rsidTr="00E13B43">
        <w:tc>
          <w:tcPr>
            <w:tcW w:w="1365" w:type="dxa"/>
          </w:tcPr>
          <w:p w:rsidR="00E13B43" w:rsidRPr="007D64F9" w:rsidRDefault="00E13B43">
            <w:pPr>
              <w:spacing w:after="0" w:line="240" w:lineRule="auto"/>
              <w:rPr>
                <w:rFonts w:ascii="Times New Roman" w:hAnsi="Times New Roman" w:cs="Times New Roman"/>
                <w:b/>
              </w:rPr>
            </w:pPr>
            <w:r w:rsidRPr="007D64F9">
              <w:rPr>
                <w:rFonts w:ascii="Times New Roman" w:hAnsi="Times New Roman" w:cs="Times New Roman"/>
                <w:b/>
              </w:rPr>
              <w:t>Efficient Payment + Securities Settlement</w:t>
            </w:r>
          </w:p>
        </w:tc>
        <w:tc>
          <w:tcPr>
            <w:tcW w:w="11811" w:type="dxa"/>
          </w:tcPr>
          <w:p w:rsidR="00E13B43" w:rsidRPr="006E3E78" w:rsidRDefault="00E13B43" w:rsidP="00E13B43">
            <w:pPr>
              <w:rPr>
                <w:rFonts w:ascii="Times New Roman" w:hAnsi="Times New Roman" w:cs="Times New Roman"/>
              </w:rPr>
            </w:pPr>
            <w:r w:rsidRPr="006E3E78">
              <w:rPr>
                <w:rFonts w:ascii="Times New Roman" w:hAnsi="Times New Roman" w:cs="Times New Roman"/>
              </w:rPr>
              <w:t>Most of these countries have in place electronic signature and documents, validation of netting, and settlement finality.  In addition, most of these countries have in place a plan to converge to Delivery versus Payment standards, which is one of the primary means by which a market can reduce the risk inherent in securities transactions.</w:t>
            </w:r>
          </w:p>
        </w:tc>
      </w:tr>
    </w:tbl>
    <w:p w:rsidR="00E13B43" w:rsidRPr="007D64F9" w:rsidRDefault="00E13B43">
      <w:pPr>
        <w:spacing w:after="0" w:line="240" w:lineRule="auto"/>
        <w:rPr>
          <w:rFonts w:ascii="Times New Roman" w:hAnsi="Times New Roman" w:cs="Times New Roman"/>
          <w:b/>
          <w:color w:val="FF0000"/>
        </w:rPr>
      </w:pPr>
    </w:p>
    <w:p w:rsidR="00E13B43" w:rsidRPr="007D64F9" w:rsidRDefault="00E13B43">
      <w:pPr>
        <w:spacing w:after="0" w:line="240" w:lineRule="auto"/>
        <w:rPr>
          <w:rFonts w:ascii="Times New Roman" w:hAnsi="Times New Roman" w:cs="Times New Roman"/>
          <w:b/>
          <w:color w:val="FF0000"/>
        </w:rPr>
        <w:sectPr w:rsidR="00E13B43" w:rsidRPr="007D64F9" w:rsidSect="00E13B43">
          <w:pgSz w:w="15840" w:h="12240" w:orient="landscape"/>
          <w:pgMar w:top="1800" w:right="1440" w:bottom="1800" w:left="1440" w:header="720" w:footer="720" w:gutter="0"/>
          <w:cols w:space="720"/>
          <w:docGrid w:linePitch="360"/>
        </w:sectPr>
      </w:pPr>
    </w:p>
    <w:p w:rsidR="00E13B43" w:rsidRPr="007D64F9" w:rsidRDefault="00E13B43" w:rsidP="00E13B43">
      <w:pPr>
        <w:pStyle w:val="ListParagraph"/>
        <w:numPr>
          <w:ilvl w:val="0"/>
          <w:numId w:val="1"/>
        </w:numPr>
        <w:rPr>
          <w:rFonts w:ascii="Times New Roman" w:hAnsi="Times New Roman" w:cs="Times New Roman"/>
        </w:rPr>
      </w:pPr>
      <w:r w:rsidRPr="007D64F9">
        <w:rPr>
          <w:rFonts w:ascii="Times New Roman" w:hAnsi="Times New Roman" w:cs="Times New Roman"/>
        </w:rPr>
        <w:lastRenderedPageBreak/>
        <w:t xml:space="preserve">If properly implemented, the “basic package” is mostly sufficient for mitigating non-investment risks for pension funds that operate with basic assets, such as equities, bonds and cash. In the presence of portfolios largely invested in basic instruments, and with a large concentration in cash, bank deposits and government securities, the “basic package” might be largely sufficient to mitigate most of the non-investment risks of the pension fund system. </w:t>
      </w:r>
    </w:p>
    <w:p w:rsidR="003C46A9" w:rsidRPr="007D64F9" w:rsidRDefault="00E13B43" w:rsidP="00E13B43">
      <w:pPr>
        <w:pStyle w:val="ListParagraph"/>
        <w:numPr>
          <w:ilvl w:val="0"/>
          <w:numId w:val="1"/>
        </w:numPr>
        <w:rPr>
          <w:rFonts w:ascii="Times New Roman" w:hAnsi="Times New Roman" w:cs="Times New Roman"/>
        </w:rPr>
      </w:pPr>
      <w:r w:rsidRPr="007D64F9">
        <w:rPr>
          <w:rFonts w:ascii="Times New Roman" w:hAnsi="Times New Roman" w:cs="Times New Roman"/>
        </w:rPr>
        <w:t xml:space="preserve">As shown in Figure </w:t>
      </w:r>
      <w:r w:rsidR="00553347" w:rsidRPr="007D64F9">
        <w:rPr>
          <w:rFonts w:ascii="Times New Roman" w:hAnsi="Times New Roman" w:cs="Times New Roman"/>
        </w:rPr>
        <w:t>3</w:t>
      </w:r>
      <w:r w:rsidRPr="007D64F9">
        <w:rPr>
          <w:rFonts w:ascii="Times New Roman" w:hAnsi="Times New Roman" w:cs="Times New Roman"/>
        </w:rPr>
        <w:t>, approximately two thirds of the portfolios of the pension funds in the countries considered in this paper is invested in government securities and bank deposits</w:t>
      </w:r>
      <w:r w:rsidR="00553347" w:rsidRPr="007D64F9">
        <w:rPr>
          <w:rFonts w:ascii="Times New Roman" w:hAnsi="Times New Roman" w:cs="Times New Roman"/>
        </w:rPr>
        <w:t>, which gives a good idea of the relatively simple portfolio structures of pension funds in emerging economies.</w:t>
      </w:r>
    </w:p>
    <w:p w:rsidR="003C46A9" w:rsidRPr="007D64F9" w:rsidRDefault="00E13B43" w:rsidP="003C46A9">
      <w:pPr>
        <w:spacing w:after="0"/>
        <w:ind w:left="360"/>
        <w:rPr>
          <w:rFonts w:ascii="Times New Roman" w:hAnsi="Times New Roman" w:cs="Times New Roman"/>
        </w:rPr>
      </w:pPr>
      <w:r w:rsidRPr="00085822">
        <w:rPr>
          <w:rFonts w:ascii="Times New Roman" w:hAnsi="Times New Roman" w:cs="Times New Roman"/>
          <w:b/>
        </w:rPr>
        <w:t xml:space="preserve">Figure </w:t>
      </w:r>
      <w:r w:rsidR="00553347" w:rsidRPr="00085822">
        <w:rPr>
          <w:rFonts w:ascii="Times New Roman" w:hAnsi="Times New Roman" w:cs="Times New Roman"/>
          <w:b/>
        </w:rPr>
        <w:t>3</w:t>
      </w:r>
      <w:r w:rsidR="003C46A9" w:rsidRPr="007D64F9">
        <w:rPr>
          <w:rFonts w:ascii="Times New Roman" w:hAnsi="Times New Roman" w:cs="Times New Roman"/>
        </w:rPr>
        <w:t>. Asset Allocation of Pension Funds in Selected Emerging Markets</w:t>
      </w:r>
      <w:r w:rsidR="00553347" w:rsidRPr="007D64F9">
        <w:rPr>
          <w:rFonts w:ascii="Times New Roman" w:hAnsi="Times New Roman" w:cs="Times New Roman"/>
        </w:rPr>
        <w:t>, 2012</w:t>
      </w:r>
    </w:p>
    <w:p w:rsidR="003C46A9" w:rsidRPr="007D64F9" w:rsidRDefault="003C46A9" w:rsidP="003C46A9">
      <w:pPr>
        <w:spacing w:after="0"/>
        <w:ind w:left="360"/>
        <w:rPr>
          <w:rFonts w:ascii="Times New Roman" w:hAnsi="Times New Roman" w:cs="Times New Roman"/>
        </w:rPr>
      </w:pPr>
      <w:r w:rsidRPr="007D64F9">
        <w:rPr>
          <w:rFonts w:ascii="Times New Roman" w:hAnsi="Times New Roman" w:cs="Times New Roman"/>
        </w:rPr>
        <w:t>(as a percentage of assets under management)</w:t>
      </w:r>
    </w:p>
    <w:p w:rsidR="003C46A9" w:rsidRPr="008A25C9" w:rsidRDefault="003C46A9" w:rsidP="003C46A9">
      <w:pPr>
        <w:ind w:left="360"/>
        <w:rPr>
          <w:rFonts w:ascii="Times New Roman" w:hAnsi="Times New Roman" w:cs="Times New Roman"/>
          <w:sz w:val="20"/>
          <w:szCs w:val="20"/>
        </w:rPr>
      </w:pPr>
      <w:r w:rsidRPr="006B4FDF">
        <w:rPr>
          <w:rFonts w:ascii="Times New Roman" w:hAnsi="Times New Roman" w:cs="Times New Roman"/>
          <w:noProof/>
        </w:rPr>
        <w:drawing>
          <wp:inline distT="0" distB="0" distL="0" distR="0" wp14:anchorId="140CC0EE" wp14:editId="48523816">
            <wp:extent cx="4454806" cy="4765675"/>
            <wp:effectExtent l="0" t="0" r="2222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D64F9">
        <w:rPr>
          <w:rFonts w:ascii="Times New Roman" w:hAnsi="Times New Roman" w:cs="Times New Roman"/>
        </w:rPr>
        <w:br/>
      </w:r>
      <w:r w:rsidRPr="008A25C9">
        <w:rPr>
          <w:rFonts w:ascii="Times New Roman" w:hAnsi="Times New Roman" w:cs="Times New Roman"/>
          <w:sz w:val="20"/>
          <w:szCs w:val="20"/>
        </w:rPr>
        <w:t>Source: National Sources, World Bank</w:t>
      </w:r>
    </w:p>
    <w:p w:rsidR="00626CF9" w:rsidRPr="00967BDF" w:rsidRDefault="00626CF9" w:rsidP="00553347">
      <w:pPr>
        <w:pStyle w:val="ListParagraph"/>
        <w:autoSpaceDE w:val="0"/>
        <w:autoSpaceDN w:val="0"/>
        <w:adjustRightInd w:val="0"/>
        <w:spacing w:after="0" w:line="240" w:lineRule="auto"/>
        <w:rPr>
          <w:rFonts w:ascii="Times New Roman" w:hAnsi="Times New Roman" w:cs="Times New Roman"/>
        </w:rPr>
      </w:pPr>
    </w:p>
    <w:p w:rsidR="000301FB" w:rsidRPr="005E4D8B" w:rsidRDefault="000301FB" w:rsidP="000301FB">
      <w:pPr>
        <w:pStyle w:val="ListParagraph"/>
        <w:autoSpaceDE w:val="0"/>
        <w:autoSpaceDN w:val="0"/>
        <w:adjustRightInd w:val="0"/>
        <w:spacing w:after="0" w:line="240" w:lineRule="auto"/>
        <w:rPr>
          <w:rFonts w:ascii="Times New Roman" w:hAnsi="Times New Roman" w:cs="Times New Roman"/>
          <w:highlight w:val="yellow"/>
        </w:rPr>
      </w:pPr>
    </w:p>
    <w:p w:rsidR="000315D5" w:rsidRPr="00085822" w:rsidRDefault="000315D5" w:rsidP="003B0666">
      <w:pPr>
        <w:pStyle w:val="Heading2"/>
        <w:numPr>
          <w:ilvl w:val="0"/>
          <w:numId w:val="7"/>
        </w:numPr>
        <w:rPr>
          <w:rFonts w:ascii="Times New Roman" w:hAnsi="Times New Roman" w:cs="Times New Roman"/>
          <w:color w:val="000000" w:themeColor="text1"/>
        </w:rPr>
      </w:pPr>
      <w:r w:rsidRPr="00085822">
        <w:rPr>
          <w:rFonts w:ascii="Times New Roman" w:hAnsi="Times New Roman" w:cs="Times New Roman"/>
          <w:color w:val="000000" w:themeColor="text1"/>
        </w:rPr>
        <w:lastRenderedPageBreak/>
        <w:t xml:space="preserve">Lessons </w:t>
      </w:r>
      <w:r w:rsidR="00757673" w:rsidRPr="00085822">
        <w:rPr>
          <w:rFonts w:ascii="Times New Roman" w:hAnsi="Times New Roman" w:cs="Times New Roman"/>
          <w:color w:val="000000" w:themeColor="text1"/>
        </w:rPr>
        <w:t>L</w:t>
      </w:r>
      <w:r w:rsidRPr="00085822">
        <w:rPr>
          <w:rFonts w:ascii="Times New Roman" w:hAnsi="Times New Roman" w:cs="Times New Roman"/>
          <w:color w:val="000000" w:themeColor="text1"/>
        </w:rPr>
        <w:t>earned</w:t>
      </w:r>
    </w:p>
    <w:p w:rsidR="000315D5" w:rsidRPr="006E3E78" w:rsidRDefault="000315D5" w:rsidP="003B0666">
      <w:pPr>
        <w:pStyle w:val="ListParagraph"/>
        <w:numPr>
          <w:ilvl w:val="0"/>
          <w:numId w:val="8"/>
        </w:numPr>
        <w:rPr>
          <w:rFonts w:ascii="Times New Roman" w:hAnsi="Times New Roman" w:cs="Times New Roman"/>
        </w:rPr>
      </w:pPr>
      <w:r w:rsidRPr="007D64F9">
        <w:rPr>
          <w:rFonts w:ascii="Times New Roman" w:hAnsi="Times New Roman" w:cs="Times New Roman"/>
        </w:rPr>
        <w:t>DC pension systems faced criticism in the wake of the financial and economic crisis for not delivering adequate and sustai</w:t>
      </w:r>
      <w:r w:rsidRPr="006E3E78">
        <w:rPr>
          <w:rFonts w:ascii="Times New Roman" w:hAnsi="Times New Roman" w:cs="Times New Roman"/>
        </w:rPr>
        <w:t xml:space="preserve">nable pension incomes at retirement.  Much of the problem has centered around the misalignment of PFMC and pension fund members’ interests, with the focus on short-term volatility rather than delivering </w:t>
      </w:r>
      <w:r w:rsidR="005F4B1F">
        <w:rPr>
          <w:rFonts w:ascii="Times New Roman" w:hAnsi="Times New Roman" w:cs="Times New Roman"/>
        </w:rPr>
        <w:t xml:space="preserve">adequate </w:t>
      </w:r>
      <w:r w:rsidRPr="006E3E78">
        <w:rPr>
          <w:rFonts w:ascii="Times New Roman" w:hAnsi="Times New Roman" w:cs="Times New Roman"/>
        </w:rPr>
        <w:t xml:space="preserve">pension income over the long-term. </w:t>
      </w:r>
    </w:p>
    <w:p w:rsidR="000315D5" w:rsidRPr="005E4D8B" w:rsidRDefault="000315D5" w:rsidP="003B0666">
      <w:pPr>
        <w:pStyle w:val="ListParagraph"/>
        <w:numPr>
          <w:ilvl w:val="0"/>
          <w:numId w:val="8"/>
        </w:numPr>
        <w:rPr>
          <w:rFonts w:ascii="Times New Roman" w:hAnsi="Times New Roman" w:cs="Times New Roman"/>
        </w:rPr>
      </w:pPr>
      <w:r w:rsidRPr="006E3E78">
        <w:rPr>
          <w:rFonts w:ascii="Times New Roman" w:hAnsi="Times New Roman" w:cs="Times New Roman"/>
        </w:rPr>
        <w:t xml:space="preserve">Pension supervisors themselves have struggled to correct for these market failures. Part of the problem may be that many supervisory authorities themselves have not focused sufficiently on the ultimate long-term pension income objective.  As DC pensions </w:t>
      </w:r>
      <w:r w:rsidR="00E3168C" w:rsidRPr="006E3E78">
        <w:rPr>
          <w:rFonts w:ascii="Times New Roman" w:hAnsi="Times New Roman" w:cs="Times New Roman"/>
        </w:rPr>
        <w:t xml:space="preserve">do </w:t>
      </w:r>
      <w:r w:rsidRPr="006E3E78">
        <w:rPr>
          <w:rFonts w:ascii="Times New Roman" w:hAnsi="Times New Roman" w:cs="Times New Roman"/>
        </w:rPr>
        <w:t>not have an expl</w:t>
      </w:r>
      <w:r w:rsidRPr="006B4FDF">
        <w:rPr>
          <w:rFonts w:ascii="Times New Roman" w:hAnsi="Times New Roman" w:cs="Times New Roman"/>
        </w:rPr>
        <w:t xml:space="preserve">icit target, the focus has been more on process </w:t>
      </w:r>
      <w:r w:rsidR="00EC2B67" w:rsidRPr="006B4FDF">
        <w:rPr>
          <w:rFonts w:ascii="Times New Roman" w:hAnsi="Times New Roman" w:cs="Times New Roman"/>
        </w:rPr>
        <w:t>tha</w:t>
      </w:r>
      <w:r w:rsidR="00EC2B67">
        <w:rPr>
          <w:rFonts w:ascii="Times New Roman" w:hAnsi="Times New Roman" w:cs="Times New Roman"/>
        </w:rPr>
        <w:t>n</w:t>
      </w:r>
      <w:r w:rsidR="00EC2B67" w:rsidRPr="006B4FDF">
        <w:rPr>
          <w:rFonts w:ascii="Times New Roman" w:hAnsi="Times New Roman" w:cs="Times New Roman"/>
        </w:rPr>
        <w:t xml:space="preserve"> </w:t>
      </w:r>
      <w:r w:rsidRPr="006B4FDF">
        <w:rPr>
          <w:rFonts w:ascii="Times New Roman" w:hAnsi="Times New Roman" w:cs="Times New Roman"/>
        </w:rPr>
        <w:t xml:space="preserve">achieving adequate pension incomes. Yet the promise of </w:t>
      </w:r>
      <w:r w:rsidR="00C90AC1" w:rsidRPr="005E4D8B">
        <w:rPr>
          <w:rFonts w:ascii="Times New Roman" w:hAnsi="Times New Roman" w:cs="Times New Roman"/>
        </w:rPr>
        <w:t xml:space="preserve">adequate </w:t>
      </w:r>
      <w:r w:rsidRPr="005E4D8B">
        <w:rPr>
          <w:rFonts w:ascii="Times New Roman" w:hAnsi="Times New Roman" w:cs="Times New Roman"/>
        </w:rPr>
        <w:t xml:space="preserve">pension income is implicitly made and DC pensions (just like mutual funds or with-profit insurance contracts) come with non-contractual promises. Members join </w:t>
      </w:r>
      <w:r w:rsidR="003466C7">
        <w:rPr>
          <w:rFonts w:ascii="Times New Roman" w:hAnsi="Times New Roman" w:cs="Times New Roman"/>
        </w:rPr>
        <w:t xml:space="preserve">aspiring </w:t>
      </w:r>
      <w:r w:rsidRPr="005E4D8B">
        <w:rPr>
          <w:rFonts w:ascii="Times New Roman" w:hAnsi="Times New Roman" w:cs="Times New Roman"/>
        </w:rPr>
        <w:t>to get a</w:t>
      </w:r>
      <w:r w:rsidR="003466C7">
        <w:rPr>
          <w:rFonts w:ascii="Times New Roman" w:hAnsi="Times New Roman" w:cs="Times New Roman"/>
        </w:rPr>
        <w:t>n</w:t>
      </w:r>
      <w:r w:rsidRPr="005E4D8B">
        <w:rPr>
          <w:rFonts w:ascii="Times New Roman" w:hAnsi="Times New Roman" w:cs="Times New Roman"/>
        </w:rPr>
        <w:t xml:space="preserve"> </w:t>
      </w:r>
      <w:r w:rsidR="00C90AC1" w:rsidRPr="005E4D8B">
        <w:rPr>
          <w:rFonts w:ascii="Times New Roman" w:hAnsi="Times New Roman" w:cs="Times New Roman"/>
        </w:rPr>
        <w:t xml:space="preserve">adequate </w:t>
      </w:r>
      <w:r w:rsidRPr="005E4D8B">
        <w:rPr>
          <w:rFonts w:ascii="Times New Roman" w:hAnsi="Times New Roman" w:cs="Times New Roman"/>
        </w:rPr>
        <w:t xml:space="preserve">pension – not simply with the expectation that the supervisor will stop people running away with their funds.  Supervisors therefore have to supervise for the protection of these non-contractual benefits. </w:t>
      </w:r>
    </w:p>
    <w:p w:rsidR="000315D5" w:rsidRDefault="000315D5" w:rsidP="003B0666">
      <w:pPr>
        <w:pStyle w:val="ListParagraph"/>
        <w:numPr>
          <w:ilvl w:val="0"/>
          <w:numId w:val="8"/>
        </w:numPr>
        <w:rPr>
          <w:rFonts w:ascii="Times New Roman" w:hAnsi="Times New Roman" w:cs="Times New Roman"/>
        </w:rPr>
      </w:pPr>
      <w:r w:rsidRPr="007D64F9">
        <w:rPr>
          <w:rFonts w:ascii="Times New Roman" w:hAnsi="Times New Roman" w:cs="Times New Roman"/>
        </w:rPr>
        <w:t>Pension supervisors themselves may therefore need to focus more explicitly on the ultimate goal of any pension systems which is to provide an adequate and secure pension income. Indeed, this propose</w:t>
      </w:r>
      <w:r w:rsidR="00E3168C" w:rsidRPr="007D64F9">
        <w:rPr>
          <w:rFonts w:ascii="Times New Roman" w:hAnsi="Times New Roman" w:cs="Times New Roman"/>
        </w:rPr>
        <w:t>s</w:t>
      </w:r>
      <w:r w:rsidRPr="007D64F9">
        <w:rPr>
          <w:rFonts w:ascii="Times New Roman" w:hAnsi="Times New Roman" w:cs="Times New Roman"/>
        </w:rPr>
        <w:t xml:space="preserve"> a new definition of RBS to help pension supervisors focus better on this </w:t>
      </w:r>
      <w:r w:rsidR="006B4FDF">
        <w:rPr>
          <w:rFonts w:ascii="Times New Roman" w:hAnsi="Times New Roman" w:cs="Times New Roman"/>
        </w:rPr>
        <w:t>pension adequacy at retirement age.</w:t>
      </w:r>
    </w:p>
    <w:p w:rsidR="000315D5" w:rsidRPr="006B4FDF" w:rsidRDefault="000315D5" w:rsidP="006B4FDF">
      <w:pPr>
        <w:pStyle w:val="ListParagraph"/>
        <w:numPr>
          <w:ilvl w:val="0"/>
          <w:numId w:val="8"/>
        </w:numPr>
        <w:rPr>
          <w:rFonts w:ascii="Times New Roman" w:hAnsi="Times New Roman" w:cs="Times New Roman"/>
        </w:rPr>
      </w:pPr>
      <w:r w:rsidRPr="00967BDF">
        <w:rPr>
          <w:rFonts w:ascii="Times New Roman" w:hAnsi="Times New Roman" w:cs="Times New Roman"/>
        </w:rPr>
        <w:t xml:space="preserve">In the absence of this appropriate pension objective, the three pillar system of risk based supervision is relatively ineffective in the case of DC pension funds. This is mostly because the objective of DC pension systems </w:t>
      </w:r>
      <w:r w:rsidR="00E3168C" w:rsidRPr="00967BDF">
        <w:rPr>
          <w:rFonts w:ascii="Times New Roman" w:hAnsi="Times New Roman" w:cs="Times New Roman"/>
        </w:rPr>
        <w:t xml:space="preserve">should </w:t>
      </w:r>
      <w:r w:rsidRPr="00967BDF">
        <w:rPr>
          <w:rFonts w:ascii="Times New Roman" w:hAnsi="Times New Roman" w:cs="Times New Roman"/>
        </w:rPr>
        <w:t xml:space="preserve">not </w:t>
      </w:r>
      <w:r w:rsidR="00E3168C" w:rsidRPr="006B4FDF">
        <w:rPr>
          <w:rFonts w:ascii="Times New Roman" w:hAnsi="Times New Roman" w:cs="Times New Roman"/>
        </w:rPr>
        <w:t xml:space="preserve">be </w:t>
      </w:r>
      <w:r w:rsidRPr="006B4FDF">
        <w:rPr>
          <w:rFonts w:ascii="Times New Roman" w:hAnsi="Times New Roman" w:cs="Times New Roman"/>
        </w:rPr>
        <w:t xml:space="preserve">the solvency of the asset management company, but the minimization of the pension risk of the contributors. </w:t>
      </w:r>
    </w:p>
    <w:p w:rsidR="000315D5" w:rsidRPr="005E4D8B" w:rsidRDefault="000315D5" w:rsidP="003B0666">
      <w:pPr>
        <w:pStyle w:val="ListParagraph"/>
        <w:numPr>
          <w:ilvl w:val="1"/>
          <w:numId w:val="5"/>
        </w:numPr>
        <w:rPr>
          <w:rFonts w:ascii="Times New Roman" w:hAnsi="Times New Roman" w:cs="Times New Roman"/>
        </w:rPr>
      </w:pPr>
      <w:r w:rsidRPr="006B4FDF">
        <w:rPr>
          <w:rFonts w:ascii="Times New Roman" w:hAnsi="Times New Roman" w:cs="Times New Roman"/>
        </w:rPr>
        <w:t xml:space="preserve">Pillar one. </w:t>
      </w:r>
      <w:r w:rsidR="00EB1C3C">
        <w:rPr>
          <w:rFonts w:ascii="Times New Roman" w:hAnsi="Times New Roman" w:cs="Times New Roman"/>
        </w:rPr>
        <w:t>R</w:t>
      </w:r>
      <w:r w:rsidR="00786C4C" w:rsidRPr="006B4FDF">
        <w:rPr>
          <w:rFonts w:ascii="Times New Roman" w:hAnsi="Times New Roman" w:cs="Times New Roman"/>
        </w:rPr>
        <w:t>egulatory</w:t>
      </w:r>
      <w:r w:rsidR="00EB1C3C">
        <w:rPr>
          <w:rFonts w:ascii="Times New Roman" w:hAnsi="Times New Roman" w:cs="Times New Roman"/>
        </w:rPr>
        <w:t xml:space="preserve"> capital</w:t>
      </w:r>
      <w:r w:rsidRPr="006B4FDF">
        <w:rPr>
          <w:rFonts w:ascii="Times New Roman" w:hAnsi="Times New Roman" w:cs="Times New Roman"/>
        </w:rPr>
        <w:t>,</w:t>
      </w:r>
      <w:r w:rsidR="000A3A86">
        <w:rPr>
          <w:rFonts w:ascii="Times New Roman" w:hAnsi="Times New Roman" w:cs="Times New Roman"/>
        </w:rPr>
        <w:t xml:space="preserve"> </w:t>
      </w:r>
      <w:r w:rsidRPr="006B4FDF">
        <w:rPr>
          <w:rFonts w:ascii="Times New Roman" w:hAnsi="Times New Roman" w:cs="Times New Roman"/>
        </w:rPr>
        <w:t xml:space="preserve">which </w:t>
      </w:r>
      <w:r w:rsidR="003466C7">
        <w:rPr>
          <w:rFonts w:ascii="Times New Roman" w:hAnsi="Times New Roman" w:cs="Times New Roman"/>
        </w:rPr>
        <w:t>is one of the tools available to supervisors</w:t>
      </w:r>
      <w:r w:rsidR="003466C7" w:rsidRPr="006B4FDF">
        <w:rPr>
          <w:rFonts w:ascii="Times New Roman" w:hAnsi="Times New Roman" w:cs="Times New Roman"/>
        </w:rPr>
        <w:t xml:space="preserve"> </w:t>
      </w:r>
      <w:r w:rsidRPr="006B4FDF">
        <w:rPr>
          <w:rFonts w:ascii="Times New Roman" w:hAnsi="Times New Roman" w:cs="Times New Roman"/>
        </w:rPr>
        <w:t>for dealing with risks in RBS syst</w:t>
      </w:r>
      <w:r w:rsidRPr="005E4D8B">
        <w:rPr>
          <w:rFonts w:ascii="Times New Roman" w:hAnsi="Times New Roman" w:cs="Times New Roman"/>
        </w:rPr>
        <w:t xml:space="preserve">em, may create severe distortions in the optimal asset allocations </w:t>
      </w:r>
      <w:r w:rsidR="00EB1C3C">
        <w:rPr>
          <w:rFonts w:ascii="Times New Roman" w:hAnsi="Times New Roman" w:cs="Times New Roman"/>
        </w:rPr>
        <w:t xml:space="preserve">of DC pension funds </w:t>
      </w:r>
      <w:r w:rsidRPr="005E4D8B">
        <w:rPr>
          <w:rFonts w:ascii="Times New Roman" w:hAnsi="Times New Roman" w:cs="Times New Roman"/>
        </w:rPr>
        <w:t>and may result in increases in the pension risk of the contributors.</w:t>
      </w:r>
    </w:p>
    <w:p w:rsidR="000315D5" w:rsidRPr="007D64F9" w:rsidRDefault="000315D5" w:rsidP="003B0666">
      <w:pPr>
        <w:pStyle w:val="ListParagraph"/>
        <w:numPr>
          <w:ilvl w:val="1"/>
          <w:numId w:val="5"/>
        </w:numPr>
        <w:rPr>
          <w:rFonts w:ascii="Times New Roman" w:hAnsi="Times New Roman" w:cs="Times New Roman"/>
        </w:rPr>
      </w:pPr>
      <w:r w:rsidRPr="005E4D8B">
        <w:rPr>
          <w:rFonts w:ascii="Times New Roman" w:hAnsi="Times New Roman" w:cs="Times New Roman"/>
        </w:rPr>
        <w:t>Pillar two. Since the scope of supervision of DC pension funds is essentially on operational risks, the value added of t</w:t>
      </w:r>
      <w:r w:rsidRPr="00EB1C3C">
        <w:rPr>
          <w:rFonts w:ascii="Times New Roman" w:hAnsi="Times New Roman" w:cs="Times New Roman"/>
        </w:rPr>
        <w:t xml:space="preserve">he risk based supervisory review when it is in place </w:t>
      </w:r>
      <w:r w:rsidR="005F4B1F">
        <w:rPr>
          <w:rFonts w:ascii="Times New Roman" w:hAnsi="Times New Roman" w:cs="Times New Roman"/>
        </w:rPr>
        <w:t xml:space="preserve">compared with </w:t>
      </w:r>
      <w:r w:rsidRPr="00EB1C3C">
        <w:rPr>
          <w:rFonts w:ascii="Times New Roman" w:hAnsi="Times New Roman" w:cs="Times New Roman"/>
        </w:rPr>
        <w:t>the basic package of regulation is relatively modest.</w:t>
      </w:r>
      <w:r w:rsidRPr="007D64F9">
        <w:rPr>
          <w:rFonts w:ascii="Times New Roman" w:hAnsi="Times New Roman" w:cs="Times New Roman"/>
        </w:rPr>
        <w:t xml:space="preserve"> The costs of introducing risk-based supervision may outweigh the benefits.  Similar results could be achieved with a well- defined compliance based supervision</w:t>
      </w:r>
      <w:r w:rsidR="00E3168C" w:rsidRPr="007D64F9">
        <w:rPr>
          <w:rFonts w:ascii="Times New Roman" w:hAnsi="Times New Roman" w:cs="Times New Roman"/>
        </w:rPr>
        <w:t xml:space="preserve"> approach</w:t>
      </w:r>
      <w:r w:rsidRPr="007D64F9">
        <w:rPr>
          <w:rFonts w:ascii="Times New Roman" w:hAnsi="Times New Roman" w:cs="Times New Roman"/>
        </w:rPr>
        <w:t>. While this conclusion is valid in the case of pension funds in emerging countries with investments in relatively basic assets, the role of supervisory review becomes more relevant when pension portfolios are invested in more sophisticated instruments. Getting the right balance between compliance and risk-based supervision is key.</w:t>
      </w:r>
    </w:p>
    <w:p w:rsidR="000315D5" w:rsidRPr="007D64F9" w:rsidRDefault="000315D5" w:rsidP="003B0666">
      <w:pPr>
        <w:pStyle w:val="ListParagraph"/>
        <w:numPr>
          <w:ilvl w:val="1"/>
          <w:numId w:val="5"/>
        </w:numPr>
        <w:rPr>
          <w:rFonts w:ascii="Times New Roman" w:hAnsi="Times New Roman" w:cs="Times New Roman"/>
        </w:rPr>
      </w:pPr>
      <w:r w:rsidRPr="007D64F9">
        <w:rPr>
          <w:rFonts w:ascii="Times New Roman" w:hAnsi="Times New Roman" w:cs="Times New Roman"/>
        </w:rPr>
        <w:t xml:space="preserve">Pillar three. Market discipline is difficult to enforce when the levels of financial literacy required for having an informed demand are beyond the effective capacity of the governments to educate contributors in a reasonable period of time.  In addition, competition </w:t>
      </w:r>
      <w:r w:rsidR="005F4B1F">
        <w:rPr>
          <w:rFonts w:ascii="Times New Roman" w:hAnsi="Times New Roman" w:cs="Times New Roman"/>
        </w:rPr>
        <w:t>based on</w:t>
      </w:r>
      <w:r w:rsidR="005F4B1F" w:rsidRPr="007D64F9">
        <w:rPr>
          <w:rFonts w:ascii="Times New Roman" w:hAnsi="Times New Roman" w:cs="Times New Roman"/>
        </w:rPr>
        <w:t xml:space="preserve"> </w:t>
      </w:r>
      <w:r w:rsidRPr="007D64F9">
        <w:rPr>
          <w:rFonts w:ascii="Times New Roman" w:hAnsi="Times New Roman" w:cs="Times New Roman"/>
        </w:rPr>
        <w:t xml:space="preserve">short term performance is also an important adversary in minimizing pension risks. Unfortunately, the information </w:t>
      </w:r>
      <w:r w:rsidRPr="007D64F9">
        <w:rPr>
          <w:rFonts w:ascii="Times New Roman" w:hAnsi="Times New Roman" w:cs="Times New Roman"/>
        </w:rPr>
        <w:lastRenderedPageBreak/>
        <w:t>provided to</w:t>
      </w:r>
      <w:r w:rsidR="005F4B1F">
        <w:rPr>
          <w:rFonts w:ascii="Times New Roman" w:hAnsi="Times New Roman" w:cs="Times New Roman"/>
        </w:rPr>
        <w:t xml:space="preserve"> the</w:t>
      </w:r>
      <w:r w:rsidRPr="007D64F9">
        <w:rPr>
          <w:rFonts w:ascii="Times New Roman" w:hAnsi="Times New Roman" w:cs="Times New Roman"/>
        </w:rPr>
        <w:t xml:space="preserve"> public typically reinforces the short-termism in the decision making</w:t>
      </w:r>
    </w:p>
    <w:p w:rsidR="000315D5" w:rsidRPr="007D64F9" w:rsidRDefault="000315D5" w:rsidP="003B0666">
      <w:pPr>
        <w:pStyle w:val="ListParagraph"/>
        <w:numPr>
          <w:ilvl w:val="0"/>
          <w:numId w:val="8"/>
        </w:numPr>
        <w:rPr>
          <w:rFonts w:ascii="Times New Roman" w:hAnsi="Times New Roman" w:cs="Times New Roman"/>
        </w:rPr>
      </w:pPr>
      <w:r w:rsidRPr="007D64F9">
        <w:rPr>
          <w:rFonts w:ascii="Times New Roman" w:hAnsi="Times New Roman" w:cs="Times New Roman"/>
        </w:rPr>
        <w:t xml:space="preserve">In order to have a meaningful impact on future pensions, the supervision of DC systems needs to take a more proactive role in minimizing pension risk. This objective would require ensuring that investment risks are aligned with the probability of achieving </w:t>
      </w:r>
      <w:r w:rsidR="005F4B1F">
        <w:rPr>
          <w:rFonts w:ascii="Times New Roman" w:hAnsi="Times New Roman" w:cs="Times New Roman"/>
        </w:rPr>
        <w:t xml:space="preserve">a </w:t>
      </w:r>
      <w:r w:rsidRPr="007D64F9">
        <w:rPr>
          <w:rFonts w:ascii="Times New Roman" w:hAnsi="Times New Roman" w:cs="Times New Roman"/>
        </w:rPr>
        <w:t xml:space="preserve">target pension at retirement age. </w:t>
      </w:r>
      <w:r w:rsidR="00AD2F83">
        <w:rPr>
          <w:rFonts w:ascii="Times New Roman" w:hAnsi="Times New Roman" w:cs="Times New Roman"/>
        </w:rPr>
        <w:t xml:space="preserve">In other words, </w:t>
      </w:r>
      <w:r w:rsidR="00AD2F83" w:rsidRPr="006E3E78">
        <w:rPr>
          <w:rFonts w:ascii="Times New Roman" w:hAnsi="Times New Roman" w:cs="Times New Roman"/>
        </w:rPr>
        <w:t xml:space="preserve">if RBS is to be more meaningful, it needs also to supervise </w:t>
      </w:r>
      <w:r w:rsidR="00AD2F83">
        <w:rPr>
          <w:rFonts w:ascii="Times New Roman" w:hAnsi="Times New Roman" w:cs="Times New Roman"/>
        </w:rPr>
        <w:t>investment</w:t>
      </w:r>
      <w:r w:rsidR="00AD2F83" w:rsidRPr="006E3E78">
        <w:rPr>
          <w:rFonts w:ascii="Times New Roman" w:hAnsi="Times New Roman" w:cs="Times New Roman"/>
        </w:rPr>
        <w:t xml:space="preserve"> risks, and assess those risks against benchmarks derived from quantifiable targets.</w:t>
      </w:r>
    </w:p>
    <w:p w:rsidR="000315D5" w:rsidRPr="007D64F9" w:rsidRDefault="000315D5" w:rsidP="003B0666">
      <w:pPr>
        <w:pStyle w:val="ListParagraph"/>
        <w:numPr>
          <w:ilvl w:val="0"/>
          <w:numId w:val="8"/>
        </w:numPr>
        <w:rPr>
          <w:rFonts w:ascii="Times New Roman" w:hAnsi="Times New Roman" w:cs="Times New Roman"/>
        </w:rPr>
      </w:pPr>
      <w:r w:rsidRPr="007D64F9">
        <w:rPr>
          <w:rFonts w:ascii="Times New Roman" w:hAnsi="Times New Roman" w:cs="Times New Roman"/>
        </w:rPr>
        <w:t>To the extent that regulation allows the introduction of exogenous portfolio benchmarks, pension supervisory agencies may start playing a more relevant role in reducing the pension risk for contributors.   The introduction of exogenous portfolio benchmarks aimed at optimizing the expected value of the pensions at retirement age may help to guide</w:t>
      </w:r>
      <w:r w:rsidR="00E3168C" w:rsidRPr="007D64F9">
        <w:rPr>
          <w:rFonts w:ascii="Times New Roman" w:hAnsi="Times New Roman" w:cs="Times New Roman"/>
        </w:rPr>
        <w:t xml:space="preserve"> better</w:t>
      </w:r>
      <w:r w:rsidRPr="007D64F9">
        <w:rPr>
          <w:rFonts w:ascii="Times New Roman" w:hAnsi="Times New Roman" w:cs="Times New Roman"/>
        </w:rPr>
        <w:t xml:space="preserve"> the investments of pension funds according to a specific objective.  RBS models that have attempted to address the issue of investments beyond the pure compliance with investment limits have typically created additional dist</w:t>
      </w:r>
      <w:r w:rsidR="000301FB" w:rsidRPr="007D64F9">
        <w:rPr>
          <w:rFonts w:ascii="Times New Roman" w:hAnsi="Times New Roman" w:cs="Times New Roman"/>
        </w:rPr>
        <w:t>ortions in the asset allocation</w:t>
      </w:r>
      <w:r w:rsidRPr="007D64F9">
        <w:rPr>
          <w:rFonts w:ascii="Times New Roman" w:hAnsi="Times New Roman" w:cs="Times New Roman"/>
        </w:rPr>
        <w:t>. In addition, it is essential to phase out the schemes of absolute and relative guarantees provided by PFMCs, and if considered necessary replace them by less distortive ones.</w:t>
      </w:r>
      <w:r w:rsidRPr="007D64F9">
        <w:rPr>
          <w:rStyle w:val="FootnoteReference"/>
          <w:rFonts w:ascii="Times New Roman" w:hAnsi="Times New Roman" w:cs="Times New Roman"/>
        </w:rPr>
        <w:footnoteReference w:id="26"/>
      </w:r>
    </w:p>
    <w:p w:rsidR="00923886" w:rsidRPr="006E3E78" w:rsidRDefault="00923886">
      <w:pPr>
        <w:spacing w:after="0" w:line="240" w:lineRule="auto"/>
        <w:rPr>
          <w:rFonts w:ascii="Times New Roman" w:hAnsi="Times New Roman" w:cs="Times New Roman"/>
          <w:color w:val="FF0000"/>
        </w:rPr>
      </w:pPr>
      <w:r w:rsidRPr="006E3E78">
        <w:rPr>
          <w:rFonts w:ascii="Times New Roman" w:hAnsi="Times New Roman" w:cs="Times New Roman"/>
          <w:color w:val="FF0000"/>
        </w:rPr>
        <w:br w:type="page"/>
      </w:r>
    </w:p>
    <w:p w:rsidR="00923886" w:rsidRPr="006E3E78" w:rsidRDefault="00923886" w:rsidP="00923886">
      <w:pPr>
        <w:rPr>
          <w:rFonts w:ascii="Times New Roman" w:hAnsi="Times New Roman" w:cs="Times New Roman"/>
          <w:b/>
        </w:rPr>
      </w:pPr>
      <w:r w:rsidRPr="006E3E78">
        <w:rPr>
          <w:rFonts w:ascii="Times New Roman" w:hAnsi="Times New Roman" w:cs="Times New Roman"/>
          <w:b/>
        </w:rPr>
        <w:lastRenderedPageBreak/>
        <w:t>References</w:t>
      </w:r>
    </w:p>
    <w:p w:rsidR="00923886" w:rsidRPr="006E3E78" w:rsidRDefault="00923886" w:rsidP="00923886">
      <w:pPr>
        <w:rPr>
          <w:rFonts w:ascii="Times New Roman" w:hAnsi="Times New Roman" w:cs="Times New Roman"/>
        </w:rPr>
      </w:pPr>
      <w:r w:rsidRPr="00967BDF">
        <w:rPr>
          <w:rFonts w:ascii="Times New Roman" w:hAnsi="Times New Roman" w:cs="Times New Roman"/>
        </w:rPr>
        <w:t>Antolín, P., Payet, S., Whitehouse, E., Yermo, J., (2011), ‘</w:t>
      </w:r>
      <w:r w:rsidRPr="00967BDF">
        <w:rPr>
          <w:rFonts w:ascii="Times New Roman" w:hAnsi="Times New Roman" w:cs="Times New Roman"/>
          <w:i/>
        </w:rPr>
        <w:t>The Role of Guarantees in Defined Contribution Pensions’</w:t>
      </w:r>
      <w:r w:rsidRPr="00967BDF">
        <w:rPr>
          <w:rFonts w:ascii="Times New Roman" w:hAnsi="Times New Roman" w:cs="Times New Roman"/>
        </w:rPr>
        <w:t xml:space="preserve">, </w:t>
      </w:r>
      <w:r w:rsidRPr="00967BDF">
        <w:rPr>
          <w:rFonts w:ascii="Times New Roman" w:hAnsi="Times New Roman" w:cs="Times New Roman"/>
          <w:iCs/>
        </w:rPr>
        <w:t>OECD Working Papers on Finance, Insurance and Private Pensions</w:t>
      </w:r>
      <w:r w:rsidRPr="00967BDF">
        <w:rPr>
          <w:rFonts w:ascii="Times New Roman" w:hAnsi="Times New Roman" w:cs="Times New Roman"/>
        </w:rPr>
        <w:t>, No. 11</w:t>
      </w:r>
      <w:hyperlink r:id="rId13" w:history="1">
        <w:r w:rsidRPr="00967BDF">
          <w:rPr>
            <w:rStyle w:val="Hyperlink"/>
            <w:rFonts w:ascii="Times New Roman" w:hAnsi="Times New Roman" w:cs="Times New Roman"/>
          </w:rPr>
          <w:t>http://www.oecd-ilibrary.org/docserver/download/5kg52k5b0v9s.pdf?expires=1385227573&amp;id=id&amp;accname=guest&amp;checksum=DE8AC2F8BF162532F6FF4EED55A115E0</w:t>
        </w:r>
      </w:hyperlink>
      <w:r w:rsidRPr="007D64F9">
        <w:rPr>
          <w:rFonts w:ascii="Times New Roman" w:hAnsi="Times New Roman" w:cs="Times New Roman"/>
        </w:rPr>
        <w:t>Australian Prudential Regulation Authority (APRA), (2013), ‘</w:t>
      </w:r>
      <w:r w:rsidRPr="007D64F9">
        <w:rPr>
          <w:rFonts w:ascii="Times New Roman" w:hAnsi="Times New Roman" w:cs="Times New Roman"/>
          <w:i/>
        </w:rPr>
        <w:t>Investment Governance’</w:t>
      </w:r>
      <w:r w:rsidRPr="006E3E78">
        <w:rPr>
          <w:rFonts w:ascii="Times New Roman" w:hAnsi="Times New Roman" w:cs="Times New Roman"/>
        </w:rPr>
        <w:t>, APRA Prudential Standard SPS 530</w:t>
      </w:r>
      <w:r w:rsidRPr="00967BDF">
        <w:rPr>
          <w:rFonts w:ascii="Times New Roman" w:hAnsi="Times New Roman" w:cs="Times New Roman"/>
        </w:rPr>
        <w:t xml:space="preserve"> </w:t>
      </w:r>
      <w:hyperlink r:id="rId14" w:history="1">
        <w:r w:rsidRPr="00967BDF">
          <w:rPr>
            <w:rStyle w:val="Hyperlink"/>
            <w:rFonts w:ascii="Times New Roman" w:hAnsi="Times New Roman" w:cs="Times New Roman"/>
          </w:rPr>
          <w:t>http://www.apra.gov.au/Super/PrudentialFramework/Documents/Final-SPS-530-Investment-Governance-July-2013.pdf</w:t>
        </w:r>
      </w:hyperlink>
      <w:r w:rsidRPr="006E3E78">
        <w:rPr>
          <w:rFonts w:ascii="Times New Roman" w:hAnsi="Times New Roman" w:cs="Times New Roman"/>
        </w:rPr>
        <w:t xml:space="preserve"> </w:t>
      </w:r>
    </w:p>
    <w:p w:rsidR="00923886" w:rsidRDefault="00923886" w:rsidP="00923886">
      <w:pPr>
        <w:rPr>
          <w:rFonts w:ascii="Times New Roman" w:hAnsi="Times New Roman" w:cs="Times New Roman"/>
        </w:rPr>
      </w:pPr>
      <w:r w:rsidRPr="006E3E78">
        <w:rPr>
          <w:rFonts w:ascii="Times New Roman" w:hAnsi="Times New Roman" w:cs="Times New Roman"/>
        </w:rPr>
        <w:t>Ashcroft, J., Stewart, F., (2010),’</w:t>
      </w:r>
      <w:r w:rsidRPr="006E3E78">
        <w:rPr>
          <w:rFonts w:ascii="Times New Roman" w:hAnsi="Times New Roman" w:cs="Times New Roman"/>
          <w:i/>
        </w:rPr>
        <w:t>Managing and Defining Risk in Defined Contribution Pension Systems’</w:t>
      </w:r>
      <w:r w:rsidRPr="006B4FDF">
        <w:rPr>
          <w:rFonts w:ascii="Times New Roman" w:hAnsi="Times New Roman" w:cs="Times New Roman"/>
        </w:rPr>
        <w:t xml:space="preserve">,  IOPS Working Paper No. 12 </w:t>
      </w:r>
      <w:hyperlink r:id="rId15" w:history="1">
        <w:r w:rsidR="005E4D8B" w:rsidRPr="002A7C85">
          <w:rPr>
            <w:rStyle w:val="Hyperlink"/>
            <w:rFonts w:ascii="Times New Roman" w:hAnsi="Times New Roman" w:cs="Times New Roman"/>
          </w:rPr>
          <w:t>http://www.oecd.org/site/iops/principlesandguidelines/46126017.pdf</w:t>
        </w:r>
      </w:hyperlink>
    </w:p>
    <w:p w:rsidR="00923886" w:rsidRPr="00967BDF" w:rsidRDefault="00923886" w:rsidP="00923886">
      <w:pPr>
        <w:pStyle w:val="Default"/>
        <w:rPr>
          <w:rFonts w:ascii="Times New Roman" w:hAnsi="Times New Roman" w:cs="Times New Roman"/>
          <w:sz w:val="22"/>
          <w:szCs w:val="22"/>
        </w:rPr>
      </w:pPr>
      <w:r w:rsidRPr="005E4D8B">
        <w:rPr>
          <w:rFonts w:ascii="Times New Roman" w:hAnsi="Times New Roman" w:cs="Times New Roman"/>
          <w:sz w:val="22"/>
          <w:szCs w:val="22"/>
        </w:rPr>
        <w:t>Blake, D., Cairns, A., Dowd, K., (2008), ‘</w:t>
      </w:r>
      <w:r w:rsidRPr="005E4D8B">
        <w:rPr>
          <w:rFonts w:ascii="Times New Roman" w:hAnsi="Times New Roman" w:cs="Times New Roman"/>
          <w:i/>
          <w:sz w:val="22"/>
          <w:szCs w:val="22"/>
        </w:rPr>
        <w:t>Turning Pension Plans into Pension Planes: What Investment Strategy Designers of Defined Contribution Pension Plans Can Learn from Commercial Aircraft Designers’</w:t>
      </w:r>
      <w:r w:rsidRPr="005E4D8B">
        <w:rPr>
          <w:rFonts w:ascii="Times New Roman" w:hAnsi="Times New Roman" w:cs="Times New Roman"/>
          <w:sz w:val="22"/>
          <w:szCs w:val="22"/>
        </w:rPr>
        <w:t xml:space="preserve"> </w:t>
      </w:r>
      <w:hyperlink r:id="rId16" w:history="1">
        <w:r w:rsidRPr="00967BDF">
          <w:rPr>
            <w:rStyle w:val="Hyperlink"/>
            <w:rFonts w:ascii="Times New Roman" w:hAnsi="Times New Roman" w:cs="Times New Roman"/>
            <w:sz w:val="22"/>
            <w:szCs w:val="22"/>
          </w:rPr>
          <w:t>http://www.nottingham.ac.uk/business/forum/documents/cris-reports/cris-paper-2008-7.pdf</w:t>
        </w:r>
      </w:hyperlink>
      <w:r w:rsidRPr="00967BDF">
        <w:rPr>
          <w:rFonts w:ascii="Times New Roman" w:hAnsi="Times New Roman" w:cs="Times New Roman"/>
          <w:sz w:val="22"/>
          <w:szCs w:val="22"/>
        </w:rPr>
        <w:t xml:space="preserve"> </w:t>
      </w:r>
    </w:p>
    <w:p w:rsidR="00923886" w:rsidRPr="005E4D8B" w:rsidRDefault="00923886" w:rsidP="00923886">
      <w:pPr>
        <w:pStyle w:val="Default"/>
        <w:rPr>
          <w:rFonts w:ascii="Times New Roman" w:hAnsi="Times New Roman" w:cs="Times New Roman"/>
          <w:sz w:val="22"/>
          <w:szCs w:val="22"/>
        </w:rPr>
      </w:pPr>
    </w:p>
    <w:p w:rsidR="00923886" w:rsidRPr="005E4D8B" w:rsidRDefault="00923886" w:rsidP="00923886">
      <w:pPr>
        <w:rPr>
          <w:rFonts w:ascii="Times New Roman" w:hAnsi="Times New Roman" w:cs="Times New Roman"/>
        </w:rPr>
      </w:pPr>
      <w:r w:rsidRPr="005E4D8B">
        <w:rPr>
          <w:rFonts w:ascii="Times New Roman" w:hAnsi="Times New Roman" w:cs="Times New Roman"/>
        </w:rPr>
        <w:t>Brinson, Gary P., L. Randolph Hood, and Gilbert L. Beebower.1986. “Determinants of Portfolio Performance.” Financial Analysts Journal, vol. 42, no. 4 (July/August):39–44.</w:t>
      </w:r>
    </w:p>
    <w:p w:rsidR="00923886" w:rsidRPr="007D64F9" w:rsidRDefault="00923886" w:rsidP="00923886">
      <w:pPr>
        <w:rPr>
          <w:rFonts w:ascii="Times New Roman" w:hAnsi="Times New Roman" w:cs="Times New Roman"/>
        </w:rPr>
      </w:pPr>
      <w:r w:rsidRPr="005E4D8B">
        <w:rPr>
          <w:rFonts w:ascii="Times New Roman" w:hAnsi="Times New Roman" w:cs="Times New Roman"/>
        </w:rPr>
        <w:t>Brunner, Greg, Roberto Rocha, and Richard Hinz. 2008. Risk</w:t>
      </w:r>
      <w:r w:rsidRPr="00EB1C3C">
        <w:rPr>
          <w:rFonts w:ascii="Times New Roman" w:hAnsi="Times New Roman" w:cs="Times New Roman"/>
        </w:rPr>
        <w:t xml:space="preserve"> Based Supervision of Pension Funds. Emerging Practices and Challenges. Directions in development: Finance.</w:t>
      </w:r>
      <w:r w:rsidRPr="007D64F9">
        <w:rPr>
          <w:rFonts w:ascii="Times New Roman" w:hAnsi="Times New Roman" w:cs="Times New Roman"/>
        </w:rPr>
        <w:t xml:space="preserve"> The World Bank. Washington </w:t>
      </w:r>
    </w:p>
    <w:p w:rsidR="00923886" w:rsidRPr="006E3E78" w:rsidRDefault="00923886" w:rsidP="00923886">
      <w:pPr>
        <w:rPr>
          <w:rFonts w:ascii="Times New Roman" w:hAnsi="Times New Roman" w:cs="Times New Roman"/>
        </w:rPr>
      </w:pPr>
      <w:r w:rsidRPr="007D64F9">
        <w:rPr>
          <w:rFonts w:ascii="Times New Roman" w:hAnsi="Times New Roman" w:cs="Times New Roman"/>
        </w:rPr>
        <w:t xml:space="preserve">Buy Side Risk Managers Forum and Capital Market Risk Advisors. 2008. Risk Principles for Asset Managers.  Available at </w:t>
      </w:r>
      <w:hyperlink r:id="rId17" w:history="1">
        <w:r w:rsidRPr="00967BDF">
          <w:rPr>
            <w:rStyle w:val="Hyperlink"/>
            <w:rFonts w:ascii="Times New Roman" w:hAnsi="Times New Roman" w:cs="Times New Roman"/>
          </w:rPr>
          <w:t>http://www.cmra.com/docs/Risk_Principles_for_Asset_Managers.pdf</w:t>
        </w:r>
      </w:hyperlink>
    </w:p>
    <w:p w:rsidR="00757673" w:rsidRDefault="00757673" w:rsidP="00923886">
      <w:pPr>
        <w:rPr>
          <w:rFonts w:ascii="Times New Roman" w:hAnsi="Times New Roman" w:cs="Times New Roman"/>
        </w:rPr>
      </w:pPr>
      <w:r w:rsidRPr="006E3E78">
        <w:rPr>
          <w:rFonts w:ascii="Times New Roman" w:hAnsi="Times New Roman" w:cs="Times New Roman"/>
        </w:rPr>
        <w:t>Castañeda, Pablo, and Heinz P. Rudolph. 201</w:t>
      </w:r>
      <w:r>
        <w:rPr>
          <w:rFonts w:ascii="Times New Roman" w:hAnsi="Times New Roman" w:cs="Times New Roman"/>
        </w:rPr>
        <w:t>1</w:t>
      </w:r>
      <w:proofErr w:type="gramStart"/>
      <w:r w:rsidRPr="006E3E78">
        <w:rPr>
          <w:rFonts w:ascii="Times New Roman" w:hAnsi="Times New Roman" w:cs="Times New Roman"/>
        </w:rPr>
        <w:t>.</w:t>
      </w:r>
      <w:r w:rsidRPr="00757673">
        <w:rPr>
          <w:rFonts w:ascii="Times New Roman" w:hAnsi="Times New Roman" w:cs="Times New Roman"/>
        </w:rPr>
        <w:t>Upgrading</w:t>
      </w:r>
      <w:proofErr w:type="gramEnd"/>
      <w:r w:rsidRPr="00757673">
        <w:rPr>
          <w:rFonts w:ascii="Times New Roman" w:hAnsi="Times New Roman" w:cs="Times New Roman"/>
        </w:rPr>
        <w:t xml:space="preserve"> investment regulations in second pillar pension systems : a proposal for Colombia</w:t>
      </w:r>
      <w:r>
        <w:rPr>
          <w:rFonts w:ascii="Times New Roman" w:hAnsi="Times New Roman" w:cs="Times New Roman"/>
        </w:rPr>
        <w:t xml:space="preserve">. </w:t>
      </w:r>
      <w:proofErr w:type="gramStart"/>
      <w:r>
        <w:rPr>
          <w:rFonts w:ascii="Times New Roman" w:hAnsi="Times New Roman" w:cs="Times New Roman"/>
        </w:rPr>
        <w:t>World Bank Policy Research Working Paper 5775.</w:t>
      </w:r>
      <w:proofErr w:type="gramEnd"/>
      <w:r>
        <w:rPr>
          <w:rFonts w:ascii="Times New Roman" w:hAnsi="Times New Roman" w:cs="Times New Roman"/>
        </w:rPr>
        <w:t xml:space="preserve"> </w:t>
      </w:r>
      <w:proofErr w:type="gramStart"/>
      <w:r>
        <w:rPr>
          <w:rFonts w:ascii="Times New Roman" w:hAnsi="Times New Roman" w:cs="Times New Roman"/>
        </w:rPr>
        <w:t>The World Bank.</w:t>
      </w:r>
      <w:proofErr w:type="gramEnd"/>
      <w:r>
        <w:rPr>
          <w:rFonts w:ascii="Times New Roman" w:hAnsi="Times New Roman" w:cs="Times New Roman"/>
        </w:rPr>
        <w:t xml:space="preserve"> Washington, DC.</w:t>
      </w:r>
    </w:p>
    <w:p w:rsidR="00923886" w:rsidRPr="002E4D11" w:rsidRDefault="00923886" w:rsidP="00923886">
      <w:pPr>
        <w:rPr>
          <w:rFonts w:ascii="Times New Roman" w:hAnsi="Times New Roman" w:cs="Times New Roman"/>
          <w:lang w:val="es-CL"/>
        </w:rPr>
      </w:pPr>
      <w:proofErr w:type="spellStart"/>
      <w:r w:rsidRPr="006E3E78">
        <w:rPr>
          <w:rFonts w:ascii="Times New Roman" w:hAnsi="Times New Roman" w:cs="Times New Roman"/>
        </w:rPr>
        <w:t>Castañeda</w:t>
      </w:r>
      <w:proofErr w:type="spellEnd"/>
      <w:r w:rsidRPr="006E3E78">
        <w:rPr>
          <w:rFonts w:ascii="Times New Roman" w:hAnsi="Times New Roman" w:cs="Times New Roman"/>
        </w:rPr>
        <w:t xml:space="preserve">, Pablo, and Heinz P. Rudolph. 2010. “Portfolio Choice, Minimum Return Guarantees, and Competition.” In </w:t>
      </w:r>
      <w:r w:rsidRPr="006E3E78">
        <w:rPr>
          <w:rFonts w:ascii="Times New Roman" w:hAnsi="Times New Roman" w:cs="Times New Roman"/>
          <w:i/>
        </w:rPr>
        <w:t>Evaluating the Financial Performance of Pension Funds,</w:t>
      </w:r>
      <w:r w:rsidRPr="006E3E78">
        <w:rPr>
          <w:rFonts w:ascii="Times New Roman" w:hAnsi="Times New Roman" w:cs="Times New Roman"/>
        </w:rPr>
        <w:t xml:space="preserve"> edited by R. </w:t>
      </w:r>
      <w:proofErr w:type="spellStart"/>
      <w:r w:rsidRPr="006E3E78">
        <w:rPr>
          <w:rFonts w:ascii="Times New Roman" w:hAnsi="Times New Roman" w:cs="Times New Roman"/>
        </w:rPr>
        <w:t>Hinz</w:t>
      </w:r>
      <w:proofErr w:type="spellEnd"/>
      <w:r w:rsidRPr="006E3E78">
        <w:rPr>
          <w:rFonts w:ascii="Times New Roman" w:hAnsi="Times New Roman" w:cs="Times New Roman"/>
        </w:rPr>
        <w:t xml:space="preserve">, H. Rudolph, P. </w:t>
      </w:r>
      <w:proofErr w:type="spellStart"/>
      <w:r w:rsidRPr="006E3E78">
        <w:rPr>
          <w:rFonts w:ascii="Times New Roman" w:hAnsi="Times New Roman" w:cs="Times New Roman"/>
        </w:rPr>
        <w:t>Antolin</w:t>
      </w:r>
      <w:proofErr w:type="spellEnd"/>
      <w:r w:rsidRPr="006E3E78">
        <w:rPr>
          <w:rFonts w:ascii="Times New Roman" w:hAnsi="Times New Roman" w:cs="Times New Roman"/>
        </w:rPr>
        <w:t xml:space="preserve">, and J. </w:t>
      </w:r>
      <w:proofErr w:type="spellStart"/>
      <w:r w:rsidRPr="006E3E78">
        <w:rPr>
          <w:rFonts w:ascii="Times New Roman" w:hAnsi="Times New Roman" w:cs="Times New Roman"/>
        </w:rPr>
        <w:t>Yermo</w:t>
      </w:r>
      <w:proofErr w:type="spellEnd"/>
      <w:r w:rsidRPr="006E3E78">
        <w:rPr>
          <w:rFonts w:ascii="Times New Roman" w:hAnsi="Times New Roman" w:cs="Times New Roman"/>
        </w:rPr>
        <w:t xml:space="preserve">. </w:t>
      </w:r>
      <w:r w:rsidRPr="002E4D11">
        <w:rPr>
          <w:rFonts w:ascii="Times New Roman" w:hAnsi="Times New Roman" w:cs="Times New Roman"/>
          <w:lang w:val="es-CL"/>
        </w:rPr>
        <w:t>Washington, DC: World Bank.</w:t>
      </w:r>
    </w:p>
    <w:p w:rsidR="00DF430E" w:rsidRPr="00DF430E" w:rsidRDefault="00DF430E" w:rsidP="00923886">
      <w:pPr>
        <w:rPr>
          <w:rFonts w:ascii="Times New Roman" w:hAnsi="Times New Roman" w:cs="Times New Roman"/>
        </w:rPr>
      </w:pPr>
      <w:r w:rsidRPr="002E4D11">
        <w:rPr>
          <w:rFonts w:ascii="Times New Roman" w:hAnsi="Times New Roman" w:cs="Times New Roman"/>
          <w:lang w:val="es-CL"/>
        </w:rPr>
        <w:t xml:space="preserve">Rudolph, Heinz. 2013. </w:t>
      </w:r>
      <w:r w:rsidRPr="00DF430E">
        <w:rPr>
          <w:rFonts w:ascii="Times New Roman" w:hAnsi="Times New Roman" w:cs="Times New Roman"/>
          <w:lang w:val="es-CL"/>
        </w:rPr>
        <w:t>“Propuestas para la reforma financiera del Régimen de Ahorro Individual con Solidaridad en Colombia</w:t>
      </w:r>
      <w:r>
        <w:rPr>
          <w:rFonts w:ascii="Times New Roman" w:hAnsi="Times New Roman" w:cs="Times New Roman"/>
          <w:lang w:val="es-CL"/>
        </w:rPr>
        <w:t xml:space="preserve">.” </w:t>
      </w:r>
      <w:proofErr w:type="spellStart"/>
      <w:r w:rsidRPr="00C8404D">
        <w:rPr>
          <w:rFonts w:ascii="Times New Roman" w:hAnsi="Times New Roman" w:cs="Times New Roman"/>
          <w:lang w:val="es-CL"/>
        </w:rPr>
        <w:t>Mimeo</w:t>
      </w:r>
      <w:proofErr w:type="spellEnd"/>
      <w:r w:rsidRPr="00C8404D">
        <w:rPr>
          <w:rFonts w:ascii="Times New Roman" w:hAnsi="Times New Roman" w:cs="Times New Roman"/>
          <w:lang w:val="es-CL"/>
        </w:rPr>
        <w:t xml:space="preserve">. </w:t>
      </w:r>
      <w:proofErr w:type="spellStart"/>
      <w:r w:rsidRPr="00C8404D">
        <w:rPr>
          <w:rFonts w:ascii="Times New Roman" w:hAnsi="Times New Roman" w:cs="Times New Roman"/>
          <w:lang w:val="es-CL"/>
        </w:rPr>
        <w:t>The</w:t>
      </w:r>
      <w:proofErr w:type="spellEnd"/>
      <w:r w:rsidRPr="00C8404D">
        <w:rPr>
          <w:rFonts w:ascii="Times New Roman" w:hAnsi="Times New Roman" w:cs="Times New Roman"/>
          <w:lang w:val="es-CL"/>
        </w:rPr>
        <w:t xml:space="preserve"> </w:t>
      </w:r>
      <w:proofErr w:type="spellStart"/>
      <w:r w:rsidRPr="00C8404D">
        <w:rPr>
          <w:rFonts w:ascii="Times New Roman" w:hAnsi="Times New Roman" w:cs="Times New Roman"/>
          <w:lang w:val="es-CL"/>
        </w:rPr>
        <w:t>World</w:t>
      </w:r>
      <w:proofErr w:type="spellEnd"/>
      <w:r w:rsidRPr="00C8404D">
        <w:rPr>
          <w:rFonts w:ascii="Times New Roman" w:hAnsi="Times New Roman" w:cs="Times New Roman"/>
          <w:lang w:val="es-CL"/>
        </w:rPr>
        <w:t xml:space="preserve"> Bank. </w:t>
      </w:r>
      <w:r>
        <w:rPr>
          <w:rFonts w:ascii="Times New Roman" w:hAnsi="Times New Roman" w:cs="Times New Roman"/>
        </w:rPr>
        <w:t>Washington, DC.</w:t>
      </w:r>
    </w:p>
    <w:p w:rsidR="00923886" w:rsidRPr="007D64F9" w:rsidRDefault="00923886" w:rsidP="00923886">
      <w:pPr>
        <w:rPr>
          <w:rFonts w:ascii="Times New Roman" w:hAnsi="Times New Roman" w:cs="Times New Roman"/>
          <w:bCs/>
        </w:rPr>
      </w:pPr>
      <w:r w:rsidRPr="005E4D8B">
        <w:rPr>
          <w:rFonts w:ascii="Times New Roman" w:hAnsi="Times New Roman" w:cs="Times New Roman"/>
          <w:bCs/>
        </w:rPr>
        <w:t xml:space="preserve">Rudolph, Heinz, Richard </w:t>
      </w:r>
      <w:proofErr w:type="spellStart"/>
      <w:r w:rsidRPr="005E4D8B">
        <w:rPr>
          <w:rFonts w:ascii="Times New Roman" w:hAnsi="Times New Roman" w:cs="Times New Roman"/>
          <w:bCs/>
        </w:rPr>
        <w:t>Hinz</w:t>
      </w:r>
      <w:proofErr w:type="spellEnd"/>
      <w:r w:rsidRPr="005E4D8B">
        <w:rPr>
          <w:rFonts w:ascii="Times New Roman" w:hAnsi="Times New Roman" w:cs="Times New Roman"/>
          <w:bCs/>
        </w:rPr>
        <w:t xml:space="preserve">, Pablo </w:t>
      </w:r>
      <w:proofErr w:type="spellStart"/>
      <w:r w:rsidRPr="005E4D8B">
        <w:rPr>
          <w:rFonts w:ascii="Times New Roman" w:hAnsi="Times New Roman" w:cs="Times New Roman"/>
          <w:bCs/>
        </w:rPr>
        <w:t>Antolin</w:t>
      </w:r>
      <w:proofErr w:type="spellEnd"/>
      <w:r w:rsidRPr="005E4D8B">
        <w:rPr>
          <w:rFonts w:ascii="Times New Roman" w:hAnsi="Times New Roman" w:cs="Times New Roman"/>
          <w:bCs/>
        </w:rPr>
        <w:t xml:space="preserve">, and Juan </w:t>
      </w:r>
      <w:proofErr w:type="spellStart"/>
      <w:r w:rsidRPr="005E4D8B">
        <w:rPr>
          <w:rFonts w:ascii="Times New Roman" w:hAnsi="Times New Roman" w:cs="Times New Roman"/>
          <w:bCs/>
        </w:rPr>
        <w:t>Yermo</w:t>
      </w:r>
      <w:proofErr w:type="spellEnd"/>
      <w:r w:rsidRPr="005E4D8B">
        <w:rPr>
          <w:rFonts w:ascii="Times New Roman" w:hAnsi="Times New Roman" w:cs="Times New Roman"/>
          <w:bCs/>
        </w:rPr>
        <w:t xml:space="preserve">. 2010. “Evaluating Financial Performance of Pension Funds.” In </w:t>
      </w:r>
      <w:r w:rsidRPr="005E4D8B">
        <w:rPr>
          <w:rFonts w:ascii="Times New Roman" w:hAnsi="Times New Roman" w:cs="Times New Roman"/>
          <w:bCs/>
          <w:i/>
        </w:rPr>
        <w:t>Evaluating Financial Performanc</w:t>
      </w:r>
      <w:r w:rsidRPr="00EB1C3C">
        <w:rPr>
          <w:rFonts w:ascii="Times New Roman" w:hAnsi="Times New Roman" w:cs="Times New Roman"/>
          <w:bCs/>
          <w:i/>
        </w:rPr>
        <w:t>e of Pension Funds</w:t>
      </w:r>
      <w:r w:rsidRPr="007D64F9">
        <w:rPr>
          <w:rFonts w:ascii="Times New Roman" w:hAnsi="Times New Roman" w:cs="Times New Roman"/>
          <w:bCs/>
        </w:rPr>
        <w:t>, edited by</w:t>
      </w:r>
      <w:r w:rsidRPr="007D64F9">
        <w:rPr>
          <w:rFonts w:ascii="Times New Roman" w:hAnsi="Times New Roman" w:cs="Times New Roman"/>
          <w:bCs/>
          <w:i/>
        </w:rPr>
        <w:t xml:space="preserve"> </w:t>
      </w:r>
      <w:r w:rsidRPr="007D64F9">
        <w:rPr>
          <w:rFonts w:ascii="Times New Roman" w:hAnsi="Times New Roman" w:cs="Times New Roman"/>
          <w:bCs/>
        </w:rPr>
        <w:t xml:space="preserve">R. </w:t>
      </w:r>
      <w:proofErr w:type="spellStart"/>
      <w:r w:rsidRPr="007D64F9">
        <w:rPr>
          <w:rFonts w:ascii="Times New Roman" w:hAnsi="Times New Roman" w:cs="Times New Roman"/>
          <w:bCs/>
        </w:rPr>
        <w:t>Hinz</w:t>
      </w:r>
      <w:proofErr w:type="spellEnd"/>
      <w:r w:rsidRPr="007D64F9">
        <w:rPr>
          <w:rFonts w:ascii="Times New Roman" w:hAnsi="Times New Roman" w:cs="Times New Roman"/>
          <w:bCs/>
        </w:rPr>
        <w:t xml:space="preserve">, H. Rudolph, P. </w:t>
      </w:r>
      <w:proofErr w:type="spellStart"/>
      <w:r w:rsidRPr="007D64F9">
        <w:rPr>
          <w:rFonts w:ascii="Times New Roman" w:hAnsi="Times New Roman" w:cs="Times New Roman"/>
          <w:bCs/>
        </w:rPr>
        <w:t>Antolin</w:t>
      </w:r>
      <w:proofErr w:type="spellEnd"/>
      <w:r w:rsidRPr="007D64F9">
        <w:rPr>
          <w:rFonts w:ascii="Times New Roman" w:hAnsi="Times New Roman" w:cs="Times New Roman"/>
          <w:bCs/>
        </w:rPr>
        <w:t xml:space="preserve">, and J. </w:t>
      </w:r>
      <w:proofErr w:type="spellStart"/>
      <w:r w:rsidRPr="007D64F9">
        <w:rPr>
          <w:rFonts w:ascii="Times New Roman" w:hAnsi="Times New Roman" w:cs="Times New Roman"/>
          <w:bCs/>
        </w:rPr>
        <w:t>Yermo</w:t>
      </w:r>
      <w:proofErr w:type="spellEnd"/>
      <w:r w:rsidRPr="007D64F9">
        <w:rPr>
          <w:rFonts w:ascii="Times New Roman" w:hAnsi="Times New Roman" w:cs="Times New Roman"/>
          <w:bCs/>
        </w:rPr>
        <w:t>. Washington, DC: World Bank.</w:t>
      </w:r>
    </w:p>
    <w:p w:rsidR="00923886" w:rsidRPr="00967BDF" w:rsidRDefault="00923886" w:rsidP="00923886">
      <w:pPr>
        <w:rPr>
          <w:rFonts w:ascii="Times New Roman" w:hAnsi="Times New Roman" w:cs="Times New Roman"/>
        </w:rPr>
      </w:pPr>
      <w:proofErr w:type="spellStart"/>
      <w:r w:rsidRPr="00967BDF">
        <w:rPr>
          <w:rFonts w:ascii="Times New Roman" w:hAnsi="Times New Roman" w:cs="Times New Roman"/>
        </w:rPr>
        <w:t>Srinivas</w:t>
      </w:r>
      <w:proofErr w:type="spellEnd"/>
      <w:r w:rsidRPr="00967BDF">
        <w:rPr>
          <w:rFonts w:ascii="Times New Roman" w:hAnsi="Times New Roman" w:cs="Times New Roman"/>
        </w:rPr>
        <w:t xml:space="preserve">, P.S., </w:t>
      </w:r>
      <w:proofErr w:type="spellStart"/>
      <w:r w:rsidRPr="00967BDF">
        <w:rPr>
          <w:rFonts w:ascii="Times New Roman" w:hAnsi="Times New Roman" w:cs="Times New Roman"/>
        </w:rPr>
        <w:t>Yermo</w:t>
      </w:r>
      <w:proofErr w:type="spellEnd"/>
      <w:r w:rsidRPr="00967BDF">
        <w:rPr>
          <w:rFonts w:ascii="Times New Roman" w:hAnsi="Times New Roman" w:cs="Times New Roman"/>
        </w:rPr>
        <w:t>, J., (1999), ‘</w:t>
      </w:r>
      <w:r w:rsidRPr="00967BDF">
        <w:rPr>
          <w:rFonts w:ascii="Times New Roman" w:hAnsi="Times New Roman" w:cs="Times New Roman"/>
          <w:i/>
        </w:rPr>
        <w:t>Do Investment Regulations Compromise Pension Fund Performance</w:t>
      </w:r>
      <w:r w:rsidRPr="00967BDF">
        <w:rPr>
          <w:rFonts w:ascii="Times New Roman" w:hAnsi="Times New Roman" w:cs="Times New Roman"/>
        </w:rPr>
        <w:t>?</w:t>
      </w:r>
      <w:proofErr w:type="gramStart"/>
      <w:r w:rsidRPr="00967BDF">
        <w:rPr>
          <w:rFonts w:ascii="Times New Roman" w:hAnsi="Times New Roman" w:cs="Times New Roman"/>
        </w:rPr>
        <w:t>’,</w:t>
      </w:r>
      <w:proofErr w:type="gramEnd"/>
      <w:r w:rsidRPr="00967BDF">
        <w:rPr>
          <w:rFonts w:ascii="Times New Roman" w:hAnsi="Times New Roman" w:cs="Times New Roman"/>
        </w:rPr>
        <w:t xml:space="preserve"> World Bank </w:t>
      </w:r>
      <w:hyperlink r:id="rId18" w:history="1">
        <w:r w:rsidRPr="00967BDF">
          <w:rPr>
            <w:rStyle w:val="Hyperlink"/>
            <w:rFonts w:ascii="Times New Roman" w:hAnsi="Times New Roman" w:cs="Times New Roman"/>
          </w:rPr>
          <w:t>http://elibrary.worldbank.org/docserver/download/9780821344880.pdf?expires=1361454721&amp;id=id&amp;accname=ic_worldbankdc&amp;checksum=F5BAE8F4AD2C2FF7A92CDA887A2FA63E</w:t>
        </w:r>
      </w:hyperlink>
      <w:r w:rsidRPr="00967BDF">
        <w:rPr>
          <w:rFonts w:ascii="Times New Roman" w:hAnsi="Times New Roman" w:cs="Times New Roman"/>
        </w:rPr>
        <w:t xml:space="preserve"> </w:t>
      </w:r>
    </w:p>
    <w:p w:rsidR="00757673" w:rsidRDefault="00DF430E" w:rsidP="00923886">
      <w:pPr>
        <w:rPr>
          <w:rFonts w:ascii="Times New Roman" w:hAnsi="Times New Roman" w:cs="Times New Roman"/>
        </w:rPr>
      </w:pPr>
      <w:r>
        <w:rPr>
          <w:rFonts w:ascii="Times New Roman" w:hAnsi="Times New Roman" w:cs="Times New Roman"/>
        </w:rPr>
        <w:t xml:space="preserve">Stewart, Fiona. 2014. Incentivizing long –term investments by pension funds –investment regulation vs benchmarks. Mimeo. FCMNB. </w:t>
      </w:r>
      <w:proofErr w:type="gramStart"/>
      <w:r>
        <w:rPr>
          <w:rFonts w:ascii="Times New Roman" w:hAnsi="Times New Roman" w:cs="Times New Roman"/>
        </w:rPr>
        <w:t>The World Bank.</w:t>
      </w:r>
      <w:proofErr w:type="gramEnd"/>
      <w:r>
        <w:rPr>
          <w:rFonts w:ascii="Times New Roman" w:hAnsi="Times New Roman" w:cs="Times New Roman"/>
        </w:rPr>
        <w:t xml:space="preserve"> Washington, DC.</w:t>
      </w:r>
    </w:p>
    <w:p w:rsidR="00923886" w:rsidRPr="007D64F9" w:rsidRDefault="00923886" w:rsidP="00923886">
      <w:pPr>
        <w:rPr>
          <w:rFonts w:ascii="Times New Roman" w:hAnsi="Times New Roman" w:cs="Times New Roman"/>
        </w:rPr>
      </w:pPr>
      <w:proofErr w:type="spellStart"/>
      <w:proofErr w:type="gramStart"/>
      <w:r w:rsidRPr="007D64F9">
        <w:rPr>
          <w:rFonts w:ascii="Times New Roman" w:hAnsi="Times New Roman" w:cs="Times New Roman"/>
        </w:rPr>
        <w:t>Viceira</w:t>
      </w:r>
      <w:proofErr w:type="spellEnd"/>
      <w:r w:rsidRPr="007D64F9">
        <w:rPr>
          <w:rFonts w:ascii="Times New Roman" w:hAnsi="Times New Roman" w:cs="Times New Roman"/>
        </w:rPr>
        <w:t>, Luis, and Heinz Rudolph.</w:t>
      </w:r>
      <w:proofErr w:type="gramEnd"/>
      <w:r w:rsidRPr="007D64F9">
        <w:rPr>
          <w:rFonts w:ascii="Times New Roman" w:hAnsi="Times New Roman" w:cs="Times New Roman"/>
        </w:rPr>
        <w:t xml:space="preserve"> 2012. “The Use of Guarantees on Contributions in Pension Funds.” Draft. World Bank, Washington, DC</w:t>
      </w:r>
    </w:p>
    <w:p w:rsidR="00923886" w:rsidRPr="007D64F9" w:rsidRDefault="00923886" w:rsidP="00923886">
      <w:pPr>
        <w:rPr>
          <w:rFonts w:ascii="Times New Roman" w:hAnsi="Times New Roman" w:cs="Times New Roman"/>
        </w:rPr>
      </w:pPr>
      <w:proofErr w:type="spellStart"/>
      <w:r w:rsidRPr="007D64F9">
        <w:rPr>
          <w:rFonts w:ascii="Times New Roman" w:hAnsi="Times New Roman" w:cs="Times New Roman"/>
        </w:rPr>
        <w:t>Vittas</w:t>
      </w:r>
      <w:proofErr w:type="spellEnd"/>
      <w:r w:rsidRPr="007D64F9">
        <w:rPr>
          <w:rFonts w:ascii="Times New Roman" w:hAnsi="Times New Roman" w:cs="Times New Roman"/>
        </w:rPr>
        <w:t>, D</w:t>
      </w:r>
      <w:r w:rsidR="00085822">
        <w:rPr>
          <w:rFonts w:ascii="Times New Roman" w:hAnsi="Times New Roman" w:cs="Times New Roman"/>
        </w:rPr>
        <w:t>imitri</w:t>
      </w:r>
      <w:r w:rsidRPr="007D64F9">
        <w:rPr>
          <w:rFonts w:ascii="Times New Roman" w:hAnsi="Times New Roman" w:cs="Times New Roman"/>
        </w:rPr>
        <w:t>, (1996), ‘</w:t>
      </w:r>
      <w:r w:rsidRPr="007D64F9">
        <w:rPr>
          <w:rFonts w:ascii="Times New Roman" w:hAnsi="Times New Roman" w:cs="Times New Roman"/>
          <w:i/>
        </w:rPr>
        <w:t>Pension Funds and Capital Markets</w:t>
      </w:r>
      <w:r w:rsidRPr="007D64F9">
        <w:rPr>
          <w:rFonts w:ascii="Times New Roman" w:hAnsi="Times New Roman" w:cs="Times New Roman"/>
        </w:rPr>
        <w:t>,’ FSD Note No.71, February, World Bank</w:t>
      </w:r>
    </w:p>
    <w:p w:rsidR="00626CF9" w:rsidRPr="007D64F9" w:rsidRDefault="00626CF9" w:rsidP="001169B8">
      <w:pPr>
        <w:rPr>
          <w:rFonts w:ascii="Times New Roman" w:hAnsi="Times New Roman" w:cs="Times New Roman"/>
          <w:color w:val="FF0000"/>
        </w:rPr>
      </w:pPr>
    </w:p>
    <w:sectPr w:rsidR="00626CF9" w:rsidRPr="007D64F9" w:rsidSect="005C1C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3E" w:rsidRDefault="00A82D3E" w:rsidP="00135ACB">
      <w:pPr>
        <w:spacing w:after="0" w:line="240" w:lineRule="auto"/>
      </w:pPr>
      <w:r>
        <w:separator/>
      </w:r>
    </w:p>
  </w:endnote>
  <w:endnote w:type="continuationSeparator" w:id="0">
    <w:p w:rsidR="00A82D3E" w:rsidRDefault="00A82D3E" w:rsidP="0013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3E" w:rsidRDefault="00A82D3E" w:rsidP="00135ACB">
      <w:pPr>
        <w:spacing w:after="0" w:line="240" w:lineRule="auto"/>
      </w:pPr>
      <w:r>
        <w:separator/>
      </w:r>
    </w:p>
  </w:footnote>
  <w:footnote w:type="continuationSeparator" w:id="0">
    <w:p w:rsidR="00A82D3E" w:rsidRDefault="00A82D3E" w:rsidP="00135ACB">
      <w:pPr>
        <w:spacing w:after="0" w:line="240" w:lineRule="auto"/>
      </w:pPr>
      <w:r>
        <w:continuationSeparator/>
      </w:r>
    </w:p>
  </w:footnote>
  <w:footnote w:id="1">
    <w:p w:rsidR="00A82D3E" w:rsidRPr="006E3E78" w:rsidRDefault="00A82D3E" w:rsidP="006E3E78">
      <w:pPr>
        <w:pStyle w:val="FootnoteText"/>
        <w:rPr>
          <w:rFonts w:ascii="Times New Roman" w:hAnsi="Times New Roman" w:cs="Times New Roman"/>
          <w:sz w:val="18"/>
          <w:szCs w:val="18"/>
        </w:rPr>
      </w:pPr>
      <w:r w:rsidRPr="006E3E78">
        <w:rPr>
          <w:rStyle w:val="FootnoteReference"/>
          <w:rFonts w:ascii="Times New Roman" w:hAnsi="Times New Roman" w:cs="Times New Roman"/>
          <w:sz w:val="18"/>
          <w:szCs w:val="18"/>
        </w:rPr>
        <w:footnoteRef/>
      </w:r>
      <w:r w:rsidRPr="006E3E78">
        <w:rPr>
          <w:rFonts w:ascii="Times New Roman" w:hAnsi="Times New Roman" w:cs="Times New Roman"/>
          <w:sz w:val="18"/>
          <w:szCs w:val="18"/>
        </w:rPr>
        <w:t xml:space="preserve"> Tony Randle is a World Bank consultant and Heinz P. Rudolph is Lead Pension Economist at the Financial and Private Sector </w:t>
      </w:r>
      <w:proofErr w:type="spellStart"/>
      <w:r w:rsidRPr="006E3E78">
        <w:rPr>
          <w:rFonts w:ascii="Times New Roman" w:hAnsi="Times New Roman" w:cs="Times New Roman"/>
          <w:sz w:val="18"/>
          <w:szCs w:val="18"/>
        </w:rPr>
        <w:t>VicePresidency</w:t>
      </w:r>
      <w:proofErr w:type="spellEnd"/>
      <w:r w:rsidRPr="006E3E78">
        <w:rPr>
          <w:rFonts w:ascii="Times New Roman" w:hAnsi="Times New Roman" w:cs="Times New Roman"/>
          <w:sz w:val="18"/>
          <w:szCs w:val="18"/>
        </w:rPr>
        <w:t xml:space="preserve"> of the World Bank. Most of the work was developed while Tony Randle was Senior Pension Specialist for the World Bank. The authors are grateful to Fiona Stewart for multiple contributions to this report</w:t>
      </w:r>
      <w:r>
        <w:rPr>
          <w:rFonts w:ascii="Times New Roman" w:hAnsi="Times New Roman" w:cs="Times New Roman"/>
          <w:sz w:val="18"/>
          <w:szCs w:val="18"/>
        </w:rPr>
        <w:t xml:space="preserve">.  Greg </w:t>
      </w:r>
      <w:proofErr w:type="gramStart"/>
      <w:r>
        <w:rPr>
          <w:rFonts w:ascii="Times New Roman" w:hAnsi="Times New Roman" w:cs="Times New Roman"/>
          <w:sz w:val="18"/>
          <w:szCs w:val="18"/>
        </w:rPr>
        <w:t>Brunner  and</w:t>
      </w:r>
      <w:proofErr w:type="gramEnd"/>
      <w:r>
        <w:rPr>
          <w:rFonts w:ascii="Times New Roman" w:hAnsi="Times New Roman" w:cs="Times New Roman"/>
          <w:sz w:val="18"/>
          <w:szCs w:val="18"/>
        </w:rPr>
        <w:t xml:space="preserve"> John </w:t>
      </w:r>
      <w:proofErr w:type="spellStart"/>
      <w:r>
        <w:rPr>
          <w:rFonts w:ascii="Times New Roman" w:hAnsi="Times New Roman" w:cs="Times New Roman"/>
          <w:sz w:val="18"/>
          <w:szCs w:val="18"/>
        </w:rPr>
        <w:t>Pollner</w:t>
      </w:r>
      <w:proofErr w:type="spellEnd"/>
      <w:r>
        <w:rPr>
          <w:rFonts w:ascii="Times New Roman" w:hAnsi="Times New Roman" w:cs="Times New Roman"/>
          <w:sz w:val="18"/>
          <w:szCs w:val="18"/>
        </w:rPr>
        <w:t xml:space="preserve"> served as per reviewers and provided thoughtful comments to this document</w:t>
      </w:r>
      <w:r w:rsidRPr="006E3E78">
        <w:rPr>
          <w:rFonts w:ascii="Times New Roman" w:hAnsi="Times New Roman" w:cs="Times New Roman"/>
          <w:sz w:val="18"/>
          <w:szCs w:val="18"/>
        </w:rPr>
        <w:t xml:space="preserve">. We also would like to thank Craig </w:t>
      </w:r>
      <w:proofErr w:type="spellStart"/>
      <w:r w:rsidRPr="006E3E78">
        <w:rPr>
          <w:rFonts w:ascii="Times New Roman" w:hAnsi="Times New Roman" w:cs="Times New Roman"/>
          <w:sz w:val="18"/>
          <w:szCs w:val="18"/>
        </w:rPr>
        <w:t>Thorburn</w:t>
      </w:r>
      <w:proofErr w:type="spellEnd"/>
      <w:r w:rsidRPr="006E3E78">
        <w:rPr>
          <w:rFonts w:ascii="Times New Roman" w:hAnsi="Times New Roman" w:cs="Times New Roman"/>
          <w:sz w:val="18"/>
          <w:szCs w:val="18"/>
        </w:rPr>
        <w:t>, Will Price</w:t>
      </w:r>
      <w:proofErr w:type="gramStart"/>
      <w:r w:rsidRPr="006E3E78">
        <w:rPr>
          <w:rFonts w:ascii="Times New Roman" w:hAnsi="Times New Roman" w:cs="Times New Roman"/>
          <w:sz w:val="18"/>
          <w:szCs w:val="18"/>
        </w:rPr>
        <w:t xml:space="preserve">,  </w:t>
      </w:r>
      <w:r>
        <w:rPr>
          <w:rFonts w:ascii="Times New Roman" w:hAnsi="Times New Roman" w:cs="Times New Roman"/>
          <w:sz w:val="18"/>
          <w:szCs w:val="18"/>
        </w:rPr>
        <w:t>Roberto</w:t>
      </w:r>
      <w:proofErr w:type="gramEnd"/>
      <w:r>
        <w:rPr>
          <w:rFonts w:ascii="Times New Roman" w:hAnsi="Times New Roman" w:cs="Times New Roman"/>
          <w:sz w:val="18"/>
          <w:szCs w:val="18"/>
        </w:rPr>
        <w:t xml:space="preserve"> Rocha, </w:t>
      </w:r>
      <w:proofErr w:type="spellStart"/>
      <w:r w:rsidRPr="006E3E78">
        <w:rPr>
          <w:rFonts w:ascii="Times New Roman" w:hAnsi="Times New Roman" w:cs="Times New Roman"/>
          <w:sz w:val="18"/>
          <w:szCs w:val="18"/>
        </w:rPr>
        <w:t>Serap</w:t>
      </w:r>
      <w:proofErr w:type="spellEnd"/>
      <w:r w:rsidRPr="006E3E78">
        <w:rPr>
          <w:rFonts w:ascii="Times New Roman" w:hAnsi="Times New Roman" w:cs="Times New Roman"/>
          <w:sz w:val="18"/>
          <w:szCs w:val="18"/>
        </w:rPr>
        <w:t xml:space="preserve"> </w:t>
      </w:r>
      <w:proofErr w:type="spellStart"/>
      <w:r w:rsidRPr="006E3E78">
        <w:rPr>
          <w:rFonts w:ascii="Times New Roman" w:hAnsi="Times New Roman" w:cs="Times New Roman"/>
          <w:sz w:val="18"/>
          <w:szCs w:val="18"/>
        </w:rPr>
        <w:t>Oguz</w:t>
      </w:r>
      <w:proofErr w:type="spellEnd"/>
      <w:r w:rsidRPr="006E3E78">
        <w:rPr>
          <w:rFonts w:ascii="Times New Roman" w:hAnsi="Times New Roman" w:cs="Times New Roman"/>
          <w:sz w:val="18"/>
          <w:szCs w:val="18"/>
        </w:rPr>
        <w:t xml:space="preserve"> </w:t>
      </w:r>
      <w:proofErr w:type="spellStart"/>
      <w:r w:rsidRPr="006E3E78">
        <w:rPr>
          <w:rFonts w:ascii="Times New Roman" w:hAnsi="Times New Roman" w:cs="Times New Roman"/>
          <w:sz w:val="18"/>
          <w:szCs w:val="18"/>
        </w:rPr>
        <w:t>Gonual</w:t>
      </w:r>
      <w:proofErr w:type="spellEnd"/>
      <w:r w:rsidRPr="006E3E78">
        <w:rPr>
          <w:rFonts w:ascii="Times New Roman" w:hAnsi="Times New Roman" w:cs="Times New Roman"/>
          <w:sz w:val="18"/>
          <w:szCs w:val="18"/>
        </w:rPr>
        <w:t xml:space="preserve">, </w:t>
      </w:r>
      <w:r>
        <w:rPr>
          <w:rFonts w:ascii="Times New Roman" w:hAnsi="Times New Roman" w:cs="Times New Roman"/>
          <w:sz w:val="18"/>
          <w:szCs w:val="18"/>
        </w:rPr>
        <w:t xml:space="preserve">Michel Noel </w:t>
      </w:r>
      <w:r w:rsidRPr="006E3E78">
        <w:rPr>
          <w:rFonts w:ascii="Times New Roman" w:hAnsi="Times New Roman" w:cs="Times New Roman"/>
          <w:sz w:val="18"/>
          <w:szCs w:val="18"/>
        </w:rPr>
        <w:t xml:space="preserve">and Sebastian </w:t>
      </w:r>
      <w:proofErr w:type="spellStart"/>
      <w:r w:rsidRPr="006E3E78">
        <w:rPr>
          <w:rFonts w:ascii="Times New Roman" w:hAnsi="Times New Roman" w:cs="Times New Roman"/>
          <w:sz w:val="18"/>
          <w:szCs w:val="18"/>
        </w:rPr>
        <w:t>Molineus</w:t>
      </w:r>
      <w:proofErr w:type="spellEnd"/>
      <w:r w:rsidRPr="006E3E78">
        <w:rPr>
          <w:rFonts w:ascii="Times New Roman" w:hAnsi="Times New Roman" w:cs="Times New Roman"/>
          <w:sz w:val="18"/>
          <w:szCs w:val="18"/>
        </w:rPr>
        <w:t xml:space="preserve"> for useful comments. Valuable research assistance was provided by </w:t>
      </w:r>
      <w:proofErr w:type="spellStart"/>
      <w:r w:rsidRPr="006E3E78">
        <w:rPr>
          <w:rFonts w:ascii="Times New Roman" w:hAnsi="Times New Roman" w:cs="Times New Roman"/>
          <w:sz w:val="18"/>
          <w:szCs w:val="18"/>
        </w:rPr>
        <w:t>Otari</w:t>
      </w:r>
      <w:proofErr w:type="spellEnd"/>
      <w:r w:rsidRPr="006E3E78">
        <w:rPr>
          <w:rFonts w:ascii="Times New Roman" w:hAnsi="Times New Roman" w:cs="Times New Roman"/>
          <w:sz w:val="18"/>
          <w:szCs w:val="18"/>
        </w:rPr>
        <w:t xml:space="preserve"> </w:t>
      </w:r>
      <w:proofErr w:type="spellStart"/>
      <w:r w:rsidRPr="006E3E78">
        <w:rPr>
          <w:rFonts w:ascii="Times New Roman" w:hAnsi="Times New Roman" w:cs="Times New Roman"/>
          <w:sz w:val="18"/>
          <w:szCs w:val="18"/>
        </w:rPr>
        <w:t>Dzidzikashvili</w:t>
      </w:r>
      <w:proofErr w:type="spellEnd"/>
      <w:r w:rsidRPr="006E3E78">
        <w:rPr>
          <w:rFonts w:ascii="Times New Roman" w:hAnsi="Times New Roman" w:cs="Times New Roman"/>
          <w:sz w:val="18"/>
          <w:szCs w:val="18"/>
        </w:rPr>
        <w:t>.</w:t>
      </w:r>
    </w:p>
  </w:footnote>
  <w:footnote w:id="2">
    <w:p w:rsidR="00A82D3E" w:rsidRPr="0013146A" w:rsidRDefault="00A82D3E">
      <w:pPr>
        <w:pStyle w:val="FootnoteText"/>
        <w:rPr>
          <w:sz w:val="18"/>
          <w:szCs w:val="18"/>
        </w:rPr>
      </w:pPr>
      <w:r w:rsidRPr="0013146A">
        <w:rPr>
          <w:rStyle w:val="FootnoteReference"/>
          <w:sz w:val="18"/>
          <w:szCs w:val="18"/>
        </w:rPr>
        <w:footnoteRef/>
      </w:r>
      <w:r w:rsidRPr="0013146A">
        <w:rPr>
          <w:sz w:val="18"/>
          <w:szCs w:val="18"/>
        </w:rPr>
        <w:t xml:space="preserve"> The focus of the discussion on DC pension schemes is related to the accumulation phase. In the payout phase, many of these systems offer annuities, which have explicit liabilities, and consequently the most traditional concepts of RBS are applicable.</w:t>
      </w:r>
    </w:p>
  </w:footnote>
  <w:footnote w:id="3">
    <w:p w:rsidR="00A82D3E" w:rsidRPr="008A25C9" w:rsidRDefault="00A82D3E" w:rsidP="000315D5">
      <w:pPr>
        <w:pStyle w:val="FootnoteText"/>
        <w:rPr>
          <w:rFonts w:ascii="Times New Roman" w:hAnsi="Times New Roman" w:cs="Times New Roman"/>
        </w:rPr>
      </w:pPr>
      <w:r w:rsidRPr="008A25C9">
        <w:rPr>
          <w:rStyle w:val="FootnoteReference"/>
          <w:rFonts w:ascii="Times New Roman" w:hAnsi="Times New Roman" w:cs="Times New Roman"/>
        </w:rPr>
        <w:footnoteRef/>
      </w:r>
      <w:r w:rsidRPr="008A25C9">
        <w:rPr>
          <w:rFonts w:ascii="Times New Roman" w:hAnsi="Times New Roman" w:cs="Times New Roman"/>
        </w:rPr>
        <w:t xml:space="preserve"> The analysis in this paper in built on the analysis of case studies in Chile, Colombia, Peru, Mexico, Kazakhstan, Hungary, Lithuania, Poland, Romania and the Russian Federation. </w:t>
      </w:r>
    </w:p>
  </w:footnote>
  <w:footnote w:id="4">
    <w:p w:rsidR="00A82D3E" w:rsidRPr="001B71E5" w:rsidRDefault="00A82D3E" w:rsidP="00135ACB">
      <w:pPr>
        <w:pStyle w:val="FootnoteText"/>
        <w:rPr>
          <w:rFonts w:ascii="Times New Roman" w:hAnsi="Times New Roman" w:cs="Times New Roman"/>
        </w:rPr>
      </w:pPr>
      <w:r w:rsidRPr="001B71E5">
        <w:rPr>
          <w:rStyle w:val="FootnoteReference"/>
          <w:rFonts w:ascii="Times New Roman" w:hAnsi="Times New Roman" w:cs="Times New Roman"/>
        </w:rPr>
        <w:footnoteRef/>
      </w:r>
      <w:r w:rsidRPr="001B71E5">
        <w:rPr>
          <w:rFonts w:ascii="Times New Roman" w:hAnsi="Times New Roman" w:cs="Times New Roman"/>
        </w:rPr>
        <w:t xml:space="preserve"> For a more complete discussion of the motivation for risk based supervision in the case of pension funds, see Brunner, Rocha and </w:t>
      </w:r>
      <w:proofErr w:type="spellStart"/>
      <w:r w:rsidRPr="001B71E5">
        <w:rPr>
          <w:rFonts w:ascii="Times New Roman" w:hAnsi="Times New Roman" w:cs="Times New Roman"/>
        </w:rPr>
        <w:t>Hinz</w:t>
      </w:r>
      <w:proofErr w:type="spellEnd"/>
      <w:r w:rsidRPr="001B71E5">
        <w:rPr>
          <w:rFonts w:ascii="Times New Roman" w:hAnsi="Times New Roman" w:cs="Times New Roman"/>
        </w:rPr>
        <w:t xml:space="preserve"> (2009).  </w:t>
      </w:r>
    </w:p>
  </w:footnote>
  <w:footnote w:id="5">
    <w:p w:rsidR="00A82D3E" w:rsidRPr="001B71E5" w:rsidRDefault="00A82D3E" w:rsidP="00135ACB">
      <w:pPr>
        <w:pStyle w:val="FootnoteText"/>
        <w:rPr>
          <w:rFonts w:ascii="Times New Roman" w:hAnsi="Times New Roman" w:cs="Times New Roman"/>
        </w:rPr>
      </w:pPr>
      <w:r w:rsidRPr="001B71E5">
        <w:rPr>
          <w:rStyle w:val="FootnoteReference"/>
          <w:rFonts w:ascii="Times New Roman" w:hAnsi="Times New Roman" w:cs="Times New Roman"/>
        </w:rPr>
        <w:footnoteRef/>
      </w:r>
      <w:r w:rsidRPr="001B71E5">
        <w:rPr>
          <w:rFonts w:ascii="Times New Roman" w:hAnsi="Times New Roman" w:cs="Times New Roman"/>
        </w:rPr>
        <w:t xml:space="preserve"> To avoid confusion, this note makes reference to pillars only in relation to risk based supervision, and not in the way of building </w:t>
      </w:r>
      <w:proofErr w:type="spellStart"/>
      <w:r w:rsidRPr="001B71E5">
        <w:rPr>
          <w:rFonts w:ascii="Times New Roman" w:hAnsi="Times New Roman" w:cs="Times New Roman"/>
        </w:rPr>
        <w:t>multipillar</w:t>
      </w:r>
      <w:proofErr w:type="spellEnd"/>
      <w:r w:rsidRPr="001B71E5">
        <w:rPr>
          <w:rFonts w:ascii="Times New Roman" w:hAnsi="Times New Roman" w:cs="Times New Roman"/>
        </w:rPr>
        <w:t xml:space="preserve"> pension systems.</w:t>
      </w:r>
    </w:p>
  </w:footnote>
  <w:footnote w:id="6">
    <w:p w:rsidR="00D22018" w:rsidRPr="00D22018" w:rsidRDefault="00D22018">
      <w:pPr>
        <w:pStyle w:val="FootnoteText"/>
        <w:rPr>
          <w:sz w:val="18"/>
          <w:szCs w:val="18"/>
        </w:rPr>
      </w:pPr>
      <w:r w:rsidRPr="00D22018">
        <w:rPr>
          <w:rStyle w:val="FootnoteReference"/>
          <w:sz w:val="18"/>
          <w:szCs w:val="18"/>
        </w:rPr>
        <w:footnoteRef/>
      </w:r>
      <w:r w:rsidRPr="00D22018">
        <w:rPr>
          <w:sz w:val="18"/>
          <w:szCs w:val="18"/>
        </w:rPr>
        <w:t xml:space="preserve"> </w:t>
      </w:r>
      <w:r w:rsidRPr="00D22018">
        <w:rPr>
          <w:rFonts w:ascii="Times New Roman" w:hAnsi="Times New Roman" w:cs="Times New Roman"/>
          <w:color w:val="333333"/>
          <w:sz w:val="18"/>
          <w:szCs w:val="18"/>
        </w:rPr>
        <w:t>The insurance sector has acknowledged the difficulties in migrating from one system to another and many countries are adopting multi-year programs to achieve it.</w:t>
      </w:r>
    </w:p>
  </w:footnote>
  <w:footnote w:id="7">
    <w:p w:rsidR="00A82D3E" w:rsidRPr="008A25C9" w:rsidRDefault="00A82D3E">
      <w:pPr>
        <w:pStyle w:val="FootnoteText"/>
        <w:rPr>
          <w:rFonts w:ascii="Times New Roman" w:hAnsi="Times New Roman" w:cs="Times New Roman"/>
          <w:sz w:val="18"/>
          <w:szCs w:val="18"/>
        </w:rPr>
      </w:pPr>
      <w:r w:rsidRPr="008A25C9">
        <w:rPr>
          <w:rStyle w:val="FootnoteReference"/>
          <w:rFonts w:ascii="Times New Roman" w:hAnsi="Times New Roman" w:cs="Times New Roman"/>
          <w:sz w:val="18"/>
          <w:szCs w:val="18"/>
        </w:rPr>
        <w:footnoteRef/>
      </w:r>
      <w:r w:rsidRPr="008A25C9">
        <w:rPr>
          <w:rFonts w:ascii="Times New Roman" w:hAnsi="Times New Roman" w:cs="Times New Roman"/>
          <w:sz w:val="18"/>
          <w:szCs w:val="18"/>
        </w:rPr>
        <w:t xml:space="preserve"> Since their expected liabilities are explicit, defined benefit pension system do not face a dilemma on adequacy.</w:t>
      </w:r>
    </w:p>
  </w:footnote>
  <w:footnote w:id="8">
    <w:p w:rsidR="00A82D3E" w:rsidRPr="008A25C9" w:rsidRDefault="00A82D3E">
      <w:pPr>
        <w:pStyle w:val="FootnoteText"/>
        <w:rPr>
          <w:rFonts w:ascii="Times New Roman" w:hAnsi="Times New Roman" w:cs="Times New Roman"/>
          <w:sz w:val="18"/>
          <w:szCs w:val="18"/>
        </w:rPr>
      </w:pPr>
      <w:r w:rsidRPr="008A25C9">
        <w:rPr>
          <w:rStyle w:val="FootnoteReference"/>
          <w:rFonts w:ascii="Times New Roman" w:hAnsi="Times New Roman" w:cs="Times New Roman"/>
          <w:sz w:val="18"/>
          <w:szCs w:val="18"/>
        </w:rPr>
        <w:footnoteRef/>
      </w:r>
      <w:r w:rsidRPr="008A25C9">
        <w:rPr>
          <w:rFonts w:ascii="Times New Roman" w:hAnsi="Times New Roman" w:cs="Times New Roman"/>
          <w:sz w:val="18"/>
          <w:szCs w:val="18"/>
        </w:rPr>
        <w:t xml:space="preserve"> As explained below, the counterproductive effect is due to the fact that PFMCs would allocate pension fund assets with the objective of minimizing the risk of the shareholder’s capital, instead of optimizing the value of future pensions.</w:t>
      </w:r>
    </w:p>
  </w:footnote>
  <w:footnote w:id="9">
    <w:p w:rsidR="00A82D3E" w:rsidRPr="008A25C9" w:rsidRDefault="00A82D3E" w:rsidP="00C92A8F">
      <w:pPr>
        <w:pStyle w:val="FootnoteText"/>
        <w:rPr>
          <w:rFonts w:ascii="Times New Roman" w:hAnsi="Times New Roman" w:cs="Times New Roman"/>
          <w:sz w:val="18"/>
          <w:szCs w:val="18"/>
        </w:rPr>
      </w:pPr>
      <w:r w:rsidRPr="008A25C9">
        <w:rPr>
          <w:rStyle w:val="FootnoteReference"/>
          <w:rFonts w:ascii="Times New Roman" w:hAnsi="Times New Roman" w:cs="Times New Roman"/>
          <w:sz w:val="18"/>
          <w:szCs w:val="18"/>
        </w:rPr>
        <w:footnoteRef/>
      </w:r>
      <w:r w:rsidRPr="008A25C9">
        <w:rPr>
          <w:rFonts w:ascii="Times New Roman" w:hAnsi="Times New Roman" w:cs="Times New Roman"/>
          <w:sz w:val="18"/>
          <w:szCs w:val="18"/>
        </w:rPr>
        <w:t xml:space="preserve"> http://www.ici.org/policy/comments/01_EU_CAPITAL_ADEQUACY_COM1</w:t>
      </w:r>
    </w:p>
  </w:footnote>
  <w:footnote w:id="10">
    <w:p w:rsidR="00A82D3E" w:rsidRPr="003709AC" w:rsidRDefault="00A82D3E">
      <w:pPr>
        <w:pStyle w:val="FootnoteText"/>
        <w:rPr>
          <w:sz w:val="18"/>
          <w:szCs w:val="18"/>
        </w:rPr>
      </w:pPr>
      <w:r w:rsidRPr="003709AC">
        <w:rPr>
          <w:rStyle w:val="FootnoteReference"/>
          <w:sz w:val="18"/>
          <w:szCs w:val="18"/>
        </w:rPr>
        <w:footnoteRef/>
      </w:r>
      <w:r w:rsidRPr="003709AC">
        <w:rPr>
          <w:sz w:val="18"/>
          <w:szCs w:val="18"/>
        </w:rPr>
        <w:t xml:space="preserve"> Table 1 provides information of capital requirements in DC schemes in emerging economies.</w:t>
      </w:r>
    </w:p>
  </w:footnote>
  <w:footnote w:id="11">
    <w:p w:rsidR="00A82D3E" w:rsidRPr="00E3388A" w:rsidRDefault="00A82D3E" w:rsidP="003E244C">
      <w:pPr>
        <w:pStyle w:val="FootnoteText"/>
        <w:rPr>
          <w:rFonts w:ascii="Times New Roman" w:hAnsi="Times New Roman" w:cs="Times New Roman"/>
          <w:sz w:val="18"/>
          <w:szCs w:val="18"/>
        </w:rPr>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 xml:space="preserve"> The regulation of the pension system in Costa Rica has some similar features in terms of risk weighted capital requirements, which are related to the investment risk.</w:t>
      </w:r>
    </w:p>
  </w:footnote>
  <w:footnote w:id="12">
    <w:p w:rsidR="00A82D3E" w:rsidRPr="008A25C9" w:rsidRDefault="00A82D3E" w:rsidP="003E244C">
      <w:pPr>
        <w:pStyle w:val="FootnoteText"/>
        <w:rPr>
          <w:rFonts w:ascii="Times New Roman" w:hAnsi="Times New Roman" w:cs="Times New Roman"/>
          <w:sz w:val="18"/>
          <w:szCs w:val="18"/>
        </w:rPr>
      </w:pPr>
      <w:r w:rsidRPr="008A25C9">
        <w:rPr>
          <w:rStyle w:val="FootnoteReference"/>
          <w:rFonts w:ascii="Times New Roman" w:hAnsi="Times New Roman" w:cs="Times New Roman"/>
          <w:sz w:val="18"/>
          <w:szCs w:val="18"/>
        </w:rPr>
        <w:footnoteRef/>
      </w:r>
      <w:r w:rsidRPr="008A25C9">
        <w:rPr>
          <w:rFonts w:ascii="Times New Roman" w:hAnsi="Times New Roman" w:cs="Times New Roman"/>
          <w:sz w:val="18"/>
          <w:szCs w:val="18"/>
        </w:rPr>
        <w:t xml:space="preserve"> The pension fund management industry of Kazakhstan was consolidated in a single company in 2013.</w:t>
      </w:r>
    </w:p>
  </w:footnote>
  <w:footnote w:id="13">
    <w:p w:rsidR="00A82D3E" w:rsidRPr="008A25C9" w:rsidRDefault="00A82D3E" w:rsidP="00C92A8F">
      <w:pPr>
        <w:pStyle w:val="FootnoteText"/>
        <w:rPr>
          <w:rFonts w:ascii="Times New Roman" w:hAnsi="Times New Roman" w:cs="Times New Roman"/>
          <w:sz w:val="18"/>
          <w:szCs w:val="18"/>
        </w:rPr>
      </w:pPr>
      <w:r w:rsidRPr="008A25C9">
        <w:rPr>
          <w:rStyle w:val="FootnoteReference"/>
          <w:rFonts w:ascii="Times New Roman" w:hAnsi="Times New Roman" w:cs="Times New Roman"/>
          <w:sz w:val="18"/>
          <w:szCs w:val="18"/>
        </w:rPr>
        <w:footnoteRef/>
      </w:r>
      <w:r w:rsidRPr="008A25C9">
        <w:rPr>
          <w:rFonts w:ascii="Times New Roman" w:hAnsi="Times New Roman" w:cs="Times New Roman"/>
          <w:sz w:val="18"/>
          <w:szCs w:val="18"/>
        </w:rPr>
        <w:t xml:space="preserve"> See </w:t>
      </w:r>
      <w:hyperlink r:id="rId1" w:history="1">
        <w:r w:rsidRPr="008A25C9">
          <w:rPr>
            <w:rStyle w:val="Hyperlink"/>
            <w:rFonts w:ascii="Times New Roman" w:hAnsi="Times New Roman" w:cs="Times New Roman"/>
            <w:sz w:val="18"/>
            <w:szCs w:val="18"/>
          </w:rPr>
          <w:t>www.iopstoolkit.org</w:t>
        </w:r>
      </w:hyperlink>
      <w:r w:rsidRPr="008A25C9">
        <w:rPr>
          <w:rFonts w:ascii="Times New Roman" w:hAnsi="Times New Roman" w:cs="Times New Roman"/>
          <w:sz w:val="18"/>
          <w:szCs w:val="18"/>
        </w:rPr>
        <w:t xml:space="preserve"> </w:t>
      </w:r>
    </w:p>
  </w:footnote>
  <w:footnote w:id="14">
    <w:p w:rsidR="00A82D3E" w:rsidRPr="008A25C9" w:rsidRDefault="00A82D3E" w:rsidP="00C92A8F">
      <w:pPr>
        <w:pStyle w:val="FootnoteText"/>
        <w:rPr>
          <w:rFonts w:ascii="Times New Roman" w:hAnsi="Times New Roman" w:cs="Times New Roman"/>
          <w:sz w:val="18"/>
          <w:szCs w:val="18"/>
        </w:rPr>
      </w:pPr>
      <w:r w:rsidRPr="008A25C9">
        <w:rPr>
          <w:rStyle w:val="FootnoteReference"/>
          <w:rFonts w:ascii="Times New Roman" w:hAnsi="Times New Roman" w:cs="Times New Roman"/>
          <w:sz w:val="18"/>
          <w:szCs w:val="18"/>
        </w:rPr>
        <w:footnoteRef/>
      </w:r>
      <w:r w:rsidRPr="008A25C9">
        <w:rPr>
          <w:rFonts w:ascii="Times New Roman" w:hAnsi="Times New Roman" w:cs="Times New Roman"/>
          <w:sz w:val="18"/>
          <w:szCs w:val="18"/>
        </w:rPr>
        <w:t xml:space="preserve"> IOPS Principles of Private Pension Supervision No. 5 states that: ‘</w:t>
      </w:r>
      <w:r w:rsidRPr="008A25C9">
        <w:rPr>
          <w:rFonts w:ascii="Times New Roman" w:hAnsi="Times New Roman" w:cs="Times New Roman"/>
          <w:i/>
          <w:sz w:val="18"/>
          <w:szCs w:val="18"/>
        </w:rPr>
        <w:t xml:space="preserve">Pension supervisory authorities should adopt risk-based supervision’ </w:t>
      </w:r>
      <w:r w:rsidRPr="008A25C9">
        <w:rPr>
          <w:rFonts w:ascii="Times New Roman" w:hAnsi="Times New Roman" w:cs="Times New Roman"/>
          <w:sz w:val="18"/>
          <w:szCs w:val="18"/>
        </w:rPr>
        <w:t>– see http://www.oecd.org/site/iops/principlesandguidelines/Revised%20IOPS%20Principles%2018.11.2010.pdf</w:t>
      </w:r>
    </w:p>
  </w:footnote>
  <w:footnote w:id="15">
    <w:p w:rsidR="00A82D3E" w:rsidRPr="00E3388A" w:rsidRDefault="00A82D3E" w:rsidP="00135ACB">
      <w:pPr>
        <w:pStyle w:val="FootnoteText"/>
        <w:rPr>
          <w:rFonts w:ascii="Times New Roman" w:hAnsi="Times New Roman" w:cs="Times New Roman"/>
          <w:sz w:val="18"/>
          <w:szCs w:val="18"/>
        </w:rPr>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 xml:space="preserve"> See Ashcroft and Stewart </w:t>
      </w:r>
      <w:r>
        <w:rPr>
          <w:rFonts w:ascii="Times New Roman" w:hAnsi="Times New Roman" w:cs="Times New Roman"/>
          <w:sz w:val="18"/>
          <w:szCs w:val="18"/>
        </w:rPr>
        <w:t>(</w:t>
      </w:r>
      <w:r w:rsidRPr="00E3388A">
        <w:rPr>
          <w:rFonts w:ascii="Times New Roman" w:hAnsi="Times New Roman" w:cs="Times New Roman"/>
          <w:sz w:val="18"/>
          <w:szCs w:val="18"/>
        </w:rPr>
        <w:t>2010</w:t>
      </w:r>
      <w:r>
        <w:rPr>
          <w:rFonts w:ascii="Times New Roman" w:hAnsi="Times New Roman" w:cs="Times New Roman"/>
          <w:sz w:val="18"/>
          <w:szCs w:val="18"/>
        </w:rPr>
        <w:t>)</w:t>
      </w:r>
    </w:p>
  </w:footnote>
  <w:footnote w:id="16">
    <w:p w:rsidR="00A82D3E" w:rsidRDefault="00A82D3E">
      <w:pPr>
        <w:pStyle w:val="FootnoteText"/>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 xml:space="preserve"> In a DB fund, the concept of pension risk is not relevant, as contributors will know at any time what pension they can expect.</w:t>
      </w:r>
    </w:p>
  </w:footnote>
  <w:footnote w:id="17">
    <w:p w:rsidR="00A82D3E" w:rsidRPr="00183C76" w:rsidRDefault="00A82D3E" w:rsidP="00280621">
      <w:pPr>
        <w:pStyle w:val="FootnoteText"/>
        <w:rPr>
          <w:rFonts w:ascii="Times New Roman" w:hAnsi="Times New Roman" w:cs="Times New Roman"/>
        </w:rPr>
      </w:pPr>
      <w:r w:rsidRPr="00183C76">
        <w:rPr>
          <w:rStyle w:val="FootnoteReference"/>
          <w:rFonts w:ascii="Times New Roman" w:hAnsi="Times New Roman" w:cs="Times New Roman"/>
        </w:rPr>
        <w:footnoteRef/>
      </w:r>
      <w:r w:rsidRPr="00183C76">
        <w:rPr>
          <w:rFonts w:ascii="Times New Roman" w:hAnsi="Times New Roman" w:cs="Times New Roman"/>
        </w:rPr>
        <w:t xml:space="preserve"> For example, Canadian Pension Plan, ATP in Denmark, New Zealand Superannuation fund – details of their targets and investment goals can be found on the funds websites. </w:t>
      </w:r>
    </w:p>
  </w:footnote>
  <w:footnote w:id="18">
    <w:p w:rsidR="00A82D3E" w:rsidRPr="00E3388A" w:rsidRDefault="00A82D3E" w:rsidP="00984B1D">
      <w:pPr>
        <w:pStyle w:val="FootnoteText"/>
        <w:rPr>
          <w:rFonts w:ascii="Times New Roman" w:hAnsi="Times New Roman" w:cs="Times New Roman"/>
          <w:sz w:val="18"/>
          <w:szCs w:val="18"/>
        </w:rPr>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 xml:space="preserve"> In some cases processes and operational risks may well be important risks to focus. This could be in the case in some emerging markets where corruption and fraud within the financial sector are still major challenges. At the other end of the spectrum, this may also be appropriate where highly sophisticated, non-profit pension funds manage investment risk successfully, i.e. in the best interest of the members of the fund.</w:t>
      </w:r>
      <w:r>
        <w:rPr>
          <w:rFonts w:ascii="Times New Roman" w:hAnsi="Times New Roman" w:cs="Times New Roman"/>
          <w:sz w:val="18"/>
          <w:szCs w:val="18"/>
        </w:rPr>
        <w:t xml:space="preserve">  Section IV discusses mechanisms for addressing these risks in an efficient manner.</w:t>
      </w:r>
    </w:p>
  </w:footnote>
  <w:footnote w:id="19">
    <w:p w:rsidR="00A82D3E" w:rsidRPr="00E3388A" w:rsidRDefault="00A82D3E" w:rsidP="00812230">
      <w:pPr>
        <w:pStyle w:val="FootnoteText"/>
        <w:rPr>
          <w:rFonts w:ascii="Times New Roman" w:hAnsi="Times New Roman" w:cs="Times New Roman"/>
          <w:sz w:val="18"/>
          <w:szCs w:val="18"/>
        </w:rPr>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 xml:space="preserve"> Details of investment restrictions around the world can be found in the regular OECD survey:</w:t>
      </w:r>
    </w:p>
    <w:p w:rsidR="00A82D3E" w:rsidRPr="00E3388A" w:rsidRDefault="00AF66B2" w:rsidP="00812230">
      <w:pPr>
        <w:pStyle w:val="FootnoteText"/>
        <w:rPr>
          <w:rFonts w:ascii="Times New Roman" w:hAnsi="Times New Roman" w:cs="Times New Roman"/>
          <w:sz w:val="18"/>
          <w:szCs w:val="18"/>
        </w:rPr>
      </w:pPr>
      <w:hyperlink r:id="rId2" w:history="1">
        <w:r w:rsidR="00A82D3E" w:rsidRPr="00E3388A">
          <w:rPr>
            <w:rStyle w:val="Hyperlink"/>
            <w:rFonts w:ascii="Times New Roman" w:hAnsi="Times New Roman" w:cs="Times New Roman"/>
            <w:sz w:val="18"/>
            <w:szCs w:val="18"/>
          </w:rPr>
          <w:t>http://www.oecd.org/daf/fin/private-pensions/2011SurveyOfInvestmentRegulationsOfPensionFunds.pdf</w:t>
        </w:r>
      </w:hyperlink>
      <w:r w:rsidR="00A82D3E" w:rsidRPr="00E3388A">
        <w:rPr>
          <w:rFonts w:ascii="Times New Roman" w:hAnsi="Times New Roman" w:cs="Times New Roman"/>
          <w:sz w:val="18"/>
          <w:szCs w:val="18"/>
        </w:rPr>
        <w:t xml:space="preserve"> </w:t>
      </w:r>
    </w:p>
  </w:footnote>
  <w:footnote w:id="20">
    <w:p w:rsidR="00A82D3E" w:rsidRPr="00E3388A" w:rsidRDefault="00A82D3E">
      <w:pPr>
        <w:pStyle w:val="FootnoteText"/>
        <w:rPr>
          <w:rFonts w:ascii="Times New Roman" w:hAnsi="Times New Roman" w:cs="Times New Roman"/>
          <w:sz w:val="18"/>
          <w:szCs w:val="18"/>
        </w:rPr>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 xml:space="preserve"> </w:t>
      </w:r>
      <w:r w:rsidRPr="00E3388A">
        <w:rPr>
          <w:rFonts w:ascii="Times New Roman" w:hAnsi="Times New Roman" w:cs="Times New Roman"/>
          <w:kern w:val="24"/>
          <w:sz w:val="18"/>
          <w:szCs w:val="18"/>
        </w:rPr>
        <w:t>As described by Blake et al (2008) this is the equivalent of worrying about air turbulence on a flight without considering whether the plane is actually going to reach its destination.</w:t>
      </w:r>
    </w:p>
  </w:footnote>
  <w:footnote w:id="21">
    <w:p w:rsidR="00A82D3E" w:rsidRPr="00E3388A" w:rsidRDefault="00A82D3E" w:rsidP="00812230">
      <w:pPr>
        <w:pStyle w:val="Default"/>
        <w:jc w:val="both"/>
        <w:rPr>
          <w:rFonts w:ascii="Times New Roman" w:hAnsi="Times New Roman" w:cs="Times New Roman"/>
          <w:sz w:val="18"/>
          <w:szCs w:val="18"/>
        </w:rPr>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 xml:space="preserve"> See for example </w:t>
      </w:r>
      <w:proofErr w:type="spellStart"/>
      <w:r w:rsidRPr="00E3388A">
        <w:rPr>
          <w:rFonts w:ascii="Times New Roman" w:hAnsi="Times New Roman" w:cs="Times New Roman"/>
          <w:sz w:val="18"/>
          <w:szCs w:val="18"/>
        </w:rPr>
        <w:t>Benartzi</w:t>
      </w:r>
      <w:proofErr w:type="spellEnd"/>
      <w:r w:rsidRPr="00E3388A">
        <w:rPr>
          <w:rFonts w:ascii="Times New Roman" w:hAnsi="Times New Roman" w:cs="Times New Roman"/>
          <w:sz w:val="18"/>
          <w:szCs w:val="18"/>
        </w:rPr>
        <w:t xml:space="preserve"> and </w:t>
      </w:r>
      <w:proofErr w:type="spellStart"/>
      <w:r w:rsidRPr="00E3388A">
        <w:rPr>
          <w:rFonts w:ascii="Times New Roman" w:hAnsi="Times New Roman" w:cs="Times New Roman"/>
          <w:sz w:val="18"/>
          <w:szCs w:val="18"/>
        </w:rPr>
        <w:t>Thaler</w:t>
      </w:r>
      <w:proofErr w:type="spellEnd"/>
      <w:r w:rsidRPr="00E3388A">
        <w:rPr>
          <w:rFonts w:ascii="Times New Roman" w:hAnsi="Times New Roman" w:cs="Times New Roman"/>
          <w:sz w:val="18"/>
          <w:szCs w:val="18"/>
        </w:rPr>
        <w:t xml:space="preserve"> (2007).</w:t>
      </w:r>
    </w:p>
    <w:p w:rsidR="00A82D3E" w:rsidRPr="00E3388A" w:rsidRDefault="00A82D3E" w:rsidP="00812230">
      <w:pPr>
        <w:pStyle w:val="Default"/>
        <w:jc w:val="both"/>
        <w:rPr>
          <w:rFonts w:ascii="Times New Roman" w:hAnsi="Times New Roman" w:cs="Times New Roman"/>
          <w:color w:val="000000" w:themeColor="text1"/>
          <w:kern w:val="24"/>
          <w:sz w:val="18"/>
          <w:szCs w:val="18"/>
        </w:rPr>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Blake, Cairns, and Dowd (2008)</w:t>
      </w:r>
    </w:p>
  </w:footnote>
  <w:footnote w:id="22">
    <w:p w:rsidR="00A82D3E" w:rsidRPr="00E3388A" w:rsidRDefault="00A82D3E" w:rsidP="00E34796">
      <w:pPr>
        <w:pStyle w:val="FootnoteText"/>
        <w:rPr>
          <w:rFonts w:ascii="Times New Roman" w:hAnsi="Times New Roman" w:cs="Times New Roman"/>
          <w:sz w:val="18"/>
          <w:szCs w:val="18"/>
        </w:rPr>
      </w:pPr>
      <w:r w:rsidRPr="00E3388A">
        <w:rPr>
          <w:rStyle w:val="FootnoteReference"/>
          <w:rFonts w:ascii="Times New Roman" w:hAnsi="Times New Roman" w:cs="Times New Roman"/>
          <w:sz w:val="18"/>
          <w:szCs w:val="18"/>
        </w:rPr>
        <w:footnoteRef/>
      </w:r>
      <w:r w:rsidRPr="00E3388A">
        <w:rPr>
          <w:rFonts w:ascii="Times New Roman" w:hAnsi="Times New Roman" w:cs="Times New Roman"/>
          <w:sz w:val="18"/>
          <w:szCs w:val="18"/>
        </w:rPr>
        <w:t xml:space="preserve"> The use of the </w:t>
      </w:r>
      <w:proofErr w:type="spellStart"/>
      <w:r w:rsidRPr="00E3388A">
        <w:rPr>
          <w:rFonts w:ascii="Times New Roman" w:hAnsi="Times New Roman" w:cs="Times New Roman"/>
          <w:sz w:val="18"/>
          <w:szCs w:val="18"/>
        </w:rPr>
        <w:t>VaR</w:t>
      </w:r>
      <w:proofErr w:type="spellEnd"/>
      <w:r w:rsidRPr="00E3388A">
        <w:rPr>
          <w:rFonts w:ascii="Times New Roman" w:hAnsi="Times New Roman" w:cs="Times New Roman"/>
          <w:sz w:val="18"/>
          <w:szCs w:val="18"/>
        </w:rPr>
        <w:t xml:space="preserve"> as a regulatory measure was eliminated in 2013.</w:t>
      </w:r>
    </w:p>
  </w:footnote>
  <w:footnote w:id="23">
    <w:p w:rsidR="00A82D3E" w:rsidRDefault="00A82D3E">
      <w:pPr>
        <w:pStyle w:val="FootnoteText"/>
      </w:pPr>
      <w:r>
        <w:rPr>
          <w:rStyle w:val="FootnoteReference"/>
        </w:rPr>
        <w:footnoteRef/>
      </w:r>
      <w:r>
        <w:t xml:space="preserve"> See Castaneda and Rudolph (2010)</w:t>
      </w:r>
    </w:p>
  </w:footnote>
  <w:footnote w:id="24">
    <w:p w:rsidR="00A82D3E" w:rsidRPr="00B644A5" w:rsidRDefault="00A82D3E" w:rsidP="00351201">
      <w:pPr>
        <w:pStyle w:val="FootnoteText"/>
        <w:rPr>
          <w:sz w:val="18"/>
          <w:szCs w:val="18"/>
        </w:rPr>
      </w:pPr>
      <w:r w:rsidRPr="00B644A5">
        <w:rPr>
          <w:rStyle w:val="FootnoteReference"/>
        </w:rPr>
        <w:footnoteRef/>
      </w:r>
      <w:r w:rsidRPr="00B644A5">
        <w:rPr>
          <w:sz w:val="18"/>
          <w:szCs w:val="18"/>
        </w:rPr>
        <w:t xml:space="preserve"> Yield curves are typically </w:t>
      </w:r>
      <w:r>
        <w:rPr>
          <w:sz w:val="18"/>
          <w:szCs w:val="18"/>
        </w:rPr>
        <w:t xml:space="preserve">relatively </w:t>
      </w:r>
      <w:r w:rsidRPr="00B644A5">
        <w:rPr>
          <w:sz w:val="18"/>
          <w:szCs w:val="18"/>
        </w:rPr>
        <w:t>flat in Brazil</w:t>
      </w:r>
      <w:r>
        <w:rPr>
          <w:sz w:val="18"/>
          <w:szCs w:val="18"/>
        </w:rPr>
        <w:t>.</w:t>
      </w:r>
    </w:p>
  </w:footnote>
  <w:footnote w:id="25">
    <w:p w:rsidR="00A82D3E" w:rsidRPr="00B5418F" w:rsidRDefault="00A82D3E" w:rsidP="00E66936">
      <w:pPr>
        <w:pStyle w:val="FootnoteText"/>
        <w:rPr>
          <w:rFonts w:ascii="Times New Roman" w:hAnsi="Times New Roman" w:cs="Times New Roman"/>
          <w:sz w:val="18"/>
          <w:szCs w:val="18"/>
        </w:rPr>
      </w:pPr>
      <w:r w:rsidRPr="00B5418F">
        <w:rPr>
          <w:rStyle w:val="FootnoteReference"/>
          <w:rFonts w:ascii="Times New Roman" w:hAnsi="Times New Roman" w:cs="Times New Roman"/>
          <w:sz w:val="18"/>
          <w:szCs w:val="18"/>
        </w:rPr>
        <w:footnoteRef/>
      </w:r>
      <w:r w:rsidRPr="00B5418F">
        <w:rPr>
          <w:rFonts w:ascii="Times New Roman" w:hAnsi="Times New Roman" w:cs="Times New Roman"/>
          <w:sz w:val="18"/>
          <w:szCs w:val="18"/>
        </w:rPr>
        <w:t xml:space="preserve"> The discussion of how to build benchmarks is beyond the scope of this paper. Rudolph and others (2010), Rudolph (2013)</w:t>
      </w:r>
      <w:r>
        <w:rPr>
          <w:rFonts w:ascii="Times New Roman" w:hAnsi="Times New Roman" w:cs="Times New Roman"/>
          <w:sz w:val="18"/>
          <w:szCs w:val="18"/>
        </w:rPr>
        <w:t xml:space="preserve"> and Stewart (2014)</w:t>
      </w:r>
      <w:r w:rsidRPr="00B5418F">
        <w:rPr>
          <w:rFonts w:ascii="Times New Roman" w:hAnsi="Times New Roman" w:cs="Times New Roman"/>
          <w:sz w:val="18"/>
          <w:szCs w:val="18"/>
        </w:rPr>
        <w:t xml:space="preserve"> provide some discussions on the topic.</w:t>
      </w:r>
    </w:p>
  </w:footnote>
  <w:footnote w:id="26">
    <w:p w:rsidR="00A82D3E" w:rsidRPr="00757673" w:rsidRDefault="00A82D3E" w:rsidP="000315D5">
      <w:pPr>
        <w:pStyle w:val="FootnoteText"/>
        <w:rPr>
          <w:rFonts w:ascii="Times New Roman" w:hAnsi="Times New Roman" w:cs="Times New Roman"/>
          <w:sz w:val="18"/>
          <w:szCs w:val="18"/>
        </w:rPr>
      </w:pPr>
      <w:r w:rsidRPr="00757673">
        <w:rPr>
          <w:rStyle w:val="FootnoteReference"/>
          <w:rFonts w:ascii="Times New Roman" w:hAnsi="Times New Roman" w:cs="Times New Roman"/>
          <w:sz w:val="18"/>
          <w:szCs w:val="18"/>
        </w:rPr>
        <w:footnoteRef/>
      </w:r>
      <w:r w:rsidRPr="00757673">
        <w:rPr>
          <w:rFonts w:ascii="Times New Roman" w:hAnsi="Times New Roman" w:cs="Times New Roman"/>
          <w:sz w:val="18"/>
          <w:szCs w:val="18"/>
        </w:rPr>
        <w:t xml:space="preserve"> For a discussion of this topic see </w:t>
      </w:r>
      <w:proofErr w:type="spellStart"/>
      <w:r w:rsidRPr="00757673">
        <w:rPr>
          <w:rFonts w:ascii="Times New Roman" w:hAnsi="Times New Roman" w:cs="Times New Roman"/>
          <w:sz w:val="18"/>
          <w:szCs w:val="18"/>
        </w:rPr>
        <w:t>Viceira</w:t>
      </w:r>
      <w:proofErr w:type="spellEnd"/>
      <w:r w:rsidRPr="00757673">
        <w:rPr>
          <w:rFonts w:ascii="Times New Roman" w:hAnsi="Times New Roman" w:cs="Times New Roman"/>
          <w:sz w:val="18"/>
          <w:szCs w:val="18"/>
        </w:rPr>
        <w:t xml:space="preserve"> and Rudolph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622"/>
    <w:multiLevelType w:val="hybridMultilevel"/>
    <w:tmpl w:val="5F4C6A6E"/>
    <w:lvl w:ilvl="0" w:tplc="E542B99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45660"/>
    <w:multiLevelType w:val="hybridMultilevel"/>
    <w:tmpl w:val="20CEE6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D2826"/>
    <w:multiLevelType w:val="hybridMultilevel"/>
    <w:tmpl w:val="BCBAC5C2"/>
    <w:lvl w:ilvl="0" w:tplc="54FCD5C4">
      <w:start w:val="1"/>
      <w:numFmt w:val="decimal"/>
      <w:lvlText w:val="%1."/>
      <w:lvlJc w:val="left"/>
      <w:pPr>
        <w:ind w:left="720" w:hanging="360"/>
      </w:pPr>
      <w:rPr>
        <w:rFonts w:ascii="Arial" w:hAnsi="Arial" w:hint="default"/>
        <w:b w:val="0"/>
        <w:i w:val="0"/>
        <w:sz w:val="20"/>
        <w:szCs w:val="20"/>
      </w:rPr>
    </w:lvl>
    <w:lvl w:ilvl="1" w:tplc="7E2CC2C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F6D18"/>
    <w:multiLevelType w:val="hybridMultilevel"/>
    <w:tmpl w:val="40DCBC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06A25"/>
    <w:multiLevelType w:val="hybridMultilevel"/>
    <w:tmpl w:val="B31A6D96"/>
    <w:lvl w:ilvl="0" w:tplc="36F476D0">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315C8"/>
    <w:multiLevelType w:val="hybridMultilevel"/>
    <w:tmpl w:val="88F80636"/>
    <w:lvl w:ilvl="0" w:tplc="2C762F9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30657"/>
    <w:multiLevelType w:val="hybridMultilevel"/>
    <w:tmpl w:val="D7406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FB5E23"/>
    <w:multiLevelType w:val="hybridMultilevel"/>
    <w:tmpl w:val="1318CE1E"/>
    <w:lvl w:ilvl="0" w:tplc="5C86F456">
      <w:start w:val="9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3"/>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B"/>
    <w:rsid w:val="00026497"/>
    <w:rsid w:val="000301FB"/>
    <w:rsid w:val="000315D5"/>
    <w:rsid w:val="000336C6"/>
    <w:rsid w:val="00045258"/>
    <w:rsid w:val="00052EC2"/>
    <w:rsid w:val="0008388D"/>
    <w:rsid w:val="00085822"/>
    <w:rsid w:val="00093CAA"/>
    <w:rsid w:val="000946EE"/>
    <w:rsid w:val="000A3A86"/>
    <w:rsid w:val="000A4A1D"/>
    <w:rsid w:val="000E4AB4"/>
    <w:rsid w:val="000F4EDF"/>
    <w:rsid w:val="000F5922"/>
    <w:rsid w:val="00115D8B"/>
    <w:rsid w:val="001169B8"/>
    <w:rsid w:val="0013146A"/>
    <w:rsid w:val="00135ACB"/>
    <w:rsid w:val="00141928"/>
    <w:rsid w:val="00145119"/>
    <w:rsid w:val="00146F1C"/>
    <w:rsid w:val="001515A6"/>
    <w:rsid w:val="00156EFD"/>
    <w:rsid w:val="00165103"/>
    <w:rsid w:val="00176599"/>
    <w:rsid w:val="00183C76"/>
    <w:rsid w:val="00185F6B"/>
    <w:rsid w:val="00197A19"/>
    <w:rsid w:val="001B7A24"/>
    <w:rsid w:val="0020077B"/>
    <w:rsid w:val="0020788C"/>
    <w:rsid w:val="002101EE"/>
    <w:rsid w:val="00221B05"/>
    <w:rsid w:val="0022340B"/>
    <w:rsid w:val="00237BBB"/>
    <w:rsid w:val="00244547"/>
    <w:rsid w:val="00244A0F"/>
    <w:rsid w:val="00246307"/>
    <w:rsid w:val="0026287F"/>
    <w:rsid w:val="00275C2C"/>
    <w:rsid w:val="00280621"/>
    <w:rsid w:val="002863C8"/>
    <w:rsid w:val="002A73DA"/>
    <w:rsid w:val="002B7C1C"/>
    <w:rsid w:val="002D3042"/>
    <w:rsid w:val="002E4D11"/>
    <w:rsid w:val="002F32D0"/>
    <w:rsid w:val="002F6A75"/>
    <w:rsid w:val="00300170"/>
    <w:rsid w:val="00300210"/>
    <w:rsid w:val="003038E8"/>
    <w:rsid w:val="00344D61"/>
    <w:rsid w:val="003466C7"/>
    <w:rsid w:val="00351201"/>
    <w:rsid w:val="003608D1"/>
    <w:rsid w:val="003709AC"/>
    <w:rsid w:val="00395650"/>
    <w:rsid w:val="003969C9"/>
    <w:rsid w:val="003B0666"/>
    <w:rsid w:val="003B09AF"/>
    <w:rsid w:val="003B5BEB"/>
    <w:rsid w:val="003B7153"/>
    <w:rsid w:val="003C0A95"/>
    <w:rsid w:val="003C3A92"/>
    <w:rsid w:val="003C46A9"/>
    <w:rsid w:val="003E244C"/>
    <w:rsid w:val="003E46DD"/>
    <w:rsid w:val="00407332"/>
    <w:rsid w:val="004100B4"/>
    <w:rsid w:val="00414272"/>
    <w:rsid w:val="0043268C"/>
    <w:rsid w:val="004436EC"/>
    <w:rsid w:val="00443BD5"/>
    <w:rsid w:val="0044461C"/>
    <w:rsid w:val="00452871"/>
    <w:rsid w:val="004761B2"/>
    <w:rsid w:val="00481BB3"/>
    <w:rsid w:val="00483D40"/>
    <w:rsid w:val="004864C3"/>
    <w:rsid w:val="00487783"/>
    <w:rsid w:val="004A0CC8"/>
    <w:rsid w:val="004B2429"/>
    <w:rsid w:val="004B30A2"/>
    <w:rsid w:val="004B3DBD"/>
    <w:rsid w:val="004D3319"/>
    <w:rsid w:val="004E2C10"/>
    <w:rsid w:val="004F3178"/>
    <w:rsid w:val="004F3E57"/>
    <w:rsid w:val="005039BE"/>
    <w:rsid w:val="00513B3A"/>
    <w:rsid w:val="0052319B"/>
    <w:rsid w:val="0052463E"/>
    <w:rsid w:val="005437A8"/>
    <w:rsid w:val="005457FB"/>
    <w:rsid w:val="00546C25"/>
    <w:rsid w:val="00551036"/>
    <w:rsid w:val="00552141"/>
    <w:rsid w:val="00553347"/>
    <w:rsid w:val="0055449D"/>
    <w:rsid w:val="00557715"/>
    <w:rsid w:val="005669BB"/>
    <w:rsid w:val="00570242"/>
    <w:rsid w:val="00570E33"/>
    <w:rsid w:val="00587FDD"/>
    <w:rsid w:val="005B2E3F"/>
    <w:rsid w:val="005B33A0"/>
    <w:rsid w:val="005C1C02"/>
    <w:rsid w:val="005D03EC"/>
    <w:rsid w:val="005E4D8B"/>
    <w:rsid w:val="005F0001"/>
    <w:rsid w:val="005F4B1F"/>
    <w:rsid w:val="00617899"/>
    <w:rsid w:val="006225E0"/>
    <w:rsid w:val="00626CF9"/>
    <w:rsid w:val="006516AA"/>
    <w:rsid w:val="006520D6"/>
    <w:rsid w:val="00674053"/>
    <w:rsid w:val="00684754"/>
    <w:rsid w:val="006968BC"/>
    <w:rsid w:val="006A16E8"/>
    <w:rsid w:val="006A3924"/>
    <w:rsid w:val="006A6BC1"/>
    <w:rsid w:val="006B4FDF"/>
    <w:rsid w:val="006D467A"/>
    <w:rsid w:val="006D7FD8"/>
    <w:rsid w:val="006E3E78"/>
    <w:rsid w:val="006E4AFF"/>
    <w:rsid w:val="0070291E"/>
    <w:rsid w:val="0070766C"/>
    <w:rsid w:val="00711FF4"/>
    <w:rsid w:val="007142A1"/>
    <w:rsid w:val="00720BFE"/>
    <w:rsid w:val="00724413"/>
    <w:rsid w:val="00724452"/>
    <w:rsid w:val="007244D1"/>
    <w:rsid w:val="007254A8"/>
    <w:rsid w:val="007426F1"/>
    <w:rsid w:val="00757673"/>
    <w:rsid w:val="00770ADB"/>
    <w:rsid w:val="00772235"/>
    <w:rsid w:val="007754EC"/>
    <w:rsid w:val="0078228A"/>
    <w:rsid w:val="00786C4C"/>
    <w:rsid w:val="007A1F21"/>
    <w:rsid w:val="007A71D9"/>
    <w:rsid w:val="007B17BA"/>
    <w:rsid w:val="007D2A20"/>
    <w:rsid w:val="007D5643"/>
    <w:rsid w:val="007D64F9"/>
    <w:rsid w:val="007E235E"/>
    <w:rsid w:val="007F41F5"/>
    <w:rsid w:val="007F725A"/>
    <w:rsid w:val="00806EB4"/>
    <w:rsid w:val="00810B5B"/>
    <w:rsid w:val="00810B62"/>
    <w:rsid w:val="00812230"/>
    <w:rsid w:val="00813E55"/>
    <w:rsid w:val="00821477"/>
    <w:rsid w:val="00846FE5"/>
    <w:rsid w:val="00870A96"/>
    <w:rsid w:val="00891DC4"/>
    <w:rsid w:val="008A07BC"/>
    <w:rsid w:val="008A25C9"/>
    <w:rsid w:val="008E5459"/>
    <w:rsid w:val="00923886"/>
    <w:rsid w:val="00927120"/>
    <w:rsid w:val="009404D9"/>
    <w:rsid w:val="00950FAB"/>
    <w:rsid w:val="00964910"/>
    <w:rsid w:val="00967BDF"/>
    <w:rsid w:val="00981A9A"/>
    <w:rsid w:val="0098443C"/>
    <w:rsid w:val="00984B1D"/>
    <w:rsid w:val="009B514D"/>
    <w:rsid w:val="009C58E2"/>
    <w:rsid w:val="009D2472"/>
    <w:rsid w:val="009E4C04"/>
    <w:rsid w:val="009E78AF"/>
    <w:rsid w:val="009F4D59"/>
    <w:rsid w:val="00A73F97"/>
    <w:rsid w:val="00A82D3E"/>
    <w:rsid w:val="00A90B59"/>
    <w:rsid w:val="00AB00CC"/>
    <w:rsid w:val="00AB6E94"/>
    <w:rsid w:val="00AC739A"/>
    <w:rsid w:val="00AD2F83"/>
    <w:rsid w:val="00AD64C5"/>
    <w:rsid w:val="00AF66B2"/>
    <w:rsid w:val="00B05D8B"/>
    <w:rsid w:val="00B0687A"/>
    <w:rsid w:val="00B13031"/>
    <w:rsid w:val="00B25443"/>
    <w:rsid w:val="00B50439"/>
    <w:rsid w:val="00B51132"/>
    <w:rsid w:val="00B5418F"/>
    <w:rsid w:val="00B71331"/>
    <w:rsid w:val="00B73FE0"/>
    <w:rsid w:val="00B82571"/>
    <w:rsid w:val="00B91A70"/>
    <w:rsid w:val="00B96255"/>
    <w:rsid w:val="00B9718E"/>
    <w:rsid w:val="00B972EC"/>
    <w:rsid w:val="00BA63D3"/>
    <w:rsid w:val="00BB765F"/>
    <w:rsid w:val="00BC08EF"/>
    <w:rsid w:val="00BD1241"/>
    <w:rsid w:val="00BD449A"/>
    <w:rsid w:val="00BF1F68"/>
    <w:rsid w:val="00BF7E58"/>
    <w:rsid w:val="00C103C3"/>
    <w:rsid w:val="00C11B41"/>
    <w:rsid w:val="00C15519"/>
    <w:rsid w:val="00C32721"/>
    <w:rsid w:val="00C73A65"/>
    <w:rsid w:val="00C8404D"/>
    <w:rsid w:val="00C90AC1"/>
    <w:rsid w:val="00C92A8F"/>
    <w:rsid w:val="00C94638"/>
    <w:rsid w:val="00C97E69"/>
    <w:rsid w:val="00CA2F55"/>
    <w:rsid w:val="00CD5640"/>
    <w:rsid w:val="00CE3CCD"/>
    <w:rsid w:val="00D11950"/>
    <w:rsid w:val="00D20494"/>
    <w:rsid w:val="00D22018"/>
    <w:rsid w:val="00D24B98"/>
    <w:rsid w:val="00D26347"/>
    <w:rsid w:val="00D41408"/>
    <w:rsid w:val="00D617D6"/>
    <w:rsid w:val="00D663E5"/>
    <w:rsid w:val="00D66B29"/>
    <w:rsid w:val="00D80B41"/>
    <w:rsid w:val="00D80EB4"/>
    <w:rsid w:val="00D851B2"/>
    <w:rsid w:val="00D91493"/>
    <w:rsid w:val="00DC30DA"/>
    <w:rsid w:val="00DD3356"/>
    <w:rsid w:val="00DE6B9F"/>
    <w:rsid w:val="00DF072B"/>
    <w:rsid w:val="00DF430E"/>
    <w:rsid w:val="00E05C5F"/>
    <w:rsid w:val="00E13B43"/>
    <w:rsid w:val="00E1656C"/>
    <w:rsid w:val="00E234D0"/>
    <w:rsid w:val="00E30C1F"/>
    <w:rsid w:val="00E3168C"/>
    <w:rsid w:val="00E3388A"/>
    <w:rsid w:val="00E34796"/>
    <w:rsid w:val="00E3604B"/>
    <w:rsid w:val="00E41066"/>
    <w:rsid w:val="00E427BE"/>
    <w:rsid w:val="00E55AA1"/>
    <w:rsid w:val="00E55FFF"/>
    <w:rsid w:val="00E57272"/>
    <w:rsid w:val="00E66936"/>
    <w:rsid w:val="00E7756B"/>
    <w:rsid w:val="00E85AE8"/>
    <w:rsid w:val="00EA43BD"/>
    <w:rsid w:val="00EB1C3C"/>
    <w:rsid w:val="00EB4034"/>
    <w:rsid w:val="00EC2B67"/>
    <w:rsid w:val="00EC2BD1"/>
    <w:rsid w:val="00EC5C81"/>
    <w:rsid w:val="00EE24A5"/>
    <w:rsid w:val="00EE4240"/>
    <w:rsid w:val="00F21CA2"/>
    <w:rsid w:val="00F3283E"/>
    <w:rsid w:val="00F34BEA"/>
    <w:rsid w:val="00F378E5"/>
    <w:rsid w:val="00F44C99"/>
    <w:rsid w:val="00F5762B"/>
    <w:rsid w:val="00F57CCD"/>
    <w:rsid w:val="00F61C4C"/>
    <w:rsid w:val="00F82A02"/>
    <w:rsid w:val="00F83D6D"/>
    <w:rsid w:val="00F84DB9"/>
    <w:rsid w:val="00F868B1"/>
    <w:rsid w:val="00F91723"/>
    <w:rsid w:val="00F943C9"/>
    <w:rsid w:val="00FA68BD"/>
    <w:rsid w:val="00FB2BBB"/>
    <w:rsid w:val="00FC3792"/>
    <w:rsid w:val="00FC6785"/>
    <w:rsid w:val="00FE1A14"/>
    <w:rsid w:val="00FE2434"/>
    <w:rsid w:val="00FE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C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31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E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E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2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CB"/>
    <w:pPr>
      <w:ind w:left="720"/>
      <w:contextualSpacing/>
    </w:pPr>
  </w:style>
  <w:style w:type="paragraph" w:styleId="FootnoteText">
    <w:name w:val="footnote text"/>
    <w:aliases w:val="fn,single space,footnote text,FOOTNOTES,Footnote Text Char Char Char Char Char Char,Footnote Text Char1 Char,Footnote Text Char2 Char Char,Footnote Text Char Char Char Char,Footnote Text Char1 Char Char Char Char,Footnote Text Char1"/>
    <w:basedOn w:val="Normal"/>
    <w:link w:val="FootnoteTextChar"/>
    <w:uiPriority w:val="99"/>
    <w:unhideWhenUsed/>
    <w:rsid w:val="00135ACB"/>
    <w:pPr>
      <w:spacing w:after="0" w:line="240" w:lineRule="auto"/>
    </w:pPr>
    <w:rPr>
      <w:sz w:val="20"/>
      <w:szCs w:val="20"/>
    </w:rPr>
  </w:style>
  <w:style w:type="character" w:customStyle="1" w:styleId="FootnoteTextChar">
    <w:name w:val="Footnote Text Char"/>
    <w:aliases w:val="fn Char,single space Char,footnote text Char,FOOTNOTES Char,Footnote Text Char Char Char Char Char Char Char,Footnote Text Char1 Char Char,Footnote Text Char2 Char Char Char,Footnote Text Char Char Char Char Char"/>
    <w:basedOn w:val="DefaultParagraphFont"/>
    <w:link w:val="FootnoteText"/>
    <w:uiPriority w:val="99"/>
    <w:rsid w:val="00135ACB"/>
    <w:rPr>
      <w:rFonts w:eastAsiaTheme="minorHAnsi"/>
      <w:sz w:val="20"/>
      <w:szCs w:val="20"/>
    </w:rPr>
  </w:style>
  <w:style w:type="character" w:styleId="FootnoteReference">
    <w:name w:val="footnote reference"/>
    <w:basedOn w:val="DefaultParagraphFont"/>
    <w:uiPriority w:val="99"/>
    <w:unhideWhenUsed/>
    <w:rsid w:val="00135ACB"/>
    <w:rPr>
      <w:vertAlign w:val="superscript"/>
    </w:rPr>
  </w:style>
  <w:style w:type="character" w:styleId="Hyperlink">
    <w:name w:val="Hyperlink"/>
    <w:basedOn w:val="DefaultParagraphFont"/>
    <w:uiPriority w:val="99"/>
    <w:unhideWhenUsed/>
    <w:rsid w:val="00135ACB"/>
    <w:rPr>
      <w:color w:val="0000FF" w:themeColor="hyperlink"/>
      <w:u w:val="single"/>
    </w:rPr>
  </w:style>
  <w:style w:type="paragraph" w:styleId="BalloonText">
    <w:name w:val="Balloon Text"/>
    <w:basedOn w:val="Normal"/>
    <w:link w:val="BalloonTextChar"/>
    <w:uiPriority w:val="99"/>
    <w:semiHidden/>
    <w:unhideWhenUsed/>
    <w:rsid w:val="00135A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ACB"/>
    <w:rPr>
      <w:rFonts w:ascii="Lucida Grande" w:eastAsiaTheme="minorHAnsi" w:hAnsi="Lucida Grande"/>
      <w:sz w:val="18"/>
      <w:szCs w:val="18"/>
    </w:rPr>
  </w:style>
  <w:style w:type="character" w:styleId="CommentReference">
    <w:name w:val="annotation reference"/>
    <w:basedOn w:val="DefaultParagraphFont"/>
    <w:uiPriority w:val="99"/>
    <w:unhideWhenUsed/>
    <w:rsid w:val="00C92A8F"/>
    <w:rPr>
      <w:sz w:val="16"/>
      <w:szCs w:val="16"/>
    </w:rPr>
  </w:style>
  <w:style w:type="paragraph" w:styleId="CommentText">
    <w:name w:val="annotation text"/>
    <w:basedOn w:val="Normal"/>
    <w:link w:val="CommentTextChar"/>
    <w:uiPriority w:val="99"/>
    <w:unhideWhenUsed/>
    <w:rsid w:val="00C92A8F"/>
    <w:pPr>
      <w:spacing w:line="240" w:lineRule="auto"/>
    </w:pPr>
    <w:rPr>
      <w:sz w:val="20"/>
      <w:szCs w:val="20"/>
    </w:rPr>
  </w:style>
  <w:style w:type="character" w:customStyle="1" w:styleId="CommentTextChar">
    <w:name w:val="Comment Text Char"/>
    <w:basedOn w:val="DefaultParagraphFont"/>
    <w:link w:val="CommentText"/>
    <w:uiPriority w:val="99"/>
    <w:rsid w:val="00C92A8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92A8F"/>
    <w:rPr>
      <w:b/>
      <w:bCs/>
    </w:rPr>
  </w:style>
  <w:style w:type="character" w:customStyle="1" w:styleId="CommentSubjectChar">
    <w:name w:val="Comment Subject Char"/>
    <w:basedOn w:val="CommentTextChar"/>
    <w:link w:val="CommentSubject"/>
    <w:uiPriority w:val="99"/>
    <w:semiHidden/>
    <w:rsid w:val="00C92A8F"/>
    <w:rPr>
      <w:rFonts w:eastAsiaTheme="minorHAnsi"/>
      <w:b/>
      <w:bCs/>
      <w:sz w:val="20"/>
      <w:szCs w:val="20"/>
    </w:rPr>
  </w:style>
  <w:style w:type="paragraph" w:customStyle="1" w:styleId="Default">
    <w:name w:val="Default"/>
    <w:rsid w:val="00812230"/>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E57272"/>
    <w:rPr>
      <w:rFonts w:asciiTheme="majorHAnsi" w:eastAsiaTheme="majorEastAsia" w:hAnsiTheme="majorHAnsi" w:cstheme="majorBidi"/>
      <w:b/>
      <w:bCs/>
      <w:i/>
      <w:iCs/>
      <w:color w:val="4F81BD" w:themeColor="accent1"/>
      <w:sz w:val="22"/>
      <w:szCs w:val="22"/>
    </w:rPr>
  </w:style>
  <w:style w:type="character" w:customStyle="1" w:styleId="Heading2Char">
    <w:name w:val="Heading 2 Char"/>
    <w:basedOn w:val="DefaultParagraphFont"/>
    <w:link w:val="Heading2"/>
    <w:uiPriority w:val="9"/>
    <w:rsid w:val="00BF7E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7E58"/>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0315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1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5762B"/>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C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31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E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E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2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CB"/>
    <w:pPr>
      <w:ind w:left="720"/>
      <w:contextualSpacing/>
    </w:pPr>
  </w:style>
  <w:style w:type="paragraph" w:styleId="FootnoteText">
    <w:name w:val="footnote text"/>
    <w:aliases w:val="fn,single space,footnote text,FOOTNOTES,Footnote Text Char Char Char Char Char Char,Footnote Text Char1 Char,Footnote Text Char2 Char Char,Footnote Text Char Char Char Char,Footnote Text Char1 Char Char Char Char,Footnote Text Char1"/>
    <w:basedOn w:val="Normal"/>
    <w:link w:val="FootnoteTextChar"/>
    <w:uiPriority w:val="99"/>
    <w:unhideWhenUsed/>
    <w:rsid w:val="00135ACB"/>
    <w:pPr>
      <w:spacing w:after="0" w:line="240" w:lineRule="auto"/>
    </w:pPr>
    <w:rPr>
      <w:sz w:val="20"/>
      <w:szCs w:val="20"/>
    </w:rPr>
  </w:style>
  <w:style w:type="character" w:customStyle="1" w:styleId="FootnoteTextChar">
    <w:name w:val="Footnote Text Char"/>
    <w:aliases w:val="fn Char,single space Char,footnote text Char,FOOTNOTES Char,Footnote Text Char Char Char Char Char Char Char,Footnote Text Char1 Char Char,Footnote Text Char2 Char Char Char,Footnote Text Char Char Char Char Char"/>
    <w:basedOn w:val="DefaultParagraphFont"/>
    <w:link w:val="FootnoteText"/>
    <w:uiPriority w:val="99"/>
    <w:rsid w:val="00135ACB"/>
    <w:rPr>
      <w:rFonts w:eastAsiaTheme="minorHAnsi"/>
      <w:sz w:val="20"/>
      <w:szCs w:val="20"/>
    </w:rPr>
  </w:style>
  <w:style w:type="character" w:styleId="FootnoteReference">
    <w:name w:val="footnote reference"/>
    <w:basedOn w:val="DefaultParagraphFont"/>
    <w:uiPriority w:val="99"/>
    <w:unhideWhenUsed/>
    <w:rsid w:val="00135ACB"/>
    <w:rPr>
      <w:vertAlign w:val="superscript"/>
    </w:rPr>
  </w:style>
  <w:style w:type="character" w:styleId="Hyperlink">
    <w:name w:val="Hyperlink"/>
    <w:basedOn w:val="DefaultParagraphFont"/>
    <w:uiPriority w:val="99"/>
    <w:unhideWhenUsed/>
    <w:rsid w:val="00135ACB"/>
    <w:rPr>
      <w:color w:val="0000FF" w:themeColor="hyperlink"/>
      <w:u w:val="single"/>
    </w:rPr>
  </w:style>
  <w:style w:type="paragraph" w:styleId="BalloonText">
    <w:name w:val="Balloon Text"/>
    <w:basedOn w:val="Normal"/>
    <w:link w:val="BalloonTextChar"/>
    <w:uiPriority w:val="99"/>
    <w:semiHidden/>
    <w:unhideWhenUsed/>
    <w:rsid w:val="00135A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ACB"/>
    <w:rPr>
      <w:rFonts w:ascii="Lucida Grande" w:eastAsiaTheme="minorHAnsi" w:hAnsi="Lucida Grande"/>
      <w:sz w:val="18"/>
      <w:szCs w:val="18"/>
    </w:rPr>
  </w:style>
  <w:style w:type="character" w:styleId="CommentReference">
    <w:name w:val="annotation reference"/>
    <w:basedOn w:val="DefaultParagraphFont"/>
    <w:uiPriority w:val="99"/>
    <w:unhideWhenUsed/>
    <w:rsid w:val="00C92A8F"/>
    <w:rPr>
      <w:sz w:val="16"/>
      <w:szCs w:val="16"/>
    </w:rPr>
  </w:style>
  <w:style w:type="paragraph" w:styleId="CommentText">
    <w:name w:val="annotation text"/>
    <w:basedOn w:val="Normal"/>
    <w:link w:val="CommentTextChar"/>
    <w:uiPriority w:val="99"/>
    <w:unhideWhenUsed/>
    <w:rsid w:val="00C92A8F"/>
    <w:pPr>
      <w:spacing w:line="240" w:lineRule="auto"/>
    </w:pPr>
    <w:rPr>
      <w:sz w:val="20"/>
      <w:szCs w:val="20"/>
    </w:rPr>
  </w:style>
  <w:style w:type="character" w:customStyle="1" w:styleId="CommentTextChar">
    <w:name w:val="Comment Text Char"/>
    <w:basedOn w:val="DefaultParagraphFont"/>
    <w:link w:val="CommentText"/>
    <w:uiPriority w:val="99"/>
    <w:rsid w:val="00C92A8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92A8F"/>
    <w:rPr>
      <w:b/>
      <w:bCs/>
    </w:rPr>
  </w:style>
  <w:style w:type="character" w:customStyle="1" w:styleId="CommentSubjectChar">
    <w:name w:val="Comment Subject Char"/>
    <w:basedOn w:val="CommentTextChar"/>
    <w:link w:val="CommentSubject"/>
    <w:uiPriority w:val="99"/>
    <w:semiHidden/>
    <w:rsid w:val="00C92A8F"/>
    <w:rPr>
      <w:rFonts w:eastAsiaTheme="minorHAnsi"/>
      <w:b/>
      <w:bCs/>
      <w:sz w:val="20"/>
      <w:szCs w:val="20"/>
    </w:rPr>
  </w:style>
  <w:style w:type="paragraph" w:customStyle="1" w:styleId="Default">
    <w:name w:val="Default"/>
    <w:rsid w:val="00812230"/>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E57272"/>
    <w:rPr>
      <w:rFonts w:asciiTheme="majorHAnsi" w:eastAsiaTheme="majorEastAsia" w:hAnsiTheme="majorHAnsi" w:cstheme="majorBidi"/>
      <w:b/>
      <w:bCs/>
      <w:i/>
      <w:iCs/>
      <w:color w:val="4F81BD" w:themeColor="accent1"/>
      <w:sz w:val="22"/>
      <w:szCs w:val="22"/>
    </w:rPr>
  </w:style>
  <w:style w:type="character" w:customStyle="1" w:styleId="Heading2Char">
    <w:name w:val="Heading 2 Char"/>
    <w:basedOn w:val="DefaultParagraphFont"/>
    <w:link w:val="Heading2"/>
    <w:uiPriority w:val="9"/>
    <w:rsid w:val="00BF7E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7E58"/>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0315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1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5762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ilibrary.org/docserver/download/5kg52k5b0v9s.pdf?expires=1385227573&amp;id=id&amp;accname=guest&amp;checksum=DE8AC2F8BF162532F6FF4EED55A115E0" TargetMode="External"/><Relationship Id="rId18" Type="http://schemas.openxmlformats.org/officeDocument/2006/relationships/hyperlink" Target="http://elibrary.worldbank.org/docserver/download/9780821344880.pdf?expires=1361454721&amp;id=id&amp;accname=ic_worldbankdc&amp;checksum=F5BAE8F4AD2C2FF7A92CDA887A2FA63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cmra.com/docs/Risk_Principles_for_Asset_Managers.pdf" TargetMode="External"/><Relationship Id="rId2" Type="http://schemas.openxmlformats.org/officeDocument/2006/relationships/numbering" Target="numbering.xml"/><Relationship Id="rId16" Type="http://schemas.openxmlformats.org/officeDocument/2006/relationships/hyperlink" Target="http://www.nottingham.ac.uk/business/forum/documents/cris-reports/cris-paper-2008-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oecd.org/site/iops/principlesandguidelines/46126017.pdf"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a.gov.au/Super/PrudentialFramework/Documents/Final-SPS-530-Investment-Governance-July-2013.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ecd.org/daf/fin/private-pensions/2011SurveyOfInvestmentRegulationsOfPensionFunds.pdf" TargetMode="External"/><Relationship Id="rId1" Type="http://schemas.openxmlformats.org/officeDocument/2006/relationships/hyperlink" Target="http://www.iopstoolkit.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SELIC and 1Y DI</a:t>
            </a:r>
          </a:p>
        </c:rich>
      </c:tx>
      <c:layout>
        <c:manualLayout>
          <c:xMode val="edge"/>
          <c:yMode val="edge"/>
          <c:x val="6.5026978070006097E-2"/>
          <c:y val="7.9554494828957805E-3"/>
        </c:manualLayout>
      </c:layout>
      <c:overlay val="0"/>
    </c:title>
    <c:autoTitleDeleted val="0"/>
    <c:plotArea>
      <c:layout>
        <c:manualLayout>
          <c:layoutTarget val="inner"/>
          <c:xMode val="edge"/>
          <c:yMode val="edge"/>
          <c:x val="6.7321959755030594E-2"/>
          <c:y val="0.12380777880092"/>
          <c:w val="0.88601137357830295"/>
          <c:h val="0.64687638985460905"/>
        </c:manualLayout>
      </c:layout>
      <c:lineChart>
        <c:grouping val="standard"/>
        <c:varyColors val="0"/>
        <c:ser>
          <c:idx val="0"/>
          <c:order val="0"/>
          <c:tx>
            <c:strRef>
              <c:f>'SELIC and 1Y DI'!$B$3</c:f>
              <c:strCache>
                <c:ptCount val="1"/>
                <c:pt idx="0">
                  <c:v>1Y DI</c:v>
                </c:pt>
              </c:strCache>
            </c:strRef>
          </c:tx>
          <c:marker>
            <c:symbol val="none"/>
          </c:marker>
          <c:cat>
            <c:numRef>
              <c:f>'SELIC and 1Y DI'!$A$4:$A$76</c:f>
              <c:numCache>
                <c:formatCode>mmm\-yy</c:formatCode>
                <c:ptCount val="73"/>
                <c:pt idx="0">
                  <c:v>40452</c:v>
                </c:pt>
                <c:pt idx="1">
                  <c:v>40466</c:v>
                </c:pt>
                <c:pt idx="2">
                  <c:v>40483</c:v>
                </c:pt>
                <c:pt idx="3">
                  <c:v>40497</c:v>
                </c:pt>
                <c:pt idx="4">
                  <c:v>40513</c:v>
                </c:pt>
                <c:pt idx="5">
                  <c:v>40527</c:v>
                </c:pt>
                <c:pt idx="6">
                  <c:v>40544</c:v>
                </c:pt>
                <c:pt idx="7">
                  <c:v>40558</c:v>
                </c:pt>
                <c:pt idx="8">
                  <c:v>40575</c:v>
                </c:pt>
                <c:pt idx="9">
                  <c:v>40589</c:v>
                </c:pt>
                <c:pt idx="10">
                  <c:v>40603</c:v>
                </c:pt>
                <c:pt idx="11">
                  <c:v>40617</c:v>
                </c:pt>
                <c:pt idx="12">
                  <c:v>40634</c:v>
                </c:pt>
                <c:pt idx="13">
                  <c:v>40648</c:v>
                </c:pt>
                <c:pt idx="14">
                  <c:v>40664</c:v>
                </c:pt>
                <c:pt idx="15">
                  <c:v>40678</c:v>
                </c:pt>
                <c:pt idx="16">
                  <c:v>40695</c:v>
                </c:pt>
                <c:pt idx="17">
                  <c:v>40709</c:v>
                </c:pt>
                <c:pt idx="18">
                  <c:v>40725</c:v>
                </c:pt>
                <c:pt idx="19">
                  <c:v>40739</c:v>
                </c:pt>
                <c:pt idx="20">
                  <c:v>40756</c:v>
                </c:pt>
                <c:pt idx="21">
                  <c:v>40770</c:v>
                </c:pt>
                <c:pt idx="22">
                  <c:v>40787</c:v>
                </c:pt>
                <c:pt idx="23">
                  <c:v>40801</c:v>
                </c:pt>
                <c:pt idx="24">
                  <c:v>40817</c:v>
                </c:pt>
                <c:pt idx="25">
                  <c:v>40831</c:v>
                </c:pt>
                <c:pt idx="26">
                  <c:v>40848</c:v>
                </c:pt>
                <c:pt idx="27">
                  <c:v>40862</c:v>
                </c:pt>
                <c:pt idx="28">
                  <c:v>40878</c:v>
                </c:pt>
                <c:pt idx="29">
                  <c:v>40892</c:v>
                </c:pt>
                <c:pt idx="30">
                  <c:v>40909</c:v>
                </c:pt>
                <c:pt idx="31">
                  <c:v>40923</c:v>
                </c:pt>
                <c:pt idx="32">
                  <c:v>40940</c:v>
                </c:pt>
                <c:pt idx="33">
                  <c:v>40954</c:v>
                </c:pt>
                <c:pt idx="34">
                  <c:v>40969</c:v>
                </c:pt>
                <c:pt idx="35">
                  <c:v>40983</c:v>
                </c:pt>
                <c:pt idx="36">
                  <c:v>41000</c:v>
                </c:pt>
                <c:pt idx="37">
                  <c:v>41014</c:v>
                </c:pt>
                <c:pt idx="38">
                  <c:v>41030</c:v>
                </c:pt>
                <c:pt idx="39">
                  <c:v>41044</c:v>
                </c:pt>
                <c:pt idx="40">
                  <c:v>41061</c:v>
                </c:pt>
                <c:pt idx="41">
                  <c:v>41075</c:v>
                </c:pt>
                <c:pt idx="42">
                  <c:v>41091</c:v>
                </c:pt>
                <c:pt idx="43">
                  <c:v>41105</c:v>
                </c:pt>
                <c:pt idx="44">
                  <c:v>41122</c:v>
                </c:pt>
                <c:pt idx="45">
                  <c:v>41136</c:v>
                </c:pt>
                <c:pt idx="46">
                  <c:v>41153</c:v>
                </c:pt>
                <c:pt idx="47">
                  <c:v>41167</c:v>
                </c:pt>
                <c:pt idx="48">
                  <c:v>41183</c:v>
                </c:pt>
                <c:pt idx="49">
                  <c:v>41197</c:v>
                </c:pt>
                <c:pt idx="50">
                  <c:v>41214</c:v>
                </c:pt>
                <c:pt idx="51">
                  <c:v>41228</c:v>
                </c:pt>
                <c:pt idx="52">
                  <c:v>41244</c:v>
                </c:pt>
                <c:pt idx="53">
                  <c:v>41258</c:v>
                </c:pt>
                <c:pt idx="54">
                  <c:v>41275</c:v>
                </c:pt>
                <c:pt idx="55">
                  <c:v>41289</c:v>
                </c:pt>
                <c:pt idx="56">
                  <c:v>41306</c:v>
                </c:pt>
                <c:pt idx="57">
                  <c:v>41320</c:v>
                </c:pt>
                <c:pt idx="58">
                  <c:v>41334</c:v>
                </c:pt>
                <c:pt idx="59">
                  <c:v>41348</c:v>
                </c:pt>
                <c:pt idx="60">
                  <c:v>41365</c:v>
                </c:pt>
                <c:pt idx="61">
                  <c:v>41379</c:v>
                </c:pt>
                <c:pt idx="62">
                  <c:v>41395</c:v>
                </c:pt>
                <c:pt idx="63">
                  <c:v>41409</c:v>
                </c:pt>
                <c:pt idx="64">
                  <c:v>41426</c:v>
                </c:pt>
                <c:pt idx="65">
                  <c:v>41440</c:v>
                </c:pt>
                <c:pt idx="66">
                  <c:v>41456</c:v>
                </c:pt>
                <c:pt idx="67">
                  <c:v>41470</c:v>
                </c:pt>
                <c:pt idx="68">
                  <c:v>41487</c:v>
                </c:pt>
                <c:pt idx="69">
                  <c:v>41501</c:v>
                </c:pt>
                <c:pt idx="70">
                  <c:v>41518</c:v>
                </c:pt>
                <c:pt idx="71">
                  <c:v>41532</c:v>
                </c:pt>
                <c:pt idx="72">
                  <c:v>41548</c:v>
                </c:pt>
              </c:numCache>
            </c:numRef>
          </c:cat>
          <c:val>
            <c:numRef>
              <c:f>'SELIC and 1Y DI'!$B$4:$B$76</c:f>
              <c:numCache>
                <c:formatCode>General</c:formatCode>
                <c:ptCount val="73"/>
                <c:pt idx="0">
                  <c:v>11.18</c:v>
                </c:pt>
                <c:pt idx="1">
                  <c:v>11.15</c:v>
                </c:pt>
                <c:pt idx="2">
                  <c:v>11.2</c:v>
                </c:pt>
                <c:pt idx="3">
                  <c:v>11.5</c:v>
                </c:pt>
                <c:pt idx="4">
                  <c:v>12</c:v>
                </c:pt>
                <c:pt idx="5">
                  <c:v>11.8</c:v>
                </c:pt>
                <c:pt idx="6">
                  <c:v>12</c:v>
                </c:pt>
                <c:pt idx="7">
                  <c:v>12.3</c:v>
                </c:pt>
                <c:pt idx="8">
                  <c:v>12.5</c:v>
                </c:pt>
                <c:pt idx="9">
                  <c:v>12.5</c:v>
                </c:pt>
                <c:pt idx="10">
                  <c:v>12.65</c:v>
                </c:pt>
                <c:pt idx="11">
                  <c:v>12.5</c:v>
                </c:pt>
                <c:pt idx="12">
                  <c:v>12.4</c:v>
                </c:pt>
                <c:pt idx="13">
                  <c:v>12.45</c:v>
                </c:pt>
                <c:pt idx="14">
                  <c:v>12.5</c:v>
                </c:pt>
                <c:pt idx="15">
                  <c:v>12.5</c:v>
                </c:pt>
                <c:pt idx="16">
                  <c:v>12.5</c:v>
                </c:pt>
                <c:pt idx="17">
                  <c:v>12.5</c:v>
                </c:pt>
                <c:pt idx="18">
                  <c:v>12.6</c:v>
                </c:pt>
                <c:pt idx="19">
                  <c:v>12.6</c:v>
                </c:pt>
                <c:pt idx="20">
                  <c:v>12.6</c:v>
                </c:pt>
                <c:pt idx="21">
                  <c:v>11.7</c:v>
                </c:pt>
                <c:pt idx="22">
                  <c:v>10.8</c:v>
                </c:pt>
                <c:pt idx="23">
                  <c:v>10.8</c:v>
                </c:pt>
                <c:pt idx="24">
                  <c:v>10.5</c:v>
                </c:pt>
                <c:pt idx="25">
                  <c:v>10.6</c:v>
                </c:pt>
                <c:pt idx="26">
                  <c:v>10.199999999999999</c:v>
                </c:pt>
                <c:pt idx="27">
                  <c:v>10</c:v>
                </c:pt>
                <c:pt idx="28">
                  <c:v>9.8000000000000007</c:v>
                </c:pt>
                <c:pt idx="29">
                  <c:v>9.9</c:v>
                </c:pt>
                <c:pt idx="30">
                  <c:v>10</c:v>
                </c:pt>
                <c:pt idx="31">
                  <c:v>9.7000000000000011</c:v>
                </c:pt>
                <c:pt idx="32">
                  <c:v>9.4</c:v>
                </c:pt>
                <c:pt idx="33">
                  <c:v>9.3000000000000007</c:v>
                </c:pt>
                <c:pt idx="34">
                  <c:v>9.2000000000000011</c:v>
                </c:pt>
                <c:pt idx="35">
                  <c:v>8.8000000000000007</c:v>
                </c:pt>
                <c:pt idx="36">
                  <c:v>9</c:v>
                </c:pt>
                <c:pt idx="37">
                  <c:v>8.5</c:v>
                </c:pt>
                <c:pt idx="38">
                  <c:v>8</c:v>
                </c:pt>
                <c:pt idx="39">
                  <c:v>7.8</c:v>
                </c:pt>
                <c:pt idx="40">
                  <c:v>8</c:v>
                </c:pt>
                <c:pt idx="41">
                  <c:v>7.75</c:v>
                </c:pt>
                <c:pt idx="42">
                  <c:v>7.6</c:v>
                </c:pt>
                <c:pt idx="43">
                  <c:v>7.6</c:v>
                </c:pt>
                <c:pt idx="44">
                  <c:v>7.5</c:v>
                </c:pt>
                <c:pt idx="45">
                  <c:v>7.6</c:v>
                </c:pt>
                <c:pt idx="46">
                  <c:v>7.5</c:v>
                </c:pt>
                <c:pt idx="47">
                  <c:v>7.6</c:v>
                </c:pt>
                <c:pt idx="48">
                  <c:v>7.3</c:v>
                </c:pt>
                <c:pt idx="49">
                  <c:v>7.3</c:v>
                </c:pt>
                <c:pt idx="50">
                  <c:v>7.3</c:v>
                </c:pt>
                <c:pt idx="51">
                  <c:v>7.2</c:v>
                </c:pt>
                <c:pt idx="52">
                  <c:v>6.9</c:v>
                </c:pt>
                <c:pt idx="53">
                  <c:v>7</c:v>
                </c:pt>
                <c:pt idx="54">
                  <c:v>7.1</c:v>
                </c:pt>
                <c:pt idx="55">
                  <c:v>7.1</c:v>
                </c:pt>
                <c:pt idx="56">
                  <c:v>7.18</c:v>
                </c:pt>
                <c:pt idx="57">
                  <c:v>7.6</c:v>
                </c:pt>
                <c:pt idx="58">
                  <c:v>8</c:v>
                </c:pt>
                <c:pt idx="59">
                  <c:v>8.0500000000000007</c:v>
                </c:pt>
                <c:pt idx="60">
                  <c:v>8</c:v>
                </c:pt>
                <c:pt idx="61">
                  <c:v>8.2000000000000011</c:v>
                </c:pt>
                <c:pt idx="62">
                  <c:v>8</c:v>
                </c:pt>
                <c:pt idx="63">
                  <c:v>8.1</c:v>
                </c:pt>
                <c:pt idx="64">
                  <c:v>8.2000000000000011</c:v>
                </c:pt>
                <c:pt idx="65">
                  <c:v>9.9</c:v>
                </c:pt>
                <c:pt idx="66">
                  <c:v>9.3000000000000007</c:v>
                </c:pt>
                <c:pt idx="67">
                  <c:v>9.1</c:v>
                </c:pt>
                <c:pt idx="68">
                  <c:v>9.2000000000000011</c:v>
                </c:pt>
                <c:pt idx="69">
                  <c:v>10.199999999999999</c:v>
                </c:pt>
                <c:pt idx="70">
                  <c:v>10</c:v>
                </c:pt>
                <c:pt idx="71">
                  <c:v>10.199999999999999</c:v>
                </c:pt>
                <c:pt idx="72">
                  <c:v>10</c:v>
                </c:pt>
              </c:numCache>
            </c:numRef>
          </c:val>
          <c:smooth val="1"/>
        </c:ser>
        <c:ser>
          <c:idx val="1"/>
          <c:order val="1"/>
          <c:tx>
            <c:strRef>
              <c:f>'SELIC and 1Y DI'!$C$3</c:f>
              <c:strCache>
                <c:ptCount val="1"/>
                <c:pt idx="0">
                  <c:v>SELIC O/N</c:v>
                </c:pt>
              </c:strCache>
            </c:strRef>
          </c:tx>
          <c:marker>
            <c:symbol val="none"/>
          </c:marker>
          <c:cat>
            <c:numRef>
              <c:f>'SELIC and 1Y DI'!$A$4:$A$76</c:f>
              <c:numCache>
                <c:formatCode>mmm\-yy</c:formatCode>
                <c:ptCount val="73"/>
                <c:pt idx="0">
                  <c:v>40452</c:v>
                </c:pt>
                <c:pt idx="1">
                  <c:v>40466</c:v>
                </c:pt>
                <c:pt idx="2">
                  <c:v>40483</c:v>
                </c:pt>
                <c:pt idx="3">
                  <c:v>40497</c:v>
                </c:pt>
                <c:pt idx="4">
                  <c:v>40513</c:v>
                </c:pt>
                <c:pt idx="5">
                  <c:v>40527</c:v>
                </c:pt>
                <c:pt idx="6">
                  <c:v>40544</c:v>
                </c:pt>
                <c:pt idx="7">
                  <c:v>40558</c:v>
                </c:pt>
                <c:pt idx="8">
                  <c:v>40575</c:v>
                </c:pt>
                <c:pt idx="9">
                  <c:v>40589</c:v>
                </c:pt>
                <c:pt idx="10">
                  <c:v>40603</c:v>
                </c:pt>
                <c:pt idx="11">
                  <c:v>40617</c:v>
                </c:pt>
                <c:pt idx="12">
                  <c:v>40634</c:v>
                </c:pt>
                <c:pt idx="13">
                  <c:v>40648</c:v>
                </c:pt>
                <c:pt idx="14">
                  <c:v>40664</c:v>
                </c:pt>
                <c:pt idx="15">
                  <c:v>40678</c:v>
                </c:pt>
                <c:pt idx="16">
                  <c:v>40695</c:v>
                </c:pt>
                <c:pt idx="17">
                  <c:v>40709</c:v>
                </c:pt>
                <c:pt idx="18">
                  <c:v>40725</c:v>
                </c:pt>
                <c:pt idx="19">
                  <c:v>40739</c:v>
                </c:pt>
                <c:pt idx="20">
                  <c:v>40756</c:v>
                </c:pt>
                <c:pt idx="21">
                  <c:v>40770</c:v>
                </c:pt>
                <c:pt idx="22">
                  <c:v>40787</c:v>
                </c:pt>
                <c:pt idx="23">
                  <c:v>40801</c:v>
                </c:pt>
                <c:pt idx="24">
                  <c:v>40817</c:v>
                </c:pt>
                <c:pt idx="25">
                  <c:v>40831</c:v>
                </c:pt>
                <c:pt idx="26">
                  <c:v>40848</c:v>
                </c:pt>
                <c:pt idx="27">
                  <c:v>40862</c:v>
                </c:pt>
                <c:pt idx="28">
                  <c:v>40878</c:v>
                </c:pt>
                <c:pt idx="29">
                  <c:v>40892</c:v>
                </c:pt>
                <c:pt idx="30">
                  <c:v>40909</c:v>
                </c:pt>
                <c:pt idx="31">
                  <c:v>40923</c:v>
                </c:pt>
                <c:pt idx="32">
                  <c:v>40940</c:v>
                </c:pt>
                <c:pt idx="33">
                  <c:v>40954</c:v>
                </c:pt>
                <c:pt idx="34">
                  <c:v>40969</c:v>
                </c:pt>
                <c:pt idx="35">
                  <c:v>40983</c:v>
                </c:pt>
                <c:pt idx="36">
                  <c:v>41000</c:v>
                </c:pt>
                <c:pt idx="37">
                  <c:v>41014</c:v>
                </c:pt>
                <c:pt idx="38">
                  <c:v>41030</c:v>
                </c:pt>
                <c:pt idx="39">
                  <c:v>41044</c:v>
                </c:pt>
                <c:pt idx="40">
                  <c:v>41061</c:v>
                </c:pt>
                <c:pt idx="41">
                  <c:v>41075</c:v>
                </c:pt>
                <c:pt idx="42">
                  <c:v>41091</c:v>
                </c:pt>
                <c:pt idx="43">
                  <c:v>41105</c:v>
                </c:pt>
                <c:pt idx="44">
                  <c:v>41122</c:v>
                </c:pt>
                <c:pt idx="45">
                  <c:v>41136</c:v>
                </c:pt>
                <c:pt idx="46">
                  <c:v>41153</c:v>
                </c:pt>
                <c:pt idx="47">
                  <c:v>41167</c:v>
                </c:pt>
                <c:pt idx="48">
                  <c:v>41183</c:v>
                </c:pt>
                <c:pt idx="49">
                  <c:v>41197</c:v>
                </c:pt>
                <c:pt idx="50">
                  <c:v>41214</c:v>
                </c:pt>
                <c:pt idx="51">
                  <c:v>41228</c:v>
                </c:pt>
                <c:pt idx="52">
                  <c:v>41244</c:v>
                </c:pt>
                <c:pt idx="53">
                  <c:v>41258</c:v>
                </c:pt>
                <c:pt idx="54">
                  <c:v>41275</c:v>
                </c:pt>
                <c:pt idx="55">
                  <c:v>41289</c:v>
                </c:pt>
                <c:pt idx="56">
                  <c:v>41306</c:v>
                </c:pt>
                <c:pt idx="57">
                  <c:v>41320</c:v>
                </c:pt>
                <c:pt idx="58">
                  <c:v>41334</c:v>
                </c:pt>
                <c:pt idx="59">
                  <c:v>41348</c:v>
                </c:pt>
                <c:pt idx="60">
                  <c:v>41365</c:v>
                </c:pt>
                <c:pt idx="61">
                  <c:v>41379</c:v>
                </c:pt>
                <c:pt idx="62">
                  <c:v>41395</c:v>
                </c:pt>
                <c:pt idx="63">
                  <c:v>41409</c:v>
                </c:pt>
                <c:pt idx="64">
                  <c:v>41426</c:v>
                </c:pt>
                <c:pt idx="65">
                  <c:v>41440</c:v>
                </c:pt>
                <c:pt idx="66">
                  <c:v>41456</c:v>
                </c:pt>
                <c:pt idx="67">
                  <c:v>41470</c:v>
                </c:pt>
                <c:pt idx="68">
                  <c:v>41487</c:v>
                </c:pt>
                <c:pt idx="69">
                  <c:v>41501</c:v>
                </c:pt>
                <c:pt idx="70">
                  <c:v>41518</c:v>
                </c:pt>
                <c:pt idx="71">
                  <c:v>41532</c:v>
                </c:pt>
                <c:pt idx="72">
                  <c:v>41548</c:v>
                </c:pt>
              </c:numCache>
            </c:numRef>
          </c:cat>
          <c:val>
            <c:numRef>
              <c:f>'SELIC and 1Y DI'!$C$4:$C$76</c:f>
              <c:numCache>
                <c:formatCode>General</c:formatCode>
                <c:ptCount val="73"/>
                <c:pt idx="0">
                  <c:v>10.8</c:v>
                </c:pt>
                <c:pt idx="1">
                  <c:v>10.8</c:v>
                </c:pt>
                <c:pt idx="2">
                  <c:v>10.8</c:v>
                </c:pt>
                <c:pt idx="3">
                  <c:v>10.8</c:v>
                </c:pt>
                <c:pt idx="4">
                  <c:v>10.8</c:v>
                </c:pt>
                <c:pt idx="5">
                  <c:v>10.8</c:v>
                </c:pt>
                <c:pt idx="6">
                  <c:v>10.8</c:v>
                </c:pt>
                <c:pt idx="7">
                  <c:v>10.8</c:v>
                </c:pt>
                <c:pt idx="8">
                  <c:v>11.3</c:v>
                </c:pt>
                <c:pt idx="9">
                  <c:v>11.3</c:v>
                </c:pt>
                <c:pt idx="10">
                  <c:v>11.3</c:v>
                </c:pt>
                <c:pt idx="11">
                  <c:v>11.8</c:v>
                </c:pt>
                <c:pt idx="12">
                  <c:v>11.8</c:v>
                </c:pt>
                <c:pt idx="13">
                  <c:v>11.8</c:v>
                </c:pt>
                <c:pt idx="14">
                  <c:v>12</c:v>
                </c:pt>
                <c:pt idx="15">
                  <c:v>12</c:v>
                </c:pt>
                <c:pt idx="16">
                  <c:v>12</c:v>
                </c:pt>
                <c:pt idx="17">
                  <c:v>12.2</c:v>
                </c:pt>
                <c:pt idx="18">
                  <c:v>12.2</c:v>
                </c:pt>
                <c:pt idx="19">
                  <c:v>12.2</c:v>
                </c:pt>
                <c:pt idx="20">
                  <c:v>12.5</c:v>
                </c:pt>
                <c:pt idx="21">
                  <c:v>12.5</c:v>
                </c:pt>
                <c:pt idx="22">
                  <c:v>12</c:v>
                </c:pt>
                <c:pt idx="23">
                  <c:v>12</c:v>
                </c:pt>
                <c:pt idx="24">
                  <c:v>12</c:v>
                </c:pt>
                <c:pt idx="25">
                  <c:v>11.6</c:v>
                </c:pt>
                <c:pt idx="26">
                  <c:v>11.6</c:v>
                </c:pt>
                <c:pt idx="27">
                  <c:v>11.6</c:v>
                </c:pt>
                <c:pt idx="28">
                  <c:v>11</c:v>
                </c:pt>
                <c:pt idx="29">
                  <c:v>11</c:v>
                </c:pt>
                <c:pt idx="30">
                  <c:v>11</c:v>
                </c:pt>
                <c:pt idx="31">
                  <c:v>10.5</c:v>
                </c:pt>
                <c:pt idx="32">
                  <c:v>10.5</c:v>
                </c:pt>
                <c:pt idx="33">
                  <c:v>10.5</c:v>
                </c:pt>
                <c:pt idx="34">
                  <c:v>10.5</c:v>
                </c:pt>
                <c:pt idx="35">
                  <c:v>9.8000000000000007</c:v>
                </c:pt>
                <c:pt idx="36">
                  <c:v>9.8000000000000007</c:v>
                </c:pt>
                <c:pt idx="37">
                  <c:v>9.8000000000000007</c:v>
                </c:pt>
                <c:pt idx="38">
                  <c:v>9</c:v>
                </c:pt>
                <c:pt idx="39">
                  <c:v>9</c:v>
                </c:pt>
                <c:pt idx="40">
                  <c:v>9</c:v>
                </c:pt>
                <c:pt idx="41">
                  <c:v>9</c:v>
                </c:pt>
                <c:pt idx="42">
                  <c:v>8.5</c:v>
                </c:pt>
                <c:pt idx="43">
                  <c:v>8</c:v>
                </c:pt>
                <c:pt idx="44">
                  <c:v>8</c:v>
                </c:pt>
                <c:pt idx="45">
                  <c:v>8</c:v>
                </c:pt>
                <c:pt idx="46">
                  <c:v>7.5</c:v>
                </c:pt>
                <c:pt idx="47">
                  <c:v>7.5</c:v>
                </c:pt>
                <c:pt idx="48">
                  <c:v>7.2</c:v>
                </c:pt>
                <c:pt idx="49">
                  <c:v>7.2</c:v>
                </c:pt>
                <c:pt idx="50">
                  <c:v>7.2</c:v>
                </c:pt>
                <c:pt idx="51">
                  <c:v>7.2</c:v>
                </c:pt>
                <c:pt idx="52">
                  <c:v>7.2</c:v>
                </c:pt>
                <c:pt idx="53">
                  <c:v>7.2</c:v>
                </c:pt>
                <c:pt idx="54">
                  <c:v>7.2</c:v>
                </c:pt>
                <c:pt idx="55">
                  <c:v>7.2</c:v>
                </c:pt>
                <c:pt idx="56">
                  <c:v>7.2</c:v>
                </c:pt>
                <c:pt idx="57">
                  <c:v>7.2</c:v>
                </c:pt>
                <c:pt idx="58">
                  <c:v>7.2</c:v>
                </c:pt>
                <c:pt idx="59">
                  <c:v>7.2</c:v>
                </c:pt>
                <c:pt idx="60">
                  <c:v>7.2</c:v>
                </c:pt>
                <c:pt idx="61">
                  <c:v>7.2</c:v>
                </c:pt>
                <c:pt idx="62">
                  <c:v>7.5</c:v>
                </c:pt>
                <c:pt idx="63">
                  <c:v>7.5</c:v>
                </c:pt>
                <c:pt idx="64">
                  <c:v>8</c:v>
                </c:pt>
                <c:pt idx="65">
                  <c:v>8</c:v>
                </c:pt>
                <c:pt idx="66">
                  <c:v>8</c:v>
                </c:pt>
                <c:pt idx="67">
                  <c:v>8.5</c:v>
                </c:pt>
                <c:pt idx="68">
                  <c:v>8.5</c:v>
                </c:pt>
                <c:pt idx="69">
                  <c:v>8.5</c:v>
                </c:pt>
                <c:pt idx="70">
                  <c:v>8.5</c:v>
                </c:pt>
                <c:pt idx="71">
                  <c:v>9</c:v>
                </c:pt>
                <c:pt idx="72">
                  <c:v>9</c:v>
                </c:pt>
              </c:numCache>
            </c:numRef>
          </c:val>
          <c:smooth val="1"/>
        </c:ser>
        <c:dLbls>
          <c:showLegendKey val="0"/>
          <c:showVal val="0"/>
          <c:showCatName val="0"/>
          <c:showSerName val="0"/>
          <c:showPercent val="0"/>
          <c:showBubbleSize val="0"/>
        </c:dLbls>
        <c:marker val="1"/>
        <c:smooth val="0"/>
        <c:axId val="167270656"/>
        <c:axId val="167280640"/>
      </c:lineChart>
      <c:dateAx>
        <c:axId val="167270656"/>
        <c:scaling>
          <c:orientation val="minMax"/>
        </c:scaling>
        <c:delete val="0"/>
        <c:axPos val="b"/>
        <c:minorGridlines>
          <c:spPr>
            <a:ln w="3175" cmpd="sng"/>
          </c:spPr>
        </c:minorGridlines>
        <c:numFmt formatCode="mmm\-yy" sourceLinked="1"/>
        <c:majorTickMark val="out"/>
        <c:minorTickMark val="none"/>
        <c:tickLblPos val="nextTo"/>
        <c:crossAx val="167280640"/>
        <c:crosses val="autoZero"/>
        <c:auto val="1"/>
        <c:lblOffset val="100"/>
        <c:baseTimeUnit val="days"/>
        <c:majorUnit val="6"/>
        <c:majorTimeUnit val="months"/>
        <c:minorUnit val="1"/>
        <c:minorTimeUnit val="months"/>
      </c:dateAx>
      <c:valAx>
        <c:axId val="167280640"/>
        <c:scaling>
          <c:orientation val="minMax"/>
          <c:min val="6"/>
        </c:scaling>
        <c:delete val="0"/>
        <c:axPos val="l"/>
        <c:majorGridlines/>
        <c:numFmt formatCode="General" sourceLinked="1"/>
        <c:majorTickMark val="out"/>
        <c:minorTickMark val="none"/>
        <c:tickLblPos val="nextTo"/>
        <c:crossAx val="167270656"/>
        <c:crosses val="autoZero"/>
        <c:crossBetween val="between"/>
      </c:valAx>
      <c:spPr>
        <a:solidFill>
          <a:srgbClr val="FFF6EF"/>
        </a:solidFill>
      </c:spPr>
    </c:plotArea>
    <c:legend>
      <c:legendPos val="b"/>
      <c:layout>
        <c:manualLayout>
          <c:xMode val="edge"/>
          <c:yMode val="edge"/>
          <c:x val="0.29608031496062998"/>
          <c:y val="0.90328147234607703"/>
          <c:w val="0.398950306211723"/>
          <c:h val="8.0654270625810306E-2"/>
        </c:manualLayout>
      </c:layout>
      <c:overlay val="0"/>
    </c:legend>
    <c:plotVisOnly val="1"/>
    <c:dispBlanksAs val="gap"/>
    <c:showDLblsOverMax val="0"/>
  </c:chart>
  <c:spPr>
    <a:solidFill>
      <a:schemeClr val="accent1">
        <a:lumMod val="20000"/>
        <a:lumOff val="80000"/>
      </a:schemeClr>
    </a:solidFill>
  </c:spPr>
  <c:txPr>
    <a:bodyPr/>
    <a:lstStyle/>
    <a:p>
      <a:pPr>
        <a:defRPr sz="900" baseline="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'yield curve'!$A$4:$A$9</c:f>
              <c:numCache>
                <c:formatCode>General</c:formatCode>
                <c:ptCount val="6"/>
                <c:pt idx="0">
                  <c:v>1</c:v>
                </c:pt>
                <c:pt idx="1">
                  <c:v>2.1</c:v>
                </c:pt>
                <c:pt idx="2">
                  <c:v>3</c:v>
                </c:pt>
                <c:pt idx="3">
                  <c:v>4.0999999999999996</c:v>
                </c:pt>
                <c:pt idx="4">
                  <c:v>6.1</c:v>
                </c:pt>
                <c:pt idx="5">
                  <c:v>10.1</c:v>
                </c:pt>
              </c:numCache>
            </c:numRef>
          </c:xVal>
          <c:yVal>
            <c:numRef>
              <c:f>'yield curve'!$B$4:$B$9</c:f>
              <c:numCache>
                <c:formatCode>General</c:formatCode>
                <c:ptCount val="6"/>
                <c:pt idx="0">
                  <c:v>11.5</c:v>
                </c:pt>
                <c:pt idx="1">
                  <c:v>11.93</c:v>
                </c:pt>
                <c:pt idx="2">
                  <c:v>11.85</c:v>
                </c:pt>
                <c:pt idx="3">
                  <c:v>11.85</c:v>
                </c:pt>
                <c:pt idx="4">
                  <c:v>11.78</c:v>
                </c:pt>
                <c:pt idx="5">
                  <c:v>11.82</c:v>
                </c:pt>
              </c:numCache>
            </c:numRef>
          </c:yVal>
          <c:smooth val="0"/>
        </c:ser>
        <c:dLbls>
          <c:showLegendKey val="0"/>
          <c:showVal val="0"/>
          <c:showCatName val="0"/>
          <c:showSerName val="0"/>
          <c:showPercent val="0"/>
          <c:showBubbleSize val="0"/>
        </c:dLbls>
        <c:axId val="167287040"/>
        <c:axId val="171192320"/>
      </c:scatterChart>
      <c:valAx>
        <c:axId val="167287040"/>
        <c:scaling>
          <c:orientation val="minMax"/>
        </c:scaling>
        <c:delete val="0"/>
        <c:axPos val="b"/>
        <c:numFmt formatCode="General" sourceLinked="1"/>
        <c:majorTickMark val="out"/>
        <c:minorTickMark val="none"/>
        <c:tickLblPos val="nextTo"/>
        <c:crossAx val="171192320"/>
        <c:crosses val="autoZero"/>
        <c:crossBetween val="midCat"/>
      </c:valAx>
      <c:valAx>
        <c:axId val="171192320"/>
        <c:scaling>
          <c:orientation val="minMax"/>
          <c:max val="12"/>
          <c:min val="10.6"/>
        </c:scaling>
        <c:delete val="0"/>
        <c:axPos val="l"/>
        <c:majorGridlines/>
        <c:numFmt formatCode="General" sourceLinked="1"/>
        <c:majorTickMark val="out"/>
        <c:minorTickMark val="none"/>
        <c:tickLblPos val="nextTo"/>
        <c:crossAx val="16728704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08450800371701"/>
          <c:y val="8.5894510803918897E-2"/>
          <c:w val="0.76235472299866103"/>
          <c:h val="0.81520569558385103"/>
        </c:manualLayout>
      </c:layout>
      <c:barChart>
        <c:barDir val="bar"/>
        <c:grouping val="stacked"/>
        <c:varyColors val="0"/>
        <c:ser>
          <c:idx val="0"/>
          <c:order val="0"/>
          <c:tx>
            <c:strRef>
              <c:f>'Portfolio Allocation'!$C$5</c:f>
              <c:strCache>
                <c:ptCount val="1"/>
                <c:pt idx="0">
                  <c:v>Government Bonds, Term Deposits and Cash</c:v>
                </c:pt>
              </c:strCache>
            </c:strRef>
          </c:tx>
          <c:invertIfNegative val="0"/>
          <c:cat>
            <c:strRef>
              <c:f>'Portfolio Allocation'!$B$6:$B$24</c:f>
              <c:strCache>
                <c:ptCount val="19"/>
                <c:pt idx="0">
                  <c:v>Uruguay</c:v>
                </c:pt>
                <c:pt idx="1">
                  <c:v>Dominican R.</c:v>
                </c:pt>
                <c:pt idx="2">
                  <c:v>Bolivia</c:v>
                </c:pt>
                <c:pt idx="3">
                  <c:v>El Salvador</c:v>
                </c:pt>
                <c:pt idx="4">
                  <c:v>Romania</c:v>
                </c:pt>
                <c:pt idx="5">
                  <c:v>Macedonia</c:v>
                </c:pt>
                <c:pt idx="6">
                  <c:v>Russia</c:v>
                </c:pt>
                <c:pt idx="7">
                  <c:v>Costa Rica</c:v>
                </c:pt>
                <c:pt idx="8">
                  <c:v>Croatia</c:v>
                </c:pt>
                <c:pt idx="9">
                  <c:v>Slovak R.</c:v>
                </c:pt>
                <c:pt idx="10">
                  <c:v>Kazakhstan</c:v>
                </c:pt>
                <c:pt idx="11">
                  <c:v>Mexico</c:v>
                </c:pt>
                <c:pt idx="12">
                  <c:v>Poland</c:v>
                </c:pt>
                <c:pt idx="13">
                  <c:v>Hungary</c:v>
                </c:pt>
                <c:pt idx="14">
                  <c:v>Colombia</c:v>
                </c:pt>
                <c:pt idx="15">
                  <c:v>Bulgaria</c:v>
                </c:pt>
                <c:pt idx="16">
                  <c:v>Lithuania</c:v>
                </c:pt>
                <c:pt idx="17">
                  <c:v>Chile</c:v>
                </c:pt>
                <c:pt idx="18">
                  <c:v>Peru</c:v>
                </c:pt>
              </c:strCache>
            </c:strRef>
          </c:cat>
          <c:val>
            <c:numRef>
              <c:f>'Portfolio Allocation'!$C$6:$C$24</c:f>
              <c:numCache>
                <c:formatCode>0</c:formatCode>
                <c:ptCount val="19"/>
                <c:pt idx="0">
                  <c:v>93.82</c:v>
                </c:pt>
                <c:pt idx="1">
                  <c:v>89.800000000000011</c:v>
                </c:pt>
                <c:pt idx="2">
                  <c:v>89.169200000000004</c:v>
                </c:pt>
                <c:pt idx="3">
                  <c:v>83.680420228741411</c:v>
                </c:pt>
                <c:pt idx="4">
                  <c:v>82.609434199957789</c:v>
                </c:pt>
                <c:pt idx="5">
                  <c:v>79.685999999999979</c:v>
                </c:pt>
                <c:pt idx="6">
                  <c:v>71.753890532872489</c:v>
                </c:pt>
                <c:pt idx="7">
                  <c:v>72.428472472009233</c:v>
                </c:pt>
                <c:pt idx="8">
                  <c:v>69.001446281056502</c:v>
                </c:pt>
                <c:pt idx="9">
                  <c:v>66.209104026541453</c:v>
                </c:pt>
                <c:pt idx="10">
                  <c:v>63.740000000000009</c:v>
                </c:pt>
                <c:pt idx="11">
                  <c:v>55</c:v>
                </c:pt>
                <c:pt idx="12">
                  <c:v>52.969224181634473</c:v>
                </c:pt>
                <c:pt idx="13">
                  <c:v>48.935347892646902</c:v>
                </c:pt>
                <c:pt idx="14">
                  <c:v>41.4</c:v>
                </c:pt>
                <c:pt idx="15">
                  <c:v>40.995634103219913</c:v>
                </c:pt>
                <c:pt idx="16">
                  <c:v>40.530862049684472</c:v>
                </c:pt>
                <c:pt idx="17">
                  <c:v>26.3</c:v>
                </c:pt>
                <c:pt idx="18">
                  <c:v>23.449911009209369</c:v>
                </c:pt>
              </c:numCache>
            </c:numRef>
          </c:val>
        </c:ser>
        <c:ser>
          <c:idx val="1"/>
          <c:order val="1"/>
          <c:tx>
            <c:strRef>
              <c:f>'Portfolio Allocation'!$D$5</c:f>
              <c:strCache>
                <c:ptCount val="1"/>
                <c:pt idx="0">
                  <c:v>Other Assets</c:v>
                </c:pt>
              </c:strCache>
            </c:strRef>
          </c:tx>
          <c:spPr>
            <a:solidFill>
              <a:schemeClr val="accent2">
                <a:lumMod val="60000"/>
                <a:lumOff val="40000"/>
              </a:schemeClr>
            </a:solidFill>
          </c:spPr>
          <c:invertIfNegative val="0"/>
          <c:cat>
            <c:strRef>
              <c:f>'Portfolio Allocation'!$B$6:$B$24</c:f>
              <c:strCache>
                <c:ptCount val="19"/>
                <c:pt idx="0">
                  <c:v>Uruguay</c:v>
                </c:pt>
                <c:pt idx="1">
                  <c:v>Dominican R.</c:v>
                </c:pt>
                <c:pt idx="2">
                  <c:v>Bolivia</c:v>
                </c:pt>
                <c:pt idx="3">
                  <c:v>El Salvador</c:v>
                </c:pt>
                <c:pt idx="4">
                  <c:v>Romania</c:v>
                </c:pt>
                <c:pt idx="5">
                  <c:v>Macedonia</c:v>
                </c:pt>
                <c:pt idx="6">
                  <c:v>Russia</c:v>
                </c:pt>
                <c:pt idx="7">
                  <c:v>Costa Rica</c:v>
                </c:pt>
                <c:pt idx="8">
                  <c:v>Croatia</c:v>
                </c:pt>
                <c:pt idx="9">
                  <c:v>Slovak R.</c:v>
                </c:pt>
                <c:pt idx="10">
                  <c:v>Kazakhstan</c:v>
                </c:pt>
                <c:pt idx="11">
                  <c:v>Mexico</c:v>
                </c:pt>
                <c:pt idx="12">
                  <c:v>Poland</c:v>
                </c:pt>
                <c:pt idx="13">
                  <c:v>Hungary</c:v>
                </c:pt>
                <c:pt idx="14">
                  <c:v>Colombia</c:v>
                </c:pt>
                <c:pt idx="15">
                  <c:v>Bulgaria</c:v>
                </c:pt>
                <c:pt idx="16">
                  <c:v>Lithuania</c:v>
                </c:pt>
                <c:pt idx="17">
                  <c:v>Chile</c:v>
                </c:pt>
                <c:pt idx="18">
                  <c:v>Peru</c:v>
                </c:pt>
              </c:strCache>
            </c:strRef>
          </c:cat>
          <c:val>
            <c:numRef>
              <c:f>'Portfolio Allocation'!$D$6:$D$24</c:f>
              <c:numCache>
                <c:formatCode>0</c:formatCode>
                <c:ptCount val="19"/>
                <c:pt idx="0">
                  <c:v>6.1800000000000068</c:v>
                </c:pt>
                <c:pt idx="1">
                  <c:v>10.199999999999999</c:v>
                </c:pt>
                <c:pt idx="2">
                  <c:v>10.8308</c:v>
                </c:pt>
                <c:pt idx="3">
                  <c:v>16.319579771258599</c:v>
                </c:pt>
                <c:pt idx="4">
                  <c:v>17.390565800042069</c:v>
                </c:pt>
                <c:pt idx="5">
                  <c:v>20.313999999999989</c:v>
                </c:pt>
                <c:pt idx="6">
                  <c:v>28.246109467127319</c:v>
                </c:pt>
                <c:pt idx="7">
                  <c:v>27.571527527990341</c:v>
                </c:pt>
                <c:pt idx="8">
                  <c:v>30.998553718943491</c:v>
                </c:pt>
                <c:pt idx="9">
                  <c:v>33.790895973458547</c:v>
                </c:pt>
                <c:pt idx="10">
                  <c:v>36.260000000000012</c:v>
                </c:pt>
                <c:pt idx="11">
                  <c:v>45</c:v>
                </c:pt>
                <c:pt idx="12">
                  <c:v>47.030775818365321</c:v>
                </c:pt>
                <c:pt idx="13">
                  <c:v>51.064652107353041</c:v>
                </c:pt>
                <c:pt idx="14">
                  <c:v>58.6</c:v>
                </c:pt>
                <c:pt idx="15">
                  <c:v>59.004365896780101</c:v>
                </c:pt>
                <c:pt idx="16">
                  <c:v>59.46913795031552</c:v>
                </c:pt>
                <c:pt idx="17">
                  <c:v>73.7</c:v>
                </c:pt>
                <c:pt idx="18">
                  <c:v>76.5500889907904</c:v>
                </c:pt>
              </c:numCache>
            </c:numRef>
          </c:val>
        </c:ser>
        <c:dLbls>
          <c:showLegendKey val="0"/>
          <c:showVal val="0"/>
          <c:showCatName val="0"/>
          <c:showSerName val="0"/>
          <c:showPercent val="0"/>
          <c:showBubbleSize val="0"/>
        </c:dLbls>
        <c:gapWidth val="74"/>
        <c:overlap val="100"/>
        <c:axId val="165658624"/>
        <c:axId val="165660160"/>
      </c:barChart>
      <c:catAx>
        <c:axId val="165658624"/>
        <c:scaling>
          <c:orientation val="minMax"/>
        </c:scaling>
        <c:delete val="0"/>
        <c:axPos val="l"/>
        <c:majorTickMark val="out"/>
        <c:minorTickMark val="none"/>
        <c:tickLblPos val="low"/>
        <c:txPr>
          <a:bodyPr/>
          <a:lstStyle/>
          <a:p>
            <a:pPr>
              <a:defRPr sz="1100">
                <a:latin typeface="Times New Roman" panose="02020603050405020304" pitchFamily="18" charset="0"/>
                <a:cs typeface="Times New Roman" panose="02020603050405020304" pitchFamily="18" charset="0"/>
              </a:defRPr>
            </a:pPr>
            <a:endParaRPr lang="en-US"/>
          </a:p>
        </c:txPr>
        <c:crossAx val="165660160"/>
        <c:crosses val="autoZero"/>
        <c:auto val="1"/>
        <c:lblAlgn val="ctr"/>
        <c:lblOffset val="100"/>
        <c:noMultiLvlLbl val="0"/>
      </c:catAx>
      <c:valAx>
        <c:axId val="165660160"/>
        <c:scaling>
          <c:orientation val="minMax"/>
          <c:max val="100"/>
        </c:scaling>
        <c:delete val="0"/>
        <c:axPos val="b"/>
        <c:majorGridlines/>
        <c:numFmt formatCode="0" sourceLinked="1"/>
        <c:majorTickMark val="out"/>
        <c:minorTickMark val="none"/>
        <c:tickLblPos val="nextTo"/>
        <c:crossAx val="165658624"/>
        <c:crosses val="autoZero"/>
        <c:crossBetween val="between"/>
      </c:valAx>
    </c:plotArea>
    <c:legend>
      <c:legendPos val="b"/>
      <c:overlay val="0"/>
      <c:txPr>
        <a:bodyPr/>
        <a:lstStyle/>
        <a:p>
          <a:pPr>
            <a:defRPr sz="11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0.6772</cdr:x>
      <cdr:y>0.08386</cdr:y>
    </cdr:from>
    <cdr:to>
      <cdr:x>0.67887</cdr:x>
      <cdr:y>0.90831</cdr:y>
    </cdr:to>
    <cdr:cxnSp macro="">
      <cdr:nvCxnSpPr>
        <cdr:cNvPr id="3" name="Straight Connector 2"/>
        <cdr:cNvCxnSpPr/>
      </cdr:nvCxnSpPr>
      <cdr:spPr>
        <a:xfrm xmlns:a="http://schemas.openxmlformats.org/drawingml/2006/main" flipH="1">
          <a:off x="3720120" y="396788"/>
          <a:ext cx="9174" cy="3900791"/>
        </a:xfrm>
        <a:prstGeom xmlns:a="http://schemas.openxmlformats.org/drawingml/2006/main" prst="line">
          <a:avLst/>
        </a:prstGeom>
        <a:ln xmlns:a="http://schemas.openxmlformats.org/drawingml/2006/main" w="254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7630-BA1D-4408-BE63-B9A20733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10364</Words>
  <Characters>59079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Randle</dc:creator>
  <cp:lastModifiedBy>Jurgita Campbell</cp:lastModifiedBy>
  <cp:revision>4</cp:revision>
  <cp:lastPrinted>2014-04-01T19:59:00Z</cp:lastPrinted>
  <dcterms:created xsi:type="dcterms:W3CDTF">2014-03-18T17:18:00Z</dcterms:created>
  <dcterms:modified xsi:type="dcterms:W3CDTF">2014-04-01T19:59:00Z</dcterms:modified>
</cp:coreProperties>
</file>