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69" w:rsidRPr="00F37969" w:rsidRDefault="00211F5A" w:rsidP="00F3796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11F5A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59BAB" wp14:editId="2101D746">
                <wp:simplePos x="0" y="0"/>
                <wp:positionH relativeFrom="margin">
                  <wp:posOffset>4625340</wp:posOffset>
                </wp:positionH>
                <wp:positionV relativeFrom="paragraph">
                  <wp:posOffset>-266700</wp:posOffset>
                </wp:positionV>
                <wp:extent cx="131635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5A" w:rsidRDefault="00211F5A" w:rsidP="005F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92838</w:t>
                            </w:r>
                          </w:p>
                          <w:p w:rsidR="00211F5A" w:rsidRPr="005F30DC" w:rsidRDefault="00211F5A" w:rsidP="005F30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March 13</w:t>
                            </w:r>
                            <w:r w:rsidRPr="005F3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2007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59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-21pt;width:103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" filled="f" stroked="f">
                <v:textbox style="mso-fit-shape-to-text:t">
                  <w:txbxContent>
                    <w:p w:rsidR="00211F5A" w:rsidRDefault="00211F5A" w:rsidP="005F30DC">
                      <w:pPr>
                        <w:spacing w:after="0" w:line="240" w:lineRule="auto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92838</w:t>
                      </w:r>
                    </w:p>
                    <w:p w:rsidR="00211F5A" w:rsidRPr="005F30DC" w:rsidRDefault="00211F5A" w:rsidP="005F30D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March 13</w:t>
                      </w:r>
                      <w:r w:rsidRPr="005F30DC">
                        <w:rPr>
                          <w:rFonts w:ascii="Arial" w:hAnsi="Arial" w:cs="Arial"/>
                          <w:sz w:val="24"/>
                          <w:szCs w:val="24"/>
                        </w:rPr>
                        <w:t>, 2007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37969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3905250" cy="38100"/>
            <wp:effectExtent l="0" t="0" r="0" b="0"/>
            <wp:docPr id="12" name="Picture 12" descr="http://web.worldbank.org/shared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worldbank.org/shared/images/shi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mainContent"/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00"/>
        <w:gridCol w:w="9060"/>
      </w:tblGrid>
      <w:tr w:rsidR="00F37969" w:rsidRPr="00F37969">
        <w:trPr>
          <w:tblCellSpacing w:w="0" w:type="dxa"/>
        </w:trPr>
        <w:tc>
          <w:tcPr>
            <w:tcW w:w="300" w:type="dxa"/>
            <w:hideMark/>
          </w:tcPr>
          <w:p w:rsidR="00F37969" w:rsidRPr="00F37969" w:rsidRDefault="00F37969" w:rsidP="00F37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eb.worldbank.org/shared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worldbank.org/shared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e Details about تنزانيا - الزراعة displayed below"/>
            </w:tblPr>
            <w:tblGrid>
              <w:gridCol w:w="8396"/>
              <w:gridCol w:w="332"/>
              <w:gridCol w:w="332"/>
            </w:tblGrid>
            <w:tr w:rsidR="00F37969" w:rsidRPr="00F37969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F37969" w:rsidRPr="00F37969" w:rsidRDefault="00F37969" w:rsidP="00F37969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تنزانيا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-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الزراعة</w:t>
                  </w:r>
                  <w:proofErr w:type="spellEnd"/>
                </w:p>
              </w:tc>
            </w:tr>
            <w:tr w:rsidR="00F37969" w:rsidRPr="00F37969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6699CC"/>
                  <w:hideMark/>
                </w:tcPr>
                <w:p w:rsidR="00F37969" w:rsidRPr="00F37969" w:rsidRDefault="00F37969" w:rsidP="00F37969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"/>
                      <w:szCs w:val="2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10" name="Picture 10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7969" w:rsidRPr="00F379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37969" w:rsidRPr="00F37969" w:rsidRDefault="00F37969" w:rsidP="00F379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0" cy="66675"/>
                        <wp:effectExtent l="0" t="0" r="0" b="0"/>
                        <wp:docPr id="9" name="Picture 9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69" w:rsidRPr="00F37969" w:rsidRDefault="00F37969" w:rsidP="00F37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69" w:rsidRPr="00F37969" w:rsidRDefault="00F37969" w:rsidP="00F37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7969" w:rsidRPr="00F37969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F37969" w:rsidRPr="00F37969" w:rsidRDefault="00F37969" w:rsidP="00F3796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889933"/>
                      <w:sz w:val="15"/>
                      <w:szCs w:val="15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تاريخ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أخر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تحديث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مارس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/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>آذار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889933"/>
                      <w:sz w:val="20"/>
                      <w:szCs w:val="20"/>
                    </w:rPr>
                    <w:t xml:space="preserve"> 2007</w:t>
                  </w:r>
                </w:p>
                <w:p w:rsidR="00F37969" w:rsidRPr="00F37969" w:rsidRDefault="00F37969" w:rsidP="00F37969">
                  <w:pPr>
                    <w:shd w:val="clear" w:color="auto" w:fill="BF7C2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5334000" cy="714375"/>
                        <wp:effectExtent l="0" t="0" r="0" b="9525"/>
                        <wp:docPr id="8" name="Picture 8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F0DA6A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>
                        <wp:extent cx="3257550" cy="1990725"/>
                        <wp:effectExtent l="0" t="0" r="0" b="9525"/>
                        <wp:docPr id="7" name="Picture 7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F0DA6A"/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روابط</w:t>
                  </w:r>
                  <w:proofErr w:type="spellEnd"/>
                  <w:proofErr w:type="gram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proofErr w:type="gram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hyperlink r:id="rId7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ما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هي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المؤسسة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الدولية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للتنمية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؟</w:t>
                    </w:r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- </w:t>
                  </w:r>
                  <w:hyperlink r:id="rId8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عمل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المؤسسة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الدولية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للتنمية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br/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في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تنزانيا</w:t>
                    </w:r>
                    <w:proofErr w:type="spellEnd"/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مزيد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المعلومات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تنزانيا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>-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9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تاريخ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الاقتراض</w:t>
                    </w:r>
                    <w:proofErr w:type="spellEnd"/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10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بيانات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واحصاءات</w:t>
                    </w:r>
                    <w:proofErr w:type="spellEnd"/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11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بحوث</w:t>
                    </w:r>
                    <w:proofErr w:type="spellEnd"/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-</w:t>
                  </w:r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 xml:space="preserve"> </w:t>
                  </w:r>
                  <w:hyperlink r:id="rId12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للاتصال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بنا</w:t>
                    </w:r>
                    <w:proofErr w:type="spellEnd"/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</w:p>
                <w:p w:rsidR="00F37969" w:rsidRPr="00F37969" w:rsidRDefault="00F37969" w:rsidP="00F37969">
                  <w:pPr>
                    <w:shd w:val="clear" w:color="auto" w:fill="EFF5D6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809625" cy="238125"/>
                        <wp:effectExtent l="0" t="0" r="9525" b="9525"/>
                        <wp:docPr id="6" name="Picture 6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EFF5D6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الزراعة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عنصر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أساسي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الاقتصاد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التنزاني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قطاع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يعتمد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بشدة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الموارد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وبعد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تحرير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الاقتصاد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1986،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شهدت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تنزانيا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زيادة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إنتاج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المحاصيل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الغذائية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كما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أدت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الصادرات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التقليدية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وغير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التقليدية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زيادة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الطلب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لأغراض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وتوليد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الطاقة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الكهرومائية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وساهم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الطلب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مقترناً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بسنوات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عديدة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انخفض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معدل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هطول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الأمطار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المتوسط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إحداث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شحة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الموارد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ونشوء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النزاعات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وكان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تحسين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حوضي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روفيجي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وبنجاني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وهما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أكبر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حوضين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بتنزانيا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بالغ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الأهمية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وكذلك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الحال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بالنسبة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لتصحيح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أوجه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القصور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تعاني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شبكات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نظراً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لأن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80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كانت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مستغلة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قبل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المزارعين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أصحاب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الحيازات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الصغيرة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يستخدمون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أساليب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تقليدية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F37969" w:rsidRPr="00F37969" w:rsidRDefault="00F37969" w:rsidP="00F37969">
                  <w:pPr>
                    <w:shd w:val="clear" w:color="auto" w:fill="FCFFF0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143000" cy="190500"/>
                        <wp:effectExtent l="0" t="0" r="0" b="0"/>
                        <wp:docPr id="5" name="Picture 5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FCFFF0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يعالج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أحواض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الأنهار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وأساليب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يستخدمها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أصحاب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الحيازات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الصغيرة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وهو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تسانده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للتنمية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الشواغل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والمخاوف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البيئية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المتعلقة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المستوى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الوطني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تركيزه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مشاكل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بعينها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الحوضين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الكبيرين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وقد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استهدف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تحسين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المزارعين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ذوي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الحيازات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الصغيرة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الحصول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واستخدامها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15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وذلك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طريق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تحسين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وزيادة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نوعية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مرافق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الأساسية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وتحسين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مشاركة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الأطراف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المعنية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ذوي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المصلحة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شؤون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F37969" w:rsidRPr="00F37969" w:rsidRDefault="00F37969" w:rsidP="00F37969">
                  <w:pPr>
                    <w:shd w:val="clear" w:color="auto" w:fill="EFF5D6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609725" cy="333375"/>
                        <wp:effectExtent l="0" t="0" r="9525" b="9525"/>
                        <wp:docPr id="4" name="Picture 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EFF5D6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تضاعف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حجم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الغلة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الزراعية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لأكثر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5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آلاف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أسرة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ارتفاع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مستوى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دخول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الأسر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المعيشية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بمقدار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ثلاثة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أضعاف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أبرز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الملامح</w:t>
                  </w:r>
                  <w:proofErr w:type="spellEnd"/>
                  <w:proofErr w:type="gram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proofErr w:type="gram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-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انتفعت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حوالي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5317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عائلة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التحسن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الذي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طرأ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منشآت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والصرف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حيث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ارتفعت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مستويات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الدخل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السنوية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لدى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الأسر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المعيشية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425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1500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منطقة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حوض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نهر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بنجاني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350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1100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منطقة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حوض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نهر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روفيجي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تدريب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1674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مزارعاً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وأساليب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إنتاج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المحاصيل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والصناعات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الزراعية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ومهارات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المالية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والقيادة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ازداد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متوسط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غلة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محصول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الأرز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المناطق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يغطيها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بأكثر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الضعف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ازداد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متوسط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كفاءة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لكل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الحوضين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27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إغلاق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وذلك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مقارنة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بمتوسط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يبلغ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15-20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قبل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إضفاء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الطابع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الرسمي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19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جمعية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معنية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وتوفير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التدريب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اللازم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وتزويدها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بالتجهيزات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الأساسية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F37969" w:rsidRPr="00F37969" w:rsidRDefault="00F37969" w:rsidP="00F37969">
                  <w:pPr>
                    <w:shd w:val="clear" w:color="auto" w:fill="FCFFF0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905000" cy="285750"/>
                        <wp:effectExtent l="0" t="0" r="0" b="0"/>
                        <wp:docPr id="3" name="Picture 3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FCFFF0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تقديم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26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مليون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دولار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أمريكي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فيما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1996 و 2004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نسقت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إجراء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أول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استعراض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لسياسة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الحكومة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الخاصة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عام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2002،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اعتمدت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تنزانيا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سياسة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جديدة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مجال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تشجع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اعتماد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نهج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متكامل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مجالات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تخطيط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الموارد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وتنميتها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ويُشرك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ذلك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النهج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المنتفعين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شؤون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كما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يقوم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بإنشاء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مؤسسات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تتولى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مسؤولية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الموارد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الحوضين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استند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تصميم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بحوث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وتحليلات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قدمها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بالإضافة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دروس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مستفادة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عمليات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المانحين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الآخرين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نرويجي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حوض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نهر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روفيجي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ودراسة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تقييمية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سريعة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الموارد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المائية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قامت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الدانمرك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).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  <w:t xml:space="preserve">ـ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ساعدت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المساندة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قدمتها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المؤسسات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المعنية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الحكومة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تنسيق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مشاركة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المانحين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القطاع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والانتقال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تقديم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مساندة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لاحقة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إطار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نهج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شامل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يغطي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القطاع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بأكمله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F37969" w:rsidRPr="00F37969" w:rsidRDefault="00F37969" w:rsidP="00F37969">
                  <w:pPr>
                    <w:shd w:val="clear" w:color="auto" w:fill="EFF5D6"/>
                    <w:spacing w:after="150" w:line="27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609725" cy="133350"/>
                        <wp:effectExtent l="0" t="0" r="9525" b="0"/>
                        <wp:docPr id="2" name="Picture 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EFF5D6"/>
                    <w:spacing w:after="0" w:line="27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قامت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عمليات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البنك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الدولي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اللاحقة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أساليب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المشاركة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المعتمدة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وشمل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ذلك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التنمية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الزراعية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التشاركية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والتمكين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أسباب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القوة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الاقتصادية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وبرنامج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تنمية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قطاع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الزراعة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. 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ويُعتبر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قيام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المزارعين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بعمليات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تشغيل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وصيانة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منشآت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بصورة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ملائمة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وازدياد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فهم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عملية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وكفاءة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استخدامها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واستحداث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حقوق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المياه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،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والإرشادات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الفنية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أمراً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حاسم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الأهمية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لتحقيق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استدامة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هذا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على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الأمد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الطويل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.</w:t>
                  </w:r>
                </w:p>
                <w:p w:rsidR="00F37969" w:rsidRPr="00F37969" w:rsidRDefault="00F37969" w:rsidP="00F37969">
                  <w:pPr>
                    <w:shd w:val="clear" w:color="auto" w:fill="FFF1AD"/>
                    <w:spacing w:after="150" w:line="255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kern w:val="36"/>
                      <w:sz w:val="24"/>
                      <w:szCs w:val="24"/>
                    </w:rPr>
                    <w:drawing>
                      <wp:inline distT="0" distB="0" distL="0" distR="0">
                        <wp:extent cx="1524000" cy="333375"/>
                        <wp:effectExtent l="0" t="0" r="0" b="9525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7969" w:rsidRPr="00F37969" w:rsidRDefault="00F37969" w:rsidP="00F37969">
                  <w:pPr>
                    <w:shd w:val="clear" w:color="auto" w:fill="FFF1AD"/>
                    <w:spacing w:after="150" w:line="255" w:lineRule="atLeast"/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مشروع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إدارة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أحواض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الأنهار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وتحسين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الري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لدى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أصحاب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الحيازات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>الصغيرة</w:t>
                  </w:r>
                  <w:proofErr w:type="spellEnd"/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t xml:space="preserve"> (1996 ـ 2004)</w:t>
                  </w:r>
                  <w:r w:rsidRPr="00F3796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hyperlink r:id="rId19" w:history="1"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وثائق</w:t>
                    </w:r>
                    <w:proofErr w:type="spellEnd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37969">
                      <w:rPr>
                        <w:rFonts w:ascii="Arial" w:eastAsia="Times New Roman" w:hAnsi="Arial" w:cs="Arial"/>
                        <w:b/>
                        <w:bCs/>
                        <w:color w:val="A35F05"/>
                        <w:sz w:val="24"/>
                        <w:szCs w:val="24"/>
                        <w:u w:val="single"/>
                      </w:rPr>
                      <w:t>المشروع</w:t>
                    </w:r>
                    <w:proofErr w:type="spellEnd"/>
                  </w:hyperlink>
                  <w:r w:rsidRPr="00F37969"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  <w:t>*</w:t>
                  </w:r>
                </w:p>
              </w:tc>
            </w:tr>
          </w:tbl>
          <w:p w:rsidR="00F37969" w:rsidRPr="00F37969" w:rsidRDefault="00F37969" w:rsidP="00F37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C4B83" w:rsidRDefault="007C4B83"/>
    <w:sectPr w:rsidR="007C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69"/>
    <w:rsid w:val="00211F5A"/>
    <w:rsid w:val="007C4B83"/>
    <w:rsid w:val="00F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FC11B-9418-4465-BB96-EED2AC68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969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969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styleId="Strong">
    <w:name w:val="Strong"/>
    <w:basedOn w:val="DefaultParagraphFont"/>
    <w:uiPriority w:val="22"/>
    <w:qFormat/>
    <w:rsid w:val="00F379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worldbank.org/WBSITE/EXTERNAL/EXTARABICHOME/EXTABOUTUSARABIC/EXTIDAARABIC/0,,contentMDK:21315410~pagePK:51236175~piPK:437394~theSitePK:1774633,00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eb.worldbank.org/WBSITE/EXTERNAL/EXTARABICHOME/EXTABOUTUSARABIC/EXTIDAARABIC/0,,contentMDK:21216974~menuPK:3440391~pagePK:51236175~piPK:437394~theSitePK:1774633,00.html" TargetMode="External"/><Relationship Id="rId12" Type="http://schemas.openxmlformats.org/officeDocument/2006/relationships/hyperlink" Target="http://web.worldbank.org/WBSITE/EXTERNAL/COUNTRIES/AFRICAEXT/TANZANIAEXTN/0,,menuPK:287382~pagePK:141132~piPK:141099~theSitePK:258799,00.htm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eb.worldbank.org/WBSITE/EXTERNAL/COUNTRIES/AFRICAEXT/TANZANIAEXTN/0,,menuPK:287362~pagePK:64026187~piPK:141126~theSitePK:258799,00.html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jpeg"/><Relationship Id="rId10" Type="http://schemas.openxmlformats.org/officeDocument/2006/relationships/hyperlink" Target="http://web.worldbank.org/WBSITE/EXTERNAL/COUNTRIES/AFRICAEXT/TANZANIAEXTN/0,,menuPK:287361~pagePK:141132~piPK:141109~theSitePK:258799,00.html" TargetMode="External"/><Relationship Id="rId19" Type="http://schemas.openxmlformats.org/officeDocument/2006/relationships/hyperlink" Target="http://web.worldbank.org/external/projects/main?pagePK=64283627&amp;piPK=73230&amp;theSitePK=40941&amp;menuPK=228424&amp;Projectid=P03857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eb.worldbank.org/WBSITE/EXTERNAL/PROJECTS/0,,pagePK:64392398~piPK:64392037~theSitePK:40941~countrycode:TZ~countryname:Tanzania~menuPK:64382427,00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3972</Characters>
  <Application>Microsoft Office Word</Application>
  <DocSecurity>0</DocSecurity>
  <Lines>33</Lines>
  <Paragraphs>9</Paragraphs>
  <ScaleCrop>false</ScaleCrop>
  <Company>The World Bank Group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 Bank Group</dc:creator>
  <cp:lastModifiedBy>Zachary Stuart Newton</cp:lastModifiedBy>
  <cp:revision>2</cp:revision>
  <dcterms:created xsi:type="dcterms:W3CDTF">2014-11-12T20:04:00Z</dcterms:created>
  <dcterms:modified xsi:type="dcterms:W3CDTF">2014-12-15T16:47:00Z</dcterms:modified>
</cp:coreProperties>
</file>